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038" w14:textId="40D10931" w:rsidR="00676354" w:rsidRPr="00724359" w:rsidRDefault="00676354" w:rsidP="0099485B">
      <w:pPr>
        <w:jc w:val="center"/>
        <w:rPr>
          <w:rFonts w:ascii="Times New Roman" w:hAnsi="Times New Roman"/>
          <w:b/>
          <w:sz w:val="24"/>
          <w:u w:val="single"/>
        </w:rPr>
      </w:pPr>
      <w:bookmarkStart w:id="0" w:name="_Toc298787969"/>
      <w:bookmarkStart w:id="1" w:name="_Toc298788158"/>
      <w:bookmarkStart w:id="2" w:name="_Toc298788641"/>
      <w:bookmarkStart w:id="3" w:name="_Toc305686691"/>
      <w:bookmarkStart w:id="4" w:name="_Toc306350093"/>
      <w:bookmarkStart w:id="5" w:name="_Toc306350113"/>
      <w:bookmarkStart w:id="6" w:name="_Toc331517265"/>
      <w:bookmarkStart w:id="7" w:name="_Toc245891774"/>
      <w:bookmarkStart w:id="8" w:name="_Toc238803087"/>
      <w:bookmarkStart w:id="9" w:name="_Toc238803888"/>
      <w:r w:rsidRPr="00724359">
        <w:rPr>
          <w:rFonts w:ascii="Times New Roman" w:hAnsi="Times New Roman"/>
          <w:b/>
          <w:sz w:val="24"/>
          <w:u w:val="single"/>
        </w:rPr>
        <w:t>PL</w:t>
      </w:r>
    </w:p>
    <w:p w14:paraId="39DA4C9C" w14:textId="5F2E6493" w:rsidR="00385DE1" w:rsidRPr="00724359" w:rsidRDefault="00385DE1" w:rsidP="0099485B">
      <w:pPr>
        <w:jc w:val="center"/>
        <w:rPr>
          <w:rFonts w:ascii="Times New Roman" w:hAnsi="Times New Roman"/>
          <w:b/>
          <w:sz w:val="24"/>
          <w:u w:val="single"/>
        </w:rPr>
      </w:pPr>
      <w:r w:rsidRPr="00724359">
        <w:rPr>
          <w:rFonts w:ascii="Times New Roman" w:hAnsi="Times New Roman"/>
          <w:b/>
          <w:sz w:val="24"/>
          <w:u w:val="single"/>
        </w:rPr>
        <w:t>ZAŁĄCZNIK IV</w:t>
      </w:r>
    </w:p>
    <w:p w14:paraId="66B07866" w14:textId="77777777" w:rsidR="00385DE1" w:rsidRPr="00724359" w:rsidRDefault="00385DE1" w:rsidP="0099485B">
      <w:pPr>
        <w:jc w:val="center"/>
        <w:rPr>
          <w:rFonts w:ascii="Times New Roman" w:hAnsi="Times New Roman"/>
          <w:b/>
          <w:sz w:val="24"/>
        </w:rPr>
      </w:pPr>
    </w:p>
    <w:p w14:paraId="1D3B5C40" w14:textId="50B78FAF" w:rsidR="0001617D" w:rsidRPr="00724359" w:rsidRDefault="0001617D" w:rsidP="000161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359">
        <w:rPr>
          <w:rFonts w:ascii="Times New Roman" w:hAnsi="Times New Roman"/>
          <w:b/>
          <w:sz w:val="24"/>
        </w:rPr>
        <w:t>UJAWNIANIE INFORMACJI NA TEMAT MINIMALNEGO WYMOGU W ZAKRESIE FUNDUSZY WŁASNYCH I ZOBOWIĄZAŃ KWALIFIKOWALNYCH – INSTRUKCJE</w:t>
      </w:r>
    </w:p>
    <w:p w14:paraId="7E4782B7" w14:textId="77777777" w:rsidR="00940030" w:rsidRPr="00724359" w:rsidRDefault="00940030" w:rsidP="00940030"/>
    <w:p w14:paraId="6E12AAF5" w14:textId="0F680380" w:rsidR="00940030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r w:rsidRPr="00724359">
        <w:rPr>
          <w:rFonts w:ascii="Times New Roman" w:hAnsi="Times New Roman"/>
          <w:color w:val="auto"/>
          <w:sz w:val="24"/>
        </w:rPr>
        <w:t>1.</w:t>
      </w:r>
      <w:r w:rsidRPr="00724359">
        <w:rPr>
          <w:rFonts w:ascii="Times New Roman" w:hAnsi="Times New Roman"/>
          <w:color w:val="auto"/>
          <w:sz w:val="24"/>
        </w:rPr>
        <w:tab/>
        <w:t>Instrukcje ogólne: struktura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kon</w:t>
      </w:r>
      <w:r w:rsidRPr="00724359">
        <w:rPr>
          <w:rFonts w:ascii="Times New Roman" w:hAnsi="Times New Roman"/>
          <w:color w:val="auto"/>
          <w:sz w:val="24"/>
        </w:rPr>
        <w:t>wencje</w:t>
      </w:r>
    </w:p>
    <w:p w14:paraId="6CFEBC53" w14:textId="59A6818A" w:rsidR="0065594A" w:rsidRPr="00724359" w:rsidRDefault="0065594A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792" w:hanging="432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0" w:name="_Toc360188319"/>
      <w:bookmarkStart w:id="11" w:name="_Toc473560867"/>
      <w:bookmarkStart w:id="12" w:name="_Toc15294522"/>
      <w:bookmarkStart w:id="13" w:name="_Toc264038399"/>
      <w:bookmarkStart w:id="14" w:name="_Toc294018834"/>
      <w:r w:rsidRPr="00724359">
        <w:rPr>
          <w:rFonts w:ascii="Times New Roman" w:hAnsi="Times New Roman"/>
          <w:color w:val="auto"/>
          <w:sz w:val="24"/>
        </w:rPr>
        <w:t>1.1</w:t>
      </w:r>
      <w:r w:rsidRPr="00724359">
        <w:rPr>
          <w:rFonts w:ascii="Times New Roman" w:hAnsi="Times New Roman"/>
          <w:color w:val="auto"/>
          <w:sz w:val="24"/>
        </w:rPr>
        <w:tab/>
        <w:t>Struktura</w:t>
      </w:r>
      <w:bookmarkEnd w:id="10"/>
      <w:bookmarkEnd w:id="11"/>
      <w:bookmarkEnd w:id="12"/>
    </w:p>
    <w:p w14:paraId="038BA668" w14:textId="1868AFAE" w:rsidR="0065594A" w:rsidRPr="00724359" w:rsidRDefault="0065594A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Niniejsze ramy ujawniania informacji na temat MREL i TLAC składają się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trz</w:t>
      </w:r>
      <w:r w:rsidRPr="00724359">
        <w:rPr>
          <w:noProof w:val="0"/>
        </w:rPr>
        <w:t>ech grup wzorów:</w:t>
      </w:r>
    </w:p>
    <w:p w14:paraId="160EDC16" w14:textId="5FD52256" w:rsidR="00AB77FD" w:rsidRPr="00724359" w:rsidRDefault="00AB77FD" w:rsidP="00B62DC9">
      <w:pPr>
        <w:pStyle w:val="InstructionsText2"/>
        <w:numPr>
          <w:ilvl w:val="1"/>
          <w:numId w:val="15"/>
        </w:numPr>
        <w:rPr>
          <w:noProof w:val="0"/>
        </w:rPr>
      </w:pPr>
      <w:r w:rsidRPr="00724359">
        <w:rPr>
          <w:noProof w:val="0"/>
        </w:rPr>
        <w:t>MREL i TLAC grup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 oraz podmiotów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likwidacji;</w:t>
      </w:r>
    </w:p>
    <w:p w14:paraId="531DF249" w14:textId="1D015AE0" w:rsidR="00AB77FD" w:rsidRPr="00724359" w:rsidRDefault="00AB77FD" w:rsidP="00B62DC9">
      <w:pPr>
        <w:pStyle w:val="InstructionsText2"/>
        <w:numPr>
          <w:ilvl w:val="1"/>
          <w:numId w:val="15"/>
        </w:numPr>
        <w:rPr>
          <w:noProof w:val="0"/>
        </w:rPr>
      </w:pPr>
      <w:r w:rsidRPr="00724359">
        <w:rPr>
          <w:noProof w:val="0"/>
        </w:rPr>
        <w:t>MREL i TLAC podmiotów niebędących podmiotami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 oraz istotnych jednostek zależnych globalnych instytucji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zna</w:t>
      </w:r>
      <w:r w:rsidRPr="00724359">
        <w:rPr>
          <w:noProof w:val="0"/>
        </w:rPr>
        <w:t>czeniu systemowym spoza UE;</w:t>
      </w:r>
    </w:p>
    <w:p w14:paraId="3EE4CEDD" w14:textId="5B2484DA" w:rsidR="00AB77FD" w:rsidRPr="00724359" w:rsidRDefault="00AB77FD" w:rsidP="00B62DC9">
      <w:pPr>
        <w:pStyle w:val="InstructionsText2"/>
        <w:numPr>
          <w:ilvl w:val="1"/>
          <w:numId w:val="15"/>
        </w:numPr>
        <w:rPr>
          <w:noProof w:val="0"/>
        </w:rPr>
      </w:pPr>
      <w:r w:rsidRPr="00724359">
        <w:rPr>
          <w:noProof w:val="0"/>
        </w:rPr>
        <w:t>kolejność zaspokajania wierzycieli jednostek emitujących.</w:t>
      </w:r>
    </w:p>
    <w:p w14:paraId="1ED5F5C4" w14:textId="553664EE" w:rsidR="0065594A" w:rsidRPr="00724359" w:rsidRDefault="0065594A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Dla każdego wzoru podano odniesienia prawne. Niniejszy załącznik zawiera dalsze szczegółowe informacje dotyczące bardziej ogólnych aspektów sprawozdawczości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każ</w:t>
      </w:r>
      <w:r w:rsidRPr="00724359">
        <w:rPr>
          <w:noProof w:val="0"/>
        </w:rPr>
        <w:t>dym zestawie wzorów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ins</w:t>
      </w:r>
      <w:r w:rsidRPr="00724359">
        <w:rPr>
          <w:noProof w:val="0"/>
        </w:rPr>
        <w:t>trukcje dotyczące poszczególnych pozycji.</w:t>
      </w:r>
    </w:p>
    <w:p w14:paraId="13B7702A" w14:textId="70815289" w:rsidR="0065594A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792" w:hanging="432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5" w:name="_Toc360188320"/>
      <w:bookmarkStart w:id="16" w:name="_Toc473560868"/>
      <w:bookmarkStart w:id="17" w:name="_Toc15294523"/>
      <w:r w:rsidRPr="00724359">
        <w:rPr>
          <w:rFonts w:ascii="Times New Roman" w:hAnsi="Times New Roman"/>
          <w:color w:val="auto"/>
          <w:sz w:val="24"/>
        </w:rPr>
        <w:t>1.</w:t>
      </w:r>
      <w:bookmarkStart w:id="18" w:name="_Toc15294525"/>
      <w:bookmarkEnd w:id="13"/>
      <w:bookmarkEnd w:id="14"/>
      <w:bookmarkEnd w:id="15"/>
      <w:bookmarkEnd w:id="16"/>
      <w:bookmarkEnd w:id="17"/>
      <w:r w:rsidRPr="00724359">
        <w:rPr>
          <w:rFonts w:ascii="Times New Roman" w:hAnsi="Times New Roman"/>
          <w:color w:val="auto"/>
          <w:sz w:val="24"/>
        </w:rPr>
        <w:t>2</w:t>
      </w:r>
      <w:r w:rsidRPr="00724359">
        <w:rPr>
          <w:rFonts w:ascii="Times New Roman" w:hAnsi="Times New Roman"/>
          <w:color w:val="auto"/>
          <w:sz w:val="24"/>
        </w:rPr>
        <w:tab/>
      </w:r>
      <w:r w:rsidRPr="00724359">
        <w:rPr>
          <w:rFonts w:ascii="Times New Roman" w:hAnsi="Times New Roman"/>
          <w:color w:val="auto"/>
          <w:sz w:val="24"/>
        </w:rPr>
        <w:tab/>
        <w:t>Skróty</w:t>
      </w:r>
      <w:bookmarkEnd w:id="18"/>
    </w:p>
    <w:p w14:paraId="7F56C9B4" w14:textId="1EA8178A" w:rsidR="0065594A" w:rsidRPr="00724359" w:rsidRDefault="0065594A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Do celów załączników do niniejszego rozporządzenia stosuje się następujące skróty:</w:t>
      </w:r>
    </w:p>
    <w:p w14:paraId="7AA24AF3" w14:textId="1902D519" w:rsidR="0065594A" w:rsidRPr="00724359" w:rsidRDefault="00B96861" w:rsidP="00B62DC9">
      <w:pPr>
        <w:pStyle w:val="InstructionsText2"/>
        <w:numPr>
          <w:ilvl w:val="0"/>
          <w:numId w:val="31"/>
        </w:numPr>
        <w:rPr>
          <w:noProof w:val="0"/>
        </w:rPr>
      </w:pPr>
      <w:r w:rsidRPr="00724359">
        <w:rPr>
          <w:noProof w:val="0"/>
        </w:rPr>
        <w:t xml:space="preserve"> „MREL” oznacza minimalny wymóg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45 dyrektywy 2014/59/UE;</w:t>
      </w:r>
    </w:p>
    <w:p w14:paraId="3F223F84" w14:textId="1CEA0561" w:rsidR="0065594A" w:rsidRPr="00724359" w:rsidRDefault="0065594A" w:rsidP="00B62DC9">
      <w:pPr>
        <w:pStyle w:val="InstructionsText2"/>
        <w:numPr>
          <w:ilvl w:val="0"/>
          <w:numId w:val="31"/>
        </w:numPr>
        <w:rPr>
          <w:noProof w:val="0"/>
        </w:rPr>
      </w:pPr>
      <w:r w:rsidRPr="00724359">
        <w:rPr>
          <w:noProof w:val="0"/>
        </w:rPr>
        <w:t>„TLAC” oznacza wymóg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dotyczący globalnych instytucji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zna</w:t>
      </w:r>
      <w:r w:rsidRPr="00724359">
        <w:rPr>
          <w:noProof w:val="0"/>
        </w:rPr>
        <w:t>czeniu systemowym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92a rozporządzenia (UE) nr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575/2013;</w:t>
      </w:r>
    </w:p>
    <w:p w14:paraId="1FEB92E2" w14:textId="6F1402F6" w:rsidR="0065594A" w:rsidRPr="00724359" w:rsidRDefault="0065594A" w:rsidP="00B62DC9">
      <w:pPr>
        <w:pStyle w:val="InstructionsText2"/>
        <w:numPr>
          <w:ilvl w:val="0"/>
          <w:numId w:val="31"/>
        </w:numPr>
        <w:rPr>
          <w:noProof w:val="0"/>
        </w:rPr>
      </w:pPr>
      <w:r w:rsidRPr="00724359">
        <w:rPr>
          <w:noProof w:val="0"/>
        </w:rPr>
        <w:t>„wewnętrzna TLAC” oznacza wymóg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dotyczący globalnych instytucji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zna</w:t>
      </w:r>
      <w:r w:rsidRPr="00724359">
        <w:rPr>
          <w:noProof w:val="0"/>
        </w:rPr>
        <w:t>czeniu systemowym spoza UE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92b rozporządzenia (UE) nr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575/2013;</w:t>
      </w:r>
    </w:p>
    <w:p w14:paraId="41F598D3" w14:textId="57555621" w:rsidR="0097126E" w:rsidRPr="00724359" w:rsidRDefault="0097126E" w:rsidP="0073688E">
      <w:pPr>
        <w:pStyle w:val="ListParagraph"/>
        <w:numPr>
          <w:ilvl w:val="0"/>
          <w:numId w:val="31"/>
        </w:numPr>
      </w:pPr>
      <w:r w:rsidRPr="00724359">
        <w:rPr>
          <w:rFonts w:ascii="Times New Roman" w:hAnsi="Times New Roman"/>
          <w:sz w:val="24"/>
        </w:rPr>
        <w:lastRenderedPageBreak/>
        <w:t>„wewnętrzny MREL” oznacza MREL mający zastosowanie do podmiotów, które same nie są podmiotami restrukturyzacji</w:t>
      </w:r>
      <w:r w:rsidR="00724359" w:rsidRPr="00724359">
        <w:rPr>
          <w:rFonts w:ascii="Times New Roman" w:hAnsi="Times New Roman"/>
          <w:sz w:val="24"/>
        </w:rPr>
        <w:t xml:space="preserve"> i</w:t>
      </w:r>
      <w:r w:rsidR="00724359">
        <w:rPr>
          <w:rFonts w:ascii="Times New Roman" w:hAnsi="Times New Roman"/>
          <w:sz w:val="24"/>
        </w:rPr>
        <w:t> </w:t>
      </w:r>
      <w:r w:rsidR="00724359" w:rsidRPr="00724359">
        <w:rPr>
          <w:rFonts w:ascii="Times New Roman" w:hAnsi="Times New Roman"/>
          <w:sz w:val="24"/>
        </w:rPr>
        <w:t>upo</w:t>
      </w:r>
      <w:r w:rsidRPr="00724359">
        <w:rPr>
          <w:rFonts w:ascii="Times New Roman" w:hAnsi="Times New Roman"/>
          <w:sz w:val="24"/>
        </w:rPr>
        <w:t>rządkowanej likwidacji zgodnie</w:t>
      </w:r>
      <w:r w:rsidR="00724359" w:rsidRPr="00724359">
        <w:rPr>
          <w:rFonts w:ascii="Times New Roman" w:hAnsi="Times New Roman"/>
          <w:sz w:val="24"/>
        </w:rPr>
        <w:t xml:space="preserve"> z</w:t>
      </w:r>
      <w:r w:rsidR="00724359">
        <w:rPr>
          <w:rFonts w:ascii="Times New Roman" w:hAnsi="Times New Roman"/>
          <w:sz w:val="24"/>
        </w:rPr>
        <w:t> </w:t>
      </w:r>
      <w:r w:rsidR="00724359" w:rsidRPr="00724359">
        <w:rPr>
          <w:rFonts w:ascii="Times New Roman" w:hAnsi="Times New Roman"/>
          <w:sz w:val="24"/>
        </w:rPr>
        <w:t>art</w:t>
      </w:r>
      <w:r w:rsidRPr="00724359">
        <w:rPr>
          <w:rFonts w:ascii="Times New Roman" w:hAnsi="Times New Roman"/>
          <w:sz w:val="24"/>
        </w:rPr>
        <w:t>.</w:t>
      </w:r>
      <w:r w:rsidR="00724359" w:rsidRPr="00724359">
        <w:rPr>
          <w:rFonts w:ascii="Times New Roman" w:hAnsi="Times New Roman"/>
          <w:sz w:val="24"/>
        </w:rPr>
        <w:t> </w:t>
      </w:r>
      <w:r w:rsidRPr="00724359">
        <w:rPr>
          <w:rFonts w:ascii="Times New Roman" w:hAnsi="Times New Roman"/>
          <w:sz w:val="24"/>
        </w:rPr>
        <w:t>45f</w:t>
      </w:r>
      <w:r w:rsidRPr="00724359">
        <w:t xml:space="preserve"> </w:t>
      </w:r>
      <w:r w:rsidRPr="00724359">
        <w:rPr>
          <w:rFonts w:ascii="Times New Roman" w:hAnsi="Times New Roman"/>
          <w:sz w:val="24"/>
        </w:rPr>
        <w:t xml:space="preserve">dyrektywy 2014/59/UE. </w:t>
      </w:r>
    </w:p>
    <w:p w14:paraId="0BC0B9FF" w14:textId="2C0B3111" w:rsidR="00B43E07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9" w:name="_Toc264033192"/>
      <w:bookmarkEnd w:id="19"/>
      <w:r w:rsidRPr="00724359">
        <w:rPr>
          <w:rFonts w:ascii="Times New Roman" w:hAnsi="Times New Roman"/>
          <w:color w:val="auto"/>
          <w:sz w:val="24"/>
        </w:rPr>
        <w:t>2.</w:t>
      </w:r>
      <w:r w:rsidRPr="00724359">
        <w:rPr>
          <w:rFonts w:ascii="Times New Roman" w:hAnsi="Times New Roman"/>
          <w:color w:val="auto"/>
          <w:sz w:val="24"/>
        </w:rPr>
        <w:tab/>
      </w:r>
      <w:bookmarkStart w:id="20" w:name="_Toc45266923"/>
      <w:bookmarkStart w:id="21" w:name="_Toc45266924"/>
      <w:bookmarkStart w:id="22" w:name="_Toc45266925"/>
      <w:bookmarkStart w:id="23" w:name="_Toc14770635"/>
      <w:bookmarkStart w:id="24" w:name="_Toc45266926"/>
      <w:bookmarkEnd w:id="20"/>
      <w:bookmarkEnd w:id="21"/>
      <w:bookmarkEnd w:id="22"/>
      <w:r w:rsidRPr="00724359">
        <w:rPr>
          <w:rFonts w:ascii="Times New Roman" w:hAnsi="Times New Roman"/>
          <w:color w:val="auto"/>
          <w:sz w:val="24"/>
        </w:rPr>
        <w:t>EU KM2:</w:t>
      </w:r>
      <w:r w:rsidR="00724359" w:rsidRPr="00724359">
        <w:rPr>
          <w:rFonts w:ascii="Times New Roman" w:hAnsi="Times New Roman"/>
          <w:color w:val="auto"/>
          <w:sz w:val="24"/>
        </w:rPr>
        <w:t xml:space="preserve"> </w:t>
      </w:r>
      <w:r w:rsidRPr="00724359">
        <w:rPr>
          <w:rFonts w:ascii="Times New Roman" w:hAnsi="Times New Roman"/>
          <w:color w:val="auto"/>
          <w:sz w:val="24"/>
        </w:rPr>
        <w:t>Najważniejsze wskaźniki – MREL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w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sto</w:t>
      </w:r>
      <w:r w:rsidRPr="00724359">
        <w:rPr>
          <w:rFonts w:ascii="Times New Roman" w:hAnsi="Times New Roman"/>
          <w:color w:val="auto"/>
          <w:sz w:val="24"/>
        </w:rPr>
        <w:t>sownych przypadkach wymóg</w:t>
      </w:r>
      <w:r w:rsidR="00724359" w:rsidRPr="00724359">
        <w:rPr>
          <w:rFonts w:ascii="Times New Roman" w:hAnsi="Times New Roman"/>
          <w:color w:val="auto"/>
          <w:sz w:val="24"/>
        </w:rPr>
        <w:t xml:space="preserve"> w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zak</w:t>
      </w:r>
      <w:r w:rsidRPr="00724359">
        <w:rPr>
          <w:rFonts w:ascii="Times New Roman" w:hAnsi="Times New Roman"/>
          <w:color w:val="auto"/>
          <w:sz w:val="24"/>
        </w:rPr>
        <w:t>resie funduszy własnych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zob</w:t>
      </w:r>
      <w:r w:rsidRPr="00724359">
        <w:rPr>
          <w:rFonts w:ascii="Times New Roman" w:hAnsi="Times New Roman"/>
          <w:color w:val="auto"/>
          <w:sz w:val="24"/>
        </w:rPr>
        <w:t>owiązań kwalifikowalnych dotyczący globalnych instytucji</w:t>
      </w:r>
      <w:r w:rsidR="00724359" w:rsidRPr="00724359">
        <w:rPr>
          <w:rFonts w:ascii="Times New Roman" w:hAnsi="Times New Roman"/>
          <w:color w:val="auto"/>
          <w:sz w:val="24"/>
        </w:rPr>
        <w:t xml:space="preserve"> o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zna</w:t>
      </w:r>
      <w:r w:rsidRPr="00724359">
        <w:rPr>
          <w:rFonts w:ascii="Times New Roman" w:hAnsi="Times New Roman"/>
          <w:color w:val="auto"/>
          <w:sz w:val="24"/>
        </w:rPr>
        <w:t>czeniu systemowym</w:t>
      </w:r>
      <w:bookmarkEnd w:id="23"/>
      <w:bookmarkEnd w:id="24"/>
    </w:p>
    <w:p w14:paraId="7C25FB3D" w14:textId="63E25971" w:rsidR="001D5361" w:rsidRPr="00724359" w:rsidRDefault="00CB1021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Podmioty wyjaśniają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opi</w:t>
      </w:r>
      <w:r w:rsidRPr="00724359">
        <w:rPr>
          <w:noProof w:val="0"/>
        </w:rPr>
        <w:t>sie dołączonym do tego wzoru wszelkie istotne różnice między ujawnionymi kwotami funduszy własnych</w:t>
      </w:r>
      <w:r w:rsidR="00724359" w:rsidRPr="00724359">
        <w:rPr>
          <w:noProof w:val="0"/>
        </w:rPr>
        <w:t xml:space="preserve"> a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kwo</w:t>
      </w:r>
      <w:r w:rsidRPr="00724359">
        <w:rPr>
          <w:noProof w:val="0"/>
        </w:rPr>
        <w:t>tą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peł</w:t>
      </w:r>
      <w:r w:rsidRPr="00724359">
        <w:rPr>
          <w:noProof w:val="0"/>
        </w:rPr>
        <w:t>ni obciążoną zgodnie z MSSF 9 na poziomie grupy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likwidacji. Podmioty wyjaśniają również wszelkie istotne różnice między kwotą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peł</w:t>
      </w:r>
      <w:r w:rsidRPr="00724359">
        <w:rPr>
          <w:noProof w:val="0"/>
        </w:rPr>
        <w:t>ni obciążoną zgodnie z MSSF 9 na poziomie grupy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por</w:t>
      </w:r>
      <w:r w:rsidRPr="00724359">
        <w:rPr>
          <w:noProof w:val="0"/>
        </w:rPr>
        <w:t>ównaniu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kwo</w:t>
      </w:r>
      <w:r w:rsidRPr="00724359">
        <w:rPr>
          <w:noProof w:val="0"/>
        </w:rPr>
        <w:t>tą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peł</w:t>
      </w:r>
      <w:r w:rsidRPr="00724359">
        <w:rPr>
          <w:noProof w:val="0"/>
        </w:rPr>
        <w:t>ni obciążoną zgodnie z MSSF 9 na poziomie grupy objętej konsolidacją ostrożnościową.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026FC1" w:rsidRPr="00724359" w14:paraId="534A9C03" w14:textId="77777777" w:rsidTr="00915305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44B24714" w14:textId="77777777" w:rsidR="006D4640" w:rsidRPr="00724359" w:rsidRDefault="006D4640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Kolumny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065DB08C" w14:textId="0787A8F6" w:rsidR="006D4640" w:rsidRPr="00724359" w:rsidRDefault="00E46262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BB516B" w:rsidRPr="00724359" w14:paraId="5E930C2C" w14:textId="77777777" w:rsidTr="00807127">
        <w:trPr>
          <w:trHeight w:val="637"/>
        </w:trPr>
        <w:tc>
          <w:tcPr>
            <w:tcW w:w="1384" w:type="dxa"/>
          </w:tcPr>
          <w:p w14:paraId="3149647C" w14:textId="54230E4A" w:rsidR="00BB516B" w:rsidRPr="00724359" w:rsidDel="00DE6BC1" w:rsidRDefault="00BB516B" w:rsidP="003F5FDC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67A0C6A1" w14:textId="59718815" w:rsidR="00BB516B" w:rsidRPr="00724359" w:rsidRDefault="008C2E99" w:rsidP="0080712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ujawniają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tej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kolumnie istotne informacje na temat MREL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5e dyrektywy 2014/59/UE.</w:t>
            </w:r>
          </w:p>
          <w:p w14:paraId="430CD6A3" w14:textId="4273F292" w:rsidR="00BB516B" w:rsidRPr="00724359" w:rsidRDefault="008C2E99" w:rsidP="008C2E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ujawniają wartość według stanu na koniec okresu, za który informacje podlegają ujawnieniu.</w:t>
            </w:r>
          </w:p>
        </w:tc>
      </w:tr>
      <w:tr w:rsidR="00DE6BC1" w:rsidRPr="00724359" w14:paraId="7B5301DE" w14:textId="77777777" w:rsidTr="00915305">
        <w:trPr>
          <w:trHeight w:val="637"/>
        </w:trPr>
        <w:tc>
          <w:tcPr>
            <w:tcW w:w="1384" w:type="dxa"/>
          </w:tcPr>
          <w:p w14:paraId="6F6942E8" w14:textId="11CBC8E4" w:rsidR="00DE6BC1" w:rsidRPr="00724359" w:rsidDel="00DE6BC1" w:rsidRDefault="00B96861" w:rsidP="00BB516B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b–f</w:t>
            </w:r>
          </w:p>
        </w:tc>
        <w:tc>
          <w:tcPr>
            <w:tcW w:w="7655" w:type="dxa"/>
          </w:tcPr>
          <w:p w14:paraId="330BD29E" w14:textId="6CA5A631" w:rsidR="00DE6BC1" w:rsidRPr="00724359" w:rsidRDefault="008C2E99" w:rsidP="00DE6BC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będące globalnymi instytucjami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 podlegającymi wymogowi dotyczącemu TLAC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ujawniają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tyc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h kolumnach istotne informacje na temat tego wymogu. </w:t>
            </w:r>
          </w:p>
          <w:p w14:paraId="34389FB0" w14:textId="7C26C455" w:rsidR="00DE6BC1" w:rsidRPr="00724359" w:rsidRDefault="00DE6BC1" w:rsidP="00401ED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Okresy, za który informacje podlegają ujawnieniu – T, T-1, T-2, T-3 i T-4 – oznaczają okresy kwartalne. Podmioty ujawniają daty odpowiadające okresom, za które informacje podlegają ujawnieniu. Podmioty, które ujawniają te informacje raz na kwartał, wprowadzają dane za okresy T, T-1, T-2, T-3 i T-4; podmioty, które ujawniają te informacje raz na pół roku, wprowadzają dane za okresy T, T-2 i T-4; podmioty, które ujawniają te informacje raz na rok, wprowadzają dane za okresy T i T-4.</w:t>
            </w:r>
          </w:p>
        </w:tc>
      </w:tr>
    </w:tbl>
    <w:p w14:paraId="33309394" w14:textId="77777777" w:rsidR="009C13C2" w:rsidRPr="00724359" w:rsidRDefault="009C13C2" w:rsidP="006D46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026FC1" w:rsidRPr="00724359" w14:paraId="65A77E60" w14:textId="77777777" w:rsidTr="00915305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2C46BBB5" w14:textId="77777777" w:rsidR="006D4640" w:rsidRPr="00724359" w:rsidRDefault="006D4640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Wiersze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09BD783" w14:textId="2E3BE90F" w:rsidR="006D4640" w:rsidRPr="00724359" w:rsidRDefault="00E46262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DF735F" w:rsidRPr="00724359" w14:paraId="3E6E8E5C" w14:textId="77777777" w:rsidTr="005D18F8">
        <w:trPr>
          <w:trHeight w:val="1014"/>
        </w:trPr>
        <w:tc>
          <w:tcPr>
            <w:tcW w:w="1384" w:type="dxa"/>
          </w:tcPr>
          <w:p w14:paraId="2671D250" w14:textId="2BE97FB7" w:rsidR="00DF735F" w:rsidRPr="00724359" w:rsidRDefault="00150101" w:rsidP="005D18F8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1</w:t>
            </w:r>
          </w:p>
        </w:tc>
        <w:tc>
          <w:tcPr>
            <w:tcW w:w="7655" w:type="dxa"/>
          </w:tcPr>
          <w:p w14:paraId="779E1D4D" w14:textId="4A9F3497" w:rsidR="00DF735F" w:rsidRPr="00724359" w:rsidRDefault="00DF735F" w:rsidP="005D18F8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Fundusze własne</w:t>
            </w:r>
            <w:r w:rsidR="00724359" w:rsidRPr="00724359">
              <w:rPr>
                <w:b/>
                <w:color w:val="000000" w:themeColor="text1"/>
              </w:rPr>
              <w:t xml:space="preserve"> i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zob</w:t>
            </w:r>
            <w:r w:rsidRPr="00724359">
              <w:rPr>
                <w:b/>
                <w:color w:val="000000" w:themeColor="text1"/>
              </w:rPr>
              <w:t>owiązania kwalifikowalne</w:t>
            </w:r>
          </w:p>
          <w:p w14:paraId="0A140E20" w14:textId="2DF06A7B" w:rsidR="00DF735F" w:rsidRPr="00724359" w:rsidRDefault="00DF735F" w:rsidP="00812B3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Równe wartościom ujawnionym we wzorze do celów ujawniania informacji EU TLAC1, wiersz 22.</w:t>
            </w:r>
          </w:p>
        </w:tc>
      </w:tr>
      <w:tr w:rsidR="00962389" w:rsidRPr="00724359" w14:paraId="3461B86E" w14:textId="77777777" w:rsidTr="00915305">
        <w:trPr>
          <w:trHeight w:val="1014"/>
        </w:trPr>
        <w:tc>
          <w:tcPr>
            <w:tcW w:w="1384" w:type="dxa"/>
          </w:tcPr>
          <w:p w14:paraId="47F71FA9" w14:textId="52988882" w:rsidR="00962389" w:rsidRPr="00724359" w:rsidDel="00150101" w:rsidRDefault="00962389" w:rsidP="005B765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EU-1a</w:t>
            </w:r>
          </w:p>
        </w:tc>
        <w:tc>
          <w:tcPr>
            <w:tcW w:w="7655" w:type="dxa"/>
          </w:tcPr>
          <w:p w14:paraId="3D396CEE" w14:textId="5F67EA56" w:rsidR="00962389" w:rsidRPr="00724359" w:rsidRDefault="00962389" w:rsidP="009623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podporządkowane</w:t>
            </w:r>
          </w:p>
          <w:p w14:paraId="729B564A" w14:textId="00537292" w:rsidR="00AF2AB2" w:rsidRPr="00724359" w:rsidRDefault="00AF2AB2" w:rsidP="009623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Równe wartościom ujawnionym we wzorze do celów ujawniania informacji EU TLAC1, wiersz EU-22a.</w:t>
            </w:r>
          </w:p>
          <w:p w14:paraId="6E8661C5" w14:textId="5F54BFDC" w:rsidR="00AF2AB2" w:rsidRPr="00724359" w:rsidRDefault="00AF2AB2" w:rsidP="00B968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Fundusze własne, zobowiązania kwalifikowalne</w:t>
            </w:r>
            <w:r w:rsidRPr="00724359">
              <w:rPr>
                <w:rFonts w:ascii="Times New Roman" w:hAnsi="Times New Roman"/>
                <w:sz w:val="24"/>
              </w:rPr>
              <w:t xml:space="preserve"> 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włączone do</w:t>
            </w:r>
            <w:r w:rsidRPr="00724359">
              <w:rPr>
                <w:rFonts w:ascii="Times New Roman" w:hAnsi="Times New Roman"/>
                <w:sz w:val="24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dyrektywy 2014/59/UE, które są podporządkowanymi instrumentami kwalifikowalnymi zdefiniowanymi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71b tej dyrektywy, oraz</w:t>
            </w:r>
            <w:r w:rsidRPr="00724359">
              <w:rPr>
                <w:rFonts w:ascii="Times New Roman" w:hAnsi="Times New Roman"/>
                <w:sz w:val="24"/>
              </w:rPr>
              <w:t xml:space="preserve"> 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zobowiązania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włączone do 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dyrektywy 2014/59/UE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.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prz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</w:tc>
      </w:tr>
      <w:tr w:rsidR="00026FC1" w:rsidRPr="00724359" w14:paraId="7087FBBE" w14:textId="77777777" w:rsidTr="00915305">
        <w:trPr>
          <w:trHeight w:val="1014"/>
        </w:trPr>
        <w:tc>
          <w:tcPr>
            <w:tcW w:w="1384" w:type="dxa"/>
          </w:tcPr>
          <w:p w14:paraId="65A81525" w14:textId="01438D1E" w:rsidR="006D4640" w:rsidRPr="00724359" w:rsidRDefault="00150101" w:rsidP="00915305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7655" w:type="dxa"/>
          </w:tcPr>
          <w:p w14:paraId="7C401856" w14:textId="74394FA6" w:rsidR="006D4640" w:rsidRPr="00724359" w:rsidRDefault="006D4640" w:rsidP="009153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Łączna kwota ekspozycji na ryzyko (TREA) grupy restrukturyzacji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rządkowanej likwidacji </w:t>
            </w:r>
          </w:p>
          <w:p w14:paraId="147C8558" w14:textId="2D445D5F" w:rsidR="006D4640" w:rsidRPr="00724359" w:rsidRDefault="006D4640" w:rsidP="009369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Równe wartości ujawnionej we wzorze do celów ujawniania informacji EU TLAC1, wiersz 23.</w:t>
            </w:r>
          </w:p>
          <w:p w14:paraId="10BE5322" w14:textId="651CF256" w:rsidR="00705FB0" w:rsidRPr="00724359" w:rsidRDefault="003D0BF6" w:rsidP="00FB02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Art. 45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lit.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a) dyrektywy 2014/59/UE,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92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DF735F" w:rsidRPr="00724359" w14:paraId="36D02255" w14:textId="77777777" w:rsidTr="005D18F8">
        <w:trPr>
          <w:trHeight w:val="316"/>
        </w:trPr>
        <w:tc>
          <w:tcPr>
            <w:tcW w:w="1384" w:type="dxa"/>
          </w:tcPr>
          <w:p w14:paraId="24FC7113" w14:textId="5D3DECAC" w:rsidR="00DF735F" w:rsidRPr="00724359" w:rsidRDefault="00150101" w:rsidP="005D18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655" w:type="dxa"/>
          </w:tcPr>
          <w:p w14:paraId="038AB6D4" w14:textId="53CD88BD" w:rsidR="00DF735F" w:rsidRPr="00724359" w:rsidRDefault="00DF735F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TREA</w:t>
            </w:r>
          </w:p>
          <w:p w14:paraId="7B949D15" w14:textId="2BA6D31F" w:rsidR="00DF735F" w:rsidRPr="00724359" w:rsidRDefault="00DF735F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Równe wartościom ujawnionym we wzorze do celów ujawniania informacji EU TLAC1, wiersz 25. </w:t>
            </w:r>
          </w:p>
          <w:p w14:paraId="0F5B2611" w14:textId="77AFB5F5" w:rsidR="00DF735F" w:rsidRPr="00724359" w:rsidRDefault="00705FB0" w:rsidP="00DE7C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 celów tego wiersza kwotę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podaną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rszu 1 należy wyrazić jako odsetek łącznej kwoty ekspozycji na ryzyko obliczonej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</w:tc>
      </w:tr>
      <w:tr w:rsidR="00000DE2" w:rsidRPr="00724359" w14:paraId="57CCD1AB" w14:textId="77777777" w:rsidTr="00915305">
        <w:trPr>
          <w:trHeight w:val="1014"/>
        </w:trPr>
        <w:tc>
          <w:tcPr>
            <w:tcW w:w="1384" w:type="dxa"/>
          </w:tcPr>
          <w:p w14:paraId="3F2D9068" w14:textId="39D72622" w:rsidR="00000DE2" w:rsidRPr="00724359" w:rsidDel="00150101" w:rsidRDefault="00000DE2" w:rsidP="00DB779A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EU-3a</w:t>
            </w:r>
          </w:p>
        </w:tc>
        <w:tc>
          <w:tcPr>
            <w:tcW w:w="7655" w:type="dxa"/>
          </w:tcPr>
          <w:p w14:paraId="44E29BD6" w14:textId="40A62D0B" w:rsidR="00000DE2" w:rsidRPr="00724359" w:rsidRDefault="00000DE2" w:rsidP="00000D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TREA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podporządkowane</w:t>
            </w:r>
          </w:p>
          <w:p w14:paraId="6CBFF6B4" w14:textId="23321C0B" w:rsidR="00000DE2" w:rsidRPr="00724359" w:rsidRDefault="00000DE2" w:rsidP="00000D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Równe wartościom ujawnionym we wzorze do celów ujawniania informacji EU TLAC1, wiersz EU-25 a.</w:t>
            </w:r>
          </w:p>
          <w:p w14:paraId="5209AA08" w14:textId="4BA19BF8" w:rsidR="00000DE2" w:rsidRPr="00724359" w:rsidRDefault="00705FB0" w:rsidP="00AA4A01">
            <w:pPr>
              <w:pStyle w:val="Institutionquisigne"/>
              <w:spacing w:before="100" w:beforeAutospacing="1"/>
              <w:rPr>
                <w:b/>
                <w:i w:val="0"/>
                <w:color w:val="000000" w:themeColor="text1"/>
                <w:szCs w:val="24"/>
              </w:rPr>
            </w:pPr>
            <w:r w:rsidRPr="00724359">
              <w:rPr>
                <w:i w:val="0"/>
                <w:color w:val="000000" w:themeColor="text1"/>
              </w:rPr>
              <w:t>Do celów tego wiersza kwotę funduszy własnych</w:t>
            </w:r>
            <w:r w:rsidR="00724359" w:rsidRPr="00724359">
              <w:rPr>
                <w:i w:val="0"/>
                <w:color w:val="000000" w:themeColor="text1"/>
              </w:rPr>
              <w:t xml:space="preserve"> i</w:t>
            </w:r>
            <w:r w:rsidR="00724359">
              <w:rPr>
                <w:i w:val="0"/>
                <w:color w:val="000000" w:themeColor="text1"/>
              </w:rPr>
              <w:t> </w:t>
            </w:r>
            <w:r w:rsidR="00724359" w:rsidRPr="00724359">
              <w:rPr>
                <w:i w:val="0"/>
                <w:color w:val="000000" w:themeColor="text1"/>
              </w:rPr>
              <w:t>pod</w:t>
            </w:r>
            <w:r w:rsidRPr="00724359">
              <w:rPr>
                <w:i w:val="0"/>
                <w:color w:val="000000" w:themeColor="text1"/>
              </w:rPr>
              <w:t>porządkowanych zobowiązań kwalifikowalnych podaną</w:t>
            </w:r>
            <w:r w:rsidR="00724359" w:rsidRPr="00724359">
              <w:rPr>
                <w:i w:val="0"/>
                <w:color w:val="000000" w:themeColor="text1"/>
              </w:rPr>
              <w:t xml:space="preserve"> w</w:t>
            </w:r>
            <w:r w:rsidR="00724359">
              <w:rPr>
                <w:i w:val="0"/>
                <w:color w:val="000000" w:themeColor="text1"/>
              </w:rPr>
              <w:t> </w:t>
            </w:r>
            <w:r w:rsidR="00724359" w:rsidRPr="00724359">
              <w:rPr>
                <w:i w:val="0"/>
                <w:color w:val="000000" w:themeColor="text1"/>
              </w:rPr>
              <w:t>wie</w:t>
            </w:r>
            <w:r w:rsidRPr="00724359">
              <w:rPr>
                <w:i w:val="0"/>
                <w:color w:val="000000" w:themeColor="text1"/>
              </w:rPr>
              <w:t>rszu EU-1a należy wyrazić jako odsetek łącznej kwoty ekspozycji na ryzyko obliczonej zgodnie</w:t>
            </w:r>
            <w:r w:rsidR="00724359" w:rsidRPr="00724359">
              <w:rPr>
                <w:i w:val="0"/>
                <w:color w:val="000000" w:themeColor="text1"/>
              </w:rPr>
              <w:t xml:space="preserve"> z</w:t>
            </w:r>
            <w:r w:rsidR="00724359">
              <w:rPr>
                <w:i w:val="0"/>
                <w:color w:val="000000" w:themeColor="text1"/>
              </w:rPr>
              <w:t> </w:t>
            </w:r>
            <w:r w:rsidR="00724359" w:rsidRPr="00724359">
              <w:rPr>
                <w:i w:val="0"/>
                <w:color w:val="000000" w:themeColor="text1"/>
              </w:rPr>
              <w:t>art</w:t>
            </w:r>
            <w:r w:rsidRPr="00724359">
              <w:rPr>
                <w:i w:val="0"/>
                <w:color w:val="000000" w:themeColor="text1"/>
              </w:rPr>
              <w:t>.</w:t>
            </w:r>
            <w:r w:rsidR="00724359" w:rsidRPr="00724359">
              <w:rPr>
                <w:i w:val="0"/>
                <w:color w:val="000000" w:themeColor="text1"/>
              </w:rPr>
              <w:t> </w:t>
            </w:r>
            <w:r w:rsidRPr="00724359">
              <w:rPr>
                <w:i w:val="0"/>
                <w:color w:val="000000" w:themeColor="text1"/>
              </w:rPr>
              <w:t>92 ust.</w:t>
            </w:r>
            <w:r w:rsidR="00724359" w:rsidRPr="00724359">
              <w:rPr>
                <w:i w:val="0"/>
                <w:color w:val="000000" w:themeColor="text1"/>
              </w:rPr>
              <w:t> </w:t>
            </w:r>
            <w:r w:rsidRPr="00724359">
              <w:rPr>
                <w:i w:val="0"/>
                <w:color w:val="000000" w:themeColor="text1"/>
              </w:rPr>
              <w:t>3 rozporządzenia (UE) nr</w:t>
            </w:r>
            <w:r w:rsidR="00724359" w:rsidRPr="00724359">
              <w:rPr>
                <w:i w:val="0"/>
                <w:color w:val="000000" w:themeColor="text1"/>
              </w:rPr>
              <w:t> </w:t>
            </w:r>
            <w:r w:rsidRPr="00724359">
              <w:rPr>
                <w:i w:val="0"/>
                <w:color w:val="000000" w:themeColor="text1"/>
              </w:rPr>
              <w:t>575/2013.</w:t>
            </w:r>
          </w:p>
        </w:tc>
      </w:tr>
      <w:tr w:rsidR="00026FC1" w:rsidRPr="00724359" w14:paraId="598F6093" w14:textId="77777777" w:rsidTr="00915305">
        <w:trPr>
          <w:trHeight w:val="1014"/>
        </w:trPr>
        <w:tc>
          <w:tcPr>
            <w:tcW w:w="1384" w:type="dxa"/>
          </w:tcPr>
          <w:p w14:paraId="2BD1914D" w14:textId="668E84BB" w:rsidR="00150101" w:rsidRPr="00724359" w:rsidRDefault="00150101" w:rsidP="00150101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4</w:t>
            </w:r>
          </w:p>
        </w:tc>
        <w:tc>
          <w:tcPr>
            <w:tcW w:w="7655" w:type="dxa"/>
          </w:tcPr>
          <w:p w14:paraId="21BFF265" w14:textId="556EFA1F" w:rsidR="006D4640" w:rsidRPr="00724359" w:rsidRDefault="00B409EF" w:rsidP="009153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Miara ekspozycji całkowitej (TEM) grupy restrukturyzacji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rządkowanej likwidacji</w:t>
            </w:r>
          </w:p>
          <w:p w14:paraId="252377B7" w14:textId="103F2793" w:rsidR="006D4640" w:rsidRPr="00724359" w:rsidRDefault="006D4640" w:rsidP="0093695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Równe wartości ujawnionej we wzorze do celów ujawniania informacji EU TLAC1, wiersz 24.</w:t>
            </w:r>
          </w:p>
          <w:p w14:paraId="5BC2C1BD" w14:textId="54FDA546" w:rsidR="00705FB0" w:rsidRPr="00724359" w:rsidRDefault="003D0BF6" w:rsidP="00FB021F">
            <w:pPr>
              <w:pStyle w:val="Fait"/>
            </w:pPr>
            <w:r w:rsidRPr="00724359">
              <w:lastRenderedPageBreak/>
              <w:t>Art. 45 ust.</w:t>
            </w:r>
            <w:r w:rsidR="00724359" w:rsidRPr="00724359">
              <w:t> </w:t>
            </w:r>
            <w:r w:rsidRPr="00724359">
              <w:t>2 lit.</w:t>
            </w:r>
            <w:r w:rsidR="00724359" w:rsidRPr="00724359">
              <w:t> </w:t>
            </w:r>
            <w:r w:rsidRPr="00724359">
              <w:t>b) dyrektywy 2014/59/UE, art.</w:t>
            </w:r>
            <w:r w:rsidR="00724359" w:rsidRPr="00724359">
              <w:t> </w:t>
            </w:r>
            <w:r w:rsidRPr="00724359">
              <w:t>429 ust.</w:t>
            </w:r>
            <w:r w:rsidR="00724359" w:rsidRPr="00724359">
              <w:t> </w:t>
            </w:r>
            <w:r w:rsidRPr="00724359">
              <w:t>4</w:t>
            </w:r>
            <w:r w:rsidR="00724359" w:rsidRPr="00724359">
              <w:t xml:space="preserve"> i</w:t>
            </w:r>
            <w:r w:rsidR="00724359">
              <w:t> </w:t>
            </w:r>
            <w:r w:rsidR="00724359" w:rsidRPr="00724359">
              <w:rPr>
                <w:color w:val="000000" w:themeColor="text1"/>
              </w:rPr>
              <w:t>art</w:t>
            </w:r>
            <w:r w:rsidRPr="00724359">
              <w:rPr>
                <w:color w:val="000000" w:themeColor="text1"/>
              </w:rPr>
              <w:t>.</w:t>
            </w:r>
            <w:r w:rsidR="00724359" w:rsidRPr="00724359">
              <w:t> </w:t>
            </w:r>
            <w:r w:rsidRPr="00724359">
              <w:t>429a rozporządzenia (UE) nr</w:t>
            </w:r>
            <w:r w:rsidR="00724359" w:rsidRPr="00724359">
              <w:t> </w:t>
            </w:r>
            <w:r w:rsidRPr="00724359">
              <w:t>575/2013</w:t>
            </w:r>
          </w:p>
        </w:tc>
      </w:tr>
      <w:tr w:rsidR="00150101" w:rsidRPr="00724359" w14:paraId="338EAA8B" w14:textId="77777777" w:rsidTr="005D18F8">
        <w:trPr>
          <w:trHeight w:val="316"/>
        </w:trPr>
        <w:tc>
          <w:tcPr>
            <w:tcW w:w="1384" w:type="dxa"/>
          </w:tcPr>
          <w:p w14:paraId="22D80E63" w14:textId="3B307FF1" w:rsidR="00150101" w:rsidRPr="00724359" w:rsidRDefault="00150101" w:rsidP="005D18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7655" w:type="dxa"/>
          </w:tcPr>
          <w:p w14:paraId="55ACA309" w14:textId="752636A2" w:rsidR="00150101" w:rsidRPr="00724359" w:rsidRDefault="00150101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TEM</w:t>
            </w:r>
          </w:p>
          <w:p w14:paraId="5AF77D83" w14:textId="1205FA3D" w:rsidR="00150101" w:rsidRPr="00724359" w:rsidRDefault="00150101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Równe wartości ujawnionej we wzorze do celów ujawniania informacji EU TLAC1, wiersz 26.</w:t>
            </w:r>
          </w:p>
          <w:p w14:paraId="63970459" w14:textId="040879A7" w:rsidR="00150101" w:rsidRPr="00724359" w:rsidRDefault="00705FB0" w:rsidP="00FB02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 celów tego wiersza kwotę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podaną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rszu 1 należy wyrazić jako odsetek miary ekspozycji całkowitej obliczonej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429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429a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</w:tc>
      </w:tr>
      <w:tr w:rsidR="0037295D" w:rsidRPr="00724359" w14:paraId="0D9B4EED" w14:textId="77777777" w:rsidTr="00807127">
        <w:trPr>
          <w:trHeight w:val="1014"/>
        </w:trPr>
        <w:tc>
          <w:tcPr>
            <w:tcW w:w="1384" w:type="dxa"/>
          </w:tcPr>
          <w:p w14:paraId="59748E19" w14:textId="219DA8E1" w:rsidR="0037295D" w:rsidRPr="00724359" w:rsidDel="00150101" w:rsidRDefault="00A3785C" w:rsidP="00807127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EU-5a</w:t>
            </w:r>
          </w:p>
        </w:tc>
        <w:tc>
          <w:tcPr>
            <w:tcW w:w="7655" w:type="dxa"/>
          </w:tcPr>
          <w:p w14:paraId="677C4852" w14:textId="4B760790" w:rsidR="0037295D" w:rsidRPr="00724359" w:rsidRDefault="00A3785C" w:rsidP="00A378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TEM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podporządkowane</w:t>
            </w:r>
          </w:p>
          <w:p w14:paraId="25EF5991" w14:textId="1725162F" w:rsidR="0037295D" w:rsidRPr="00724359" w:rsidRDefault="0037295D" w:rsidP="008071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Równe wartościom ujawnionym we wzorze do celów ujawniania informacji EU TLAC1, wiersz EU-26 a.</w:t>
            </w:r>
          </w:p>
          <w:p w14:paraId="4E14C375" w14:textId="6C6C95A3" w:rsidR="0037295D" w:rsidRPr="00724359" w:rsidRDefault="00705FB0" w:rsidP="00FB021F">
            <w:pPr>
              <w:pStyle w:val="Fait"/>
              <w:spacing w:before="0"/>
              <w:rPr>
                <w:b/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Do celów tego wiersza kwotę funduszy własnych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pod</w:t>
            </w:r>
            <w:r w:rsidRPr="00724359">
              <w:rPr>
                <w:color w:val="000000" w:themeColor="text1"/>
              </w:rPr>
              <w:t>porządkowanych zobowiązań kwalifikowalnych podaną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wie</w:t>
            </w:r>
            <w:r w:rsidRPr="00724359">
              <w:rPr>
                <w:color w:val="000000" w:themeColor="text1"/>
              </w:rPr>
              <w:t>rszu EU-1a należy wyrazić jako odsetek miary ekspozycji całkowitej obliczonej zgodnie</w:t>
            </w:r>
            <w:r w:rsidR="00724359" w:rsidRPr="00724359">
              <w:rPr>
                <w:color w:val="000000" w:themeColor="text1"/>
              </w:rPr>
              <w:t xml:space="preserve"> z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art</w:t>
            </w:r>
            <w:r w:rsidRPr="00724359">
              <w:rPr>
                <w:color w:val="000000" w:themeColor="text1"/>
              </w:rPr>
              <w:t>.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429 ust.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4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art</w:t>
            </w:r>
            <w:r w:rsidRPr="00724359">
              <w:rPr>
                <w:color w:val="000000" w:themeColor="text1"/>
              </w:rPr>
              <w:t>.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429a rozporządzenia (UE) nr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575/2013.</w:t>
            </w:r>
          </w:p>
        </w:tc>
      </w:tr>
      <w:tr w:rsidR="0064224B" w:rsidRPr="00724359" w14:paraId="4586DD47" w14:textId="77777777" w:rsidTr="00BB35EA">
        <w:trPr>
          <w:trHeight w:val="316"/>
        </w:trPr>
        <w:tc>
          <w:tcPr>
            <w:tcW w:w="1384" w:type="dxa"/>
          </w:tcPr>
          <w:p w14:paraId="641FAF10" w14:textId="4E1D75A0" w:rsidR="0064224B" w:rsidRPr="00724359" w:rsidRDefault="0064224B" w:rsidP="00BB3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6a</w:t>
            </w:r>
          </w:p>
        </w:tc>
        <w:tc>
          <w:tcPr>
            <w:tcW w:w="7655" w:type="dxa"/>
          </w:tcPr>
          <w:p w14:paraId="2E8BDE31" w14:textId="6CD23785" w:rsidR="0064224B" w:rsidRPr="00724359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Czy wyłączenie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pod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porządkowania przewidziane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4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 ma zastosowanie? (wyłączenie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okości 5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%)</w:t>
            </w:r>
          </w:p>
          <w:p w14:paraId="46D7CE6C" w14:textId="45F3E35E" w:rsidR="0064224B" w:rsidRPr="00724359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Informacje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ujawniają wyłącznie podmioty podlegające wymogowi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dotyczącemu globalnych instytucji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systemowym.</w:t>
            </w:r>
          </w:p>
          <w:p w14:paraId="6016F028" w14:textId="5767CEF4" w:rsidR="0064224B" w:rsidRPr="00724359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Jeżeli organ ds.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zezwoli, aby również inne zobowiązania kwalifikowały się jako instrumenty zobowiązań kwalifikowalnych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 jednostka sprawozdawcza zaznacza odpowiedź „tak”.</w:t>
            </w:r>
          </w:p>
          <w:p w14:paraId="6B081016" w14:textId="0BEC2614" w:rsidR="0064224B" w:rsidRPr="00724359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Jeżeli organ ds.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nie zezwoli, aby również inne zobowiązania kwalifikowały się jako instrumenty zobowiązań kwalifikowalnych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 grupa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lub podmiot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zaznacza odpowiedź „nie”.</w:t>
            </w:r>
          </w:p>
          <w:p w14:paraId="2F5E08DD" w14:textId="290C2208" w:rsidR="0064224B" w:rsidRPr="00724359" w:rsidRDefault="0064224B" w:rsidP="00A70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Ponieważ wyłączenia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wzajemnie się wykluczają, wiersz ten pozostaje pusty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prz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ypadku, gdy jednostka sprawozdawcza wypełniła wiersz 6b.</w:t>
            </w:r>
          </w:p>
        </w:tc>
      </w:tr>
      <w:tr w:rsidR="008B1AF1" w:rsidRPr="00724359" w14:paraId="03F999DF" w14:textId="77777777" w:rsidTr="00915305">
        <w:trPr>
          <w:trHeight w:val="316"/>
        </w:trPr>
        <w:tc>
          <w:tcPr>
            <w:tcW w:w="1384" w:type="dxa"/>
          </w:tcPr>
          <w:p w14:paraId="4B73F7B3" w14:textId="3C82303C" w:rsidR="008B1AF1" w:rsidRPr="00724359" w:rsidRDefault="00FF2A56" w:rsidP="008B1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lastRenderedPageBreak/>
              <w:t>6b</w:t>
            </w:r>
          </w:p>
        </w:tc>
        <w:tc>
          <w:tcPr>
            <w:tcW w:w="7655" w:type="dxa"/>
          </w:tcPr>
          <w:p w14:paraId="41C2E586" w14:textId="22680B2D" w:rsidR="00BB35EA" w:rsidRPr="00724359" w:rsidRDefault="00650183" w:rsidP="00705F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Kwota łączna dozwolonych niepodporządkowanych instrumentów zobowiązań kwalifikowalnych, jeżeli swoboda decyzji co do podporządkowania zgodnie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 jest stosowana (wyłączenie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okości maks. 3,5 %)</w:t>
            </w:r>
          </w:p>
          <w:p w14:paraId="564101D0" w14:textId="37E39DD2" w:rsidR="00705FB0" w:rsidRPr="00724359" w:rsidRDefault="00705FB0" w:rsidP="00705F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Informacje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ujawniają wyłącznie podmioty podlegające wymogowi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dotyczącemu globalnych instytucji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systemowym.</w:t>
            </w:r>
          </w:p>
          <w:p w14:paraId="00AD85CC" w14:textId="556FBF24" w:rsidR="002A5279" w:rsidRPr="00724359" w:rsidRDefault="002A5279" w:rsidP="002A527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Kwota łączna niepodporządkowanych instrumentów zobowiązań kwalifikowalnych,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iesieniu do których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zezwolił, aby kwalifikowały się jako instrumenty zobowiązań kwalifikowalnych do celów TLAC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  <w:p w14:paraId="24CA67B7" w14:textId="71BF8654" w:rsidR="008B1AF1" w:rsidRPr="00724359" w:rsidRDefault="00705FB0" w:rsidP="00D458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Ponieważ wyłączenia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wzajemnie się wykluczają, wiersz ten pozostaje pusty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prz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ypadku, gdy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rszu 6a jednostka wskazała odpowiedź „tak”.</w:t>
            </w:r>
          </w:p>
        </w:tc>
      </w:tr>
      <w:tr w:rsidR="008B1AF1" w:rsidRPr="00724359" w14:paraId="2D64923D" w14:textId="77777777" w:rsidTr="00915305">
        <w:trPr>
          <w:trHeight w:val="316"/>
        </w:trPr>
        <w:tc>
          <w:tcPr>
            <w:tcW w:w="1384" w:type="dxa"/>
          </w:tcPr>
          <w:p w14:paraId="6C3622AD" w14:textId="140E60D3" w:rsidR="008B1AF1" w:rsidRPr="00724359" w:rsidRDefault="00FF2A56" w:rsidP="008B1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6c</w:t>
            </w:r>
          </w:p>
        </w:tc>
        <w:tc>
          <w:tcPr>
            <w:tcW w:w="7655" w:type="dxa"/>
          </w:tcPr>
          <w:p w14:paraId="73DD47A6" w14:textId="3A72A0C2" w:rsidR="008B1AF1" w:rsidRPr="00724359" w:rsidRDefault="008B1AF1" w:rsidP="008B1A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przypadku gdy ograniczone wyłączenie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pod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porządkowania ma zastosowanie zgodnie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575/2013, kwota wyemitowanych środków, których stopień uprzywilejowania jest równy stopniowi uprzywilejowania wyłączonych zobowiązań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re ujęto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rszu 1, podzielona przez kwotę wyemitowanych środków, których stopień uprzywilejowania jest równy stopniowi uprzywilejowania wyłączonych zobowiązań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re zostałyby ujęte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rszu 1, jeżeli nie zastosowano by ograniczenia (%)</w:t>
            </w:r>
          </w:p>
          <w:p w14:paraId="02910CB6" w14:textId="4856FB03" w:rsidR="00CF21D0" w:rsidRPr="00724359" w:rsidRDefault="00CF21D0" w:rsidP="00B654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Informacje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tym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wierszu ujawniają wyłącznie podmioty podlegające wymogowi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zak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resie funduszy własnych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i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zob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owiązań kwalifikowalnych dotyczącemu globalnych instytucji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o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zna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czeniu systemowym.</w:t>
            </w:r>
          </w:p>
          <w:p w14:paraId="27823EE1" w14:textId="61A7F806" w:rsidR="008B1AF1" w:rsidRPr="00724359" w:rsidRDefault="008B1AF1" w:rsidP="00B654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Wiersz ten zawiera informacje dla właścicieli długu uprzywilejowanego wyemitowanego przez podmiot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ods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etku niewyłączonego długu uprzywilejowanego uznanego za kwalifikowalny, tak aby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 mogli zastosować mechanizm odliczeń określony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72e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69CB0A17" w14:textId="7C1B282A" w:rsidR="00CF21D0" w:rsidRPr="00724359" w:rsidRDefault="00F66078" w:rsidP="00B62DC9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W przypadku gdy zastosowanie ma ograniczone wyłączenie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 xml:space="preserve"> z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pod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porządkowania zgodnie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 xml:space="preserve"> z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art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72b ust.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3 rozporządzenia (UE) nr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575/2013, podmioty zgłaszają:</w:t>
            </w:r>
          </w:p>
          <w:p w14:paraId="2D4EFCF5" w14:textId="67BBD914" w:rsidR="00CF21D0" w:rsidRPr="00724359" w:rsidRDefault="00F66078" w:rsidP="0073688E">
            <w:pPr>
              <w:spacing w:before="120" w:after="120" w:line="240" w:lineRule="auto"/>
              <w:jc w:val="both"/>
              <w:rPr>
                <w:rStyle w:val="InstructionsTabelleberschrift"/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a) kwotę wyemitowanych środków, których stopień uprzywilejowania jest równy stopniowi uprzywilejowania wyłączonych zobowiązań,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o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któ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rych mowa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72a ust.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2 rozporządzenia (UE) nr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575/2013, uwzględnioną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kwo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cie podanej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wie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rszu 1;</w:t>
            </w:r>
          </w:p>
          <w:p w14:paraId="61EF1E26" w14:textId="625B4A80" w:rsidR="00CF21D0" w:rsidRPr="00724359" w:rsidRDefault="00F66078" w:rsidP="0073688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b) podzieloną przez kwotę wyemitowanych środków, których stopień uprzywilejowania jest równy stopniowi uprzywilejowania wyłączonych zobowiązań,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o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któ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rych mowa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72a ust.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2 rozporządzenia (UE) 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nr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575/2013, które zostałyby ujęte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wie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rszu 1, jeżeli nie zastosowano by ograniczenia.</w:t>
            </w:r>
          </w:p>
        </w:tc>
      </w:tr>
      <w:tr w:rsidR="008B1AF1" w:rsidRPr="00724359" w14:paraId="3397A407" w14:textId="77777777" w:rsidTr="00915305">
        <w:trPr>
          <w:trHeight w:val="316"/>
        </w:trPr>
        <w:tc>
          <w:tcPr>
            <w:tcW w:w="1384" w:type="dxa"/>
          </w:tcPr>
          <w:p w14:paraId="064B005C" w14:textId="65B49825" w:rsidR="008B1AF1" w:rsidRPr="00724359" w:rsidDel="00CD7CA4" w:rsidRDefault="008B1AF1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65986DE" w14:textId="783D2E79" w:rsidR="008B1AF1" w:rsidRPr="00724359" w:rsidRDefault="008B1AF1" w:rsidP="008B1A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Minimalny wymóg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owiązań kwalifikowalnych (MREL)</w:t>
            </w:r>
          </w:p>
        </w:tc>
      </w:tr>
      <w:tr w:rsidR="008B1AF1" w:rsidRPr="00724359" w14:paraId="1D50EF40" w14:textId="77777777" w:rsidTr="00915305">
        <w:trPr>
          <w:trHeight w:val="316"/>
        </w:trPr>
        <w:tc>
          <w:tcPr>
            <w:tcW w:w="1384" w:type="dxa"/>
          </w:tcPr>
          <w:p w14:paraId="5B7C6EEB" w14:textId="0DDF46DE" w:rsidR="008B1AF1" w:rsidRPr="00724359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EU-7</w:t>
            </w:r>
          </w:p>
        </w:tc>
        <w:tc>
          <w:tcPr>
            <w:tcW w:w="7655" w:type="dxa"/>
          </w:tcPr>
          <w:p w14:paraId="4FB8070F" w14:textId="2E661595" w:rsidR="008B1AF1" w:rsidRPr="00724359" w:rsidRDefault="008B1AF1" w:rsidP="008B1AF1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MREL wyrażony jako odsetek TREA</w:t>
            </w:r>
          </w:p>
          <w:p w14:paraId="5D62407D" w14:textId="2B6E8E34" w:rsidR="006453C4" w:rsidRPr="00724359" w:rsidRDefault="006453C4" w:rsidP="00D33D65">
            <w:pPr>
              <w:pStyle w:val="Fait"/>
            </w:pPr>
            <w:r w:rsidRPr="00724359">
              <w:rPr>
                <w:color w:val="000000" w:themeColor="text1"/>
              </w:rPr>
              <w:t>Obowiązujący dany podmiot minimalny wymóg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zak</w:t>
            </w:r>
            <w:r w:rsidRPr="00724359">
              <w:rPr>
                <w:color w:val="000000" w:themeColor="text1"/>
              </w:rPr>
              <w:t>resie funduszy własnych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zob</w:t>
            </w:r>
            <w:r w:rsidRPr="00724359">
              <w:rPr>
                <w:color w:val="000000" w:themeColor="text1"/>
              </w:rPr>
              <w:t>owiązań kwalifikowalnych ustalony przez organ ds. restrukturyzacji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upo</w:t>
            </w:r>
            <w:r w:rsidRPr="00724359">
              <w:rPr>
                <w:color w:val="000000" w:themeColor="text1"/>
              </w:rPr>
              <w:t>rządkowanej likwidacji zgodnie</w:t>
            </w:r>
            <w:r w:rsidR="00724359" w:rsidRPr="00724359">
              <w:rPr>
                <w:color w:val="000000" w:themeColor="text1"/>
              </w:rPr>
              <w:t xml:space="preserve"> z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art</w:t>
            </w:r>
            <w:r w:rsidRPr="00724359">
              <w:rPr>
                <w:color w:val="000000" w:themeColor="text1"/>
              </w:rPr>
              <w:t>.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45e dyrektywy 2014/59/UE, wyrażony jako odsetek łącznej kwoty ekspozycji na ryzyko obliczonej zgodnie</w:t>
            </w:r>
            <w:r w:rsidR="00724359" w:rsidRPr="00724359">
              <w:rPr>
                <w:color w:val="000000" w:themeColor="text1"/>
              </w:rPr>
              <w:t xml:space="preserve"> z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art</w:t>
            </w:r>
            <w:r w:rsidRPr="00724359">
              <w:rPr>
                <w:color w:val="000000" w:themeColor="text1"/>
              </w:rPr>
              <w:t>.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92 ust.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3 rozporządzenia (UE) nr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>575/2013.</w:t>
            </w:r>
          </w:p>
        </w:tc>
      </w:tr>
      <w:tr w:rsidR="008B1AF1" w:rsidRPr="00724359" w14:paraId="1415A72E" w14:textId="77777777" w:rsidTr="00915305">
        <w:trPr>
          <w:trHeight w:val="316"/>
        </w:trPr>
        <w:tc>
          <w:tcPr>
            <w:tcW w:w="1384" w:type="dxa"/>
          </w:tcPr>
          <w:p w14:paraId="519FCFF9" w14:textId="293BA3A8" w:rsidR="008B1AF1" w:rsidRPr="00724359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EU-8</w:t>
            </w:r>
          </w:p>
        </w:tc>
        <w:tc>
          <w:tcPr>
            <w:tcW w:w="7655" w:type="dxa"/>
          </w:tcPr>
          <w:p w14:paraId="7AFA5D84" w14:textId="4D098012" w:rsidR="008B1AF1" w:rsidRPr="00724359" w:rsidRDefault="00B80F7C" w:rsidP="008B1AF1">
            <w:pPr>
              <w:pStyle w:val="Applicationdirecte"/>
              <w:spacing w:before="0" w:after="0"/>
              <w:rPr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MREL wyrażony jako odsetek TREA –</w:t>
            </w:r>
            <w:r w:rsidR="00724359" w:rsidRPr="00724359">
              <w:rPr>
                <w:b/>
                <w:color w:val="000000" w:themeColor="text1"/>
              </w:rPr>
              <w:t xml:space="preserve"> w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tym</w:t>
            </w:r>
            <w:r w:rsidRPr="00724359">
              <w:rPr>
                <w:b/>
                <w:color w:val="000000" w:themeColor="text1"/>
              </w:rPr>
              <w:t xml:space="preserve"> część, która musi zostać spełniona</w:t>
            </w:r>
            <w:r w:rsidR="00724359" w:rsidRPr="00724359">
              <w:rPr>
                <w:b/>
                <w:color w:val="000000" w:themeColor="text1"/>
              </w:rPr>
              <w:t xml:space="preserve"> z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wyk</w:t>
            </w:r>
            <w:r w:rsidRPr="00724359">
              <w:rPr>
                <w:b/>
                <w:color w:val="000000" w:themeColor="text1"/>
              </w:rPr>
              <w:t>orzystaniem funduszy własnych lub zobowiązań podporządkowanych</w:t>
            </w:r>
          </w:p>
          <w:p w14:paraId="33EFDD9D" w14:textId="52FA951F" w:rsidR="008B1AF1" w:rsidRPr="00724359" w:rsidRDefault="00D819D9" w:rsidP="00D33D65">
            <w:pPr>
              <w:rPr>
                <w:color w:val="000000" w:themeColor="text1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stosownych przypadkach część MREL,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iesieniu do której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4–8 dyrektywy 2014/59/UE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wymaga, aby została spełniona za pomocą funduszy własnych, podporządkowanych instrumentów kwalifikowalnych lub zobowiązań,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ust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tego artykułu</w:t>
            </w:r>
            <w:r w:rsidRPr="00724359">
              <w:rPr>
                <w:rFonts w:ascii="Times New Roman" w:hAnsi="Times New Roman"/>
                <w:sz w:val="24"/>
              </w:rPr>
              <w:t>, wyrażona jako odsetek łącznej kwoty ekspozycji na ryzyko obliczonej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92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575/2013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8B1AF1" w:rsidRPr="00724359" w14:paraId="060950C0" w14:textId="77777777" w:rsidTr="00915305">
        <w:trPr>
          <w:trHeight w:val="316"/>
        </w:trPr>
        <w:tc>
          <w:tcPr>
            <w:tcW w:w="1384" w:type="dxa"/>
          </w:tcPr>
          <w:p w14:paraId="1DBB4CB4" w14:textId="31361788" w:rsidR="008B1AF1" w:rsidRPr="00724359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EU-9</w:t>
            </w:r>
          </w:p>
        </w:tc>
        <w:tc>
          <w:tcPr>
            <w:tcW w:w="7655" w:type="dxa"/>
          </w:tcPr>
          <w:p w14:paraId="357A69B0" w14:textId="07AF7072" w:rsidR="008B1AF1" w:rsidRPr="00724359" w:rsidRDefault="008B1AF1" w:rsidP="008B1AF1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MREL wyrażony jako odsetek TEM</w:t>
            </w:r>
          </w:p>
          <w:p w14:paraId="7ABED549" w14:textId="142F08C5" w:rsidR="006453C4" w:rsidRPr="00724359" w:rsidRDefault="006453C4" w:rsidP="00717DB0">
            <w:pPr>
              <w:pStyle w:val="Fait"/>
            </w:pPr>
            <w:r w:rsidRPr="00724359">
              <w:t>Obowiązujący jednostkę sprawozdawczą minimalny wymóg</w:t>
            </w:r>
            <w:r w:rsidR="00724359" w:rsidRPr="00724359">
              <w:t xml:space="preserve"> w</w:t>
            </w:r>
            <w:r w:rsidR="00724359">
              <w:t> </w:t>
            </w:r>
            <w:r w:rsidR="00724359" w:rsidRPr="00724359">
              <w:t>zak</w:t>
            </w:r>
            <w:r w:rsidRPr="00724359">
              <w:t>resie funduszy własnych</w:t>
            </w:r>
            <w:r w:rsidR="00724359" w:rsidRPr="00724359">
              <w:t xml:space="preserve"> i</w:t>
            </w:r>
            <w:r w:rsidR="00724359">
              <w:t> </w:t>
            </w:r>
            <w:r w:rsidR="00724359" w:rsidRPr="00724359">
              <w:t>zob</w:t>
            </w:r>
            <w:r w:rsidRPr="00724359">
              <w:t>owiązań kwalifikowalnych ustalony przez organ ds. restrukturyzacji</w:t>
            </w:r>
            <w:r w:rsidR="00724359" w:rsidRPr="00724359">
              <w:t xml:space="preserve"> i</w:t>
            </w:r>
            <w:r w:rsidR="00724359">
              <w:t> </w:t>
            </w:r>
            <w:r w:rsidR="00724359" w:rsidRPr="00724359">
              <w:t>upo</w:t>
            </w:r>
            <w:r w:rsidRPr="00724359">
              <w:t>rządkowanej likwidacji zgodnie</w:t>
            </w:r>
            <w:r w:rsidR="00724359" w:rsidRPr="00724359">
              <w:t xml:space="preserve"> z</w:t>
            </w:r>
            <w:r w:rsidR="00724359">
              <w:t> </w:t>
            </w:r>
            <w:r w:rsidR="00724359" w:rsidRPr="00724359">
              <w:t>art</w:t>
            </w:r>
            <w:r w:rsidRPr="00724359">
              <w:t>.</w:t>
            </w:r>
            <w:r w:rsidR="00724359" w:rsidRPr="00724359">
              <w:t> </w:t>
            </w:r>
            <w:r w:rsidRPr="00724359">
              <w:t>45e dyrektywy 2014/59/UE, wyrażony jako odsetek miary ekspozycji całkowitej obliczonej zgodnie</w:t>
            </w:r>
            <w:r w:rsidR="00724359" w:rsidRPr="00724359">
              <w:t xml:space="preserve"> z</w:t>
            </w:r>
            <w:r w:rsidR="00724359">
              <w:t> </w:t>
            </w:r>
            <w:r w:rsidR="00724359" w:rsidRPr="00724359">
              <w:t>art</w:t>
            </w:r>
            <w:r w:rsidRPr="00724359">
              <w:t>.</w:t>
            </w:r>
            <w:r w:rsidR="00724359" w:rsidRPr="00724359">
              <w:t> </w:t>
            </w:r>
            <w:r w:rsidRPr="00724359">
              <w:t>429 ust.</w:t>
            </w:r>
            <w:r w:rsidR="00724359" w:rsidRPr="00724359">
              <w:t> </w:t>
            </w:r>
            <w:r w:rsidRPr="00724359">
              <w:t>4</w:t>
            </w:r>
            <w:r w:rsidR="00724359" w:rsidRPr="00724359">
              <w:t xml:space="preserve"> i</w:t>
            </w:r>
            <w:r w:rsidR="00724359">
              <w:t> </w:t>
            </w:r>
            <w:r w:rsidR="00724359" w:rsidRPr="00724359">
              <w:t>art</w:t>
            </w:r>
            <w:r w:rsidRPr="00724359">
              <w:t>.</w:t>
            </w:r>
            <w:r w:rsidR="00724359" w:rsidRPr="00724359">
              <w:t> </w:t>
            </w:r>
            <w:r w:rsidRPr="00724359">
              <w:t>429a rozporządzenia (UE) nr</w:t>
            </w:r>
            <w:r w:rsidR="00724359" w:rsidRPr="00724359">
              <w:t> </w:t>
            </w:r>
            <w:r w:rsidRPr="00724359">
              <w:t>575/2013.</w:t>
            </w:r>
          </w:p>
        </w:tc>
      </w:tr>
      <w:tr w:rsidR="008B1AF1" w:rsidRPr="00724359" w14:paraId="5A4A9503" w14:textId="77777777" w:rsidTr="00915305">
        <w:trPr>
          <w:trHeight w:val="316"/>
        </w:trPr>
        <w:tc>
          <w:tcPr>
            <w:tcW w:w="1384" w:type="dxa"/>
          </w:tcPr>
          <w:p w14:paraId="4E5C6AFC" w14:textId="2C522F9C" w:rsidR="008B1AF1" w:rsidRPr="00724359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EU-10</w:t>
            </w:r>
          </w:p>
        </w:tc>
        <w:tc>
          <w:tcPr>
            <w:tcW w:w="7655" w:type="dxa"/>
          </w:tcPr>
          <w:p w14:paraId="4A8117E5" w14:textId="5218C1C0" w:rsidR="008B1AF1" w:rsidRPr="00724359" w:rsidRDefault="00B80F7C" w:rsidP="008B1AF1">
            <w:pPr>
              <w:pStyle w:val="Applicationdirecte"/>
              <w:spacing w:before="0" w:after="0"/>
              <w:rPr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MREL wyrażony jako odsetek TEM –</w:t>
            </w:r>
            <w:r w:rsidR="00724359" w:rsidRPr="00724359">
              <w:rPr>
                <w:b/>
                <w:color w:val="000000" w:themeColor="text1"/>
              </w:rPr>
              <w:t xml:space="preserve"> w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tym</w:t>
            </w:r>
            <w:r w:rsidRPr="00724359">
              <w:rPr>
                <w:b/>
                <w:color w:val="000000" w:themeColor="text1"/>
              </w:rPr>
              <w:t xml:space="preserve"> część, która musi zostać spełniona</w:t>
            </w:r>
            <w:r w:rsidR="00724359" w:rsidRPr="00724359">
              <w:rPr>
                <w:b/>
                <w:color w:val="000000" w:themeColor="text1"/>
              </w:rPr>
              <w:t xml:space="preserve"> z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wyk</w:t>
            </w:r>
            <w:r w:rsidRPr="00724359">
              <w:rPr>
                <w:b/>
                <w:color w:val="000000" w:themeColor="text1"/>
              </w:rPr>
              <w:t>orzystaniem funduszy własnych lub zobowiązań podporządkowanych</w:t>
            </w:r>
          </w:p>
          <w:p w14:paraId="366BA2A0" w14:textId="5E369796" w:rsidR="008B1AF1" w:rsidRPr="00724359" w:rsidRDefault="00D819D9" w:rsidP="00E1386E">
            <w:pPr>
              <w:rPr>
                <w:color w:val="000000" w:themeColor="text1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stosownych przypadkach część MREL,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iesieniu do której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4–8 dyrektywy 2014/59/UE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wymaga, aby została spełniona za pomocą funduszy własnych, podporządkowanych instrumentów kwalifikowalnych lub zobowiązań,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ust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tego artykułu</w:t>
            </w:r>
            <w:r w:rsidRPr="00724359">
              <w:rPr>
                <w:rFonts w:ascii="Times New Roman" w:hAnsi="Times New Roman"/>
                <w:sz w:val="24"/>
              </w:rPr>
              <w:t>, wyrażona jako odsetek miary ekspozycji całkowitej obliczonej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429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429a rozporządzenia (UE) nr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575/2013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</w:tbl>
    <w:p w14:paraId="38CEC33F" w14:textId="77777777" w:rsidR="005673AC" w:rsidRPr="00724359" w:rsidRDefault="005673AC" w:rsidP="00E258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E89D5" w14:textId="564B1122" w:rsidR="003956D6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5" w:name="_Toc14768967"/>
      <w:bookmarkStart w:id="26" w:name="_Toc14769241"/>
      <w:bookmarkStart w:id="27" w:name="_Toc14769635"/>
      <w:bookmarkStart w:id="28" w:name="_Toc14769788"/>
      <w:bookmarkStart w:id="29" w:name="_Toc14770058"/>
      <w:bookmarkStart w:id="30" w:name="_Toc14770328"/>
      <w:bookmarkStart w:id="31" w:name="_Toc14770481"/>
      <w:bookmarkStart w:id="32" w:name="_Toc14770636"/>
      <w:bookmarkStart w:id="33" w:name="_Toc14770791"/>
      <w:bookmarkStart w:id="34" w:name="_Toc14770948"/>
      <w:bookmarkStart w:id="35" w:name="_Toc14771489"/>
      <w:bookmarkStart w:id="36" w:name="_Toc14771607"/>
      <w:bookmarkStart w:id="37" w:name="_Toc15478323"/>
      <w:bookmarkStart w:id="38" w:name="_Toc14768968"/>
      <w:bookmarkStart w:id="39" w:name="_Toc14769242"/>
      <w:bookmarkStart w:id="40" w:name="_Toc14769636"/>
      <w:bookmarkStart w:id="41" w:name="_Toc14769789"/>
      <w:bookmarkStart w:id="42" w:name="_Toc14770059"/>
      <w:bookmarkStart w:id="43" w:name="_Toc14770329"/>
      <w:bookmarkStart w:id="44" w:name="_Toc14770482"/>
      <w:bookmarkStart w:id="45" w:name="_Toc14770637"/>
      <w:bookmarkStart w:id="46" w:name="_Toc14770792"/>
      <w:bookmarkStart w:id="47" w:name="_Toc14770949"/>
      <w:bookmarkStart w:id="48" w:name="_Toc14771608"/>
      <w:bookmarkStart w:id="49" w:name="_Toc14768969"/>
      <w:bookmarkStart w:id="50" w:name="_Toc14769243"/>
      <w:bookmarkStart w:id="51" w:name="_Toc14769637"/>
      <w:bookmarkStart w:id="52" w:name="_Toc14769790"/>
      <w:bookmarkStart w:id="53" w:name="_Toc14770060"/>
      <w:bookmarkStart w:id="54" w:name="_Toc14770330"/>
      <w:bookmarkStart w:id="55" w:name="_Toc14770483"/>
      <w:bookmarkStart w:id="56" w:name="_Toc14770638"/>
      <w:bookmarkStart w:id="57" w:name="_Toc14770793"/>
      <w:bookmarkStart w:id="58" w:name="_Toc14770950"/>
      <w:bookmarkStart w:id="59" w:name="_Toc14771491"/>
      <w:bookmarkStart w:id="60" w:name="_Toc14771609"/>
      <w:bookmarkStart w:id="61" w:name="_Toc15478325"/>
      <w:bookmarkStart w:id="62" w:name="_Toc14768970"/>
      <w:bookmarkStart w:id="63" w:name="_Toc14769244"/>
      <w:bookmarkStart w:id="64" w:name="_Toc14769638"/>
      <w:bookmarkStart w:id="65" w:name="_Toc14769791"/>
      <w:bookmarkStart w:id="66" w:name="_Toc14770061"/>
      <w:bookmarkStart w:id="67" w:name="_Toc14770331"/>
      <w:bookmarkStart w:id="68" w:name="_Toc14770484"/>
      <w:bookmarkStart w:id="69" w:name="_Toc14770639"/>
      <w:bookmarkStart w:id="70" w:name="_Toc14770794"/>
      <w:bookmarkStart w:id="71" w:name="_Toc14770951"/>
      <w:bookmarkStart w:id="72" w:name="_Toc14771610"/>
      <w:bookmarkStart w:id="73" w:name="_Toc14768971"/>
      <w:bookmarkStart w:id="74" w:name="_Toc14769245"/>
      <w:bookmarkStart w:id="75" w:name="_Toc14769639"/>
      <w:bookmarkStart w:id="76" w:name="_Toc14769792"/>
      <w:bookmarkStart w:id="77" w:name="_Toc14770062"/>
      <w:bookmarkStart w:id="78" w:name="_Toc14770332"/>
      <w:bookmarkStart w:id="79" w:name="_Toc14770485"/>
      <w:bookmarkStart w:id="80" w:name="_Toc14770640"/>
      <w:bookmarkStart w:id="81" w:name="_Toc14770795"/>
      <w:bookmarkStart w:id="82" w:name="_Toc14770952"/>
      <w:bookmarkStart w:id="83" w:name="_Toc14771493"/>
      <w:bookmarkStart w:id="84" w:name="_Toc14771611"/>
      <w:bookmarkStart w:id="85" w:name="_Toc15478327"/>
      <w:bookmarkStart w:id="86" w:name="_Toc14768986"/>
      <w:bookmarkStart w:id="87" w:name="_Toc14769260"/>
      <w:bookmarkStart w:id="88" w:name="_Toc14769654"/>
      <w:bookmarkStart w:id="89" w:name="_Toc14769807"/>
      <w:bookmarkStart w:id="90" w:name="_Toc14770077"/>
      <w:bookmarkStart w:id="91" w:name="_Toc14770347"/>
      <w:bookmarkStart w:id="92" w:name="_Toc14770500"/>
      <w:bookmarkStart w:id="93" w:name="_Toc14770655"/>
      <w:bookmarkStart w:id="94" w:name="_Toc14770810"/>
      <w:bookmarkStart w:id="95" w:name="_Toc14770967"/>
      <w:bookmarkStart w:id="96" w:name="_Toc14771504"/>
      <w:bookmarkStart w:id="97" w:name="_Toc14771626"/>
      <w:bookmarkStart w:id="98" w:name="_Toc15478338"/>
      <w:bookmarkStart w:id="99" w:name="_Toc14768987"/>
      <w:bookmarkStart w:id="100" w:name="_Toc14769261"/>
      <w:bookmarkStart w:id="101" w:name="_Toc14769655"/>
      <w:bookmarkStart w:id="102" w:name="_Toc14769808"/>
      <w:bookmarkStart w:id="103" w:name="_Toc14770078"/>
      <w:bookmarkStart w:id="104" w:name="_Toc14770348"/>
      <w:bookmarkStart w:id="105" w:name="_Toc14770501"/>
      <w:bookmarkStart w:id="106" w:name="_Toc14770656"/>
      <w:bookmarkStart w:id="107" w:name="_Toc14770811"/>
      <w:bookmarkStart w:id="108" w:name="_Toc14770968"/>
      <w:bookmarkStart w:id="109" w:name="_Toc14771627"/>
      <w:bookmarkStart w:id="110" w:name="_Toc14768988"/>
      <w:bookmarkStart w:id="111" w:name="_Toc14769262"/>
      <w:bookmarkStart w:id="112" w:name="_Toc14769656"/>
      <w:bookmarkStart w:id="113" w:name="_Toc14769809"/>
      <w:bookmarkStart w:id="114" w:name="_Toc14770079"/>
      <w:bookmarkStart w:id="115" w:name="_Toc14770349"/>
      <w:bookmarkStart w:id="116" w:name="_Toc14770502"/>
      <w:bookmarkStart w:id="117" w:name="_Toc14770657"/>
      <w:bookmarkStart w:id="118" w:name="_Toc14770812"/>
      <w:bookmarkStart w:id="119" w:name="_Toc14770969"/>
      <w:bookmarkStart w:id="120" w:name="_Toc14771506"/>
      <w:bookmarkStart w:id="121" w:name="_Toc14771628"/>
      <w:bookmarkStart w:id="122" w:name="_Toc15478340"/>
      <w:bookmarkStart w:id="123" w:name="_Toc14768989"/>
      <w:bookmarkStart w:id="124" w:name="_Toc14769263"/>
      <w:bookmarkStart w:id="125" w:name="_Toc14769657"/>
      <w:bookmarkStart w:id="126" w:name="_Toc14769810"/>
      <w:bookmarkStart w:id="127" w:name="_Toc14770080"/>
      <w:bookmarkStart w:id="128" w:name="_Toc14770350"/>
      <w:bookmarkStart w:id="129" w:name="_Toc14770503"/>
      <w:bookmarkStart w:id="130" w:name="_Toc14770658"/>
      <w:bookmarkStart w:id="131" w:name="_Toc14770813"/>
      <w:bookmarkStart w:id="132" w:name="_Toc14770970"/>
      <w:bookmarkStart w:id="133" w:name="_Toc14771629"/>
      <w:bookmarkStart w:id="134" w:name="_Toc14768990"/>
      <w:bookmarkStart w:id="135" w:name="_Toc14769264"/>
      <w:bookmarkStart w:id="136" w:name="_Toc14769658"/>
      <w:bookmarkStart w:id="137" w:name="_Toc14769811"/>
      <w:bookmarkStart w:id="138" w:name="_Toc14770081"/>
      <w:bookmarkStart w:id="139" w:name="_Toc14770351"/>
      <w:bookmarkStart w:id="140" w:name="_Toc14770504"/>
      <w:bookmarkStart w:id="141" w:name="_Toc14770659"/>
      <w:bookmarkStart w:id="142" w:name="_Toc14770814"/>
      <w:bookmarkStart w:id="143" w:name="_Toc14770971"/>
      <w:bookmarkStart w:id="144" w:name="_Toc14771508"/>
      <w:bookmarkStart w:id="145" w:name="_Toc14771630"/>
      <w:bookmarkStart w:id="146" w:name="_Toc15478342"/>
      <w:bookmarkStart w:id="147" w:name="_Toc14769016"/>
      <w:bookmarkStart w:id="148" w:name="_Toc14769290"/>
      <w:bookmarkStart w:id="149" w:name="_Toc14769684"/>
      <w:bookmarkStart w:id="150" w:name="_Toc14769837"/>
      <w:bookmarkStart w:id="151" w:name="_Toc14770107"/>
      <w:bookmarkStart w:id="152" w:name="_Toc14770377"/>
      <w:bookmarkStart w:id="153" w:name="_Toc14770530"/>
      <w:bookmarkStart w:id="154" w:name="_Toc14770685"/>
      <w:bookmarkStart w:id="155" w:name="_Toc14770840"/>
      <w:bookmarkStart w:id="156" w:name="_Toc14770997"/>
      <w:bookmarkStart w:id="157" w:name="_Toc14771527"/>
      <w:bookmarkStart w:id="158" w:name="_Toc14771656"/>
      <w:bookmarkStart w:id="159" w:name="_Toc15478361"/>
      <w:bookmarkStart w:id="160" w:name="_Toc14769060"/>
      <w:bookmarkStart w:id="161" w:name="_Toc14769334"/>
      <w:bookmarkStart w:id="162" w:name="_Toc14769728"/>
      <w:bookmarkStart w:id="163" w:name="_Toc14769881"/>
      <w:bookmarkStart w:id="164" w:name="_Toc14770151"/>
      <w:bookmarkStart w:id="165" w:name="_Toc14770421"/>
      <w:bookmarkStart w:id="166" w:name="_Toc14770574"/>
      <w:bookmarkStart w:id="167" w:name="_Toc14770729"/>
      <w:bookmarkStart w:id="168" w:name="_Toc14770884"/>
      <w:bookmarkStart w:id="169" w:name="_Toc14771041"/>
      <w:bookmarkStart w:id="170" w:name="_Toc14771559"/>
      <w:bookmarkStart w:id="171" w:name="_Toc14771700"/>
      <w:bookmarkStart w:id="172" w:name="_Toc15478393"/>
      <w:bookmarkStart w:id="173" w:name="_Toc14769113"/>
      <w:bookmarkStart w:id="174" w:name="_Toc14769387"/>
      <w:bookmarkStart w:id="175" w:name="_Toc14769781"/>
      <w:bookmarkStart w:id="176" w:name="_Toc14769934"/>
      <w:bookmarkStart w:id="177" w:name="_Toc14770204"/>
      <w:bookmarkStart w:id="178" w:name="_Toc14770474"/>
      <w:bookmarkStart w:id="179" w:name="_Toc14770627"/>
      <w:bookmarkStart w:id="180" w:name="_Toc14770782"/>
      <w:bookmarkStart w:id="181" w:name="_Toc14770937"/>
      <w:bookmarkStart w:id="182" w:name="_Toc14771094"/>
      <w:bookmarkStart w:id="183" w:name="_Toc14771600"/>
      <w:bookmarkStart w:id="184" w:name="_Toc14771753"/>
      <w:bookmarkStart w:id="185" w:name="_Toc1547843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Pr="00724359">
        <w:rPr>
          <w:rFonts w:ascii="Times New Roman" w:hAnsi="Times New Roman"/>
          <w:color w:val="auto"/>
          <w:sz w:val="24"/>
        </w:rPr>
        <w:lastRenderedPageBreak/>
        <w:t>3.</w:t>
      </w:r>
      <w:r w:rsidRPr="00724359">
        <w:rPr>
          <w:rFonts w:ascii="Times New Roman" w:hAnsi="Times New Roman"/>
          <w:color w:val="auto"/>
          <w:sz w:val="24"/>
        </w:rPr>
        <w:tab/>
      </w:r>
      <w:bookmarkStart w:id="186" w:name="_Toc14770783"/>
      <w:bookmarkStart w:id="187" w:name="_Toc45266927"/>
      <w:r w:rsidRPr="00724359">
        <w:rPr>
          <w:rFonts w:ascii="Times New Roman" w:hAnsi="Times New Roman"/>
          <w:color w:val="auto"/>
          <w:sz w:val="24"/>
        </w:rPr>
        <w:t>EU TLAC 1:</w:t>
      </w:r>
      <w:r w:rsidR="00724359" w:rsidRPr="00724359">
        <w:rPr>
          <w:rFonts w:ascii="Times New Roman" w:hAnsi="Times New Roman"/>
          <w:color w:val="auto"/>
          <w:sz w:val="24"/>
        </w:rPr>
        <w:t xml:space="preserve"> </w:t>
      </w:r>
      <w:r w:rsidRPr="00724359">
        <w:rPr>
          <w:rFonts w:ascii="Times New Roman" w:hAnsi="Times New Roman"/>
          <w:color w:val="auto"/>
          <w:sz w:val="24"/>
        </w:rPr>
        <w:t>Elementy składowe – MREL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w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sto</w:t>
      </w:r>
      <w:r w:rsidRPr="00724359">
        <w:rPr>
          <w:rFonts w:ascii="Times New Roman" w:hAnsi="Times New Roman"/>
          <w:color w:val="auto"/>
          <w:sz w:val="24"/>
        </w:rPr>
        <w:t>sownych przypadkach wymóg</w:t>
      </w:r>
      <w:r w:rsidR="00724359" w:rsidRPr="00724359">
        <w:rPr>
          <w:rFonts w:ascii="Times New Roman" w:hAnsi="Times New Roman"/>
          <w:color w:val="auto"/>
          <w:sz w:val="24"/>
        </w:rPr>
        <w:t xml:space="preserve"> w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zak</w:t>
      </w:r>
      <w:r w:rsidRPr="00724359">
        <w:rPr>
          <w:rFonts w:ascii="Times New Roman" w:hAnsi="Times New Roman"/>
          <w:color w:val="auto"/>
          <w:sz w:val="24"/>
        </w:rPr>
        <w:t>resie funduszy własnych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zob</w:t>
      </w:r>
      <w:r w:rsidRPr="00724359">
        <w:rPr>
          <w:rFonts w:ascii="Times New Roman" w:hAnsi="Times New Roman"/>
          <w:color w:val="auto"/>
          <w:sz w:val="24"/>
        </w:rPr>
        <w:t>owiązań kwalifikowalnych dotyczący globalnych instytucji</w:t>
      </w:r>
      <w:r w:rsidR="00724359" w:rsidRPr="00724359">
        <w:rPr>
          <w:rFonts w:ascii="Times New Roman" w:hAnsi="Times New Roman"/>
          <w:color w:val="auto"/>
          <w:sz w:val="24"/>
        </w:rPr>
        <w:t xml:space="preserve"> o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zna</w:t>
      </w:r>
      <w:r w:rsidRPr="00724359">
        <w:rPr>
          <w:rFonts w:ascii="Times New Roman" w:hAnsi="Times New Roman"/>
          <w:color w:val="auto"/>
          <w:sz w:val="24"/>
        </w:rPr>
        <w:t>czeniu systemowym</w:t>
      </w:r>
      <w:bookmarkEnd w:id="186"/>
      <w:bookmarkEnd w:id="187"/>
    </w:p>
    <w:p w14:paraId="5FDEB8AD" w14:textId="3EB563A1" w:rsidR="00021E4F" w:rsidRPr="00724359" w:rsidRDefault="00021E4F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Pozycja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odnosząca się do grupy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 obejmuje jedynie instrumenty kapitałowe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owiązania kwalifikowalne wyemitowane przez podmiot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 i – jeżeli jest to zgodne z, stosownie do przypadku, art. 45b ust. 3 dyrektywy 2014/59/UE lub art. 88a rozporządzenia (UE) nr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575/2013 – przez jednostki zależne podmiotu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likwidacji,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wył</w:t>
      </w:r>
      <w:r w:rsidRPr="00724359">
        <w:rPr>
          <w:noProof w:val="0"/>
        </w:rPr>
        <w:t>ączeniem podmiotów spoza grupy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likwidacji. Podobnie podstawę pozycji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stanowi łączna kwota ekspozycji na ryzyko (skorygowana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45h ust.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2 dyrektywy 2014/59/UE)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mia</w:t>
      </w:r>
      <w:r w:rsidRPr="00724359">
        <w:rPr>
          <w:noProof w:val="0"/>
        </w:rPr>
        <w:t>ra ekspozycji całkowitej obliczone na poziomie grupy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likwidacji.</w:t>
      </w:r>
    </w:p>
    <w:p w14:paraId="31AA4E2B" w14:textId="1119697C" w:rsidR="00B00CC4" w:rsidRPr="00724359" w:rsidRDefault="00021E4F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Jeżeli chodzi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kor</w:t>
      </w:r>
      <w:r w:rsidRPr="00724359">
        <w:rPr>
          <w:noProof w:val="0"/>
        </w:rPr>
        <w:t>ekty regulacyjne, podmioty ujawniają odliczenia od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jako liczby ujemne,</w:t>
      </w:r>
      <w:r w:rsidR="00724359" w:rsidRPr="00724359">
        <w:rPr>
          <w:noProof w:val="0"/>
        </w:rPr>
        <w:t xml:space="preserve"> a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dol</w:t>
      </w:r>
      <w:r w:rsidRPr="00724359">
        <w:rPr>
          <w:noProof w:val="0"/>
        </w:rPr>
        <w:t>iczenia do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jako liczby dodatnie.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807127" w:rsidRPr="00724359" w14:paraId="326F196A" w14:textId="77777777" w:rsidTr="008071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0D11A621" w14:textId="7182C6B7" w:rsidR="00807127" w:rsidRPr="00724359" w:rsidRDefault="00807127" w:rsidP="00807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Kolumny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91EECCB" w14:textId="0EBB56D1" w:rsidR="00807127" w:rsidRPr="00724359" w:rsidRDefault="00E46262" w:rsidP="00807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807127" w:rsidRPr="00724359" w14:paraId="32E9685C" w14:textId="77777777" w:rsidTr="00807127">
        <w:trPr>
          <w:trHeight w:val="637"/>
        </w:trPr>
        <w:tc>
          <w:tcPr>
            <w:tcW w:w="1384" w:type="dxa"/>
          </w:tcPr>
          <w:p w14:paraId="6B2EC01C" w14:textId="6A4D6558" w:rsidR="00807127" w:rsidRPr="00724359" w:rsidDel="00DE6BC1" w:rsidRDefault="00807127" w:rsidP="00EF47A4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436FCBC7" w14:textId="2DCFD667" w:rsidR="00807127" w:rsidRPr="00724359" w:rsidRDefault="008C2E99" w:rsidP="003C10C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ujawniają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tej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kolumnie istotne informacje na temat MREL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5e dyrektywy 2014/59/UE.</w:t>
            </w:r>
          </w:p>
        </w:tc>
      </w:tr>
      <w:tr w:rsidR="00807127" w:rsidRPr="00724359" w14:paraId="462C6C09" w14:textId="77777777" w:rsidTr="00807127">
        <w:trPr>
          <w:trHeight w:val="637"/>
        </w:trPr>
        <w:tc>
          <w:tcPr>
            <w:tcW w:w="1384" w:type="dxa"/>
          </w:tcPr>
          <w:p w14:paraId="560866CC" w14:textId="77777777" w:rsidR="00807127" w:rsidRPr="00724359" w:rsidDel="00DE6BC1" w:rsidRDefault="00807127" w:rsidP="00807127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b</w:t>
            </w:r>
          </w:p>
        </w:tc>
        <w:tc>
          <w:tcPr>
            <w:tcW w:w="7655" w:type="dxa"/>
          </w:tcPr>
          <w:p w14:paraId="1B5C7CCC" w14:textId="31F1EF2E" w:rsidR="00807127" w:rsidRPr="00724359" w:rsidRDefault="008C2E99" w:rsidP="00F60AC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będące globalnymi instytucjami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 podlegającymi wymogowi dotyczącemu TLAC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ujawniają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tej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kolumnie istotne informacje na temat tego wymogu. </w:t>
            </w:r>
          </w:p>
        </w:tc>
      </w:tr>
      <w:tr w:rsidR="00807127" w:rsidRPr="00724359" w14:paraId="4B0052CD" w14:textId="77777777" w:rsidTr="00807127">
        <w:trPr>
          <w:trHeight w:val="637"/>
        </w:trPr>
        <w:tc>
          <w:tcPr>
            <w:tcW w:w="1384" w:type="dxa"/>
          </w:tcPr>
          <w:p w14:paraId="3F556DCF" w14:textId="09520620" w:rsidR="00807127" w:rsidRPr="00724359" w:rsidDel="00DE6BC1" w:rsidRDefault="00807127" w:rsidP="00EF47A4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c</w:t>
            </w:r>
          </w:p>
        </w:tc>
        <w:tc>
          <w:tcPr>
            <w:tcW w:w="7655" w:type="dxa"/>
          </w:tcPr>
          <w:p w14:paraId="77906683" w14:textId="414268DB" w:rsidR="00807127" w:rsidRPr="00724359" w:rsidRDefault="00807127" w:rsidP="00B62DC9">
            <w:pPr>
              <w:pStyle w:val="InstructionsText"/>
              <w:rPr>
                <w:noProof w:val="0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Kolumnę tę wypełniają wyłącznie podmioty podlegające wymogowi dotyczącemu TLAC.</w:t>
            </w:r>
            <w:r w:rsidRPr="00724359">
              <w:rPr>
                <w:noProof w:val="0"/>
              </w:rPr>
              <w:t xml:space="preserve"> </w:t>
            </w:r>
          </w:p>
          <w:p w14:paraId="1B6D4BC4" w14:textId="1F2FDCC7" w:rsidR="00807127" w:rsidRPr="00724359" w:rsidRDefault="00807127" w:rsidP="00B62DC9">
            <w:pPr>
              <w:pStyle w:val="InstructionsText"/>
              <w:rPr>
                <w:noProof w:val="0"/>
              </w:rPr>
            </w:pPr>
            <w:r w:rsidRPr="00724359">
              <w:rPr>
                <w:noProof w:val="0"/>
              </w:rPr>
              <w:t>Kolumna ta odzwierciedla różnicę między kwotami mającymi zastosowanie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kon</w:t>
            </w:r>
            <w:r w:rsidRPr="00724359">
              <w:rPr>
                <w:noProof w:val="0"/>
              </w:rPr>
              <w:t>tekście wymogu określonego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art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45 dyrektywy 2014/59/UE</w:t>
            </w:r>
            <w:r w:rsidR="00724359" w:rsidRPr="00724359">
              <w:rPr>
                <w:noProof w:val="0"/>
              </w:rPr>
              <w:t xml:space="preserve"> a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kwo</w:t>
            </w:r>
            <w:r w:rsidRPr="00724359">
              <w:rPr>
                <w:noProof w:val="0"/>
              </w:rPr>
              <w:t>tami mającymi zastosowanie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kon</w:t>
            </w:r>
            <w:r w:rsidRPr="00724359">
              <w:rPr>
                <w:noProof w:val="0"/>
              </w:rPr>
              <w:t>tekście wymogu określonego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art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92a rozporządzenia (UE) nr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575/2013.</w:t>
            </w:r>
          </w:p>
        </w:tc>
      </w:tr>
    </w:tbl>
    <w:p w14:paraId="3AC1888A" w14:textId="77777777" w:rsidR="00807127" w:rsidRPr="00724359" w:rsidRDefault="00807127" w:rsidP="00807127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7736"/>
      </w:tblGrid>
      <w:tr w:rsidR="00026FC1" w:rsidRPr="00724359" w14:paraId="6EA9B061" w14:textId="77777777" w:rsidTr="00E4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BF1AA" w14:textId="77777777" w:rsidR="00021E4F" w:rsidRPr="00724359" w:rsidRDefault="00021E4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Wiersz 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2E936" w14:textId="3A736B7D" w:rsidR="00021E4F" w:rsidRPr="00724359" w:rsidRDefault="00E46262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026FC1" w:rsidRPr="00724359" w14:paraId="614F9517" w14:textId="77777777" w:rsidTr="00E46262">
        <w:tc>
          <w:tcPr>
            <w:tcW w:w="1030" w:type="dxa"/>
          </w:tcPr>
          <w:p w14:paraId="7EE06B6D" w14:textId="77777777" w:rsidR="00021E4F" w:rsidRPr="00724359" w:rsidRDefault="00021E4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736" w:type="dxa"/>
          </w:tcPr>
          <w:p w14:paraId="709BFA1D" w14:textId="0A17EB42" w:rsidR="00021E4F" w:rsidRPr="00724359" w:rsidRDefault="00021E4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Kapitał podstawowy Tier I</w:t>
            </w:r>
          </w:p>
          <w:p w14:paraId="0C38277D" w14:textId="7FEBAC45" w:rsidR="00021E4F" w:rsidRPr="00724359" w:rsidRDefault="00021E4F" w:rsidP="00971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Kapitał podstawowy Tier I grupy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obliczony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50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</w:tc>
      </w:tr>
      <w:tr w:rsidR="00026FC1" w:rsidRPr="00724359" w14:paraId="0AC96626" w14:textId="77777777" w:rsidTr="00E46262">
        <w:tc>
          <w:tcPr>
            <w:tcW w:w="1030" w:type="dxa"/>
          </w:tcPr>
          <w:p w14:paraId="4517736A" w14:textId="77777777" w:rsidR="00021E4F" w:rsidRPr="00724359" w:rsidRDefault="00021E4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736" w:type="dxa"/>
          </w:tcPr>
          <w:p w14:paraId="2FB37E1A" w14:textId="007BDD23" w:rsidR="00021E4F" w:rsidRPr="00724359" w:rsidRDefault="00021E4F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Kapitał dodatkowy Tier I </w:t>
            </w:r>
          </w:p>
          <w:p w14:paraId="05B0D3DA" w14:textId="3591CC5D" w:rsidR="00E94218" w:rsidRPr="00724359" w:rsidRDefault="00021E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Kapitał dodatkowy Tier I grupy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obliczony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61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66E56E67" w14:textId="75131D52" w:rsidR="00021E4F" w:rsidRPr="00724359" w:rsidRDefault="00E94218" w:rsidP="00E942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przypadku MREL instrumenty regulowane prawem państwa trzeciego uwzględnia się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wyłącznie wówczas, gdy spełniają one wymogi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55 dyrektywy 2014/59/UE.</w:t>
            </w:r>
          </w:p>
        </w:tc>
      </w:tr>
      <w:tr w:rsidR="00026FC1" w:rsidRPr="00724359" w14:paraId="2781CFBF" w14:textId="77777777" w:rsidTr="00E46262">
        <w:tc>
          <w:tcPr>
            <w:tcW w:w="1030" w:type="dxa"/>
          </w:tcPr>
          <w:p w14:paraId="6B607587" w14:textId="58DB8643" w:rsidR="00021E4F" w:rsidRPr="00724359" w:rsidRDefault="00D571F6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7736" w:type="dxa"/>
          </w:tcPr>
          <w:p w14:paraId="30A3A120" w14:textId="05F7C1CC" w:rsidR="00021E4F" w:rsidRPr="00724359" w:rsidRDefault="00021E4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Kapitał Tier II</w:t>
            </w:r>
          </w:p>
          <w:p w14:paraId="6F849BF3" w14:textId="52DCF064" w:rsidR="00021E4F" w:rsidRPr="00724359" w:rsidRDefault="00021E4F" w:rsidP="001F7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Kapitał Tier II grupy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obliczony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71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2C50816C" w14:textId="0AF1B57C" w:rsidR="00E94218" w:rsidRPr="00724359" w:rsidRDefault="00E94218" w:rsidP="001F7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przypadku MREL instrumenty regulowane prawem państwa trzeciego uwzględnia się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wyłącznie wówczas, gdy spełniają one wymogi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55 dyrektywy 2014/59/UE.</w:t>
            </w:r>
          </w:p>
        </w:tc>
      </w:tr>
      <w:tr w:rsidR="00026FC1" w:rsidRPr="00724359" w14:paraId="77060B4B" w14:textId="77777777" w:rsidTr="00E46262">
        <w:tc>
          <w:tcPr>
            <w:tcW w:w="1030" w:type="dxa"/>
          </w:tcPr>
          <w:p w14:paraId="62D73831" w14:textId="2A91E8D9" w:rsidR="00021E4F" w:rsidRPr="00724359" w:rsidRDefault="00D571F6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7736" w:type="dxa"/>
          </w:tcPr>
          <w:p w14:paraId="3A0853BF" w14:textId="61045E3B" w:rsidR="00021E4F" w:rsidRPr="00724359" w:rsidRDefault="00021E4F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 do celów art.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92a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45 dyrektywy 2014/59/UE </w:t>
            </w:r>
          </w:p>
          <w:p w14:paraId="61FB0BF1" w14:textId="26D70B3E" w:rsidR="00021E4F" w:rsidRPr="00724359" w:rsidRDefault="00021E4F" w:rsidP="0050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Fundusze własne do celów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 dyrektywy 2014/59/UE, które należy obliczyć jako sumę wierszy 1, 2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026FC1" w:rsidRPr="00724359" w14:paraId="5B3A8911" w14:textId="77777777" w:rsidTr="00E46262">
        <w:tc>
          <w:tcPr>
            <w:tcW w:w="1030" w:type="dxa"/>
          </w:tcPr>
          <w:p w14:paraId="3865D42E" w14:textId="14C5B714" w:rsidR="00021E4F" w:rsidRPr="00724359" w:rsidRDefault="00D571F6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7736" w:type="dxa"/>
          </w:tcPr>
          <w:p w14:paraId="5BC74910" w14:textId="39102B09" w:rsidR="00BD6570" w:rsidRPr="00724359" w:rsidRDefault="00021E4F" w:rsidP="00BD6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Instrumenty zobowiązań kwalifikowalnych wyemitowane bezpośrednio przez podmiot restrukturyzacji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rządkowanej likwidacji podporządkowane wyłączonym zobowiązaniom (niepodlegające zasadzie praw nabytych)</w:t>
            </w:r>
          </w:p>
          <w:p w14:paraId="074ADC7C" w14:textId="77777777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MREL</w:t>
            </w:r>
          </w:p>
          <w:p w14:paraId="5DF92336" w14:textId="0ABE070D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Zobowiązania kwalifikowalne włączone do</w:t>
            </w:r>
            <w:r w:rsidRPr="00724359">
              <w:rPr>
                <w:noProof w:val="0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45b dyrektywy 2014/59/UE, które są podporządkowanymi instrumentami kwalifikowalnymi zdefiniowanymi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71b dyrektywy 2014/59/UE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re są wyemitowane bezpośrednio przez podmiot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rządkowanej likwidacji.</w:t>
            </w:r>
          </w:p>
          <w:p w14:paraId="26CA1F30" w14:textId="1385291F" w:rsidR="00A97842" w:rsidRPr="00724359" w:rsidRDefault="00A9784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55 dyrektywy 2014/59/UE.</w:t>
            </w:r>
          </w:p>
          <w:p w14:paraId="39C8C83A" w14:textId="77777777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TLAC</w:t>
            </w:r>
          </w:p>
          <w:p w14:paraId="66B62B57" w14:textId="1B3763FC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 kwalifikowalne, które spełniają wszystkie wymogi przewidziane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72a–72d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wył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ączeniem zobowiązań,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iesieniu do których zezwolono,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lub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 tego rozporządzenia</w:t>
            </w:r>
            <w:r w:rsidRPr="00724359"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  <w:t xml:space="preserve">, 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wyemitowane bezpośrednio przez podmiot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rządkowanej likwidacji</w:t>
            </w:r>
            <w:r w:rsidRPr="00724359"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  <w:t>.</w:t>
            </w:r>
          </w:p>
          <w:p w14:paraId="1DC64B11" w14:textId="02AC4FC1" w:rsidR="00021E4F" w:rsidRPr="00724359" w:rsidRDefault="00BD6570" w:rsidP="002A1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tym wierszu nie uwzględnia się ani zamortyzowanej części instrumentów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Tie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 II,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prz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ypadku których pozostały termin zapadalności jest dłuższy niż jeden rok (art.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72a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lit.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b)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575/2013), ani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zobowiązań kwalifikowalnych podlegających zasadzie praw nabytych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494b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026FC1" w:rsidRPr="00724359" w14:paraId="138E2D9C" w14:textId="77777777" w:rsidTr="00E46262">
        <w:tc>
          <w:tcPr>
            <w:tcW w:w="1030" w:type="dxa"/>
          </w:tcPr>
          <w:p w14:paraId="6FA92C5C" w14:textId="69DE2A40" w:rsidR="00021E4F" w:rsidRPr="00724359" w:rsidRDefault="00D571F6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EU-12a</w:t>
            </w:r>
          </w:p>
        </w:tc>
        <w:tc>
          <w:tcPr>
            <w:tcW w:w="7736" w:type="dxa"/>
          </w:tcPr>
          <w:p w14:paraId="5358B90C" w14:textId="3EC62B7A" w:rsidR="00021E4F" w:rsidRPr="00724359" w:rsidRDefault="00021E4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Instrumenty zobowiązań kwalifikowalnych wyemitowane przez inne podmioty należące do grupy restrukturyzacji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rządkowanej likwidacji podporządkowane wyłączonym zobowiązaniom (niepodlegające zasadzie praw nabytych)</w:t>
            </w:r>
          </w:p>
          <w:p w14:paraId="57A6D73A" w14:textId="77777777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MREL</w:t>
            </w:r>
          </w:p>
          <w:p w14:paraId="369BA2B0" w14:textId="40610FD0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 kwalifikowalne włączone do 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45b dyrektywy 2014/59/UE wyemitowane przez jednostki zależne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uwz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ględnione w MREL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45b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tej dyrektywy.</w:t>
            </w:r>
          </w:p>
          <w:p w14:paraId="02BD22DB" w14:textId="7A66AE8A" w:rsidR="003E4404" w:rsidRPr="00724359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55 dyrektywy 2014/59/UE.</w:t>
            </w:r>
          </w:p>
          <w:p w14:paraId="0BBD12E2" w14:textId="7EA7B44E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TLAC</w:t>
            </w:r>
          </w:p>
          <w:p w14:paraId="6F8A0C84" w14:textId="715798EE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 kwalifikowalne, które spełniają wszystkie wymogi przewidziane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72a–72d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wył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ączeniem zobowiązań,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iesieniu do których zezwolono,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lub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 tego rozporządzenia, wyemitowane przez jednostki zależne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kwa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lifikujące się do włączenia do skonsolidowanych instrumentów zobowiązań kwalifikowanych podmiotu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88a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575/2013.</w:t>
            </w:r>
          </w:p>
          <w:p w14:paraId="0DBFD655" w14:textId="05D87446" w:rsidR="00021E4F" w:rsidRPr="00724359" w:rsidRDefault="00BD6570" w:rsidP="002A1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tym wierszu nie uwzględnia się ani zamortyzowanej części instrumentów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Tie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 II,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prz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ypadku których pozostały termin zapadalności jest dłuższy niż jeden rok (art.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72a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lit.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b)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575/2013), ani zobowiązań kwalifikowalnych podlegających zasadzie praw nabytych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494b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922937" w:rsidRPr="00724359" w14:paraId="128E215B" w14:textId="77777777" w:rsidTr="00E46262">
        <w:tc>
          <w:tcPr>
            <w:tcW w:w="1030" w:type="dxa"/>
          </w:tcPr>
          <w:p w14:paraId="59505232" w14:textId="6BA871E1" w:rsidR="00922937" w:rsidRPr="00724359" w:rsidRDefault="00922937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EU-12b</w:t>
            </w:r>
          </w:p>
        </w:tc>
        <w:tc>
          <w:tcPr>
            <w:tcW w:w="7736" w:type="dxa"/>
          </w:tcPr>
          <w:p w14:paraId="120C20CA" w14:textId="17047EA5" w:rsidR="00922937" w:rsidRPr="00724359" w:rsidRDefault="00922937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Instrumenty zobowiązań kwalifikowalnych podporządkowane wyłączonym zobowiązaniom wyemitowane przed dniem 27 czerwca 2019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r. (podporządkowane podlegające zasadzie praw nabytych)</w:t>
            </w:r>
          </w:p>
          <w:p w14:paraId="31DC06A4" w14:textId="77777777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MREL</w:t>
            </w:r>
          </w:p>
          <w:p w14:paraId="60F78D8E" w14:textId="77777777" w:rsidR="00BD6570" w:rsidRPr="00724359" w:rsidRDefault="00BD6570" w:rsidP="00B62DC9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Zobowiązania kwalifikowalne, które spełniają następujące warunki:</w:t>
            </w:r>
          </w:p>
          <w:p w14:paraId="13FE6179" w14:textId="6FAEF0A8" w:rsidR="00BD6570" w:rsidRPr="00724359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zostały wyemitowane przed dniem 27 czerwca 2019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>r.;</w:t>
            </w:r>
          </w:p>
          <w:p w14:paraId="20EE0D1D" w14:textId="0EC1FEAD" w:rsidR="00BD6570" w:rsidRPr="00724359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 xml:space="preserve">są 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podporządkowanymi instrumentami kwalifikowalnymi zdefiniowanymi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71b dyrektywy 2014/59/UE; </w:t>
            </w:r>
          </w:p>
          <w:p w14:paraId="6779E72D" w14:textId="78FF7B27" w:rsidR="00BD6570" w:rsidRPr="00724359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zostały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noProof w:val="0"/>
                <w:sz w:val="24"/>
                <w:u w:val="none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włączone do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owiązań kwalifikowalnych na podstawie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494b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575/2013.</w:t>
            </w:r>
          </w:p>
          <w:p w14:paraId="3997A101" w14:textId="3719CD07" w:rsidR="003E4404" w:rsidRPr="00724359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lastRenderedPageBreak/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55 dyrektywy 2014/59/UE.</w:t>
            </w:r>
          </w:p>
          <w:p w14:paraId="4AA69ACA" w14:textId="77777777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TLAC</w:t>
            </w:r>
          </w:p>
          <w:p w14:paraId="748D115E" w14:textId="77777777" w:rsidR="00BD6570" w:rsidRPr="00724359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Zobowiązania, które spełniają następujące warunki:</w:t>
            </w:r>
          </w:p>
          <w:p w14:paraId="62E0491E" w14:textId="2983704A" w:rsidR="00BD6570" w:rsidRPr="00724359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zostały wyemitowane przed dniem 27 czerwca 2019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r.;</w:t>
            </w:r>
          </w:p>
          <w:p w14:paraId="5161FB69" w14:textId="4F001917" w:rsidR="00BD6570" w:rsidRPr="00724359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b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są zgodne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 lit.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d)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575/2013;</w:t>
            </w:r>
          </w:p>
          <w:p w14:paraId="796E2BAA" w14:textId="0A86EE00" w:rsidR="00922937" w:rsidRPr="00724359" w:rsidRDefault="00BD6570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kwalifikują się jako zobowiązania kwalifikowalne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wyn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iku stosowania zasady praw nabytych określonego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494b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BA315F" w:rsidRPr="00724359" w14:paraId="5089A67B" w14:textId="77777777" w:rsidTr="00E46262">
        <w:tc>
          <w:tcPr>
            <w:tcW w:w="1030" w:type="dxa"/>
          </w:tcPr>
          <w:p w14:paraId="4A7EDDF2" w14:textId="7325896B" w:rsidR="00BA315F" w:rsidRPr="00724359" w:rsidRDefault="00BA315F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EU-12c</w:t>
            </w:r>
          </w:p>
        </w:tc>
        <w:tc>
          <w:tcPr>
            <w:tcW w:w="7736" w:type="dxa"/>
          </w:tcPr>
          <w:p w14:paraId="278B1172" w14:textId="75C8CB59" w:rsidR="00BA315F" w:rsidRPr="00724359" w:rsidRDefault="00BA315F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Instrumenty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Tie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 II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rez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ydualnym terminie zapadalności wynoszącym co najmniej jeden rok,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tak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im zakresie,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jak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im nie kwalifikują się one jako pozycje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Tie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 II</w:t>
            </w:r>
          </w:p>
          <w:p w14:paraId="6F3FB28E" w14:textId="09CCCF9B" w:rsidR="00334BA5" w:rsidRPr="00724359" w:rsidRDefault="00334BA5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Zamortyzowana część instrumentów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 II,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prz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ypadku których pozostały termin zapadalności jest dłuższy niż jeden rok (art.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72a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724359">
              <w:rPr>
                <w:color w:val="000000" w:themeColor="text1"/>
              </w:rPr>
              <w:t xml:space="preserve"> 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b)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575/2013).</w:t>
            </w:r>
          </w:p>
          <w:p w14:paraId="4FD8D86D" w14:textId="0CFF00CD" w:rsidR="00BA315F" w:rsidRPr="00724359" w:rsidRDefault="00BA315F" w:rsidP="006501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tym wierszu podaje się wyłącznie kwotę, która nie została ujęta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duszach własnych, ale spełnia wszystkie kryteria kwalifikowalności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001569D4" w14:textId="64AB9AC2" w:rsidR="003E4404" w:rsidRPr="00724359" w:rsidRDefault="003E4404" w:rsidP="003E44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MREL instrumenty regulowane prawem państwa trzeciego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wyłącznie wówczas, gdy spełniają one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</w:tc>
      </w:tr>
      <w:tr w:rsidR="00026FC1" w:rsidRPr="00724359" w14:paraId="64D6FD96" w14:textId="77777777" w:rsidTr="00E46262">
        <w:tc>
          <w:tcPr>
            <w:tcW w:w="1030" w:type="dxa"/>
          </w:tcPr>
          <w:p w14:paraId="50786C06" w14:textId="52DA5E60" w:rsidR="00021E4F" w:rsidRPr="00724359" w:rsidRDefault="00D571F6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7736" w:type="dxa"/>
          </w:tcPr>
          <w:p w14:paraId="5D613CA9" w14:textId="2F1AE58A" w:rsidR="009B2422" w:rsidRPr="00724359" w:rsidRDefault="009B2422" w:rsidP="00E963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Zobowiązania kwalifikowalne niepodporządkowane wyłączonym zobowiązaniom (niepodlegające zasadzie praw nabytych, przed zastosowaniem ograniczenia)</w:t>
            </w:r>
          </w:p>
          <w:p w14:paraId="7660F6FC" w14:textId="77777777" w:rsidR="009B2422" w:rsidRPr="00724359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MREL</w:t>
            </w:r>
          </w:p>
          <w:p w14:paraId="00F0085A" w14:textId="476ED862" w:rsidR="009B2422" w:rsidRPr="00724359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Zobowiązania, które spełniają warunki przewidziane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45b dyrektywy 2014/59/UE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nie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są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peł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ni podporządkowane należnościom wynikającym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wył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ączonych zobowiązań,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rych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72a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575/2013.</w:t>
            </w:r>
          </w:p>
          <w:p w14:paraId="2C657BAC" w14:textId="3844AC91" w:rsidR="003E4404" w:rsidRPr="00724359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55 dyrektywy 2014/59/UE.</w:t>
            </w:r>
          </w:p>
          <w:p w14:paraId="137D2044" w14:textId="77777777" w:rsidR="009B2422" w:rsidRPr="00724359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noProof w:val="0"/>
                <w:sz w:val="24"/>
              </w:rPr>
              <w:t>TLAC</w:t>
            </w:r>
          </w:p>
          <w:p w14:paraId="424B93B1" w14:textId="04250FDD" w:rsidR="009B2422" w:rsidRPr="00724359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 kwalifikowalne, które spełniają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72a–72d</w:t>
            </w:r>
            <w:r w:rsidRPr="00724359">
              <w:rPr>
                <w:noProof w:val="0"/>
              </w:rPr>
              <w:t xml:space="preserve"> </w:t>
            </w:r>
            <w:r w:rsidRPr="00724359">
              <w:rPr>
                <w:noProof w:val="0"/>
                <w:color w:val="000000" w:themeColor="text1"/>
              </w:rPr>
              <w:t>rozporządzenia (UE) nr</w:t>
            </w:r>
            <w:r w:rsidR="00724359" w:rsidRPr="00724359">
              <w:rPr>
                <w:noProof w:val="0"/>
                <w:color w:val="000000" w:themeColor="text1"/>
              </w:rPr>
              <w:t> </w:t>
            </w:r>
            <w:r w:rsidRPr="00724359">
              <w:rPr>
                <w:noProof w:val="0"/>
                <w:color w:val="000000" w:themeColor="text1"/>
              </w:rPr>
              <w:t>575/2013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wyj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ątkiem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 lit.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d) tego rozporządzenia,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iesieniu do których możliwe byłoby zezwolenie,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tego rozporządzenia, lub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iesieniu do których 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lastRenderedPageBreak/>
              <w:t>zezwolono,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 tego rozporządzenia.</w:t>
            </w:r>
          </w:p>
          <w:p w14:paraId="686DBB1D" w14:textId="7A7EF914" w:rsidR="009B2422" w:rsidRPr="00724359" w:rsidRDefault="004B3067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 przypadku gdy ma zastosowanie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 lub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494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wierszu podaje się pełną kwotę bez stosowania ograniczeń wynoszących odpowiednio 3,5 %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2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,5 %.</w:t>
            </w:r>
          </w:p>
          <w:p w14:paraId="2AE31630" w14:textId="746B71E6" w:rsidR="009B2422" w:rsidRPr="00724359" w:rsidRDefault="009B2422" w:rsidP="009B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tym wierszu nie uwzględnia się żadnej kwoty możliwej do ujęcia na zasadzie przejściowej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494b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922937" w:rsidRPr="00724359" w14:paraId="54947575" w14:textId="77777777" w:rsidTr="00E46262">
        <w:tc>
          <w:tcPr>
            <w:tcW w:w="1030" w:type="dxa"/>
          </w:tcPr>
          <w:p w14:paraId="034E19A1" w14:textId="2AE4D60C" w:rsidR="00922937" w:rsidRPr="00724359" w:rsidRDefault="00922937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EU-13a</w:t>
            </w:r>
          </w:p>
        </w:tc>
        <w:tc>
          <w:tcPr>
            <w:tcW w:w="7736" w:type="dxa"/>
          </w:tcPr>
          <w:p w14:paraId="69BC0D22" w14:textId="29B8CBF5" w:rsidR="00922937" w:rsidRPr="00724359" w:rsidRDefault="00922937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Zobowiązania kwalifikowalne niepodporządkowane wyłączonym zobowiązaniom wyemitowane przed dniem 27 czerwca 2019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r. (przed zastosowaniem ograniczenia)</w:t>
            </w:r>
          </w:p>
          <w:p w14:paraId="56BE4571" w14:textId="77777777" w:rsidR="009B2422" w:rsidRPr="00724359" w:rsidRDefault="009B2422" w:rsidP="009B242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5C7AEC52" w14:textId="77777777" w:rsidR="009B2422" w:rsidRPr="00724359" w:rsidRDefault="009B2422" w:rsidP="009B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Zobowiązania kwalifikowalne, które spełniają następujące warunki:</w:t>
            </w:r>
          </w:p>
          <w:p w14:paraId="72C8F1AF" w14:textId="772CA0B2" w:rsidR="009B2422" w:rsidRPr="00724359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zostały wyemitowane przed dniem 27 czerwca 2019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r.;</w:t>
            </w:r>
          </w:p>
          <w:p w14:paraId="21ECB5FF" w14:textId="2C1E10FB" w:rsidR="009B2422" w:rsidRPr="00724359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spełniają warunki przewidziane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45b dyrektywy 2014/59/UE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nie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są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peł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ni podporządkowane należnościom wynikającym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wył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ączonych zobowiązań,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rych mowa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72a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575/2013;</w:t>
            </w:r>
          </w:p>
          <w:p w14:paraId="110EAF03" w14:textId="68594828" w:rsidR="009B2422" w:rsidRPr="00724359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kwalifikują się jako zobowiązania kwalifikowalne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wyn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iku stosowania zasady praw nabytych określonego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494b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0E373313" w14:textId="0344D196" w:rsidR="003E4404" w:rsidRPr="00724359" w:rsidRDefault="003E4404" w:rsidP="005F39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  <w:p w14:paraId="7B5CC27B" w14:textId="77777777" w:rsidR="009B2422" w:rsidRPr="00724359" w:rsidRDefault="009B2422" w:rsidP="009B242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309DD1F6" w14:textId="730AFC17" w:rsidR="009B2422" w:rsidRPr="00724359" w:rsidRDefault="008E71C3" w:rsidP="009B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Zobowiązania kwalifikowalne, które spełniają następujące warunki:</w:t>
            </w:r>
          </w:p>
          <w:p w14:paraId="318C85C9" w14:textId="24FA777A" w:rsidR="009B2422" w:rsidRPr="00724359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zostały wyemitowane przed dniem 27 czerwca 2019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r.;</w:t>
            </w:r>
          </w:p>
          <w:p w14:paraId="76F54B6E" w14:textId="3D4C4B17" w:rsidR="009B2422" w:rsidRPr="00724359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spełniają wymogi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72a–72d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wyj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ątkiem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 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d) tego rozporządzenia,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iesieniu do których możliwe byłoby zezwolenie,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tego rozporządzenia, lub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iesieniu do których zezwolono,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575/2013;</w:t>
            </w:r>
          </w:p>
          <w:p w14:paraId="2DB1E71A" w14:textId="1574F631" w:rsidR="003312F4" w:rsidRPr="00724359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kwalifikują się jako zobowiązania kwalifikowalne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wyn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iku stosowania zasady praw nabytych określonego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494b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6639DB06" w14:textId="05CCA5DD" w:rsidR="009B2422" w:rsidRPr="00724359" w:rsidRDefault="00A150DD" w:rsidP="00A150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W przypadku gdy ma zastosowanie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 lub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494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podaje się pełną kwotę bez stosowania ograniczeń wynoszących odpowiednio 3,5 %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2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,5 %.</w:t>
            </w:r>
          </w:p>
        </w:tc>
      </w:tr>
      <w:tr w:rsidR="00026FC1" w:rsidRPr="00724359" w14:paraId="219A8816" w14:textId="77777777" w:rsidTr="00E46262">
        <w:tc>
          <w:tcPr>
            <w:tcW w:w="1030" w:type="dxa"/>
          </w:tcPr>
          <w:p w14:paraId="26CB4EA4" w14:textId="1E635F7F" w:rsidR="00021E4F" w:rsidRPr="00724359" w:rsidRDefault="00702377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14</w:t>
            </w:r>
          </w:p>
        </w:tc>
        <w:tc>
          <w:tcPr>
            <w:tcW w:w="7736" w:type="dxa"/>
          </w:tcPr>
          <w:p w14:paraId="6094B9AD" w14:textId="6EE1C807" w:rsidR="00021E4F" w:rsidRPr="00724359" w:rsidRDefault="00922937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Kwota niepodporządkowanych instrumentów zobowiązań kwalifikowalnych,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sownych przypadkach po zastosowaniu przepisów art.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</w:t>
            </w:r>
          </w:p>
          <w:p w14:paraId="78F7998F" w14:textId="77777777" w:rsidR="000C6F8C" w:rsidRPr="00724359" w:rsidRDefault="000C6F8C" w:rsidP="008E71C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02BBE4C9" w14:textId="31F29A31" w:rsidR="000C6F8C" w:rsidRPr="00724359" w:rsidRDefault="000C6F8C" w:rsidP="008E7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Wartość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musi równać się sumie wartości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rszach 13 i EU-13a.</w:t>
            </w:r>
          </w:p>
          <w:p w14:paraId="03898B83" w14:textId="77777777" w:rsidR="000C6F8C" w:rsidRPr="00724359" w:rsidRDefault="000C6F8C" w:rsidP="008E71C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34E50C43" w14:textId="4E1C8C67" w:rsidR="000C6F8C" w:rsidRPr="00724359" w:rsidRDefault="003E4404" w:rsidP="008E7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przypadku gdy ma zastosowanie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rszu tym przedstawia się sumę kwot ujawnionych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rszach 13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3a powyżej po zastosowaniu odpowiednio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494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2 tego rozporządzenia. </w:t>
            </w:r>
          </w:p>
          <w:p w14:paraId="5A30EA54" w14:textId="1023193B" w:rsidR="00021E4F" w:rsidRPr="00724359" w:rsidRDefault="000C6F8C" w:rsidP="0050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przypadku gdy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nie jest stosowany, ale podmiot korzysta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zas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tosowania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 wartość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musi równać się sumie wartości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rszach 13 i EU-13a.</w:t>
            </w:r>
          </w:p>
        </w:tc>
      </w:tr>
      <w:tr w:rsidR="00026FC1" w:rsidRPr="00724359" w14:paraId="329EB7E3" w14:textId="77777777" w:rsidTr="00E46262">
        <w:tc>
          <w:tcPr>
            <w:tcW w:w="1030" w:type="dxa"/>
          </w:tcPr>
          <w:p w14:paraId="0D278793" w14:textId="45736042" w:rsidR="00021E4F" w:rsidRPr="00724359" w:rsidRDefault="00702377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7736" w:type="dxa"/>
          </w:tcPr>
          <w:p w14:paraId="4088C906" w14:textId="78FD4FAE" w:rsidR="00021E4F" w:rsidRPr="00724359" w:rsidRDefault="00021E4F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Pozycje zobowiązań kwalifikowalnych przed korektą</w:t>
            </w:r>
          </w:p>
          <w:p w14:paraId="22690983" w14:textId="7E6D9223" w:rsidR="00021E4F" w:rsidRPr="00724359" w:rsidRDefault="00021E4F" w:rsidP="0050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Pozycje zobowiązań kwalifikowalnych przed korektą. Obliczane jako suma wierszy 12, EU-12a, EU-12b, EU-12c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4.</w:t>
            </w:r>
          </w:p>
        </w:tc>
      </w:tr>
      <w:tr w:rsidR="00633625" w:rsidRPr="00724359" w14:paraId="2D0BC40A" w14:textId="77777777" w:rsidTr="00E46262">
        <w:tc>
          <w:tcPr>
            <w:tcW w:w="1030" w:type="dxa"/>
          </w:tcPr>
          <w:p w14:paraId="2FC5E554" w14:textId="764C5877" w:rsidR="00633625" w:rsidRPr="00724359" w:rsidRDefault="00633625" w:rsidP="009153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EU-17a</w:t>
            </w:r>
          </w:p>
        </w:tc>
        <w:tc>
          <w:tcPr>
            <w:tcW w:w="7736" w:type="dxa"/>
          </w:tcPr>
          <w:p w14:paraId="1A128FD1" w14:textId="777C3B0A" w:rsidR="00633625" w:rsidRPr="00724359" w:rsidRDefault="00B80F7C" w:rsidP="009153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Pozycje zobowiązań kwalifikowalnych przed korektą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pozycje zobowiązań podporządkowanych</w:t>
            </w:r>
          </w:p>
          <w:p w14:paraId="4B5B9304" w14:textId="77777777" w:rsidR="002432DE" w:rsidRPr="00724359" w:rsidRDefault="002432DE" w:rsidP="00915305">
            <w:pP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szCs w:val="24"/>
                <w:u w:val="none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2089EA6F" w14:textId="58FA73EB" w:rsidR="00DB779A" w:rsidRPr="00724359" w:rsidRDefault="00DB779A" w:rsidP="00915305">
            <w:pPr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Zobowiązania kwalifikowalne włączone do</w:t>
            </w:r>
            <w:r w:rsidRPr="00724359">
              <w:rPr>
                <w:rFonts w:ascii="Times New Roman" w:hAnsi="Times New Roman"/>
                <w:sz w:val="24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dyrektywy 2014/59/UE, które są podporządkowanymi instrumentami kwalifikowalnymi zdefiniowanymi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71b tej dyrektywy, oraz zobowiązania wyemitowane przez jednostki zależne włączone do MREL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tej dyrektywy.</w:t>
            </w:r>
          </w:p>
          <w:p w14:paraId="69D83FC1" w14:textId="04081E4B" w:rsidR="003E4404" w:rsidRPr="00724359" w:rsidRDefault="003E4404" w:rsidP="00915305">
            <w:pPr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  <w:p w14:paraId="740C1237" w14:textId="77777777" w:rsidR="002432DE" w:rsidRPr="00724359" w:rsidRDefault="002432DE" w:rsidP="00915305">
            <w:pP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szCs w:val="24"/>
                <w:u w:val="none"/>
              </w:rPr>
            </w:pPr>
            <w:r w:rsidRPr="00724359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04429143" w14:textId="023CBEDF" w:rsidR="002432DE" w:rsidRPr="00724359" w:rsidRDefault="002432DE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Zobowiązania kwalifikowalne, które spełniają wszystkie wymogi przewidziane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72a–72d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lastRenderedPageBreak/>
              <w:t>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wył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ączeniem zobowiązań,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odn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iesieniu do których zezwolono, aby kwalifikowały się jako instrumenty zobowiązań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3 lub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 tego rozporządzenia.</w:t>
            </w:r>
          </w:p>
          <w:p w14:paraId="2EEECCE3" w14:textId="62D06DF7" w:rsidR="002432DE" w:rsidRPr="00724359" w:rsidRDefault="002432DE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 tym wierszu uwzględnia się zobowiązania podporządkowane, które są kwalifikowalne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wyn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iku zastosowania zasady praw nabytych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494b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zam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ortyzowaną część instrumentów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Tie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r II,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prz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ypadku których pozostały termin zapadalności jest dłuższy niż jeden rok (art.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72a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1 lit.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b)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575/2013).</w:t>
            </w:r>
          </w:p>
          <w:p w14:paraId="55FB8435" w14:textId="63FEC689" w:rsidR="002432DE" w:rsidRPr="00724359" w:rsidRDefault="002432DE" w:rsidP="00B62DC9">
            <w:pPr>
              <w:pStyle w:val="InstructionsText"/>
              <w:rPr>
                <w:noProof w:val="0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 xml:space="preserve">Obliczane jako suma wierszy </w:t>
            </w:r>
            <w:proofErr w:type="gramStart"/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12,EU</w:t>
            </w:r>
            <w:proofErr w:type="gramEnd"/>
            <w:r w:rsidRPr="00724359">
              <w:rPr>
                <w:rStyle w:val="FormatvorlageInstructionsTabelleText"/>
                <w:rFonts w:ascii="Times New Roman" w:hAnsi="Times New Roman"/>
                <w:noProof w:val="0"/>
                <w:sz w:val="24"/>
              </w:rPr>
              <w:t>-12a, EU-12b i EU-12c.</w:t>
            </w:r>
          </w:p>
        </w:tc>
      </w:tr>
      <w:tr w:rsidR="00026FC1" w:rsidRPr="00724359" w14:paraId="45424BEE" w14:textId="77777777" w:rsidTr="00E46262">
        <w:tc>
          <w:tcPr>
            <w:tcW w:w="1030" w:type="dxa"/>
          </w:tcPr>
          <w:p w14:paraId="747BC26F" w14:textId="022289A3" w:rsidR="00702377" w:rsidRPr="00724359" w:rsidRDefault="00702377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18</w:t>
            </w:r>
          </w:p>
        </w:tc>
        <w:tc>
          <w:tcPr>
            <w:tcW w:w="7736" w:type="dxa"/>
          </w:tcPr>
          <w:p w14:paraId="4ADF1782" w14:textId="524E1613" w:rsidR="00702377" w:rsidRPr="00724359" w:rsidRDefault="00702377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Pozycje funduszy własnych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owiązań kwalifikowalnych przed korektą</w:t>
            </w:r>
          </w:p>
          <w:p w14:paraId="151E44CE" w14:textId="6B556ED7" w:rsidR="00702377" w:rsidRPr="00724359" w:rsidRDefault="00702377" w:rsidP="0050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Pozycje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przed korektą. Obliczane poprzez dodanie wiersza 11 do wiersza 17.</w:t>
            </w:r>
          </w:p>
        </w:tc>
      </w:tr>
      <w:tr w:rsidR="00026FC1" w:rsidRPr="00724359" w14:paraId="74F69B7A" w14:textId="77777777" w:rsidTr="00E46262">
        <w:tc>
          <w:tcPr>
            <w:tcW w:w="1030" w:type="dxa"/>
          </w:tcPr>
          <w:p w14:paraId="1B67D30A" w14:textId="6055FAE6" w:rsidR="00702377" w:rsidRPr="00724359" w:rsidRDefault="00702377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7736" w:type="dxa"/>
          </w:tcPr>
          <w:p w14:paraId="7917D77C" w14:textId="418A5E70" w:rsidR="00702377" w:rsidRPr="00724359" w:rsidRDefault="00D413AD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(Odliczenie ekspozycji między grupami restrukturyzacji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rządkowanej likwidacji realizującymi strategię wielokrotnych punktów kontaktowych)</w:t>
            </w:r>
          </w:p>
          <w:p w14:paraId="36A58FE6" w14:textId="45D80DF4" w:rsidR="00A9426B" w:rsidRPr="00724359" w:rsidRDefault="00A9426B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Kwota ujemna</w:t>
            </w:r>
          </w:p>
          <w:p w14:paraId="0D579B89" w14:textId="23E14305" w:rsidR="00702377" w:rsidRPr="00724359" w:rsidRDefault="00702377" w:rsidP="00480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Odliczenia ekspozycji między grupami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likwidacji, do których należą globalne instytucje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systemowym, realizującymi strategię wielokrotnych punktów kontaktowych, które odpowiadają bezpośrednim, pośrednim lub syntetycznym udziałom kapitałowym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trumentach funduszy własnych lub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trumentach zobowiązań kwalifikowalnych jednej lub większej liczby jednostek zależnych, które nie należą do tej samej grupy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co podmiot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likwidacji,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72e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</w:tc>
      </w:tr>
      <w:tr w:rsidR="00026FC1" w:rsidRPr="00724359" w14:paraId="34D251D0" w14:textId="77777777" w:rsidTr="00E46262">
        <w:tc>
          <w:tcPr>
            <w:tcW w:w="1030" w:type="dxa"/>
          </w:tcPr>
          <w:p w14:paraId="33B786D1" w14:textId="62F68C2B" w:rsidR="00702377" w:rsidRPr="00724359" w:rsidRDefault="00D571F6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7736" w:type="dxa"/>
          </w:tcPr>
          <w:p w14:paraId="22BBBE31" w14:textId="488A040E" w:rsidR="00702377" w:rsidRPr="00724359" w:rsidRDefault="00D413AD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(Odliczenie inwestycji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inn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e instrumenty zobowiązań kwalifikowalnych)</w:t>
            </w:r>
          </w:p>
          <w:p w14:paraId="36E83D5C" w14:textId="77777777" w:rsidR="00A9426B" w:rsidRPr="00724359" w:rsidRDefault="00A9426B" w:rsidP="00A942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Kwota ujemna</w:t>
            </w:r>
          </w:p>
          <w:p w14:paraId="5109AFDE" w14:textId="3A888804" w:rsidR="00D36DC6" w:rsidRPr="00724359" w:rsidRDefault="00D36DC6" w:rsidP="00B24DB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160C4AD3" w14:textId="03FE9385" w:rsidR="00702377" w:rsidRPr="00724359" w:rsidRDefault="00702377" w:rsidP="00B24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Odliczenia inwestycji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inn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 instrumenty zobowiązań kwalifikowalnych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72e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1, 2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oraz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72f–72j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 Kwota podlegająca odliczeniu od pozycji zobowiązań kwalifikowalnych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czę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ścią drugą tytuł I rozdział 5a sekcja 2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58A38F14" w14:textId="027B8532" w:rsidR="00D36DC6" w:rsidRPr="00724359" w:rsidRDefault="00D36DC6" w:rsidP="00B24DB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MREL I TLAC</w:t>
            </w:r>
          </w:p>
          <w:p w14:paraId="131C0401" w14:textId="708C0EF4" w:rsidR="00BF16DB" w:rsidRPr="00724359" w:rsidRDefault="00BF16DB" w:rsidP="00B24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tym wierszu uwzględnia się również kwoty objęte zezwoleniem na wezwanie do sprzedaży, wykup, spłatę lub odkup instrumentów zobowiązań kwalifikowalnych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78a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jak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im jednostka ujawniająca informacje nie wykorzystała jeszcze tej kwoty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cel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u wezwania do sprzedaży, wykupu, spłaty lub odkupu instrumentów.</w:t>
            </w:r>
          </w:p>
        </w:tc>
      </w:tr>
      <w:tr w:rsidR="00026FC1" w:rsidRPr="00724359" w14:paraId="739A1A6D" w14:textId="77777777" w:rsidTr="00E46262">
        <w:tc>
          <w:tcPr>
            <w:tcW w:w="1030" w:type="dxa"/>
          </w:tcPr>
          <w:p w14:paraId="03995BED" w14:textId="59572D69" w:rsidR="00702377" w:rsidRPr="00724359" w:rsidRDefault="00D571F6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22</w:t>
            </w:r>
          </w:p>
        </w:tc>
        <w:tc>
          <w:tcPr>
            <w:tcW w:w="7736" w:type="dxa"/>
          </w:tcPr>
          <w:p w14:paraId="2D6851E4" w14:textId="35DBEBC3" w:rsidR="00702377" w:rsidRPr="00724359" w:rsidRDefault="000B4D72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po korekcie</w:t>
            </w:r>
          </w:p>
          <w:p w14:paraId="69BED263" w14:textId="715C0C71" w:rsidR="00702377" w:rsidRPr="00724359" w:rsidRDefault="00702377" w:rsidP="00A942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owiązania kwalifikowalne zdefiniowane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72l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 Obliczane jako suma wierszy 18, 19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0.</w:t>
            </w:r>
          </w:p>
          <w:p w14:paraId="5794043B" w14:textId="1C4A8682" w:rsidR="003E4404" w:rsidRPr="00724359" w:rsidRDefault="003E4404" w:rsidP="00A9426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0DCEFD91" w14:textId="444349DE" w:rsidR="005B765F" w:rsidRPr="00724359" w:rsidRDefault="005B765F" w:rsidP="005B765F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Kwotę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wliczającą się do MREL ujawnia się jako sumę:</w:t>
            </w:r>
          </w:p>
          <w:p w14:paraId="58E25068" w14:textId="5B342247" w:rsidR="005B765F" w:rsidRPr="00724359" w:rsidRDefault="005B765F" w:rsidP="00C477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funduszy własnych określonych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118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575/2013; </w:t>
            </w:r>
          </w:p>
          <w:p w14:paraId="7D33907A" w14:textId="53CE8AE7" w:rsidR="005B765F" w:rsidRPr="00724359" w:rsidRDefault="005B765F" w:rsidP="00C477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zobowiązań kwalifikowalnych zdefiniowanych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 2 ust. 1 pkt 71a dyrektywy 2014/59/UE.</w:t>
            </w:r>
          </w:p>
          <w:p w14:paraId="38858668" w14:textId="28E83CB3" w:rsidR="003E4404" w:rsidRPr="00724359" w:rsidRDefault="003E4404" w:rsidP="005F391D">
            <w:pPr>
              <w:spacing w:before="120" w:after="120" w:line="240" w:lineRule="auto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  <w:p w14:paraId="7E3B34F5" w14:textId="546FE87E" w:rsidR="003E4404" w:rsidRPr="00724359" w:rsidRDefault="003E4404" w:rsidP="005F391D">
            <w:pPr>
              <w:spacing w:before="120" w:after="120" w:line="240" w:lineRule="auto"/>
              <w:jc w:val="both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3E3A8B56" w14:textId="79619E47" w:rsidR="005B765F" w:rsidRPr="00724359" w:rsidRDefault="005B765F" w:rsidP="005B765F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Kwotą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wliczającą się do TLAC jest kwota,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rej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72l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575/2013, składająca się z:</w:t>
            </w:r>
          </w:p>
          <w:p w14:paraId="1CDBC2DF" w14:textId="5396841C" w:rsidR="00DB779A" w:rsidRPr="00724359" w:rsidRDefault="005B765F" w:rsidP="003D0BF6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funduszy własnych określonych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118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575/2013;</w:t>
            </w:r>
          </w:p>
          <w:p w14:paraId="3185C317" w14:textId="4971D523" w:rsidR="005B765F" w:rsidRPr="00724359" w:rsidRDefault="005B765F" w:rsidP="005B627B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zobowiązań kwalifikowalnych,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72k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633625" w:rsidRPr="00724359" w14:paraId="3C365839" w14:textId="77777777" w:rsidTr="00E46262">
        <w:tc>
          <w:tcPr>
            <w:tcW w:w="1030" w:type="dxa"/>
          </w:tcPr>
          <w:p w14:paraId="13AA7EE3" w14:textId="302E8B20" w:rsidR="00633625" w:rsidRPr="00724359" w:rsidRDefault="00633625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EU-22a</w:t>
            </w:r>
          </w:p>
        </w:tc>
        <w:tc>
          <w:tcPr>
            <w:tcW w:w="7736" w:type="dxa"/>
          </w:tcPr>
          <w:p w14:paraId="05DA41C9" w14:textId="7EFC624B" w:rsidR="00633625" w:rsidRPr="00724359" w:rsidRDefault="00633625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podporządkowane</w:t>
            </w:r>
          </w:p>
          <w:p w14:paraId="0ED27DF2" w14:textId="25FB0A4D" w:rsidR="00DB779A" w:rsidRPr="00724359" w:rsidRDefault="00DB779A" w:rsidP="00E06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owiązania kwalifikowalne</w:t>
            </w:r>
            <w:r w:rsidRPr="00724359">
              <w:rPr>
                <w:rFonts w:ascii="Times New Roman" w:hAnsi="Times New Roman"/>
                <w:sz w:val="24"/>
              </w:rPr>
              <w:t xml:space="preserve"> 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włączone do</w:t>
            </w:r>
            <w:r w:rsidRPr="00724359">
              <w:rPr>
                <w:rFonts w:ascii="Times New Roman" w:hAnsi="Times New Roman"/>
                <w:sz w:val="24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dyrektywy 2014/59/UE, które są podporządkowanymi instrumentami kwalifikowalnymi zdefiniowanymi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1 pkt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71b tej dyrektywy, oraz zobowiązania włączone do kwoty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zgodnie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3 dyrektywy 2014/59/UE.</w:t>
            </w:r>
          </w:p>
        </w:tc>
      </w:tr>
      <w:tr w:rsidR="00026FC1" w:rsidRPr="00724359" w14:paraId="129D2D8D" w14:textId="77777777" w:rsidTr="00E46262">
        <w:tc>
          <w:tcPr>
            <w:tcW w:w="1030" w:type="dxa"/>
          </w:tcPr>
          <w:p w14:paraId="1B5B041C" w14:textId="4E1F9AEC" w:rsidR="00702377" w:rsidRPr="00724359" w:rsidRDefault="00D571F6" w:rsidP="00CE0D4E">
            <w:pPr>
              <w:keepNext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23</w:t>
            </w:r>
          </w:p>
        </w:tc>
        <w:tc>
          <w:tcPr>
            <w:tcW w:w="7736" w:type="dxa"/>
          </w:tcPr>
          <w:p w14:paraId="0DB96856" w14:textId="3D3296F4" w:rsidR="00702377" w:rsidRPr="00724359" w:rsidRDefault="00702377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Łączna kwota ekspozycji na ryzyko (TREA)</w:t>
            </w:r>
          </w:p>
          <w:p w14:paraId="58889E7E" w14:textId="28E831AD" w:rsidR="008149F0" w:rsidRPr="00724359" w:rsidRDefault="00702377" w:rsidP="007E12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Łączna kwota ekspozycji na ryzyko grupy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18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 akapit drugi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1B151396" w14:textId="0194F434" w:rsidR="00702377" w:rsidRPr="00724359" w:rsidRDefault="008149F0" w:rsidP="00E54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Łączna kwota ekspozycji na ryzyko ujawniana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jest łączną kwotą ekspozycji na ryzyko, która stanowi podstawę spełnienia wymogów określonych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45 dyrektywy 2014/59/UE </w:t>
            </w:r>
            <w:proofErr w:type="gramStart"/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lub,</w:t>
            </w:r>
            <w:proofErr w:type="gramEnd"/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sto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sownych przypadkach,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92a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026FC1" w:rsidRPr="00724359" w14:paraId="28440368" w14:textId="77777777" w:rsidTr="00E46262">
        <w:tc>
          <w:tcPr>
            <w:tcW w:w="1030" w:type="dxa"/>
          </w:tcPr>
          <w:p w14:paraId="32E92C5A" w14:textId="7CF5EC98" w:rsidR="00702377" w:rsidRPr="00724359" w:rsidRDefault="00D571F6" w:rsidP="00702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7736" w:type="dxa"/>
          </w:tcPr>
          <w:p w14:paraId="36574007" w14:textId="1B8A459D" w:rsidR="00702377" w:rsidRPr="00724359" w:rsidRDefault="00516561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Miara ekspozycji całkowitej (TEM)</w:t>
            </w:r>
          </w:p>
          <w:p w14:paraId="778066F0" w14:textId="2B8B1457" w:rsidR="00702377" w:rsidRPr="00724359" w:rsidRDefault="00DB779A" w:rsidP="003D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45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2 lit.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b) dyrektywy 2014/59/UE miara ekspozycji całkowitej obliczona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429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429a rozporządzenia (UE) nr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575/2013.</w:t>
            </w:r>
          </w:p>
          <w:p w14:paraId="62A67E31" w14:textId="7E76D810" w:rsidR="008149F0" w:rsidRPr="00724359" w:rsidRDefault="008149F0" w:rsidP="00E54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Miara ekspozycji całkowitej zgłoszona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jest miarą ekspozycji całkowitej, która stanowi podstawę spełnienia wymogów ustanowionych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45 dyrektywy 2014/59/UE </w:t>
            </w:r>
            <w:proofErr w:type="gramStart"/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lub,</w:t>
            </w:r>
            <w:proofErr w:type="gramEnd"/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sto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sownych przypadkach,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92a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D571F6" w:rsidRPr="00724359" w14:paraId="13300665" w14:textId="77777777" w:rsidTr="00E46262">
        <w:tc>
          <w:tcPr>
            <w:tcW w:w="1030" w:type="dxa"/>
            <w:vAlign w:val="top"/>
          </w:tcPr>
          <w:p w14:paraId="0F988C86" w14:textId="06ED1881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736" w:type="dxa"/>
          </w:tcPr>
          <w:p w14:paraId="2C833139" w14:textId="0CE1DABC" w:rsidR="00D77E54" w:rsidRPr="00724359" w:rsidRDefault="00D571F6" w:rsidP="00DB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TREA</w:t>
            </w:r>
          </w:p>
          <w:p w14:paraId="7AB95F7A" w14:textId="01A6D1AD" w:rsidR="00DB779A" w:rsidRPr="00724359" w:rsidRDefault="00DB779A" w:rsidP="00DB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 celów tego wiersza kwotę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wliczającą się do MREL lub,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przypadkach, do TLAC należy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 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a) dyrektywy 2014/59/UE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wyrazić jako odsetek łącznej kwoty ekspozycji na ryzyko obliczonej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7EB8D0D2" w14:textId="458D8C7A" w:rsidR="00D571F6" w:rsidRPr="00724359" w:rsidRDefault="00E06D47" w:rsidP="00E0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22 przez wiersz 23.</w:t>
            </w:r>
          </w:p>
        </w:tc>
      </w:tr>
      <w:tr w:rsidR="00DD64EE" w:rsidRPr="00724359" w14:paraId="344FACA7" w14:textId="77777777" w:rsidTr="00E46262">
        <w:tc>
          <w:tcPr>
            <w:tcW w:w="1030" w:type="dxa"/>
            <w:vAlign w:val="top"/>
          </w:tcPr>
          <w:p w14:paraId="79C19FE6" w14:textId="5B9A3D69" w:rsidR="00DD64EE" w:rsidRPr="00724359" w:rsidRDefault="00DD64EE" w:rsidP="00DD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EU-25a</w:t>
            </w:r>
          </w:p>
        </w:tc>
        <w:tc>
          <w:tcPr>
            <w:tcW w:w="7736" w:type="dxa"/>
            <w:vAlign w:val="top"/>
          </w:tcPr>
          <w:p w14:paraId="29460D13" w14:textId="6ABA6F00" w:rsidR="00DD64EE" w:rsidRPr="00724359" w:rsidRDefault="00DD64EE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sz w:val="24"/>
              </w:rPr>
              <w:t>W tym fundusze własne</w:t>
            </w:r>
            <w:r w:rsidR="00724359" w:rsidRPr="00724359">
              <w:rPr>
                <w:rFonts w:ascii="Times New Roman" w:hAnsi="Times New Roman"/>
                <w:b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</w:t>
            </w:r>
            <w:r w:rsidRPr="00724359">
              <w:rPr>
                <w:rFonts w:ascii="Times New Roman" w:hAnsi="Times New Roman"/>
                <w:b/>
                <w:sz w:val="24"/>
              </w:rPr>
              <w:t xml:space="preserve"> podporządkowane</w:t>
            </w:r>
          </w:p>
          <w:p w14:paraId="3177CD5E" w14:textId="7D3AEE74" w:rsidR="00282ED2" w:rsidRPr="00724359" w:rsidRDefault="00DD64EE" w:rsidP="00DD6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 celów tego wiersza kwotę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pod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porządkowanych zobowiązań kwalifikowalnych wliczającą się do MREL należy wyrazić jako odsetek łącznej kwoty ekspozycji na ryzyko obliczonej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3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1420404E" w14:textId="486A4F7A" w:rsidR="00DD64EE" w:rsidRPr="00724359" w:rsidRDefault="00633625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22a przez wiersz 23.</w:t>
            </w:r>
          </w:p>
        </w:tc>
      </w:tr>
      <w:tr w:rsidR="00D571F6" w:rsidRPr="00724359" w14:paraId="36017B22" w14:textId="77777777" w:rsidTr="00E46262">
        <w:tc>
          <w:tcPr>
            <w:tcW w:w="1030" w:type="dxa"/>
            <w:vAlign w:val="top"/>
          </w:tcPr>
          <w:p w14:paraId="34721F24" w14:textId="1ACC2AE8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736" w:type="dxa"/>
          </w:tcPr>
          <w:p w14:paraId="36877A46" w14:textId="1C5E2A69" w:rsidR="00D571F6" w:rsidRPr="00724359" w:rsidRDefault="00D571F6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TEM</w:t>
            </w:r>
          </w:p>
          <w:p w14:paraId="00EB744D" w14:textId="23894251" w:rsidR="00F31CFB" w:rsidRPr="00724359" w:rsidRDefault="00F31CFB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 celów tego wiersza kwotę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wliczającą się do MREL lub,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przypadkach, do TLAC należy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45 ust. 2 lit. b) dyrektywy 2014/59/UE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92a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575/2013 wyrazić jako odsetek miary 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ekspozycji całkowitej obliczonej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429 ust. 4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429a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4625DFA4" w14:textId="11EAD745" w:rsidR="00D571F6" w:rsidRPr="00724359" w:rsidRDefault="00F31CFB" w:rsidP="00F31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22 przez wiersz 24.</w:t>
            </w:r>
          </w:p>
        </w:tc>
      </w:tr>
      <w:tr w:rsidR="00DD64EE" w:rsidRPr="00724359" w14:paraId="6226AC49" w14:textId="77777777" w:rsidTr="00E46262">
        <w:tc>
          <w:tcPr>
            <w:tcW w:w="1030" w:type="dxa"/>
          </w:tcPr>
          <w:p w14:paraId="0551FE26" w14:textId="5A7C8577" w:rsidR="00DD64EE" w:rsidRPr="00724359" w:rsidRDefault="00DD64EE" w:rsidP="00DD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lastRenderedPageBreak/>
              <w:t>EU-26a</w:t>
            </w:r>
          </w:p>
        </w:tc>
        <w:tc>
          <w:tcPr>
            <w:tcW w:w="7736" w:type="dxa"/>
          </w:tcPr>
          <w:p w14:paraId="20A52E81" w14:textId="512AE760" w:rsidR="00DD64EE" w:rsidRPr="00724359" w:rsidRDefault="00DD64EE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sz w:val="24"/>
              </w:rPr>
              <w:t>W tym fundusze własne</w:t>
            </w:r>
            <w:r w:rsidR="00724359" w:rsidRPr="00724359">
              <w:rPr>
                <w:rFonts w:ascii="Times New Roman" w:hAnsi="Times New Roman"/>
                <w:b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</w:t>
            </w:r>
            <w:r w:rsidRPr="00724359">
              <w:rPr>
                <w:rFonts w:ascii="Times New Roman" w:hAnsi="Times New Roman"/>
                <w:b/>
                <w:sz w:val="24"/>
              </w:rPr>
              <w:t xml:space="preserve"> podporządkowane</w:t>
            </w:r>
          </w:p>
          <w:p w14:paraId="45B16E43" w14:textId="51516B58" w:rsidR="00CF449E" w:rsidRPr="00724359" w:rsidRDefault="00CF449E" w:rsidP="001B5D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 celów tego wiersza kwotę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pod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porządkowanych zobowiązań kwalifikowalnych wliczającą się do MREL należy wyrazić jako odsetek miary ekspozycji całkowitej obliczonej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429 ust. 4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429a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358FA12B" w14:textId="445A7C3B" w:rsidR="00633625" w:rsidRPr="00724359" w:rsidRDefault="00633625" w:rsidP="001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22a przez wiersz 24.</w:t>
            </w:r>
          </w:p>
        </w:tc>
      </w:tr>
      <w:tr w:rsidR="00D571F6" w:rsidRPr="00724359" w14:paraId="097C48C9" w14:textId="77777777" w:rsidTr="00E46262">
        <w:tc>
          <w:tcPr>
            <w:tcW w:w="1030" w:type="dxa"/>
            <w:vAlign w:val="top"/>
          </w:tcPr>
          <w:p w14:paraId="71DD980C" w14:textId="7575C305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736" w:type="dxa"/>
          </w:tcPr>
          <w:p w14:paraId="5D1EF640" w14:textId="01EE8C4E" w:rsidR="00D571F6" w:rsidRPr="00724359" w:rsidRDefault="00D571F6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Kapitał podstawowy Tier I (wyrażony jako odsetek TREA) dostępny po spełnieniu wymogów grupy restrukturyzacji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rządkowanej likwidacji</w:t>
            </w:r>
          </w:p>
          <w:p w14:paraId="0227909F" w14:textId="08E82221" w:rsidR="00A47BCD" w:rsidRPr="00724359" w:rsidRDefault="00A47BCD" w:rsidP="00B62DC9">
            <w:pPr>
              <w:pStyle w:val="InstructionsText"/>
              <w:rPr>
                <w:rFonts w:eastAsiaTheme="minorEastAsia"/>
                <w:noProof w:val="0"/>
              </w:rPr>
            </w:pPr>
            <w:r w:rsidRPr="00724359">
              <w:rPr>
                <w:noProof w:val="0"/>
              </w:rPr>
              <w:t>Kwota kapitału podstawowego Tier I, wyrażona jako odsetek łącznej kwoty ekspozycji na ryzyko, równa zeru lub dodatnia, dostępna po spełnieniu każdego</w:t>
            </w:r>
            <w:r w:rsidR="00724359" w:rsidRPr="00724359">
              <w:rPr>
                <w:noProof w:val="0"/>
              </w:rPr>
              <w:t xml:space="preserve"> z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wym</w:t>
            </w:r>
            <w:r w:rsidRPr="00724359">
              <w:rPr>
                <w:noProof w:val="0"/>
              </w:rPr>
              <w:t>ogów,</w:t>
            </w:r>
            <w:r w:rsidR="00724359" w:rsidRPr="00724359">
              <w:rPr>
                <w:noProof w:val="0"/>
              </w:rPr>
              <w:t xml:space="preserve"> o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któ</w:t>
            </w:r>
            <w:r w:rsidRPr="00724359">
              <w:rPr>
                <w:noProof w:val="0"/>
              </w:rPr>
              <w:t>rych mowa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art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141a akapit pierwszy lit.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a), b) i c) dyrektywy 2013/36/UE,</w:t>
            </w:r>
            <w:r w:rsidR="00724359" w:rsidRPr="00724359">
              <w:rPr>
                <w:noProof w:val="0"/>
              </w:rPr>
              <w:t xml:space="preserve"> i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wyż</w:t>
            </w:r>
            <w:r w:rsidRPr="00724359">
              <w:rPr>
                <w:noProof w:val="0"/>
              </w:rPr>
              <w:t>sza od wartości:</w:t>
            </w:r>
          </w:p>
          <w:p w14:paraId="42E3D4EA" w14:textId="3AB9F56C" w:rsidR="00A47BCD" w:rsidRPr="00724359" w:rsidRDefault="00A47BCD" w:rsidP="00B62DC9">
            <w:pPr>
              <w:pStyle w:val="InstructionsText"/>
              <w:rPr>
                <w:rFonts w:eastAsiaTheme="minorEastAsia"/>
                <w:noProof w:val="0"/>
              </w:rPr>
            </w:pPr>
            <w:r w:rsidRPr="00724359">
              <w:rPr>
                <w:noProof w:val="0"/>
              </w:rPr>
              <w:t>a)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sto</w:t>
            </w:r>
            <w:r w:rsidRPr="00724359">
              <w:rPr>
                <w:noProof w:val="0"/>
              </w:rPr>
              <w:t>sownych przypadkach – wymogu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zak</w:t>
            </w:r>
            <w:r w:rsidRPr="00724359">
              <w:rPr>
                <w:noProof w:val="0"/>
              </w:rPr>
              <w:t>resie funduszy własnych</w:t>
            </w:r>
            <w:r w:rsidR="00724359" w:rsidRPr="00724359">
              <w:rPr>
                <w:noProof w:val="0"/>
              </w:rPr>
              <w:t xml:space="preserve"> i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zob</w:t>
            </w:r>
            <w:r w:rsidRPr="00724359">
              <w:rPr>
                <w:noProof w:val="0"/>
              </w:rPr>
              <w:t>owiązań kwalifikowalnych dotyczącego globalnych instytucji</w:t>
            </w:r>
            <w:r w:rsidR="00724359" w:rsidRPr="00724359">
              <w:rPr>
                <w:noProof w:val="0"/>
              </w:rPr>
              <w:t xml:space="preserve"> o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zna</w:t>
            </w:r>
            <w:r w:rsidRPr="00724359">
              <w:rPr>
                <w:noProof w:val="0"/>
              </w:rPr>
              <w:t>czeniu systemowym określonego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art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92a rozporządzenia (UE) nr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575/2013, jeżeli został obliczony zgodnie</w:t>
            </w:r>
            <w:r w:rsidR="00724359" w:rsidRPr="00724359">
              <w:rPr>
                <w:noProof w:val="0"/>
              </w:rPr>
              <w:t xml:space="preserve"> z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ust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1 lit.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 xml:space="preserve">a) tego artykułu; oraz </w:t>
            </w:r>
          </w:p>
          <w:p w14:paraId="396BF4D8" w14:textId="2559BFEB" w:rsidR="00A47BCD" w:rsidRPr="00724359" w:rsidRDefault="00A47BCD" w:rsidP="00B62DC9">
            <w:pPr>
              <w:pStyle w:val="InstructionsText"/>
              <w:rPr>
                <w:rFonts w:eastAsiaTheme="minorEastAsia"/>
                <w:noProof w:val="0"/>
              </w:rPr>
            </w:pPr>
            <w:r w:rsidRPr="00724359">
              <w:rPr>
                <w:noProof w:val="0"/>
              </w:rPr>
              <w:t>b) minimalnego wymogu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zak</w:t>
            </w:r>
            <w:r w:rsidRPr="00724359">
              <w:rPr>
                <w:noProof w:val="0"/>
              </w:rPr>
              <w:t>resie funduszy własnych</w:t>
            </w:r>
            <w:r w:rsidR="00724359" w:rsidRPr="00724359">
              <w:rPr>
                <w:noProof w:val="0"/>
              </w:rPr>
              <w:t xml:space="preserve"> i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zob</w:t>
            </w:r>
            <w:r w:rsidRPr="00724359">
              <w:rPr>
                <w:noProof w:val="0"/>
              </w:rPr>
              <w:t>owiązań kwalifikowalnych ustanowionego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art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45 dyrektywy 2014/59/UE, jeżeli został obliczony zgodnie</w:t>
            </w:r>
            <w:r w:rsidR="00724359" w:rsidRPr="00724359">
              <w:rPr>
                <w:noProof w:val="0"/>
              </w:rPr>
              <w:t xml:space="preserve"> z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ust</w:t>
            </w:r>
            <w:r w:rsidRPr="00724359">
              <w:rPr>
                <w:noProof w:val="0"/>
              </w:rPr>
              <w:t>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2 lit.</w:t>
            </w:r>
            <w:r w:rsidR="00724359" w:rsidRPr="00724359">
              <w:rPr>
                <w:noProof w:val="0"/>
              </w:rPr>
              <w:t> </w:t>
            </w:r>
            <w:r w:rsidRPr="00724359">
              <w:rPr>
                <w:noProof w:val="0"/>
              </w:rPr>
              <w:t>a) tego artykułu.</w:t>
            </w:r>
          </w:p>
          <w:p w14:paraId="7D9CD928" w14:textId="77777777" w:rsidR="00A47BCD" w:rsidRPr="00724359" w:rsidRDefault="00A47BCD" w:rsidP="00B62DC9">
            <w:pPr>
              <w:pStyle w:val="InstructionsText"/>
              <w:rPr>
                <w:rFonts w:eastAsiaTheme="minorEastAsia"/>
                <w:noProof w:val="0"/>
              </w:rPr>
            </w:pPr>
          </w:p>
          <w:p w14:paraId="0543D9CF" w14:textId="22EDB376" w:rsidR="00A47BCD" w:rsidRPr="00724359" w:rsidRDefault="00A47BCD" w:rsidP="00B62DC9">
            <w:pPr>
              <w:pStyle w:val="InstructionsText"/>
              <w:rPr>
                <w:rFonts w:eastAsiaTheme="minorEastAsia"/>
                <w:noProof w:val="0"/>
              </w:rPr>
            </w:pPr>
            <w:r w:rsidRPr="00724359">
              <w:rPr>
                <w:noProof w:val="0"/>
              </w:rPr>
              <w:t>Ujawniona liczba musi być taka sama zarówno</w:t>
            </w:r>
            <w:r w:rsidR="00724359" w:rsidRPr="00724359">
              <w:rPr>
                <w:noProof w:val="0"/>
              </w:rPr>
              <w:t xml:space="preserve"> 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kol</w:t>
            </w:r>
            <w:r w:rsidRPr="00724359">
              <w:rPr>
                <w:noProof w:val="0"/>
              </w:rPr>
              <w:t>umnie dotyczącej MREL, jak</w:t>
            </w:r>
            <w:r w:rsidR="00724359" w:rsidRPr="00724359">
              <w:rPr>
                <w:noProof w:val="0"/>
              </w:rPr>
              <w:t xml:space="preserve"> i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w</w:t>
            </w:r>
            <w:r w:rsidR="00724359">
              <w:rPr>
                <w:noProof w:val="0"/>
              </w:rPr>
              <w:t> </w:t>
            </w:r>
            <w:r w:rsidR="00724359" w:rsidRPr="00724359">
              <w:rPr>
                <w:noProof w:val="0"/>
              </w:rPr>
              <w:t>kol</w:t>
            </w:r>
            <w:r w:rsidRPr="00724359">
              <w:rPr>
                <w:noProof w:val="0"/>
              </w:rPr>
              <w:t>umnie odnoszącej się do TLAC.</w:t>
            </w:r>
          </w:p>
          <w:p w14:paraId="7018FBAF" w14:textId="5BF03B2F" w:rsidR="00D571F6" w:rsidRPr="00724359" w:rsidRDefault="00A47BCD" w:rsidP="00940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Uwzględnia się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nie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j skutek przepisów przejściowych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kwalifikowalnych, łączną kwotę ekspozycji na ryzyko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sam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 wymogi. Nie bierze się pod uwagę ani wytycznych dotyczących dodatkowych funduszy własnych,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rych mowa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104b dyrektywy 2013/36/UE, ani wymogu połączonego bufora określonego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128 akapit pierwszy pkt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 tej dyrektywy.</w:t>
            </w:r>
          </w:p>
        </w:tc>
      </w:tr>
      <w:tr w:rsidR="00D571F6" w:rsidRPr="00724359" w14:paraId="015114DE" w14:textId="77777777" w:rsidTr="00E46262">
        <w:tc>
          <w:tcPr>
            <w:tcW w:w="1030" w:type="dxa"/>
            <w:vAlign w:val="top"/>
          </w:tcPr>
          <w:p w14:paraId="67C0B6E2" w14:textId="23ADC5ED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736" w:type="dxa"/>
          </w:tcPr>
          <w:p w14:paraId="725380F6" w14:textId="27172D98" w:rsidR="00D571F6" w:rsidRPr="00724359" w:rsidRDefault="00D571F6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Wymóg połączonego bufora specyficznego dla instytucji </w:t>
            </w:r>
          </w:p>
          <w:p w14:paraId="4829A94F" w14:textId="6A8E9F80" w:rsidR="00D571F6" w:rsidRPr="00724359" w:rsidRDefault="00D571F6" w:rsidP="00940D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Wymóg połączonego bufora specyficznego dla instytucji zdefiniowany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128 akapit pierwszy pkt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 dyrektywy 2013/36/UE, wyrażony jako odsetek łącznej kwoty ekspozycji na ryzyko, mający zastosowanie do grupy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aka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pitem pierwszym pkt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 tego artykułu.</w:t>
            </w:r>
          </w:p>
        </w:tc>
      </w:tr>
      <w:tr w:rsidR="00D571F6" w:rsidRPr="00724359" w14:paraId="0D814418" w14:textId="77777777" w:rsidTr="00E46262">
        <w:tc>
          <w:tcPr>
            <w:tcW w:w="1030" w:type="dxa"/>
            <w:vAlign w:val="top"/>
          </w:tcPr>
          <w:p w14:paraId="2D747295" w14:textId="712C6D78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7736" w:type="dxa"/>
            <w:vAlign w:val="top"/>
          </w:tcPr>
          <w:p w14:paraId="793F80F0" w14:textId="2EFAEECF" w:rsidR="00D571F6" w:rsidRPr="00724359" w:rsidRDefault="00B80F7C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połączonego bufora specyficznego dla instytucji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wymóg utrzymywania bufora zabezpieczającego </w:t>
            </w:r>
          </w:p>
          <w:p w14:paraId="5C784879" w14:textId="40A880B0" w:rsidR="00D571F6" w:rsidRPr="00724359" w:rsidRDefault="00D571F6" w:rsidP="009B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Kwota specyficznego dla instytucji połączonego bufora (wyrażona jako odsetek łącznej kwoty ekspozycji na ryzyko), która odnosi się do wymogu utrzymywania bufora zabezpieczającego.</w:t>
            </w:r>
          </w:p>
        </w:tc>
      </w:tr>
      <w:tr w:rsidR="00D571F6" w:rsidRPr="00724359" w14:paraId="63B8627F" w14:textId="77777777" w:rsidTr="00E46262">
        <w:tc>
          <w:tcPr>
            <w:tcW w:w="1030" w:type="dxa"/>
            <w:vAlign w:val="top"/>
          </w:tcPr>
          <w:p w14:paraId="68373BD4" w14:textId="0AC3FF61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736" w:type="dxa"/>
            <w:vAlign w:val="top"/>
          </w:tcPr>
          <w:p w14:paraId="369B9330" w14:textId="427CB39A" w:rsidR="00D571F6" w:rsidRPr="00724359" w:rsidRDefault="00B80F7C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połączonego bufora specyficznego dla instytucji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wymóg utrzymywania bufora antycyklicznego </w:t>
            </w:r>
          </w:p>
          <w:p w14:paraId="6E30DDC3" w14:textId="72487262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Kwota specyficznego dla instytucji połączonego bufora (wyrażona jako odsetek łącznej kwoty ekspozycji na ryzyko), która odnosi się do wymogu utrzymywania bufora antycyklicznego.</w:t>
            </w:r>
          </w:p>
        </w:tc>
      </w:tr>
      <w:tr w:rsidR="00D571F6" w:rsidRPr="00724359" w14:paraId="780D8179" w14:textId="77777777" w:rsidTr="00E46262">
        <w:tc>
          <w:tcPr>
            <w:tcW w:w="1030" w:type="dxa"/>
            <w:vAlign w:val="top"/>
          </w:tcPr>
          <w:p w14:paraId="4011938A" w14:textId="6723E0C3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736" w:type="dxa"/>
            <w:vAlign w:val="top"/>
          </w:tcPr>
          <w:p w14:paraId="40BC9FBF" w14:textId="6EDDC61E" w:rsidR="00D571F6" w:rsidRPr="00724359" w:rsidRDefault="00B80F7C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połączonego bufora specyficznego dla instytucji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wymóg utrzymywania bufora ryzyka systemowego </w:t>
            </w:r>
          </w:p>
          <w:p w14:paraId="2538331C" w14:textId="1E3B6906" w:rsidR="00D571F6" w:rsidRPr="00724359" w:rsidRDefault="00D571F6" w:rsidP="009B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Kwota specyficznego dla instytucji połączonego bufora (wyrażona jako odsetek łącznej kwoty ekspozycji na ryzyko), która odnosi się do wymogu utrzymywania bufora ryzyka systemowego.</w:t>
            </w:r>
          </w:p>
        </w:tc>
      </w:tr>
      <w:tr w:rsidR="00D571F6" w:rsidRPr="00724359" w14:paraId="2321A559" w14:textId="77777777" w:rsidTr="00E46262">
        <w:tc>
          <w:tcPr>
            <w:tcW w:w="1030" w:type="dxa"/>
            <w:vAlign w:val="top"/>
          </w:tcPr>
          <w:p w14:paraId="5B6DF329" w14:textId="537A82C8" w:rsidR="00D571F6" w:rsidRPr="00724359" w:rsidRDefault="00D571F6" w:rsidP="00D571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EU-31a</w:t>
            </w:r>
          </w:p>
        </w:tc>
        <w:tc>
          <w:tcPr>
            <w:tcW w:w="7736" w:type="dxa"/>
            <w:vAlign w:val="top"/>
          </w:tcPr>
          <w:p w14:paraId="2ACB2A11" w14:textId="1C3AF5CD" w:rsidR="00D571F6" w:rsidRPr="00724359" w:rsidRDefault="00B80F7C" w:rsidP="00D571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połączonego bufora specyficznego dla instytucji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bufor globalnych instytucji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czeniu systemowym lub innych instytucji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czeniu systemowym</w:t>
            </w:r>
          </w:p>
          <w:p w14:paraId="6700C20F" w14:textId="6E823640" w:rsidR="00D571F6" w:rsidRPr="00724359" w:rsidRDefault="00D571F6" w:rsidP="00563C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Kwota specyficznego dla instytucji połączonego bufora (wyrażona jako odsetek łącznej kwoty ekspozycji na ryzyko), która odnosi się do wymogu utrzymywania bufora globalnych instytucji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zna</w:t>
            </w:r>
            <w:r w:rsidRPr="00724359">
              <w:rPr>
                <w:rFonts w:ascii="Times New Roman" w:hAnsi="Times New Roman"/>
                <w:sz w:val="24"/>
              </w:rPr>
              <w:t>czeniu systemowym lub innych instytucji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zna</w:t>
            </w:r>
            <w:r w:rsidRPr="00724359">
              <w:rPr>
                <w:rFonts w:ascii="Times New Roman" w:hAnsi="Times New Roman"/>
                <w:sz w:val="24"/>
              </w:rPr>
              <w:t>czeniu systemowym.</w:t>
            </w:r>
          </w:p>
        </w:tc>
      </w:tr>
      <w:tr w:rsidR="0023278E" w:rsidRPr="00724359" w14:paraId="08100425" w14:textId="77777777" w:rsidTr="00E46262">
        <w:tc>
          <w:tcPr>
            <w:tcW w:w="1030" w:type="dxa"/>
            <w:vAlign w:val="top"/>
          </w:tcPr>
          <w:p w14:paraId="6C04F598" w14:textId="5E33E643" w:rsidR="0023278E" w:rsidRPr="00724359" w:rsidRDefault="0023278E" w:rsidP="002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EU-32</w:t>
            </w:r>
          </w:p>
        </w:tc>
        <w:tc>
          <w:tcPr>
            <w:tcW w:w="7736" w:type="dxa"/>
            <w:vAlign w:val="top"/>
          </w:tcPr>
          <w:p w14:paraId="154EB8B0" w14:textId="337A747E" w:rsidR="0023278E" w:rsidRPr="00724359" w:rsidRDefault="0023278E" w:rsidP="002327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Łączna kwota wyłączonych zobowiązań,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rych mowa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72a ust.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2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</w:t>
            </w:r>
          </w:p>
        </w:tc>
      </w:tr>
    </w:tbl>
    <w:p w14:paraId="79FEC8BB" w14:textId="62B56B05" w:rsidR="005C7641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88" w:name="_Toc14769121"/>
      <w:bookmarkStart w:id="189" w:name="_Toc14769395"/>
      <w:bookmarkStart w:id="190" w:name="_Toc14769942"/>
      <w:bookmarkStart w:id="191" w:name="_Toc14770212"/>
      <w:bookmarkStart w:id="192" w:name="_Toc14771101"/>
      <w:bookmarkStart w:id="193" w:name="_Toc14771761"/>
      <w:bookmarkStart w:id="194" w:name="_Toc14769169"/>
      <w:bookmarkStart w:id="195" w:name="_Toc14769443"/>
      <w:bookmarkStart w:id="196" w:name="_Toc14769990"/>
      <w:bookmarkStart w:id="197" w:name="_Toc14770260"/>
      <w:bookmarkStart w:id="198" w:name="_Toc14771149"/>
      <w:bookmarkStart w:id="199" w:name="_Toc14771809"/>
      <w:bookmarkStart w:id="200" w:name="_Toc14769201"/>
      <w:bookmarkStart w:id="201" w:name="_Toc14769475"/>
      <w:bookmarkStart w:id="202" w:name="_Toc14770022"/>
      <w:bookmarkStart w:id="203" w:name="_Toc14770292"/>
      <w:bookmarkStart w:id="204" w:name="_Toc14771181"/>
      <w:bookmarkStart w:id="205" w:name="_Toc14771841"/>
      <w:bookmarkStart w:id="206" w:name="_Toc14770784"/>
      <w:bookmarkStart w:id="207" w:name="_Toc45266928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724359">
        <w:rPr>
          <w:rFonts w:ascii="Times New Roman" w:hAnsi="Times New Roman"/>
          <w:color w:val="auto"/>
          <w:sz w:val="24"/>
        </w:rPr>
        <w:t>4.</w:t>
      </w:r>
      <w:r w:rsidRPr="00724359">
        <w:rPr>
          <w:rFonts w:ascii="Times New Roman" w:hAnsi="Times New Roman"/>
          <w:color w:val="auto"/>
          <w:sz w:val="24"/>
        </w:rPr>
        <w:tab/>
        <w:t>EU ILAC: Wewnętrzna zdolność do pokrycia strat: wewnętrzny MREL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w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sto</w:t>
      </w:r>
      <w:r w:rsidRPr="00724359">
        <w:rPr>
          <w:rFonts w:ascii="Times New Roman" w:hAnsi="Times New Roman"/>
          <w:color w:val="auto"/>
          <w:sz w:val="24"/>
        </w:rPr>
        <w:t>sownych przypadkach wymóg</w:t>
      </w:r>
      <w:r w:rsidR="00724359" w:rsidRPr="00724359">
        <w:rPr>
          <w:rFonts w:ascii="Times New Roman" w:hAnsi="Times New Roman"/>
          <w:color w:val="auto"/>
          <w:sz w:val="24"/>
        </w:rPr>
        <w:t xml:space="preserve"> w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zak</w:t>
      </w:r>
      <w:r w:rsidRPr="00724359">
        <w:rPr>
          <w:rFonts w:ascii="Times New Roman" w:hAnsi="Times New Roman"/>
          <w:color w:val="auto"/>
          <w:sz w:val="24"/>
        </w:rPr>
        <w:t>resie funduszy własnych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zob</w:t>
      </w:r>
      <w:r w:rsidRPr="00724359">
        <w:rPr>
          <w:rFonts w:ascii="Times New Roman" w:hAnsi="Times New Roman"/>
          <w:color w:val="auto"/>
          <w:sz w:val="24"/>
        </w:rPr>
        <w:t>owiązań kwalifikowalnych dotyczący globalnych instytucji</w:t>
      </w:r>
      <w:r w:rsidR="00724359" w:rsidRPr="00724359">
        <w:rPr>
          <w:rFonts w:ascii="Times New Roman" w:hAnsi="Times New Roman"/>
          <w:color w:val="auto"/>
          <w:sz w:val="24"/>
        </w:rPr>
        <w:t xml:space="preserve"> o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zna</w:t>
      </w:r>
      <w:r w:rsidRPr="00724359">
        <w:rPr>
          <w:rFonts w:ascii="Times New Roman" w:hAnsi="Times New Roman"/>
          <w:color w:val="auto"/>
          <w:sz w:val="24"/>
        </w:rPr>
        <w:t>czeniu systemowym spoza UE</w:t>
      </w:r>
      <w:bookmarkStart w:id="208" w:name="_Toc14770785"/>
      <w:bookmarkEnd w:id="206"/>
      <w:bookmarkEnd w:id="208"/>
      <w:r w:rsidRPr="00724359">
        <w:rPr>
          <w:rFonts w:ascii="Times New Roman" w:hAnsi="Times New Roman"/>
          <w:color w:val="auto"/>
          <w:sz w:val="24"/>
        </w:rPr>
        <w:t xml:space="preserve"> (wewnętrzna TLAC)</w:t>
      </w:r>
      <w:bookmarkEnd w:id="207"/>
    </w:p>
    <w:p w14:paraId="4B755467" w14:textId="0350E999" w:rsidR="00413CCD" w:rsidRPr="00724359" w:rsidRDefault="00413CCD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W tym wzorze ujawnia się fundusze własne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owiązania kwalifikowalne podmiotów, które same nie są podmiotami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likwidacji, do celów wymogu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45f dyrektywy 2014/59/UE (wewnętrznego MREL), jak również do celów wymogu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kwalifikowalnych dotyczącego globalnych instytucji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zna</w:t>
      </w:r>
      <w:r w:rsidRPr="00724359">
        <w:rPr>
          <w:noProof w:val="0"/>
        </w:rPr>
        <w:t>czeniu systemowym spoza UE mającego zastosowanie do istotnych jednostek zależnych globalnych instytucji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zna</w:t>
      </w:r>
      <w:r w:rsidRPr="00724359">
        <w:rPr>
          <w:noProof w:val="0"/>
        </w:rPr>
        <w:t>czeniu systemowym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pań</w:t>
      </w:r>
      <w:r w:rsidRPr="00724359">
        <w:rPr>
          <w:noProof w:val="0"/>
        </w:rPr>
        <w:t>stw trzecich ustanowionego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92b rozporządzenia (UE) nr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575/2013 (wewnętrznej TLAC).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FF6326" w:rsidRPr="00724359" w14:paraId="4BB456DC" w14:textId="77777777" w:rsidTr="00F42DCD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0BD997C3" w14:textId="77777777" w:rsidR="00FF6326" w:rsidRPr="00724359" w:rsidRDefault="00FF6326" w:rsidP="00F4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Kolumny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59FBA21" w14:textId="6BBB5485" w:rsidR="00FF6326" w:rsidRPr="00724359" w:rsidRDefault="00E46262" w:rsidP="00F4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FF6326" w:rsidRPr="00724359" w14:paraId="4D038DE2" w14:textId="77777777" w:rsidTr="00F42DCD">
        <w:trPr>
          <w:trHeight w:val="637"/>
        </w:trPr>
        <w:tc>
          <w:tcPr>
            <w:tcW w:w="1384" w:type="dxa"/>
          </w:tcPr>
          <w:p w14:paraId="60750BB7" w14:textId="77777777" w:rsidR="00FF6326" w:rsidRPr="00724359" w:rsidDel="00DE6BC1" w:rsidRDefault="00FF6326" w:rsidP="00F42DCD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054F4480" w14:textId="38CF0A80" w:rsidR="00FF6326" w:rsidRPr="00724359" w:rsidRDefault="00CB1021" w:rsidP="00F90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ujawniają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tej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kolumnie istotne informacje na temat wewnętrznego MREL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5f dyrektywy 2014/59/UE.</w:t>
            </w:r>
          </w:p>
        </w:tc>
      </w:tr>
      <w:tr w:rsidR="00FF6326" w:rsidRPr="00724359" w14:paraId="1546A396" w14:textId="77777777" w:rsidTr="00F42DCD">
        <w:trPr>
          <w:trHeight w:val="637"/>
        </w:trPr>
        <w:tc>
          <w:tcPr>
            <w:tcW w:w="1384" w:type="dxa"/>
          </w:tcPr>
          <w:p w14:paraId="1C66F776" w14:textId="7AB435E5" w:rsidR="00FF6326" w:rsidRPr="00724359" w:rsidDel="00DE6BC1" w:rsidRDefault="00F90B2E" w:rsidP="00F90B2E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b</w:t>
            </w:r>
          </w:p>
        </w:tc>
        <w:tc>
          <w:tcPr>
            <w:tcW w:w="7655" w:type="dxa"/>
          </w:tcPr>
          <w:p w14:paraId="353033F9" w14:textId="16F20250" w:rsidR="00FF6326" w:rsidRPr="00724359" w:rsidRDefault="00CB1021" w:rsidP="00F90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Podmioty będące istotnymi jednostkami zależnymi globalnych instytucji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 spoza UE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ujawniają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tej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kolumnie istotne informacje na temat wewnętrznej TLAC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575/2013. </w:t>
            </w:r>
          </w:p>
        </w:tc>
      </w:tr>
      <w:tr w:rsidR="00FF6326" w:rsidRPr="00724359" w14:paraId="22E6AD38" w14:textId="77777777" w:rsidTr="00F42DCD">
        <w:trPr>
          <w:trHeight w:val="637"/>
        </w:trPr>
        <w:tc>
          <w:tcPr>
            <w:tcW w:w="1384" w:type="dxa"/>
          </w:tcPr>
          <w:p w14:paraId="51FE79F2" w14:textId="77777777" w:rsidR="00FF6326" w:rsidRPr="00724359" w:rsidDel="00DE6BC1" w:rsidRDefault="00FF6326" w:rsidP="00F42DCD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c</w:t>
            </w:r>
          </w:p>
        </w:tc>
        <w:tc>
          <w:tcPr>
            <w:tcW w:w="7655" w:type="dxa"/>
          </w:tcPr>
          <w:p w14:paraId="5128BCFA" w14:textId="16463430" w:rsidR="00FF6326" w:rsidRPr="00724359" w:rsidRDefault="00560736" w:rsidP="00BF6482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Informacje jakościowe</w:t>
            </w:r>
            <w:r w:rsidRPr="00724359">
              <w:rPr>
                <w:sz w:val="24"/>
              </w:rPr>
              <w:t xml:space="preserve"> 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dotyczące wymogu mającego zastosowanie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poz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iomu stosowania.</w:t>
            </w:r>
          </w:p>
        </w:tc>
      </w:tr>
    </w:tbl>
    <w:p w14:paraId="11222185" w14:textId="77777777" w:rsidR="00FF6326" w:rsidRPr="00724359" w:rsidRDefault="00FF6326" w:rsidP="00FF632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07A36F9" w14:textId="7120601E" w:rsidR="0082003D" w:rsidRPr="00724359" w:rsidRDefault="0082003D" w:rsidP="005C7641">
      <w:pPr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642"/>
      </w:tblGrid>
      <w:tr w:rsidR="00026FC1" w:rsidRPr="00724359" w14:paraId="0EE47F56" w14:textId="77777777" w:rsidTr="002A0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7BCFB" w14:textId="77777777" w:rsidR="0067351E" w:rsidRPr="00724359" w:rsidRDefault="0067351E" w:rsidP="00EF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Wiersz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9CC04" w14:textId="6C152392" w:rsidR="0067351E" w:rsidRPr="00724359" w:rsidRDefault="00E46262" w:rsidP="00EF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5D18F8" w:rsidRPr="00724359" w14:paraId="4273A8E3" w14:textId="77777777" w:rsidTr="002A065A">
        <w:tc>
          <w:tcPr>
            <w:tcW w:w="1109" w:type="dxa"/>
            <w:vAlign w:val="top"/>
          </w:tcPr>
          <w:p w14:paraId="6FB9A622" w14:textId="17181A2D" w:rsidR="005D18F8" w:rsidRPr="00724359" w:rsidRDefault="005D18F8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EU-1</w:t>
            </w:r>
          </w:p>
        </w:tc>
        <w:tc>
          <w:tcPr>
            <w:tcW w:w="7642" w:type="dxa"/>
          </w:tcPr>
          <w:p w14:paraId="33FA642D" w14:textId="34A9733E" w:rsidR="005D18F8" w:rsidRPr="00724359" w:rsidRDefault="005D18F8" w:rsidP="005D18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Czy podmiot podlega wymogowi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owiązań kwalifikowalnych dotyczącemu globalnych instytucji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czeniu systemowym spoza UE? (T/N)</w:t>
            </w:r>
          </w:p>
          <w:p w14:paraId="402765A8" w14:textId="350C9A8C" w:rsidR="005D18F8" w:rsidRPr="00724359" w:rsidRDefault="005D18F8" w:rsidP="00F90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Czy podmiot podlega wymogowi dotyczącemu wewnętrznej TLAC na podstawie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575/2013?</w:t>
            </w:r>
          </w:p>
        </w:tc>
      </w:tr>
      <w:tr w:rsidR="005D18F8" w:rsidRPr="00724359" w14:paraId="753D9E0C" w14:textId="77777777" w:rsidTr="002A065A">
        <w:tc>
          <w:tcPr>
            <w:tcW w:w="1109" w:type="dxa"/>
            <w:vAlign w:val="top"/>
          </w:tcPr>
          <w:p w14:paraId="4D6276FA" w14:textId="29D2C84A" w:rsidR="005D18F8" w:rsidRPr="00724359" w:rsidRDefault="005D18F8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EU-2</w:t>
            </w:r>
          </w:p>
        </w:tc>
        <w:tc>
          <w:tcPr>
            <w:tcW w:w="7642" w:type="dxa"/>
          </w:tcPr>
          <w:p w14:paraId="5580A119" w14:textId="48968422" w:rsidR="005D18F8" w:rsidRPr="00724359" w:rsidRDefault="005D18F8" w:rsidP="005D18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Jeżeli odpowiedź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prz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ypadku EU-1 jest twierdząca, czy wymóg ma zastosowanie na zasadzie skonsolidowanej czy indywidualnej? (S/I)</w:t>
            </w:r>
          </w:p>
          <w:p w14:paraId="16349591" w14:textId="2E9C6DD1" w:rsidR="005D18F8" w:rsidRPr="00724359" w:rsidRDefault="005D18F8" w:rsidP="005D18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Czy podmiot podlega wymogowi dotyczącemu wewnętrznej TLAC na zasadzie skonsolidowanej czy indywidualnej na podstawie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18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575/2013?</w:t>
            </w:r>
          </w:p>
          <w:p w14:paraId="557B461D" w14:textId="0A55FA2A" w:rsidR="005D18F8" w:rsidRPr="00724359" w:rsidRDefault="005D18F8" w:rsidP="00282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przypadku gdy wymogowi podlega się na zasadzie skonsolidowanej, cały ten wzór należy wypełnić na zasadzie skonsolidowanej. We wszystkich pozostałych przypadkach wzór ten wypełnia się na zasadzie indywidualnej.</w:t>
            </w:r>
          </w:p>
        </w:tc>
      </w:tr>
      <w:tr w:rsidR="005C4469" w:rsidRPr="00724359" w14:paraId="3EFBB389" w14:textId="77777777" w:rsidTr="002A065A">
        <w:tc>
          <w:tcPr>
            <w:tcW w:w="1109" w:type="dxa"/>
            <w:vAlign w:val="top"/>
          </w:tcPr>
          <w:p w14:paraId="5EB99A90" w14:textId="2812B763" w:rsidR="005C4469" w:rsidRPr="00724359" w:rsidRDefault="005C4469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EU-2a</w:t>
            </w:r>
          </w:p>
        </w:tc>
        <w:tc>
          <w:tcPr>
            <w:tcW w:w="7642" w:type="dxa"/>
          </w:tcPr>
          <w:p w14:paraId="116B6FE4" w14:textId="5D78B194" w:rsidR="005C4469" w:rsidRPr="00724359" w:rsidRDefault="005C4469" w:rsidP="0067299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Czy podmiot podlega wewnętrznemu MREL? (T/N)</w:t>
            </w:r>
          </w:p>
          <w:p w14:paraId="61B02EAE" w14:textId="607B9F19" w:rsidR="005C4469" w:rsidRPr="00724359" w:rsidRDefault="005C4469" w:rsidP="00B24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Czy podmiot podlega MREL na podstawie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5f dyrektywy 2014/59/UE?</w:t>
            </w:r>
          </w:p>
        </w:tc>
      </w:tr>
      <w:tr w:rsidR="005C4469" w:rsidRPr="00724359" w14:paraId="1E79865E" w14:textId="77777777" w:rsidTr="002A065A">
        <w:tc>
          <w:tcPr>
            <w:tcW w:w="1109" w:type="dxa"/>
            <w:vAlign w:val="top"/>
          </w:tcPr>
          <w:p w14:paraId="59235EF1" w14:textId="1C47DD13" w:rsidR="005C4469" w:rsidRPr="00724359" w:rsidRDefault="005C4469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EU-2b</w:t>
            </w:r>
          </w:p>
        </w:tc>
        <w:tc>
          <w:tcPr>
            <w:tcW w:w="7642" w:type="dxa"/>
          </w:tcPr>
          <w:p w14:paraId="3CFE2B07" w14:textId="5367833D" w:rsidR="005C4469" w:rsidRPr="00724359" w:rsidRDefault="005C4469" w:rsidP="0067299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Jeżeli odpowiedź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prz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ypadku EU-2a jest twierdząca, czy wymóg ma zastosowanie na zasadzie skonsolidowanej czy indywidualnej? (S/I)</w:t>
            </w:r>
          </w:p>
          <w:p w14:paraId="7DC57F76" w14:textId="22478F28" w:rsidR="005C4469" w:rsidRPr="00724359" w:rsidRDefault="005C4469" w:rsidP="00672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Czy podmiot podlega wewnętrznemu MREL na zasadzie skonsolidowanej czy indywidualnej?</w:t>
            </w:r>
          </w:p>
          <w:p w14:paraId="4FC6F388" w14:textId="244D10B7" w:rsidR="005C4469" w:rsidRPr="00724359" w:rsidRDefault="005C4469" w:rsidP="006729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W przypadku gdy wymogowi podlega się na zasadzie skonsolidowanej, cały ten wzór należy wypełnić na zasadzie skonsolidowanej. We wszystkich pozostałych przypadkach wzór ten wypełnia się na zasadzie indywidualnej.</w:t>
            </w:r>
          </w:p>
        </w:tc>
      </w:tr>
      <w:tr w:rsidR="005D18F8" w:rsidRPr="00724359" w14:paraId="4F5D32F0" w14:textId="77777777" w:rsidTr="002A065A">
        <w:tc>
          <w:tcPr>
            <w:tcW w:w="1109" w:type="dxa"/>
            <w:vAlign w:val="top"/>
          </w:tcPr>
          <w:p w14:paraId="6EF5BD76" w14:textId="64835762" w:rsidR="005D18F8" w:rsidRPr="00724359" w:rsidRDefault="005D18F8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lastRenderedPageBreak/>
              <w:t>EU-3</w:t>
            </w:r>
          </w:p>
        </w:tc>
        <w:tc>
          <w:tcPr>
            <w:tcW w:w="7642" w:type="dxa"/>
          </w:tcPr>
          <w:p w14:paraId="6472530C" w14:textId="5849D3C6" w:rsidR="005D18F8" w:rsidRPr="00724359" w:rsidRDefault="005D18F8" w:rsidP="005D18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Kapitał podstawowy Tier I</w:t>
            </w:r>
          </w:p>
          <w:p w14:paraId="071B676A" w14:textId="2D58C2C9" w:rsidR="005D18F8" w:rsidRPr="00724359" w:rsidRDefault="003D0BF6" w:rsidP="005D18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Art. 50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</w:t>
            </w:r>
          </w:p>
          <w:p w14:paraId="224515AC" w14:textId="30E8C6D4" w:rsidR="005D18F8" w:rsidRPr="00724359" w:rsidRDefault="005D18F8" w:rsidP="00FF63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Kapitał podstawowy Tier I na zasadzie indywidualnej lub skonsolidowanej,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przypadkach,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50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</w:tc>
      </w:tr>
      <w:tr w:rsidR="005D18F8" w:rsidRPr="00724359" w14:paraId="65D6A57F" w14:textId="77777777" w:rsidTr="002A065A">
        <w:tc>
          <w:tcPr>
            <w:tcW w:w="1109" w:type="dxa"/>
            <w:vAlign w:val="top"/>
          </w:tcPr>
          <w:p w14:paraId="77011BCF" w14:textId="1DBC2D36" w:rsidR="005D18F8" w:rsidRPr="00724359" w:rsidRDefault="005D18F8" w:rsidP="006A52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EU-4</w:t>
            </w:r>
          </w:p>
        </w:tc>
        <w:tc>
          <w:tcPr>
            <w:tcW w:w="7642" w:type="dxa"/>
          </w:tcPr>
          <w:p w14:paraId="38EE0035" w14:textId="22F8D01E" w:rsidR="005D18F8" w:rsidRPr="00724359" w:rsidRDefault="008A0AF3" w:rsidP="005D18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Kwalifikowalny kapitał dodatkowy Tier I </w:t>
            </w:r>
          </w:p>
          <w:p w14:paraId="0249C867" w14:textId="497C2FFD" w:rsidR="00563C8D" w:rsidRPr="00724359" w:rsidRDefault="003D0BF6" w:rsidP="00510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Art. 61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</w:t>
            </w:r>
          </w:p>
          <w:p w14:paraId="5A71C48F" w14:textId="770FC42B" w:rsidR="005D18F8" w:rsidRPr="00724359" w:rsidRDefault="00FF6326" w:rsidP="00282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Instrumenty dodatkowe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 I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uwzględnia się wyłącznie wówczas, gdy spełniają one kryteria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45f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 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b) pkt (ii) dyrektywy 2014/59/UE.</w:t>
            </w:r>
          </w:p>
          <w:p w14:paraId="0094C1AC" w14:textId="5E33753C" w:rsidR="007600E9" w:rsidRPr="00724359" w:rsidRDefault="007600E9" w:rsidP="00D950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wewnętrznego MREL instrumenty,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89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</w:t>
            </w:r>
            <w:r w:rsidRPr="00724359">
              <w:rPr>
                <w:rStyle w:val="FormatvorlageInstructionsTabelleText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akapit czwarty dyrektywy 2014/59/UE,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prz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ypadkach,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akapit ten ma zastosowanie. Instrumenty regulowane prawem państwa trzeciego uwzględnia się wyłącznie wówczas, gdy spełniają one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</w:tc>
      </w:tr>
      <w:tr w:rsidR="005D18F8" w:rsidRPr="00724359" w14:paraId="26CF63CA" w14:textId="77777777" w:rsidTr="002A065A">
        <w:tc>
          <w:tcPr>
            <w:tcW w:w="1109" w:type="dxa"/>
          </w:tcPr>
          <w:p w14:paraId="7590CA0F" w14:textId="3E55E188" w:rsidR="005D18F8" w:rsidRPr="00724359" w:rsidRDefault="006A52ED" w:rsidP="005D18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EU-5</w:t>
            </w:r>
          </w:p>
        </w:tc>
        <w:tc>
          <w:tcPr>
            <w:tcW w:w="7642" w:type="dxa"/>
          </w:tcPr>
          <w:p w14:paraId="1D3C1105" w14:textId="5B6AF4D8" w:rsidR="005D18F8" w:rsidRPr="00724359" w:rsidRDefault="008A0AF3" w:rsidP="005D18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Kwalifikowalny kapitał Tier II</w:t>
            </w:r>
          </w:p>
          <w:p w14:paraId="7C05E6B8" w14:textId="1A2F2EF8" w:rsidR="00282ED2" w:rsidRPr="00724359" w:rsidRDefault="003D0BF6" w:rsidP="00282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Art. 71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575/2013 </w:t>
            </w:r>
          </w:p>
          <w:p w14:paraId="3807E78A" w14:textId="75B78DEA" w:rsidR="005D18F8" w:rsidRPr="00724359" w:rsidRDefault="002924A2" w:rsidP="00282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Instrumenty dodatkowe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 II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uwzględnia się wyłącznie wówczas, gdy spełniają one kryteria</w:t>
            </w:r>
            <w:r w:rsidRPr="00724359">
              <w:rPr>
                <w:rFonts w:ascii="Times New Roman" w:hAnsi="Times New Roman"/>
                <w:sz w:val="24"/>
              </w:rPr>
              <w:t xml:space="preserve"> określone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92b rozporządzenia (UE) nr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575/2013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45f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2 lit.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b) pkt (ii) dyrektywy 2014/59/UE.</w:t>
            </w:r>
          </w:p>
          <w:p w14:paraId="6CBCECA5" w14:textId="03839D8B" w:rsidR="007600E9" w:rsidRPr="00724359" w:rsidRDefault="007600E9" w:rsidP="00282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wewnętrznego MREL instrumenty,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mowa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89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</w:t>
            </w:r>
            <w:r w:rsidRPr="00724359">
              <w:rPr>
                <w:rStyle w:val="FormatvorlageInstructionsTabelleText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akapit czwarty dyrektywy 2014/59/UE, uwzględnia się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prz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ypadkach,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któ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rych akapit ten ma zastosowanie. Instrumenty regulowane prawem państwa trzeciego uwzględnia się wyłącznie wówczas, gdy spełniają one wymogi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55 dyrektywy 2014/59/UE.</w:t>
            </w:r>
          </w:p>
        </w:tc>
      </w:tr>
      <w:tr w:rsidR="00026FC1" w:rsidRPr="00724359" w14:paraId="2919AE1B" w14:textId="77777777" w:rsidTr="002A065A">
        <w:tc>
          <w:tcPr>
            <w:tcW w:w="1109" w:type="dxa"/>
          </w:tcPr>
          <w:p w14:paraId="251A5712" w14:textId="4B2177BA" w:rsidR="00B907A2" w:rsidRPr="00724359" w:rsidRDefault="006A52ED" w:rsidP="00B90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EU-6</w:t>
            </w:r>
          </w:p>
        </w:tc>
        <w:tc>
          <w:tcPr>
            <w:tcW w:w="7642" w:type="dxa"/>
          </w:tcPr>
          <w:p w14:paraId="37F48E22" w14:textId="01DDD07A" w:rsidR="00B907A2" w:rsidRPr="00724359" w:rsidRDefault="003106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Kwalifikowalne fundusze własne</w:t>
            </w:r>
          </w:p>
          <w:p w14:paraId="02484207" w14:textId="13CC5874" w:rsidR="00B907A2" w:rsidRPr="00724359" w:rsidRDefault="00F42DCD" w:rsidP="00AB7C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Suma kapitału podstawowego Tier I, kwalifikowalnego kapitału dodatkowego Tier 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kwa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lifikowalnego kapitału Tier II.</w:t>
            </w:r>
          </w:p>
        </w:tc>
      </w:tr>
      <w:tr w:rsidR="00026FC1" w:rsidRPr="00724359" w14:paraId="30D7B21F" w14:textId="77777777" w:rsidTr="002A065A">
        <w:tc>
          <w:tcPr>
            <w:tcW w:w="1109" w:type="dxa"/>
          </w:tcPr>
          <w:p w14:paraId="5D54FF19" w14:textId="5DFAFBC0" w:rsidR="006A383B" w:rsidRPr="00724359" w:rsidRDefault="00F42DCD" w:rsidP="006A38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EU-7</w:t>
            </w:r>
          </w:p>
        </w:tc>
        <w:tc>
          <w:tcPr>
            <w:tcW w:w="7642" w:type="dxa"/>
          </w:tcPr>
          <w:p w14:paraId="3BF153BB" w14:textId="618EB7D0" w:rsidR="006A383B" w:rsidRPr="00724359" w:rsidRDefault="006A383B" w:rsidP="006A3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Zobowiązania kwalifikowalne </w:t>
            </w:r>
          </w:p>
          <w:p w14:paraId="63CA9295" w14:textId="50FD70BB" w:rsidR="00547B2E" w:rsidRPr="00724359" w:rsidRDefault="00547B2E" w:rsidP="00F42DC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color w:val="000000" w:themeColor="text1"/>
                <w:sz w:val="24"/>
              </w:rPr>
              <w:t>Wewnętrzny MREL</w:t>
            </w:r>
          </w:p>
          <w:p w14:paraId="17E7EEB4" w14:textId="381EC2A3" w:rsidR="00F42DCD" w:rsidRPr="00724359" w:rsidRDefault="00CC7310" w:rsidP="00F42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Zobowiązania kwalifikowalne, które spełniają warunki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45f ust. 2 dyrektywy 2014/59/UE,</w:t>
            </w:r>
            <w:r w:rsidR="00724359" w:rsidRPr="0072435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</w:t>
            </w:r>
            <w:r w:rsidR="00724359">
              <w:rPr>
                <w:rFonts w:ascii="Times New Roman" w:hAnsi="Times New Roman"/>
                <w:b/>
                <w:sz w:val="24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sto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sownych przypadkach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z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uwz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ględnieniem również art. 89 ust. 2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akapit czwarty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tej dyrektywy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63956C24" w14:textId="588F701B" w:rsidR="00547B2E" w:rsidRPr="00724359" w:rsidRDefault="00547B2E" w:rsidP="00F42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przypadku instrumentów regulowanych prawem państwa trzeciego dany instrument uwzględnia się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wierszu wyłącznie wówczas, gdy spełnia on wymogi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55 dyrektywy 2014/59/UE.</w:t>
            </w:r>
          </w:p>
          <w:p w14:paraId="5C695D4E" w14:textId="00A507AD" w:rsidR="00547B2E" w:rsidRPr="00724359" w:rsidRDefault="00CC7310" w:rsidP="00F42DC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gdy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właściwy dla jednostki zależnej zezwoli jednostce na spełnienie wewnętrznego MREL za pomocą gwarancji,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uwzględnia się również wartość gwarancji udzielonych przez podmiot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likwidacji, które spełniają wszystkie warunki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45f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 dyrektywy 2014/59/UE.</w:t>
            </w:r>
            <w:r w:rsidRPr="00724359">
              <w:rPr>
                <w:rFonts w:ascii="Times New Roman" w:hAnsi="Times New Roman"/>
                <w:i/>
                <w:iCs/>
                <w:sz w:val="24"/>
              </w:rPr>
              <w:t>Wewnętrzna TLAC</w:t>
            </w:r>
          </w:p>
          <w:p w14:paraId="20CB430B" w14:textId="5F3263A2" w:rsidR="00766271" w:rsidRPr="00724359" w:rsidRDefault="00CC7310" w:rsidP="00CC73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Kwotę zobowiązań kwalifikowalnych oblicza się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72k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 jeżeli zobowiązania te spełniają warunki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 tego rozporządzenia.</w:t>
            </w:r>
          </w:p>
        </w:tc>
      </w:tr>
      <w:tr w:rsidR="007600E9" w:rsidRPr="00724359" w14:paraId="4E845D10" w14:textId="77777777" w:rsidTr="002A065A">
        <w:tc>
          <w:tcPr>
            <w:tcW w:w="1109" w:type="dxa"/>
          </w:tcPr>
          <w:p w14:paraId="153A7C48" w14:textId="5CC7BD86" w:rsidR="007600E9" w:rsidRPr="00724359" w:rsidRDefault="007600E9" w:rsidP="007600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EU-8</w:t>
            </w:r>
          </w:p>
        </w:tc>
        <w:tc>
          <w:tcPr>
            <w:tcW w:w="7642" w:type="dxa"/>
          </w:tcPr>
          <w:p w14:paraId="49C42D32" w14:textId="2EDF5682" w:rsidR="007600E9" w:rsidRPr="00724359" w:rsidRDefault="00FF5E0F" w:rsidP="007600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Zobowiązania kwalifikowalne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dozwolone gwarancje</w:t>
            </w:r>
          </w:p>
          <w:p w14:paraId="7FBE9C6F" w14:textId="46D205D9" w:rsidR="007600E9" w:rsidRPr="00724359" w:rsidRDefault="009C121A" w:rsidP="009C12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gdy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właściwy dla jednostki zależnej zezwoli jednostce na spełnienie wewnętrznego MREL za pomocą gwarancji, wartość gwarancji udzielonych przez podmiot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likwidacji, które spełniają wszystkie warunki określone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45f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 dyrektywy 2014/59/UE.</w:t>
            </w:r>
          </w:p>
        </w:tc>
      </w:tr>
      <w:tr w:rsidR="00547B2E" w:rsidRPr="00724359" w14:paraId="352876D4" w14:textId="77777777" w:rsidTr="002A065A">
        <w:tc>
          <w:tcPr>
            <w:tcW w:w="1109" w:type="dxa"/>
          </w:tcPr>
          <w:p w14:paraId="6DCACB84" w14:textId="766ADF9F" w:rsidR="00547B2E" w:rsidRPr="00724359" w:rsidRDefault="00644B02" w:rsidP="007600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EU-9a</w:t>
            </w:r>
          </w:p>
        </w:tc>
        <w:tc>
          <w:tcPr>
            <w:tcW w:w="7642" w:type="dxa"/>
          </w:tcPr>
          <w:p w14:paraId="32608FA7" w14:textId="7D99477C" w:rsidR="00547B2E" w:rsidRPr="00724359" w:rsidRDefault="00547B2E" w:rsidP="007600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(Korekty)</w:t>
            </w:r>
          </w:p>
          <w:p w14:paraId="716CE6EE" w14:textId="77777777" w:rsidR="00547B2E" w:rsidRPr="00724359" w:rsidRDefault="00547B2E" w:rsidP="007600E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Kwota ujemna</w:t>
            </w:r>
          </w:p>
          <w:p w14:paraId="53DD0B4C" w14:textId="77777777" w:rsidR="00CB3841" w:rsidRPr="00724359" w:rsidRDefault="00CB3841" w:rsidP="00CB38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 tym wierszu ujawnia się następujące korekty:</w:t>
            </w:r>
          </w:p>
          <w:p w14:paraId="61271E0C" w14:textId="012DE584" w:rsidR="00766271" w:rsidRPr="00724359" w:rsidRDefault="00766271" w:rsidP="0076627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Posiadane instrumenty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trumenty zobowiązań kwalifikowalnych, które odlicza się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72e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</w:t>
            </w:r>
            <w:r w:rsidRPr="00724359">
              <w:rPr>
                <w:rFonts w:ascii="Times New Roman" w:hAnsi="Times New Roman"/>
                <w:sz w:val="24"/>
              </w:rPr>
              <w:t xml:space="preserve"> lub art.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45c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2a akapit piąty dyrektywy 2014/59/UE.</w:t>
            </w:r>
          </w:p>
          <w:p w14:paraId="17EE89C8" w14:textId="5082D8A3" w:rsidR="00547B2E" w:rsidRPr="00724359" w:rsidRDefault="00766271" w:rsidP="00CB38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Kwoty objęte zezwoleniem na wezwanie do sprzedaży, wykup, spłatę lub odkup instrumentów zobowiązań kwalifikowalnych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78a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jak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im jednostka sprawozdawcza nie wykorzystała jeszcze tej kwoty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cel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u wezwania do sprzedaży, wykupu, spłaty lub odkupu instrumentów („niewykorzystane kwoty objęte uprzednim zezwoleniem”).</w:t>
            </w:r>
          </w:p>
        </w:tc>
      </w:tr>
      <w:tr w:rsidR="00026FC1" w:rsidRPr="00724359" w14:paraId="79FC726E" w14:textId="77777777" w:rsidTr="002A065A"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161A" w14:textId="75BE9513" w:rsidR="00A9215E" w:rsidRPr="00724359" w:rsidRDefault="00F42DCD" w:rsidP="008C1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EU-9b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FCBD" w14:textId="0C53597B" w:rsidR="006475ED" w:rsidRPr="00724359" w:rsidRDefault="00A9215E" w:rsidP="00647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Pozycje funduszy własnych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owiązań kwalifikowalnych po korekcie</w:t>
            </w:r>
          </w:p>
          <w:p w14:paraId="6DB0E5C7" w14:textId="7B912E87" w:rsidR="00547B2E" w:rsidRPr="00724359" w:rsidRDefault="00547B2E" w:rsidP="00F42DCD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sz w:val="24"/>
              </w:rPr>
              <w:t>Wewnętrzny MREL</w:t>
            </w:r>
          </w:p>
          <w:p w14:paraId="4FED8305" w14:textId="27A6A398" w:rsidR="00547B2E" w:rsidRPr="00724359" w:rsidRDefault="00F42DCD" w:rsidP="00F42DCD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Kwoty kwalifikowalnych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owiązań kwalifikowalnych podmiotu, po odliczeniu korekt, wliczających się do 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wewnętrznego MREL, jak określono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45f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dyrektywy 2014/59/UE,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sto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sownych przypadkach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z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uwz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ględnieniem również art.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89 ust.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2</w:t>
            </w:r>
            <w:r w:rsidRPr="00724359">
              <w:rPr>
                <w:rStyle w:val="InstructionsTabelleberschrift"/>
              </w:rPr>
              <w:t xml:space="preserve"> 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akapit czwarty tej dyrektywy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prz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ypadku instrumentów regulowanych prawem państwa trzeciego dany instrument uwzględnia się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tym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wierszu wyłącznie wówczas, gdy spełnia on wymogi określone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w</w:t>
            </w:r>
            <w:r w:rsid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  <w:r w:rsidR="00724359"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24359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55 dyrektywy 2014/59/UE.</w:t>
            </w:r>
          </w:p>
          <w:p w14:paraId="2C1B0641" w14:textId="08263093" w:rsidR="00547B2E" w:rsidRPr="00724359" w:rsidRDefault="00547B2E" w:rsidP="00F42DCD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jako suma wierszy EU-6, EU-7 i EU-9a.</w:t>
            </w:r>
          </w:p>
          <w:p w14:paraId="2538ACE7" w14:textId="7B547E87" w:rsidR="00547B2E" w:rsidRPr="00724359" w:rsidRDefault="00547B2E" w:rsidP="00F42DCD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i/>
                <w:sz w:val="24"/>
              </w:rPr>
              <w:t>Wewnętrzna TLAC</w:t>
            </w:r>
          </w:p>
          <w:p w14:paraId="56CFB916" w14:textId="4D23AA01" w:rsidR="006475ED" w:rsidRPr="00724359" w:rsidRDefault="00547B2E" w:rsidP="005035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Kwalifikowalne fundusze własne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owiązania kwalifikowalne wliczające się do wymogu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zak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resie funduszy własnych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zob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owiązań kwalifikowalnych dotyczącego globalnych instytucji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o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zna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czeniu systemowym spoza UE określonego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92b ust.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2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 Obliczane poprzez dodanie wiersza EU-6 do wiersza EU-7.</w:t>
            </w:r>
          </w:p>
        </w:tc>
      </w:tr>
      <w:tr w:rsidR="00026FC1" w:rsidRPr="00724359" w14:paraId="2CEBF3B0" w14:textId="77777777" w:rsidTr="002A065A">
        <w:tc>
          <w:tcPr>
            <w:tcW w:w="1109" w:type="dxa"/>
          </w:tcPr>
          <w:p w14:paraId="43BF2529" w14:textId="36FBE66E" w:rsidR="000C5255" w:rsidRPr="00724359" w:rsidDel="00FF3133" w:rsidRDefault="007F6136" w:rsidP="00F42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EU-10</w:t>
            </w:r>
          </w:p>
        </w:tc>
        <w:tc>
          <w:tcPr>
            <w:tcW w:w="7642" w:type="dxa"/>
          </w:tcPr>
          <w:p w14:paraId="09DCE834" w14:textId="5F82E219" w:rsidR="007F6136" w:rsidRPr="00724359" w:rsidRDefault="007F6136" w:rsidP="00C07C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Łączna kwota ekspozycji na ryzyko (TREA)</w:t>
            </w:r>
          </w:p>
          <w:p w14:paraId="5B78340F" w14:textId="124E0A4B" w:rsidR="000C5255" w:rsidRPr="00724359" w:rsidRDefault="000C52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Łączna kwota ekspozycji na ryzyko pojedynczego podmiotu lub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 skonsolidowanej grupy, na poziomie której ustanowiono wymogi,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 18 ust. 1 akapit drugi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17016E2A" w14:textId="2A55D17F" w:rsidR="008149F0" w:rsidRPr="00724359" w:rsidRDefault="008149F0" w:rsidP="00B709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Łączna kwota ekspozycji na ryzyko zgłoszona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jest łączną kwotą ekspozycji na ryzyko, która stanowi podstawę spełnienia wymogów ustanowionych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45 dyrektywy 2014/59/UE </w:t>
            </w:r>
            <w:proofErr w:type="gramStart"/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lub,</w:t>
            </w:r>
            <w:proofErr w:type="gramEnd"/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sto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sownych przypadkach, art.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92b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026FC1" w:rsidRPr="00724359" w14:paraId="09EE5A03" w14:textId="77777777" w:rsidTr="002A065A">
        <w:tc>
          <w:tcPr>
            <w:tcW w:w="1109" w:type="dxa"/>
          </w:tcPr>
          <w:p w14:paraId="5D0897E5" w14:textId="78C3CD2B" w:rsidR="000C5255" w:rsidRPr="00724359" w:rsidDel="00FF3133" w:rsidRDefault="007F6136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EU-11</w:t>
            </w:r>
          </w:p>
        </w:tc>
        <w:tc>
          <w:tcPr>
            <w:tcW w:w="7642" w:type="dxa"/>
          </w:tcPr>
          <w:p w14:paraId="3D1B444A" w14:textId="48056C18" w:rsidR="000C5255" w:rsidRPr="00724359" w:rsidRDefault="00D156A3" w:rsidP="000C5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Miara ekspozycji całkowitej (TEM)</w:t>
            </w:r>
          </w:p>
          <w:p w14:paraId="53B11114" w14:textId="68630CB4" w:rsidR="000C5255" w:rsidRPr="00724359" w:rsidRDefault="006501CC" w:rsidP="00282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Miara ekspozycji całkowitej (mianownik wskaźnika dźwigni) pojedynczego podmiotu lub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 skonsolidowanej grupy, na poziomie której ustanowiono wymogi,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429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429a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575/2013.</w:t>
            </w:r>
          </w:p>
          <w:p w14:paraId="2DB81445" w14:textId="521AA686" w:rsidR="008149F0" w:rsidRPr="00724359" w:rsidRDefault="008149F0" w:rsidP="00B709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Miara ekspozycji całkowitej zgłaszana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tym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wierszu jest miarą ekspozycji całkowitej, która stanowi podstawę spełnienia wymogów określonych, stosownie do przypadku,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45 dyrektywy 2014/59/UE lub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art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92b rozporządzenia (UE) nr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575/2013.</w:t>
            </w:r>
          </w:p>
        </w:tc>
      </w:tr>
      <w:tr w:rsidR="00026FC1" w:rsidRPr="00724359" w14:paraId="3F7E48D5" w14:textId="77777777" w:rsidTr="002A065A">
        <w:tc>
          <w:tcPr>
            <w:tcW w:w="1109" w:type="dxa"/>
          </w:tcPr>
          <w:p w14:paraId="068C68E0" w14:textId="4F4AB2A0" w:rsidR="000C5255" w:rsidRPr="00724359" w:rsidRDefault="007F6136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EU-12</w:t>
            </w:r>
          </w:p>
        </w:tc>
        <w:tc>
          <w:tcPr>
            <w:tcW w:w="7642" w:type="dxa"/>
          </w:tcPr>
          <w:p w14:paraId="4D8D9DC8" w14:textId="56EDBF9E" w:rsidR="000C5255" w:rsidRPr="00724359" w:rsidRDefault="000C5255" w:rsidP="000C52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TREA</w:t>
            </w:r>
          </w:p>
          <w:p w14:paraId="745451FA" w14:textId="4614B831" w:rsidR="000C5255" w:rsidRPr="00724359" w:rsidRDefault="000C5255" w:rsidP="007F613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Współczynnik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wyrażony jako odsetek łącznej kwoty ekspozycji na ryzyko.</w:t>
            </w:r>
          </w:p>
          <w:p w14:paraId="53A01624" w14:textId="53B31A41" w:rsidR="00DB779A" w:rsidRPr="00724359" w:rsidRDefault="00DB779A" w:rsidP="00AB7A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EU-9b przez wiersz EU-10.</w:t>
            </w:r>
          </w:p>
        </w:tc>
      </w:tr>
      <w:tr w:rsidR="000F5992" w:rsidRPr="00724359" w14:paraId="05A06C82" w14:textId="77777777" w:rsidTr="002A065A">
        <w:tc>
          <w:tcPr>
            <w:tcW w:w="1109" w:type="dxa"/>
          </w:tcPr>
          <w:p w14:paraId="3717A45E" w14:textId="2311289F" w:rsidR="000F5992" w:rsidRPr="00724359" w:rsidDel="00F42177" w:rsidRDefault="000F5992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EU-13</w:t>
            </w:r>
          </w:p>
        </w:tc>
        <w:tc>
          <w:tcPr>
            <w:tcW w:w="7642" w:type="dxa"/>
          </w:tcPr>
          <w:p w14:paraId="4B61594C" w14:textId="55C53133" w:rsidR="000F5992" w:rsidRPr="00724359" w:rsidRDefault="00FF5E0F" w:rsidP="000C5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TREA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dozwolone gwarancje</w:t>
            </w:r>
          </w:p>
          <w:p w14:paraId="3E66E9D6" w14:textId="3ABDC1FA" w:rsidR="000F5992" w:rsidRPr="00724359" w:rsidRDefault="00B24DB1" w:rsidP="00A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gdy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właściwy dla jednostki zależnej zezwoli jednostce na spełnienie wewnętrznego MREL za pomocą gwarancji, wartość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gwarancji udzielonych przez podmiot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likwidacji, które spełniają warunki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45f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 dyrektywy 2014/59/UE, wyrażona jako odsetek łącznej kwoty ekspozycji na ryzyko.</w:t>
            </w:r>
          </w:p>
          <w:p w14:paraId="21098783" w14:textId="24721D46" w:rsidR="00B24DB1" w:rsidRPr="00724359" w:rsidRDefault="00B07EB6" w:rsidP="00AA06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EU-8 przez wiersz EU-10.</w:t>
            </w:r>
          </w:p>
        </w:tc>
      </w:tr>
      <w:tr w:rsidR="00026FC1" w:rsidRPr="00724359" w14:paraId="1BE5C236" w14:textId="77777777" w:rsidTr="002A065A">
        <w:tc>
          <w:tcPr>
            <w:tcW w:w="1109" w:type="dxa"/>
          </w:tcPr>
          <w:p w14:paraId="6389E44B" w14:textId="64502185" w:rsidR="000C5255" w:rsidRPr="00724359" w:rsidRDefault="007F6136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EU-14</w:t>
            </w:r>
          </w:p>
        </w:tc>
        <w:tc>
          <w:tcPr>
            <w:tcW w:w="7642" w:type="dxa"/>
          </w:tcPr>
          <w:p w14:paraId="747FEBA4" w14:textId="16081C83" w:rsidR="000C5255" w:rsidRPr="00724359" w:rsidRDefault="000C5255" w:rsidP="000C5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TEM</w:t>
            </w:r>
          </w:p>
          <w:p w14:paraId="10E78AE1" w14:textId="4FF04062" w:rsidR="000C5255" w:rsidRPr="00724359" w:rsidRDefault="000C525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Współczynnik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wyrażony jako odsetek miary ekspozycji całkowitej.</w:t>
            </w:r>
          </w:p>
          <w:p w14:paraId="3C080CF4" w14:textId="28CCBF72" w:rsidR="003946D4" w:rsidRPr="00724359" w:rsidRDefault="003946D4" w:rsidP="00AB7A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EU-9b przez wiersz EU-11.</w:t>
            </w:r>
          </w:p>
        </w:tc>
      </w:tr>
      <w:tr w:rsidR="000F5992" w:rsidRPr="00724359" w14:paraId="06EE9DB1" w14:textId="77777777" w:rsidTr="002A065A">
        <w:tc>
          <w:tcPr>
            <w:tcW w:w="1109" w:type="dxa"/>
          </w:tcPr>
          <w:p w14:paraId="38BE120A" w14:textId="5E907A17" w:rsidR="000F5992" w:rsidRPr="00724359" w:rsidDel="00F42177" w:rsidRDefault="000F5992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EU-15</w:t>
            </w:r>
          </w:p>
        </w:tc>
        <w:tc>
          <w:tcPr>
            <w:tcW w:w="7642" w:type="dxa"/>
          </w:tcPr>
          <w:p w14:paraId="6EC6E664" w14:textId="053866F1" w:rsidR="000F5992" w:rsidRPr="00724359" w:rsidRDefault="00FF5E0F" w:rsidP="003F5FD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Fundusze własne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 kwalifikowalne wyrażone jako odsetek TEM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dozwolone gwarancje</w:t>
            </w:r>
          </w:p>
          <w:p w14:paraId="49C52AE4" w14:textId="3B8C0D24" w:rsidR="00B07EB6" w:rsidRPr="00724359" w:rsidRDefault="00AA0676" w:rsidP="00A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W przypadku gdy organ ds. restrukturyzacji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Style w:val="FormatvorlageInstructionsTabelleText"/>
                <w:rFonts w:ascii="Times New Roman" w:hAnsi="Times New Roman"/>
                <w:sz w:val="24"/>
              </w:rPr>
              <w:t>upo</w:t>
            </w:r>
            <w:r w:rsidRPr="00724359">
              <w:rPr>
                <w:rStyle w:val="FormatvorlageInstructionsTabelleText"/>
                <w:rFonts w:ascii="Times New Roman" w:hAnsi="Times New Roman"/>
                <w:sz w:val="24"/>
              </w:rPr>
              <w:t>rządkowanej likwidacji właściwy dla jednostki zależnej zezwoli jednostce na spełnienie wewnętrznego MREL za pomocą gwarancji, wartość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gwarancji udzielonych przez podmiot restrukturyzacji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upo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rządkowanej likwidacji, które spełniają warunki określone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45f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 dyrektywy 2014/59/UE, wyrażona jako odsetek miary ekspozycji całkowitej.</w:t>
            </w:r>
          </w:p>
          <w:p w14:paraId="5F818595" w14:textId="4B7CE3AB" w:rsidR="000F5992" w:rsidRPr="00724359" w:rsidRDefault="00B07EB6" w:rsidP="00B07E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Obliczane poprzez podzielenie wiersza EU-8 przez wiersz EU-11.</w:t>
            </w:r>
          </w:p>
        </w:tc>
      </w:tr>
      <w:tr w:rsidR="00026FC1" w:rsidRPr="00724359" w14:paraId="72C7F5C5" w14:textId="77777777" w:rsidTr="002A065A">
        <w:tc>
          <w:tcPr>
            <w:tcW w:w="1109" w:type="dxa"/>
          </w:tcPr>
          <w:p w14:paraId="480E6DB5" w14:textId="4B427067" w:rsidR="000C5255" w:rsidRPr="00724359" w:rsidRDefault="00F42177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EU-16</w:t>
            </w:r>
          </w:p>
        </w:tc>
        <w:tc>
          <w:tcPr>
            <w:tcW w:w="7642" w:type="dxa"/>
          </w:tcPr>
          <w:p w14:paraId="77339BFA" w14:textId="07707C45" w:rsidR="000C5255" w:rsidRPr="00724359" w:rsidRDefault="000C5255" w:rsidP="000C5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Kapitał podstawowy Tier I (wyrażony jako odsetek TREA) dostępny po spełnieniu obowiązujących podmiot wymogów</w:t>
            </w:r>
          </w:p>
          <w:p w14:paraId="10969C39" w14:textId="7BA8BFFE" w:rsidR="00A47BCD" w:rsidRPr="00724359" w:rsidRDefault="00A47BCD" w:rsidP="00AA06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Kwota kapitału podstawowego Tier I, równa zeru lub dodatnia, dostępna po spełnieniu każdego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wym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ogów,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rych mowa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141a akapit pierwszy 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a), b) i c) dyrektywy 2013/36/UE,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wyż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sza od wartości:</w:t>
            </w:r>
          </w:p>
          <w:p w14:paraId="58E9B9E9" w14:textId="13194F02" w:rsidR="00A47BCD" w:rsidRPr="00724359" w:rsidRDefault="00A47BCD" w:rsidP="00AA06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a)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 – wymogu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dotyczącego globalnych instytucji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zna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czeniu systemowym spoza UE na podstawie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575/2013, jeżeli został obliczony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92b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 rozporządzenia (UE) nr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575/2013 jako 90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% wymogu określonego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92a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 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a) tego rozporządzenia; oraz </w:t>
            </w:r>
          </w:p>
          <w:p w14:paraId="198DF7D6" w14:textId="2FB7B8AC" w:rsidR="00A47BCD" w:rsidRPr="00724359" w:rsidRDefault="00A47BCD" w:rsidP="00AA06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b) minimalnego wymogu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na podstawie art.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45f dyrektywy 2014/59/UE, jeżeli został obliczony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45 ust.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2 lit.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a) tej dyrektywy.</w:t>
            </w:r>
          </w:p>
          <w:p w14:paraId="4CF4E1A3" w14:textId="085FD985" w:rsidR="00A47BCD" w:rsidRPr="00724359" w:rsidRDefault="00A47BCD" w:rsidP="00AA06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Ujawniona liczba musi być taka sama zarówno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kol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umnie odnoszącej się do MREL, jak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kol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umnie odnoszącej się do TLAC.</w:t>
            </w:r>
          </w:p>
          <w:p w14:paraId="6C9387A7" w14:textId="17994D8E" w:rsidR="000C5255" w:rsidRPr="00724359" w:rsidRDefault="00A47BCD" w:rsidP="00AA0676">
            <w:pPr>
              <w:rPr>
                <w:b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Uwzględnia się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nie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j skutek przepisów przejściowych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zak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kwalifikowalnych, łączną kwotę ekspozycji na ryzyko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sam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 wymogi. Nie bierze się pod uwagę ani wytycznych dotyczących dodatkowych funduszy własnych,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rych mowa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104b dyrektywy 2013/36/UE, ani wymogu połączonego bufora określonego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128 akapit pierwszy pkt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 tej dyrektywy.</w:t>
            </w:r>
          </w:p>
        </w:tc>
      </w:tr>
      <w:tr w:rsidR="00026FC1" w:rsidRPr="00724359" w14:paraId="27986DD8" w14:textId="77777777" w:rsidTr="002A065A">
        <w:tc>
          <w:tcPr>
            <w:tcW w:w="1109" w:type="dxa"/>
          </w:tcPr>
          <w:p w14:paraId="72398D99" w14:textId="0534A19F" w:rsidR="000C5255" w:rsidRPr="00724359" w:rsidRDefault="000F5992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EU-17</w:t>
            </w:r>
          </w:p>
        </w:tc>
        <w:tc>
          <w:tcPr>
            <w:tcW w:w="7642" w:type="dxa"/>
          </w:tcPr>
          <w:p w14:paraId="76F0E68B" w14:textId="21794D3D" w:rsidR="000C5255" w:rsidRPr="00724359" w:rsidRDefault="000C5255" w:rsidP="000C5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Wymóg połączonego bufora specyficznego dla instytucji </w:t>
            </w:r>
          </w:p>
          <w:p w14:paraId="24FA0B83" w14:textId="51F83F17" w:rsidR="000C5255" w:rsidRPr="00724359" w:rsidRDefault="000C5255" w:rsidP="00CB08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Wymóg połączonego bufora specyficznego dla instytucji zdefiniowany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128 akapit pierwszy pkt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 dyrektywy 2013/36/UE, wyrażony jako odsetek łącznej kwoty ekspozycji na ryzyko, mający zastosowanie do podmiotu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128 akapit pierwszy pkt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6 dyrektywy 2013/36/UE.</w:t>
            </w:r>
          </w:p>
        </w:tc>
      </w:tr>
      <w:tr w:rsidR="00026FC1" w:rsidRPr="00724359" w14:paraId="7F2F0D59" w14:textId="77777777" w:rsidTr="002A065A">
        <w:trPr>
          <w:trHeight w:val="58"/>
        </w:trPr>
        <w:tc>
          <w:tcPr>
            <w:tcW w:w="1109" w:type="dxa"/>
          </w:tcPr>
          <w:p w14:paraId="5F6F778C" w14:textId="5F16CF0E" w:rsidR="000F5992" w:rsidRPr="00724359" w:rsidRDefault="00F42177" w:rsidP="00644B0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EU-18</w:t>
            </w:r>
          </w:p>
        </w:tc>
        <w:tc>
          <w:tcPr>
            <w:tcW w:w="7642" w:type="dxa"/>
          </w:tcPr>
          <w:p w14:paraId="44696FD9" w14:textId="2B694FE0" w:rsidR="008834C5" w:rsidRPr="00724359" w:rsidRDefault="00F51FA3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wyrażony jako odsetek TREA</w:t>
            </w:r>
          </w:p>
          <w:p w14:paraId="4059E3AD" w14:textId="09123D9B" w:rsidR="00B07EB6" w:rsidRPr="00724359" w:rsidRDefault="00B07EB6" w:rsidP="00924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sz w:val="24"/>
              </w:rPr>
              <w:t>Wewnętrzny MREL</w:t>
            </w:r>
          </w:p>
          <w:p w14:paraId="7A3B8EB3" w14:textId="6D19AAF2" w:rsidR="00036DB1" w:rsidRPr="00724359" w:rsidRDefault="00B07EB6" w:rsidP="0092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Wymóg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zak</w:t>
            </w:r>
            <w:r w:rsidRPr="00724359">
              <w:rPr>
                <w:rFonts w:ascii="Times New Roman" w:hAnsi="Times New Roman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zob</w:t>
            </w:r>
            <w:r w:rsidRPr="00724359">
              <w:rPr>
                <w:rFonts w:ascii="Times New Roman" w:hAnsi="Times New Roman"/>
                <w:sz w:val="24"/>
              </w:rPr>
              <w:t>owiązań kwalifikowalnych mający zastosowanie do podmiotu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 45f dyrektywy 2014/59/UE, wyrażony jako odsetek łącznej kwoty ekspozycji na ryzyko (na poziomie indywidualnym lub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sto</w:t>
            </w:r>
            <w:r w:rsidRPr="00724359">
              <w:rPr>
                <w:rFonts w:ascii="Times New Roman" w:hAnsi="Times New Roman"/>
                <w:sz w:val="24"/>
              </w:rPr>
              <w:t>sownych przypadkach na poziomie skonsolidowanym).</w:t>
            </w:r>
          </w:p>
          <w:p w14:paraId="36F1A57F" w14:textId="701178C9" w:rsidR="00B07EB6" w:rsidRPr="00724359" w:rsidRDefault="00B07EB6" w:rsidP="00B07E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sz w:val="24"/>
              </w:rPr>
              <w:t>Wewnętrzna TLAC</w:t>
            </w:r>
          </w:p>
          <w:p w14:paraId="524A15B1" w14:textId="14C03F89" w:rsidR="00D156A3" w:rsidRPr="00724359" w:rsidRDefault="00B07EB6" w:rsidP="00CB0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Wymóg określony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 92b rozporządzenia (UE) nr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575/2013, wyrażony jako odsetek łącznej kwoty ekspozycji na ryzyko (na poziomie indywidualnym lub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sto</w:t>
            </w:r>
            <w:r w:rsidRPr="00724359">
              <w:rPr>
                <w:rFonts w:ascii="Times New Roman" w:hAnsi="Times New Roman"/>
                <w:sz w:val="24"/>
              </w:rPr>
              <w:t>sownych przypadkach na poziomie skonsolidowanym).</w:t>
            </w:r>
          </w:p>
        </w:tc>
      </w:tr>
      <w:tr w:rsidR="00026FC1" w:rsidRPr="00724359" w14:paraId="33DA72AB" w14:textId="77777777" w:rsidTr="002A065A">
        <w:tc>
          <w:tcPr>
            <w:tcW w:w="1109" w:type="dxa"/>
          </w:tcPr>
          <w:p w14:paraId="784E2295" w14:textId="4500A04A" w:rsidR="008834C5" w:rsidRPr="00724359" w:rsidRDefault="00F42177" w:rsidP="00CE0D4E">
            <w:pPr>
              <w:keepNext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EU-19</w:t>
            </w:r>
          </w:p>
        </w:tc>
        <w:tc>
          <w:tcPr>
            <w:tcW w:w="7642" w:type="dxa"/>
          </w:tcPr>
          <w:p w14:paraId="168B9372" w14:textId="16C47788" w:rsidR="008834C5" w:rsidRPr="00724359" w:rsidRDefault="00FF5E0F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wyrażony jako odsetek TREA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część wymogu, którą można spełnić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wyk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orzystaniem gwarancji</w:t>
            </w:r>
          </w:p>
          <w:p w14:paraId="689193A8" w14:textId="694520D5" w:rsidR="00036DB1" w:rsidRPr="00724359" w:rsidRDefault="00036DB1" w:rsidP="001028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W stosownych przypadkach część wymogu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zak</w:t>
            </w:r>
            <w:r w:rsidRPr="00724359">
              <w:rPr>
                <w:rFonts w:ascii="Times New Roman" w:hAnsi="Times New Roman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zob</w:t>
            </w:r>
            <w:r w:rsidRPr="00724359">
              <w:rPr>
                <w:rFonts w:ascii="Times New Roman" w:hAnsi="Times New Roman"/>
                <w:sz w:val="24"/>
              </w:rPr>
              <w:t>owiązań kwalifikowalnych wyrażona jako odsetek łącznej kwoty ekspozycji na ryzyko, którą można spełnić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wyk</w:t>
            </w:r>
            <w:r w:rsidRPr="00724359">
              <w:rPr>
                <w:rFonts w:ascii="Times New Roman" w:hAnsi="Times New Roman"/>
                <w:sz w:val="24"/>
              </w:rPr>
              <w:t>orzystaniem gwarancji udzielonej przez podmiot restrukturyzacji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upo</w:t>
            </w:r>
            <w:r w:rsidRPr="00724359">
              <w:rPr>
                <w:rFonts w:ascii="Times New Roman" w:hAnsi="Times New Roman"/>
                <w:sz w:val="24"/>
              </w:rPr>
              <w:t>rządkowanej likwidacji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45f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 dyrektywy 2014/59/UE.</w:t>
            </w:r>
          </w:p>
        </w:tc>
      </w:tr>
      <w:tr w:rsidR="00026FC1" w:rsidRPr="00724359" w14:paraId="7DB5B45D" w14:textId="77777777" w:rsidTr="002A065A">
        <w:tc>
          <w:tcPr>
            <w:tcW w:w="1109" w:type="dxa"/>
          </w:tcPr>
          <w:p w14:paraId="291F5089" w14:textId="5540E6DA" w:rsidR="008834C5" w:rsidRPr="00724359" w:rsidRDefault="00BB093D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EU-20</w:t>
            </w:r>
          </w:p>
        </w:tc>
        <w:tc>
          <w:tcPr>
            <w:tcW w:w="7642" w:type="dxa"/>
          </w:tcPr>
          <w:p w14:paraId="517C1D7E" w14:textId="160471A8" w:rsidR="008834C5" w:rsidRPr="00724359" w:rsidRDefault="00A96376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wyrażony jako odsetek TEM</w:t>
            </w:r>
          </w:p>
          <w:p w14:paraId="390682C6" w14:textId="2F127DB6" w:rsidR="00B07EB6" w:rsidRPr="00724359" w:rsidRDefault="00B07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sz w:val="24"/>
              </w:rPr>
              <w:t>Wewnętrzny MREL</w:t>
            </w:r>
          </w:p>
          <w:p w14:paraId="15AB0F32" w14:textId="38951839" w:rsidR="00036DB1" w:rsidRPr="00724359" w:rsidRDefault="00B0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Wymóg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zak</w:t>
            </w:r>
            <w:r w:rsidRPr="00724359">
              <w:rPr>
                <w:rFonts w:ascii="Times New Roman" w:hAnsi="Times New Roman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zob</w:t>
            </w:r>
            <w:r w:rsidRPr="00724359">
              <w:rPr>
                <w:rFonts w:ascii="Times New Roman" w:hAnsi="Times New Roman"/>
                <w:sz w:val="24"/>
              </w:rPr>
              <w:t>owiązań kwalifikowalnych mający zastosowanie do podmiotu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 xml:space="preserve">. 45f dyrektywy 2014/59/UE, wyrażony jako odsetek miary ekspozycji całkowitej (na </w:t>
            </w:r>
            <w:r w:rsidRPr="00724359">
              <w:rPr>
                <w:rFonts w:ascii="Times New Roman" w:hAnsi="Times New Roman"/>
                <w:sz w:val="24"/>
              </w:rPr>
              <w:lastRenderedPageBreak/>
              <w:t>poziomie indywidualnym lub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sto</w:t>
            </w:r>
            <w:r w:rsidRPr="00724359">
              <w:rPr>
                <w:rFonts w:ascii="Times New Roman" w:hAnsi="Times New Roman"/>
                <w:sz w:val="24"/>
              </w:rPr>
              <w:t>sownych przypadkach na skonsolidowanym poziomie unijnej jednostki dominującej).</w:t>
            </w:r>
          </w:p>
          <w:p w14:paraId="28AE2B52" w14:textId="40D45C6B" w:rsidR="00B07EB6" w:rsidRPr="00724359" w:rsidRDefault="00B07EB6" w:rsidP="006501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24359">
              <w:rPr>
                <w:rFonts w:ascii="Times New Roman" w:hAnsi="Times New Roman"/>
                <w:i/>
                <w:sz w:val="24"/>
              </w:rPr>
              <w:t xml:space="preserve">Wewnętrzna TLAC </w:t>
            </w:r>
          </w:p>
          <w:p w14:paraId="316152E4" w14:textId="4A19D9EA" w:rsidR="00D156A3" w:rsidRPr="00724359" w:rsidRDefault="00B07EB6" w:rsidP="00CB0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Wymóg określony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 92b rozporządzenia (UE) nr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575/2013, wyrażony jako odsetek miary ekspozycji całkowitej (na poziomie indywidualnym lub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sto</w:t>
            </w:r>
            <w:r w:rsidRPr="00724359">
              <w:rPr>
                <w:rFonts w:ascii="Times New Roman" w:hAnsi="Times New Roman"/>
                <w:sz w:val="24"/>
              </w:rPr>
              <w:t>sownych przypadkach na poziomie skonsolidowanym).</w:t>
            </w:r>
          </w:p>
        </w:tc>
      </w:tr>
      <w:tr w:rsidR="00026FC1" w:rsidRPr="00724359" w14:paraId="665B02CC" w14:textId="77777777" w:rsidTr="002A065A">
        <w:tc>
          <w:tcPr>
            <w:tcW w:w="1109" w:type="dxa"/>
          </w:tcPr>
          <w:p w14:paraId="4CC8B518" w14:textId="34221154" w:rsidR="008834C5" w:rsidRPr="00724359" w:rsidRDefault="0092457E" w:rsidP="00644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EU-21</w:t>
            </w:r>
          </w:p>
        </w:tc>
        <w:tc>
          <w:tcPr>
            <w:tcW w:w="7642" w:type="dxa"/>
          </w:tcPr>
          <w:p w14:paraId="5E678549" w14:textId="549DA808" w:rsidR="008834C5" w:rsidRPr="00724359" w:rsidRDefault="00FF5E0F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Wymóg wyrażony jako odsetek TEM –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tym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część wymogu, którą można spełnić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wyk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orzystaniem gwarancji</w:t>
            </w:r>
          </w:p>
          <w:p w14:paraId="4AD84850" w14:textId="380F612C" w:rsidR="00036DB1" w:rsidRPr="00724359" w:rsidRDefault="00036DB1" w:rsidP="00CB08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W stosownych przypadkach część wymogu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zak</w:t>
            </w:r>
            <w:r w:rsidRPr="00724359">
              <w:rPr>
                <w:rFonts w:ascii="Times New Roman" w:hAnsi="Times New Roman"/>
                <w:sz w:val="24"/>
              </w:rPr>
              <w:t>resie funduszy własnych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zob</w:t>
            </w:r>
            <w:r w:rsidRPr="00724359">
              <w:rPr>
                <w:rFonts w:ascii="Times New Roman" w:hAnsi="Times New Roman"/>
                <w:sz w:val="24"/>
              </w:rPr>
              <w:t>owiązań kwalifikowalnych wyrażona jako odsetek miary ekspozycji całkowitej, którą można spełnić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wyk</w:t>
            </w:r>
            <w:r w:rsidRPr="00724359">
              <w:rPr>
                <w:rFonts w:ascii="Times New Roman" w:hAnsi="Times New Roman"/>
                <w:sz w:val="24"/>
              </w:rPr>
              <w:t>orzystaniem gwarancji udzielonej przez podmiot restrukturyzacji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upo</w:t>
            </w:r>
            <w:r w:rsidRPr="00724359">
              <w:rPr>
                <w:rFonts w:ascii="Times New Roman" w:hAnsi="Times New Roman"/>
                <w:sz w:val="24"/>
              </w:rPr>
              <w:t>rządkowanej likwidacji, zgodnie</w:t>
            </w:r>
            <w:r w:rsidR="00724359" w:rsidRPr="00724359">
              <w:rPr>
                <w:rFonts w:ascii="Times New Roman" w:hAnsi="Times New Roman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sz w:val="24"/>
              </w:rPr>
              <w:t>art</w:t>
            </w:r>
            <w:r w:rsidRPr="00724359">
              <w:rPr>
                <w:rFonts w:ascii="Times New Roman" w:hAnsi="Times New Roman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45f ust.</w:t>
            </w:r>
            <w:r w:rsidR="00724359" w:rsidRPr="00724359">
              <w:rPr>
                <w:rFonts w:ascii="Times New Roman" w:hAnsi="Times New Roman"/>
                <w:sz w:val="24"/>
              </w:rPr>
              <w:t> </w:t>
            </w:r>
            <w:r w:rsidRPr="00724359">
              <w:rPr>
                <w:rFonts w:ascii="Times New Roman" w:hAnsi="Times New Roman"/>
                <w:sz w:val="24"/>
              </w:rPr>
              <w:t>5 dyrektywy 2014/59/UE.</w:t>
            </w:r>
          </w:p>
        </w:tc>
      </w:tr>
      <w:tr w:rsidR="000B47A2" w:rsidRPr="00724359" w14:paraId="2ACBD5CA" w14:textId="77777777" w:rsidTr="002A065A">
        <w:tc>
          <w:tcPr>
            <w:tcW w:w="1119" w:type="dxa"/>
            <w:vAlign w:val="top"/>
          </w:tcPr>
          <w:p w14:paraId="41CF7AC6" w14:textId="519C4DAD" w:rsidR="000B47A2" w:rsidRPr="00724359" w:rsidRDefault="000B47A2" w:rsidP="0033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EU-22</w:t>
            </w:r>
          </w:p>
        </w:tc>
        <w:tc>
          <w:tcPr>
            <w:tcW w:w="7642" w:type="dxa"/>
            <w:vAlign w:val="top"/>
          </w:tcPr>
          <w:p w14:paraId="4FA5E841" w14:textId="2E15A621" w:rsidR="000B47A2" w:rsidRPr="00724359" w:rsidRDefault="000B47A2" w:rsidP="003312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Łączna kwota wyłączonych zobowiązań,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któ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rych mowa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art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72a ust.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2 rozporządzenia (UE) nr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575/2013</w:t>
            </w:r>
          </w:p>
        </w:tc>
      </w:tr>
    </w:tbl>
    <w:p w14:paraId="0C6C28B8" w14:textId="738A3B7A" w:rsidR="003956D6" w:rsidRPr="00724359" w:rsidRDefault="003956D6" w:rsidP="003956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9" w:name="_Toc521936439"/>
      <w:bookmarkStart w:id="210" w:name="_Toc521936455"/>
      <w:bookmarkStart w:id="211" w:name="_Toc521936215"/>
      <w:bookmarkStart w:id="212" w:name="_Toc521936440"/>
      <w:bookmarkStart w:id="213" w:name="_Toc521936456"/>
      <w:bookmarkStart w:id="214" w:name="_Toc521936554"/>
      <w:bookmarkStart w:id="215" w:name="_Toc521938414"/>
      <w:bookmarkStart w:id="216" w:name="_Toc521941535"/>
      <w:bookmarkStart w:id="217" w:name="_Toc521936122"/>
      <w:bookmarkStart w:id="218" w:name="_Toc521936139"/>
      <w:bookmarkStart w:id="219" w:name="_Toc521936178"/>
      <w:bookmarkStart w:id="220" w:name="_Toc521936190"/>
      <w:bookmarkStart w:id="221" w:name="_Toc521936218"/>
      <w:bookmarkStart w:id="222" w:name="_Toc521936278"/>
      <w:bookmarkStart w:id="223" w:name="_Toc521936409"/>
      <w:bookmarkStart w:id="224" w:name="_Toc521936443"/>
      <w:bookmarkStart w:id="225" w:name="_Toc521936459"/>
      <w:bookmarkStart w:id="226" w:name="_Toc521936503"/>
      <w:bookmarkStart w:id="227" w:name="_Toc521936555"/>
      <w:bookmarkStart w:id="228" w:name="_Toc521938415"/>
      <w:bookmarkStart w:id="229" w:name="_Toc521941536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2A405E3F" w14:textId="34B53B8F" w:rsidR="00134FA4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30" w:name="_Toc529272911"/>
      <w:bookmarkStart w:id="231" w:name="_Toc14770786"/>
      <w:bookmarkStart w:id="232" w:name="_Toc4526692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24359">
        <w:rPr>
          <w:rFonts w:ascii="Times New Roman" w:hAnsi="Times New Roman"/>
          <w:color w:val="auto"/>
          <w:sz w:val="24"/>
        </w:rPr>
        <w:t>5.</w:t>
      </w:r>
      <w:r w:rsidRPr="00724359">
        <w:rPr>
          <w:rFonts w:ascii="Times New Roman" w:hAnsi="Times New Roman"/>
          <w:color w:val="auto"/>
          <w:sz w:val="24"/>
        </w:rPr>
        <w:tab/>
        <w:t>EU TLAC2: Kolejność zaspokajania wierzycieli – podmiot, który nie jest podmiotem</w:t>
      </w:r>
      <w:bookmarkEnd w:id="230"/>
      <w:r w:rsidR="00724359" w:rsidRPr="00724359">
        <w:rPr>
          <w:rFonts w:ascii="Times New Roman" w:hAnsi="Times New Roman"/>
          <w:color w:val="auto"/>
          <w:sz w:val="24"/>
        </w:rPr>
        <w:t xml:space="preserve"> </w:t>
      </w:r>
      <w:r w:rsidRPr="00724359">
        <w:rPr>
          <w:rFonts w:ascii="Times New Roman" w:hAnsi="Times New Roman"/>
          <w:color w:val="auto"/>
          <w:sz w:val="24"/>
        </w:rPr>
        <w:t>restrukturyzacji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upo</w:t>
      </w:r>
      <w:r w:rsidRPr="00724359">
        <w:rPr>
          <w:rFonts w:ascii="Times New Roman" w:hAnsi="Times New Roman"/>
          <w:color w:val="auto"/>
          <w:sz w:val="24"/>
        </w:rPr>
        <w:t>rządkowanej likwidacji</w:t>
      </w:r>
      <w:bookmarkEnd w:id="231"/>
      <w:bookmarkEnd w:id="232"/>
    </w:p>
    <w:p w14:paraId="7A03C7D5" w14:textId="52B10ED1" w:rsidR="00EE122D" w:rsidRPr="00724359" w:rsidRDefault="00EE122D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Informacje zamieszczane we wzorze EU TLAC2 ujawnia się na poziomie pojedynczego podmiotu.</w:t>
      </w:r>
    </w:p>
    <w:p w14:paraId="37B5040A" w14:textId="0B467AD4" w:rsidR="00D76A01" w:rsidRPr="00724359" w:rsidRDefault="00D76A01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Wzór EU TLAC2 występuje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dwó</w:t>
      </w:r>
      <w:r w:rsidRPr="00724359">
        <w:rPr>
          <w:noProof w:val="0"/>
        </w:rPr>
        <w:t>ch wersjach: EU TLAC2a i EU TLAC2b. Wzór TLAC2a obejmuje wszelkie środki (finansowania), których stopień uprzywilejowania jest równy stopniowi uprzywilejowania instrumentów kwalifikujących się do MREL lub jest od niego niższy,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tym</w:t>
      </w:r>
      <w:r w:rsidRPr="00724359">
        <w:rPr>
          <w:noProof w:val="0"/>
        </w:rPr>
        <w:t xml:space="preserve"> fundusze własne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inn</w:t>
      </w:r>
      <w:r w:rsidRPr="00724359">
        <w:rPr>
          <w:noProof w:val="0"/>
        </w:rPr>
        <w:t>e instrumenty kapitałowe. Wzór EU TLAC2b dotyczy wyłącznie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kwalifikujących się do spełnienia wymogu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 dyrektywy 2014/59/UE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45f tej dyrektywy.</w:t>
      </w:r>
    </w:p>
    <w:p w14:paraId="51E3EFB7" w14:textId="3CE96F02" w:rsidR="00410769" w:rsidRPr="00724359" w:rsidRDefault="00410769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13 ust. 2 niniejszego rozporządzenia podmioty, które nie podlegają obowiązkowi spełnienia wymogu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92b rozporządzenia (UE) nr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575/2013, ale podlegają obowiązkowi spełnienia wymogu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 dyrektywy 2014/59/UE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45f tej dyrektywy, mogą zdecydować, czy – aby spełnić wymóg dotyczący ujawniania informacji określony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45i ust. 3 lit. b) dyrektywy 2014/59/UE – skorzystają ze wzoru EU TLAC2a czy EU TLAC2b.</w:t>
      </w:r>
    </w:p>
    <w:p w14:paraId="0E950EC5" w14:textId="185397EA" w:rsidR="00510C0E" w:rsidRPr="00724359" w:rsidRDefault="0071460A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Począwszy od dnia rozpoczęcia stosowania art.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45i ust.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3 dyrektywy 2014/59/UE jednostki emitujące ujawniają we wzorze TLAC2a zobowiązania potencjalnie kwalifikujące się do spełnienia wymogów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wewnętrznego MREL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wew</w:t>
      </w:r>
      <w:r w:rsidRPr="00724359">
        <w:rPr>
          <w:noProof w:val="0"/>
        </w:rPr>
        <w:t xml:space="preserve">nętrznej TLAC. Przed tym dniem jednostki emitujące ujawniają </w:t>
      </w:r>
      <w:r w:rsidRPr="00724359">
        <w:rPr>
          <w:noProof w:val="0"/>
        </w:rPr>
        <w:lastRenderedPageBreak/>
        <w:t>zobowiązania potencjalnie kwalifikujące się do spełnienia wymogu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wewnętrznej TLAC.</w:t>
      </w:r>
    </w:p>
    <w:p w14:paraId="6CD2E5E7" w14:textId="1EE8D5C6" w:rsidR="00134FA4" w:rsidRPr="00724359" w:rsidRDefault="00134FA4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Kwoty pozostające do spłaty,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któ</w:t>
      </w:r>
      <w:r w:rsidRPr="00724359">
        <w:rPr>
          <w:noProof w:val="0"/>
        </w:rPr>
        <w:t>rych mowa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wie</w:t>
      </w:r>
      <w:r w:rsidRPr="00724359">
        <w:rPr>
          <w:noProof w:val="0"/>
        </w:rPr>
        <w:t>rszach, należy podzielić według stopni uprzywilejowania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pos</w:t>
      </w:r>
      <w:r w:rsidRPr="00724359">
        <w:rPr>
          <w:noProof w:val="0"/>
        </w:rPr>
        <w:t>tępowaniu upadłościowym na podstawie prawa</w:t>
      </w:r>
      <w:r w:rsidR="00724359" w:rsidRPr="00724359">
        <w:rPr>
          <w:noProof w:val="0"/>
        </w:rPr>
        <w:t xml:space="preserve"> </w:t>
      </w:r>
      <w:r w:rsidRPr="00724359">
        <w:rPr>
          <w:noProof w:val="0"/>
        </w:rPr>
        <w:t>dotyczącego niewypłacalności obowiązującego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sto</w:t>
      </w:r>
      <w:r w:rsidRPr="00724359">
        <w:rPr>
          <w:noProof w:val="0"/>
        </w:rPr>
        <w:t>sunku do jednostki emitującej, niezależnie od prawa właściwego dla instrumentu.</w:t>
      </w:r>
    </w:p>
    <w:p w14:paraId="0B0B9A5D" w14:textId="69774AEF" w:rsidR="00134FA4" w:rsidRPr="00724359" w:rsidRDefault="00522875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Klasyfikacjami stopni uprzywilejowania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pos</w:t>
      </w:r>
      <w:r w:rsidRPr="00724359">
        <w:rPr>
          <w:noProof w:val="0"/>
        </w:rPr>
        <w:t>tępowaniu upadłościowym są klasyfikacje podane przez właściwy organ ds.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zno</w:t>
      </w:r>
      <w:r w:rsidRPr="00724359">
        <w:rPr>
          <w:noProof w:val="0"/>
        </w:rPr>
        <w:t>rmalizowany sposób określony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8 niniejszego rozporządzenia.</w:t>
      </w:r>
    </w:p>
    <w:p w14:paraId="572D872C" w14:textId="35C5457F" w:rsidR="00134FA4" w:rsidRPr="00724359" w:rsidRDefault="00134FA4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 xml:space="preserve">Pozycje przedstawia się od mającej najniższy stopień uprzywilejowania do mającej wyższy stopień uprzywilejowania. Kolumny dla pozycji dodaje się do czasu, aż zostaną ujawnione potencjalnie kwalifikowalne instrumenty mające najwyższe stopnie uprzywilejowania. </w:t>
      </w:r>
    </w:p>
    <w:p w14:paraId="451EEEC0" w14:textId="1ECD543F" w:rsidR="00134FA4" w:rsidRPr="00724359" w:rsidRDefault="00134FA4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Kwotę przypisywaną każdej pozycji dzieli się dodatkowo na kwoty należne podmiotowi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likwidacji,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tym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sto</w:t>
      </w:r>
      <w:r w:rsidRPr="00724359">
        <w:rPr>
          <w:noProof w:val="0"/>
        </w:rPr>
        <w:t>sownych przypadkach na kwoty bezpośrednio lub pośrednio należne podmiotowi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 za pośrednictwem podmiotów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cał</w:t>
      </w:r>
      <w:r w:rsidRPr="00724359">
        <w:rPr>
          <w:noProof w:val="0"/>
        </w:rPr>
        <w:t>ym łańcuchu własności; oraz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zal</w:t>
      </w:r>
      <w:r w:rsidRPr="00724359">
        <w:rPr>
          <w:noProof w:val="0"/>
        </w:rPr>
        <w:t>eżności od przypadku na inne kwoty nienależne podmiotowi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likwidacji. Łączną kwotę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każ</w:t>
      </w:r>
      <w:r w:rsidRPr="00724359">
        <w:rPr>
          <w:noProof w:val="0"/>
        </w:rPr>
        <w:t>dego wiersza wprowadza się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ost</w:t>
      </w:r>
      <w:r w:rsidRPr="00724359">
        <w:rPr>
          <w:noProof w:val="0"/>
        </w:rPr>
        <w:t>atniej kolumnie każdego wiersza.</w:t>
      </w:r>
    </w:p>
    <w:p w14:paraId="4EBA1B5C" w14:textId="77777777" w:rsidR="00134FA4" w:rsidRPr="00724359" w:rsidRDefault="00134FA4" w:rsidP="00134F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134FA4" w:rsidRPr="00724359" w14:paraId="31E0F598" w14:textId="77777777" w:rsidTr="006E57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1E16BF2A" w14:textId="77777777" w:rsidR="00134FA4" w:rsidRPr="00724359" w:rsidRDefault="00134FA4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Wiersze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9B07763" w14:textId="512552D6" w:rsidR="00134FA4" w:rsidRPr="00724359" w:rsidRDefault="00E46262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8871C6" w:rsidRPr="00724359" w14:paraId="209D319D" w14:textId="77777777" w:rsidTr="00AA4A01">
        <w:trPr>
          <w:trHeight w:val="70"/>
        </w:trPr>
        <w:tc>
          <w:tcPr>
            <w:tcW w:w="1384" w:type="dxa"/>
          </w:tcPr>
          <w:p w14:paraId="6E58CC27" w14:textId="0752B747" w:rsidR="008871C6" w:rsidRPr="00724359" w:rsidRDefault="008871C6" w:rsidP="000C3B9F">
            <w:pPr>
              <w:pStyle w:val="Applicationdirecte"/>
              <w:spacing w:before="120"/>
              <w:rPr>
                <w:szCs w:val="24"/>
              </w:rPr>
            </w:pPr>
            <w:r w:rsidRPr="00724359">
              <w:t>1</w:t>
            </w:r>
          </w:p>
        </w:tc>
        <w:tc>
          <w:tcPr>
            <w:tcW w:w="7655" w:type="dxa"/>
          </w:tcPr>
          <w:p w14:paraId="5F9CE229" w14:textId="006CF2E0" w:rsidR="008871C6" w:rsidRPr="00724359" w:rsidRDefault="008871C6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Zbiór pusty w UE</w:t>
            </w:r>
          </w:p>
        </w:tc>
      </w:tr>
      <w:tr w:rsidR="000C3B9F" w:rsidRPr="00724359" w14:paraId="568E403E" w14:textId="77777777" w:rsidTr="006E5727">
        <w:trPr>
          <w:trHeight w:val="1014"/>
        </w:trPr>
        <w:tc>
          <w:tcPr>
            <w:tcW w:w="1384" w:type="dxa"/>
          </w:tcPr>
          <w:p w14:paraId="1E3A9FE3" w14:textId="763A11D8" w:rsidR="000C3B9F" w:rsidRPr="00724359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2</w:t>
            </w:r>
          </w:p>
        </w:tc>
        <w:tc>
          <w:tcPr>
            <w:tcW w:w="7655" w:type="dxa"/>
          </w:tcPr>
          <w:p w14:paraId="4A148EDF" w14:textId="088C594E" w:rsidR="000C3B9F" w:rsidRPr="00724359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Opis stopnia uprzywilejowania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tępowaniu upadłościowym (tekst dowolny)</w:t>
            </w:r>
          </w:p>
          <w:p w14:paraId="11B9DED3" w14:textId="7010555D" w:rsidR="000C3B9F" w:rsidRPr="00724359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Liczba stopni uprzywilejowania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pos</w:t>
            </w:r>
            <w:r w:rsidRPr="00724359">
              <w:rPr>
                <w:color w:val="000000" w:themeColor="text1"/>
              </w:rPr>
              <w:t>tępowaniu upadłościowym (n)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hie</w:t>
            </w:r>
            <w:r w:rsidRPr="00724359">
              <w:rPr>
                <w:color w:val="000000" w:themeColor="text1"/>
              </w:rPr>
              <w:t>rarchii wierzycieli będzie zależała od zestawu zobowiązań jednostki emitującej. Opis powinien zawierać specyfikację rodzajów należności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obr</w:t>
            </w:r>
            <w:r w:rsidRPr="00724359">
              <w:rPr>
                <w:color w:val="000000" w:themeColor="text1"/>
              </w:rPr>
              <w:t>ębie danego stopnia uprzywilejowania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pos</w:t>
            </w:r>
            <w:r w:rsidRPr="00724359">
              <w:rPr>
                <w:color w:val="000000" w:themeColor="text1"/>
              </w:rPr>
              <w:t>tępowaniu upadłościowym (np. kapitał podstawowy Tier I, instrumenty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Tie</w:t>
            </w:r>
            <w:r w:rsidRPr="00724359">
              <w:rPr>
                <w:color w:val="000000" w:themeColor="text1"/>
              </w:rPr>
              <w:t xml:space="preserve">r II). </w:t>
            </w:r>
          </w:p>
          <w:p w14:paraId="22A60804" w14:textId="374B05F0" w:rsidR="000C3B9F" w:rsidRPr="00724359" w:rsidRDefault="000C3B9F" w:rsidP="00331959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Istnieje jedna kolumna dla każdego stopnia uprzywilejowania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pos</w:t>
            </w:r>
            <w:r w:rsidRPr="00724359">
              <w:rPr>
                <w:color w:val="000000" w:themeColor="text1"/>
              </w:rPr>
              <w:t>tępowaniu upadłościowym,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prz</w:t>
            </w:r>
            <w:r w:rsidRPr="00724359">
              <w:rPr>
                <w:color w:val="000000" w:themeColor="text1"/>
              </w:rPr>
              <w:t>ypadku którego kwota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cał</w:t>
            </w:r>
            <w:r w:rsidRPr="00724359">
              <w:rPr>
                <w:color w:val="000000" w:themeColor="text1"/>
              </w:rPr>
              <w:t>ości należy do podmiotu restrukturyzacji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upo</w:t>
            </w:r>
            <w:r w:rsidRPr="00724359">
              <w:rPr>
                <w:color w:val="000000" w:themeColor="text1"/>
              </w:rPr>
              <w:t>rządkowanej likwidacji</w:t>
            </w:r>
            <w:r w:rsidRPr="00724359">
              <w:t>,</w:t>
            </w:r>
            <w:r w:rsidR="00724359" w:rsidRPr="00724359">
              <w:t xml:space="preserve"> w</w:t>
            </w:r>
            <w:r w:rsidR="00724359">
              <w:t> </w:t>
            </w:r>
            <w:r w:rsidR="00724359" w:rsidRPr="00724359">
              <w:t>tym w</w:t>
            </w:r>
            <w:r w:rsidR="00724359">
              <w:t> </w:t>
            </w:r>
            <w:r w:rsidR="00724359" w:rsidRPr="00724359">
              <w:t>sto</w:t>
            </w:r>
            <w:r w:rsidRPr="00724359">
              <w:t>sownych przypadkach kwoty bezpośrednio lub pośrednio należne podmiotowi restrukturyzacji</w:t>
            </w:r>
            <w:r w:rsidR="00724359" w:rsidRPr="00724359">
              <w:t xml:space="preserve"> i</w:t>
            </w:r>
            <w:r w:rsidR="00724359">
              <w:t> </w:t>
            </w:r>
            <w:r w:rsidR="00724359" w:rsidRPr="00724359">
              <w:t>upo</w:t>
            </w:r>
            <w:r w:rsidRPr="00724359">
              <w:t>rządkowanej likwidacji za pośrednictwem podmiotów</w:t>
            </w:r>
            <w:r w:rsidR="00724359" w:rsidRPr="00724359">
              <w:t xml:space="preserve"> w</w:t>
            </w:r>
            <w:r w:rsidR="00724359">
              <w:t> </w:t>
            </w:r>
            <w:r w:rsidR="00724359" w:rsidRPr="00724359">
              <w:t>cał</w:t>
            </w:r>
            <w:r w:rsidRPr="00724359">
              <w:t>ym łańcuchu własności</w:t>
            </w:r>
            <w:r w:rsidRPr="00724359">
              <w:rPr>
                <w:color w:val="000000" w:themeColor="text1"/>
              </w:rPr>
              <w:t>, oraz druga kolumna,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któ</w:t>
            </w:r>
            <w:r w:rsidRPr="00724359">
              <w:rPr>
                <w:color w:val="000000" w:themeColor="text1"/>
              </w:rPr>
              <w:t xml:space="preserve">rej część kwoty przypadającej na stopień uprzywilejowania należy również do </w:t>
            </w:r>
            <w:r w:rsidRPr="00724359">
              <w:rPr>
                <w:color w:val="000000" w:themeColor="text1"/>
              </w:rPr>
              <w:lastRenderedPageBreak/>
              <w:t>właścicieli, którzy nie są podmiotem restrukturyzacji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upo</w:t>
            </w:r>
            <w:r w:rsidRPr="00724359">
              <w:rPr>
                <w:color w:val="000000" w:themeColor="text1"/>
              </w:rPr>
              <w:t xml:space="preserve">rządkowanej likwidacji. </w:t>
            </w:r>
          </w:p>
        </w:tc>
      </w:tr>
      <w:tr w:rsidR="000C3B9F" w:rsidRPr="00724359" w14:paraId="4F584FCC" w14:textId="77777777" w:rsidTr="006E5727">
        <w:trPr>
          <w:trHeight w:val="1014"/>
        </w:trPr>
        <w:tc>
          <w:tcPr>
            <w:tcW w:w="1384" w:type="dxa"/>
          </w:tcPr>
          <w:p w14:paraId="2A436C9B" w14:textId="2CCB8C6C" w:rsidR="000C3B9F" w:rsidRPr="00724359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lastRenderedPageBreak/>
              <w:t>3</w:t>
            </w:r>
          </w:p>
        </w:tc>
        <w:tc>
          <w:tcPr>
            <w:tcW w:w="7655" w:type="dxa"/>
          </w:tcPr>
          <w:p w14:paraId="77AA473A" w14:textId="55156B55" w:rsidR="000C3B9F" w:rsidRPr="00724359" w:rsidRDefault="00367DF1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Zobowiązania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dusze własne</w:t>
            </w:r>
          </w:p>
          <w:p w14:paraId="4216384F" w14:textId="7C095067" w:rsidR="000C3B9F" w:rsidRPr="00724359" w:rsidRDefault="00BB21F0" w:rsidP="00AA4A01">
            <w:pPr>
              <w:pStyle w:val="Applicationdirecte"/>
              <w:spacing w:before="120"/>
              <w:rPr>
                <w:color w:val="000000" w:themeColor="text1"/>
              </w:rPr>
            </w:pPr>
            <w:r w:rsidRPr="00724359">
              <w:rPr>
                <w:color w:val="000000" w:themeColor="text1"/>
              </w:rPr>
              <w:t>Kwota funduszy własnych, zobowiązań kwalifikowalnych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zob</w:t>
            </w:r>
            <w:r w:rsidRPr="00724359">
              <w:rPr>
                <w:color w:val="000000" w:themeColor="text1"/>
              </w:rPr>
              <w:t>owiązań, których stopień uprzywilejowania jest niższy niż stopień uprzywilejowania funduszy własnych lub zobowiązań kwalifikowalnych lub jest równy temu stopniowi.</w:t>
            </w:r>
          </w:p>
          <w:p w14:paraId="1B0E819E" w14:textId="30A25956" w:rsidR="00BB21F0" w:rsidRPr="00724359" w:rsidRDefault="00BB21F0" w:rsidP="00AA4A01">
            <w:pPr>
              <w:pStyle w:val="Applicationdirecte"/>
              <w:spacing w:before="120"/>
              <w:rPr>
                <w:color w:val="000000" w:themeColor="text1"/>
              </w:rPr>
            </w:pPr>
            <w:r w:rsidRPr="00724359">
              <w:rPr>
                <w:color w:val="000000" w:themeColor="text1"/>
              </w:rPr>
              <w:t>Obejmuje to również zobowiązania wyłączone</w:t>
            </w:r>
            <w:r w:rsidR="00724359" w:rsidRPr="00724359">
              <w:rPr>
                <w:color w:val="000000" w:themeColor="text1"/>
              </w:rPr>
              <w:t xml:space="preserve"> z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umo</w:t>
            </w:r>
            <w:r w:rsidRPr="00724359">
              <w:rPr>
                <w:color w:val="000000" w:themeColor="text1"/>
              </w:rPr>
              <w:t>rzenia lub konwersji długu.</w:t>
            </w:r>
          </w:p>
          <w:p w14:paraId="5A7B82DD" w14:textId="368405A5" w:rsidR="008907A6" w:rsidRPr="00724359" w:rsidRDefault="00410769" w:rsidP="005F391D">
            <w:pPr>
              <w:pStyle w:val="Fait"/>
            </w:pPr>
            <w:r w:rsidRPr="00724359">
              <w:t>Wiersz ten nie ma zastosowania we wzorze EU TLAC2b.</w:t>
            </w:r>
          </w:p>
        </w:tc>
      </w:tr>
      <w:tr w:rsidR="000C3B9F" w:rsidRPr="00724359" w14:paraId="27EAD1F9" w14:textId="77777777" w:rsidTr="006E5727">
        <w:trPr>
          <w:trHeight w:val="483"/>
        </w:trPr>
        <w:tc>
          <w:tcPr>
            <w:tcW w:w="1384" w:type="dxa"/>
          </w:tcPr>
          <w:p w14:paraId="09FA1416" w14:textId="27DA35B3" w:rsidR="000C3B9F" w:rsidRPr="00724359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4</w:t>
            </w:r>
          </w:p>
        </w:tc>
        <w:tc>
          <w:tcPr>
            <w:tcW w:w="7655" w:type="dxa"/>
          </w:tcPr>
          <w:p w14:paraId="59E154B3" w14:textId="722F9197" w:rsidR="000C3B9F" w:rsidRPr="00724359" w:rsidRDefault="00A14A6B" w:rsidP="000C3B9F">
            <w:pPr>
              <w:pStyle w:val="Fait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Zobowiązania</w:t>
            </w:r>
            <w:r w:rsidR="00724359" w:rsidRPr="00724359">
              <w:rPr>
                <w:b/>
                <w:color w:val="000000" w:themeColor="text1"/>
              </w:rPr>
              <w:t xml:space="preserve"> i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fun</w:t>
            </w:r>
            <w:r w:rsidRPr="00724359">
              <w:rPr>
                <w:b/>
                <w:color w:val="000000" w:themeColor="text1"/>
              </w:rPr>
              <w:t>dusze własne –</w:t>
            </w:r>
            <w:r w:rsidR="00724359" w:rsidRPr="00724359">
              <w:rPr>
                <w:b/>
                <w:color w:val="000000" w:themeColor="text1"/>
              </w:rPr>
              <w:t xml:space="preserve"> w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tym</w:t>
            </w:r>
            <w:r w:rsidRPr="00724359">
              <w:rPr>
                <w:b/>
                <w:color w:val="000000" w:themeColor="text1"/>
              </w:rPr>
              <w:t xml:space="preserve"> wyłączone zobowiązania</w:t>
            </w:r>
          </w:p>
          <w:p w14:paraId="543649CA" w14:textId="448C9A75" w:rsidR="006C6694" w:rsidRPr="00724359" w:rsidRDefault="000C3B9F" w:rsidP="005F391D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Podział zobowiązań wyłączonych na podstawie art. 72a ust. 2 rozporządzenia (UE) nr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 xml:space="preserve">575/2013 lub art. 44 ust. 2 dyrektywy 2014/59/UE </w:t>
            </w:r>
            <w:proofErr w:type="gramStart"/>
            <w:r w:rsidRPr="00724359">
              <w:rPr>
                <w:color w:val="000000" w:themeColor="text1"/>
              </w:rPr>
              <w:t>oraz,</w:t>
            </w:r>
            <w:proofErr w:type="gramEnd"/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sto</w:t>
            </w:r>
            <w:r w:rsidRPr="00724359">
              <w:rPr>
                <w:color w:val="000000" w:themeColor="text1"/>
              </w:rPr>
              <w:t>sownych przypadkach, art. 44 ust. 3 dyrektywy 2014/59/UE.</w:t>
            </w:r>
          </w:p>
          <w:p w14:paraId="182D9647" w14:textId="5AEB0362" w:rsidR="008907A6" w:rsidRPr="00724359" w:rsidRDefault="00410769" w:rsidP="005F391D">
            <w:pPr>
              <w:pStyle w:val="Applicationdirecte"/>
              <w:spacing w:before="120"/>
            </w:pPr>
            <w:r w:rsidRPr="00724359">
              <w:t>Wiersz ten nie ma zastosowania we wzorze EU TLAC2b.</w:t>
            </w:r>
          </w:p>
        </w:tc>
      </w:tr>
      <w:tr w:rsidR="000C3B9F" w:rsidRPr="00724359" w14:paraId="3CFAFBE4" w14:textId="77777777" w:rsidTr="006E5727">
        <w:trPr>
          <w:trHeight w:val="1014"/>
        </w:trPr>
        <w:tc>
          <w:tcPr>
            <w:tcW w:w="1384" w:type="dxa"/>
          </w:tcPr>
          <w:p w14:paraId="76860F6D" w14:textId="42C3686D" w:rsidR="000C3B9F" w:rsidRPr="00724359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5</w:t>
            </w:r>
          </w:p>
        </w:tc>
        <w:tc>
          <w:tcPr>
            <w:tcW w:w="7655" w:type="dxa"/>
          </w:tcPr>
          <w:p w14:paraId="005DF5FF" w14:textId="08768097" w:rsidR="0016339F" w:rsidRPr="00724359" w:rsidRDefault="00367DF1" w:rsidP="00EF47A4">
            <w:pPr>
              <w:pStyle w:val="Fait"/>
            </w:pPr>
            <w:r w:rsidRPr="00724359">
              <w:rPr>
                <w:b/>
                <w:color w:val="000000" w:themeColor="text1"/>
              </w:rPr>
              <w:t>Zobowiązania</w:t>
            </w:r>
            <w:r w:rsidR="00724359" w:rsidRPr="00724359">
              <w:rPr>
                <w:b/>
                <w:color w:val="000000" w:themeColor="text1"/>
              </w:rPr>
              <w:t xml:space="preserve"> i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fun</w:t>
            </w:r>
            <w:r w:rsidRPr="00724359">
              <w:rPr>
                <w:b/>
                <w:color w:val="000000" w:themeColor="text1"/>
              </w:rPr>
              <w:t>dusze własne pomniejszone</w:t>
            </w:r>
            <w:r w:rsidR="00724359" w:rsidRPr="00724359">
              <w:rPr>
                <w:b/>
                <w:color w:val="000000" w:themeColor="text1"/>
              </w:rPr>
              <w:t xml:space="preserve"> o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wył</w:t>
            </w:r>
            <w:r w:rsidRPr="00724359">
              <w:rPr>
                <w:b/>
                <w:color w:val="000000" w:themeColor="text1"/>
              </w:rPr>
              <w:t>ączone zobowiązania</w:t>
            </w:r>
          </w:p>
          <w:p w14:paraId="359D335B" w14:textId="1683E7D1" w:rsidR="008907A6" w:rsidRPr="00724359" w:rsidRDefault="00367DF1" w:rsidP="005F391D">
            <w:pPr>
              <w:pStyle w:val="Fait"/>
            </w:pPr>
            <w:r w:rsidRPr="00724359">
              <w:rPr>
                <w:color w:val="000000" w:themeColor="text1"/>
              </w:rPr>
              <w:t>Zobowiązania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fun</w:t>
            </w:r>
            <w:r w:rsidRPr="00724359">
              <w:rPr>
                <w:color w:val="000000" w:themeColor="text1"/>
              </w:rPr>
              <w:t>dusze własne po odliczeniu wyłączonych zobowiązań.</w:t>
            </w:r>
          </w:p>
          <w:p w14:paraId="52590AAA" w14:textId="18E701D2" w:rsidR="000C3B9F" w:rsidRPr="00724359" w:rsidRDefault="00410769" w:rsidP="008907A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Wiersz ten nie ma zastosowania we wzorze EU TLAC2b.</w:t>
            </w:r>
          </w:p>
        </w:tc>
      </w:tr>
      <w:tr w:rsidR="000C3B9F" w:rsidRPr="00724359" w14:paraId="2699A3CB" w14:textId="77777777" w:rsidTr="006E5727">
        <w:trPr>
          <w:trHeight w:val="316"/>
        </w:trPr>
        <w:tc>
          <w:tcPr>
            <w:tcW w:w="1384" w:type="dxa"/>
          </w:tcPr>
          <w:p w14:paraId="039E3565" w14:textId="2A27D53A" w:rsidR="000C3B9F" w:rsidRPr="00724359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55" w:type="dxa"/>
          </w:tcPr>
          <w:p w14:paraId="677315D1" w14:textId="6136F071" w:rsidR="000C3B9F" w:rsidRPr="00724359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Podzbiór zobowiązań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duszy własnych pomniejszonych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wył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ączone zobowiązania, które są funduszami własnymi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owiązaniami kwalifikowalnymi do celów wewnętrznego MREL/wewnętrznej TLAC</w:t>
            </w:r>
          </w:p>
          <w:p w14:paraId="666E0A9A" w14:textId="42FED4BD" w:rsidR="000C3B9F" w:rsidRPr="00724359" w:rsidRDefault="000C3B9F" w:rsidP="00341F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Podział kwoty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owiązań kwalifikowalnych do celów wewnętrznego MREL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lub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 do celów wewnętrznej TLAC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pkt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11 powyżej. </w:t>
            </w:r>
          </w:p>
        </w:tc>
      </w:tr>
      <w:tr w:rsidR="000C3B9F" w:rsidRPr="00724359" w14:paraId="0BED3052" w14:textId="77777777" w:rsidTr="006E5727">
        <w:trPr>
          <w:trHeight w:val="316"/>
        </w:trPr>
        <w:tc>
          <w:tcPr>
            <w:tcW w:w="1384" w:type="dxa"/>
          </w:tcPr>
          <w:p w14:paraId="6F2D6129" w14:textId="1A05DE99" w:rsidR="000C3B9F" w:rsidRPr="00724359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55" w:type="dxa"/>
          </w:tcPr>
          <w:p w14:paraId="3AF5477F" w14:textId="1583355E" w:rsidR="000C3B9F" w:rsidRPr="00724359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 tym rezydualny termin zapadalności ≥ 1 rok &lt; 2 lata </w:t>
            </w:r>
          </w:p>
          <w:p w14:paraId="6EC4B8A9" w14:textId="4C72973E" w:rsidR="000C3B9F" w:rsidRPr="00724359" w:rsidRDefault="001633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6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0C3B9F" w:rsidRPr="00724359" w14:paraId="094D1657" w14:textId="77777777" w:rsidTr="006E5727">
        <w:trPr>
          <w:trHeight w:val="316"/>
        </w:trPr>
        <w:tc>
          <w:tcPr>
            <w:tcW w:w="1384" w:type="dxa"/>
          </w:tcPr>
          <w:p w14:paraId="25637642" w14:textId="2444ED10" w:rsidR="000C3B9F" w:rsidRPr="00724359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55" w:type="dxa"/>
          </w:tcPr>
          <w:p w14:paraId="73BC8BDA" w14:textId="65A30D65" w:rsidR="000C3B9F" w:rsidRPr="00724359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rezydualny termin zapadalności ≥ 2 lata &lt; 5 lat</w:t>
            </w:r>
          </w:p>
          <w:p w14:paraId="234E2E25" w14:textId="3DDC38B1" w:rsidR="000C3B9F" w:rsidRPr="00724359" w:rsidRDefault="00F04275" w:rsidP="00F042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6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0C3B9F" w:rsidRPr="00724359" w14:paraId="55CCE5FF" w14:textId="77777777" w:rsidTr="006E5727">
        <w:trPr>
          <w:trHeight w:val="316"/>
        </w:trPr>
        <w:tc>
          <w:tcPr>
            <w:tcW w:w="1384" w:type="dxa"/>
          </w:tcPr>
          <w:p w14:paraId="6D5EB35C" w14:textId="61800317" w:rsidR="000C3B9F" w:rsidRPr="00724359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55" w:type="dxa"/>
          </w:tcPr>
          <w:p w14:paraId="6513D39F" w14:textId="3B45C903" w:rsidR="000C3B9F" w:rsidRPr="00724359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rezydualny termin zapadalności ≥ 5 lat &lt; 10 lat</w:t>
            </w:r>
          </w:p>
          <w:p w14:paraId="44AA56B3" w14:textId="28312C66" w:rsidR="000C3B9F" w:rsidRPr="00724359" w:rsidRDefault="00F04275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6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0C3B9F" w:rsidRPr="00724359" w14:paraId="0B08B0F5" w14:textId="77777777" w:rsidTr="006E5727">
        <w:trPr>
          <w:trHeight w:val="316"/>
        </w:trPr>
        <w:tc>
          <w:tcPr>
            <w:tcW w:w="1384" w:type="dxa"/>
          </w:tcPr>
          <w:p w14:paraId="30A040BA" w14:textId="2B401877" w:rsidR="000C3B9F" w:rsidRPr="00724359" w:rsidRDefault="000C3B9F" w:rsidP="000C3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7655" w:type="dxa"/>
          </w:tcPr>
          <w:p w14:paraId="0EDFF84A" w14:textId="3DB5E440" w:rsidR="000C3B9F" w:rsidRPr="00724359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rezydualny termin zapadalności ≥ 10 lat, ale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wył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ączeniem wieczystych papierów wartościowych</w:t>
            </w:r>
          </w:p>
          <w:p w14:paraId="4144E4C2" w14:textId="00C58F03" w:rsidR="000C3B9F" w:rsidRPr="00724359" w:rsidRDefault="00F04275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6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0C3B9F" w:rsidRPr="00724359" w14:paraId="23AD712F" w14:textId="77777777" w:rsidTr="006E5727">
        <w:trPr>
          <w:trHeight w:val="316"/>
        </w:trPr>
        <w:tc>
          <w:tcPr>
            <w:tcW w:w="1384" w:type="dxa"/>
          </w:tcPr>
          <w:p w14:paraId="67796F9B" w14:textId="308AC29C" w:rsidR="000C3B9F" w:rsidRPr="00724359" w:rsidRDefault="000C3B9F" w:rsidP="000C3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655" w:type="dxa"/>
          </w:tcPr>
          <w:p w14:paraId="38BB8DE3" w14:textId="6E91083A" w:rsidR="000C3B9F" w:rsidRPr="00724359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wieczyste papiery wartościowe</w:t>
            </w:r>
          </w:p>
          <w:p w14:paraId="0E3F0B9E" w14:textId="5C0A7C24" w:rsidR="000C3B9F" w:rsidRPr="00724359" w:rsidRDefault="00F04275" w:rsidP="00F042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6, który stanowią wieczyste papiery wartościowe.</w:t>
            </w:r>
          </w:p>
        </w:tc>
      </w:tr>
    </w:tbl>
    <w:p w14:paraId="4FDBE82C" w14:textId="77777777" w:rsidR="00134FA4" w:rsidRPr="00724359" w:rsidRDefault="00134FA4" w:rsidP="00134FA4">
      <w:pPr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4266C07E" w14:textId="786C7498" w:rsidR="00134FA4" w:rsidRPr="00724359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33" w:name="_Toc529272912"/>
      <w:bookmarkStart w:id="234" w:name="_Toc14770787"/>
      <w:bookmarkStart w:id="235" w:name="_Toc45266930"/>
      <w:r w:rsidRPr="00724359">
        <w:rPr>
          <w:rFonts w:ascii="Times New Roman" w:hAnsi="Times New Roman"/>
          <w:color w:val="auto"/>
          <w:sz w:val="24"/>
        </w:rPr>
        <w:t>6.</w:t>
      </w:r>
      <w:r w:rsidRPr="00724359">
        <w:rPr>
          <w:rFonts w:ascii="Times New Roman" w:hAnsi="Times New Roman"/>
          <w:color w:val="auto"/>
          <w:sz w:val="24"/>
        </w:rPr>
        <w:tab/>
        <w:t xml:space="preserve">EU TLAC3: Kolejność zaspokajania wierzycieli – podmiot </w:t>
      </w:r>
      <w:bookmarkEnd w:id="233"/>
      <w:bookmarkEnd w:id="234"/>
      <w:r w:rsidRPr="00724359">
        <w:rPr>
          <w:rFonts w:ascii="Times New Roman" w:hAnsi="Times New Roman"/>
          <w:color w:val="auto"/>
          <w:sz w:val="24"/>
        </w:rPr>
        <w:t>restrukturyzacji</w:t>
      </w:r>
      <w:r w:rsidR="00724359" w:rsidRPr="00724359">
        <w:rPr>
          <w:rFonts w:ascii="Times New Roman" w:hAnsi="Times New Roman"/>
          <w:color w:val="auto"/>
          <w:sz w:val="24"/>
        </w:rPr>
        <w:t xml:space="preserve"> i</w:t>
      </w:r>
      <w:r w:rsidR="00724359">
        <w:rPr>
          <w:rFonts w:ascii="Times New Roman" w:hAnsi="Times New Roman"/>
          <w:color w:val="auto"/>
          <w:sz w:val="24"/>
        </w:rPr>
        <w:t> </w:t>
      </w:r>
      <w:r w:rsidR="00724359" w:rsidRPr="00724359">
        <w:rPr>
          <w:rFonts w:ascii="Times New Roman" w:hAnsi="Times New Roman"/>
          <w:color w:val="auto"/>
          <w:sz w:val="24"/>
        </w:rPr>
        <w:t>upo</w:t>
      </w:r>
      <w:r w:rsidRPr="00724359">
        <w:rPr>
          <w:rFonts w:ascii="Times New Roman" w:hAnsi="Times New Roman"/>
          <w:color w:val="auto"/>
          <w:sz w:val="24"/>
        </w:rPr>
        <w:t>rządkowanej likwidacji</w:t>
      </w:r>
      <w:bookmarkEnd w:id="235"/>
    </w:p>
    <w:p w14:paraId="578097FF" w14:textId="1EA4E7A0" w:rsidR="00EE122D" w:rsidRPr="00724359" w:rsidRDefault="00EE122D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Informacje zamieszczane we wzorze EU TLAC3 ujawnia się na poziomie pojedynczego podmiotu.</w:t>
      </w:r>
    </w:p>
    <w:p w14:paraId="0EB7EFE1" w14:textId="0300B9DE" w:rsidR="00410769" w:rsidRPr="00724359" w:rsidRDefault="00410769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Wzór EU TLAC3 występuje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dwó</w:t>
      </w:r>
      <w:r w:rsidRPr="00724359">
        <w:rPr>
          <w:noProof w:val="0"/>
        </w:rPr>
        <w:t>ch wersjach: EU TLAC3a i EU TLAC3b. Wzór EU TLAC3a obejmuje wszelkie środki (finansowania), których stopień uprzywilejowania jest równy stopniowi uprzywilejowania instrumentów potencjalnie kwalifikujących się do MREL lub jest od niego niższy,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tym</w:t>
      </w:r>
      <w:r w:rsidRPr="00724359">
        <w:rPr>
          <w:noProof w:val="0"/>
        </w:rPr>
        <w:t xml:space="preserve"> fundusze własne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inn</w:t>
      </w:r>
      <w:r w:rsidRPr="00724359">
        <w:rPr>
          <w:noProof w:val="0"/>
        </w:rPr>
        <w:t>e instrumenty kapitałowe. Kwoty, które są niekwalifikowalne wyłącznie ze względu na wymogi podporządkowania, zamieszcza się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cał</w:t>
      </w:r>
      <w:r w:rsidRPr="00724359">
        <w:rPr>
          <w:noProof w:val="0"/>
        </w:rPr>
        <w:t>ości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wie</w:t>
      </w:r>
      <w:r w:rsidRPr="00724359">
        <w:rPr>
          <w:noProof w:val="0"/>
        </w:rPr>
        <w:t>rszu odpowiadającym odnośnym stopniom uprzywilejowania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pos</w:t>
      </w:r>
      <w:r w:rsidRPr="00724359">
        <w:rPr>
          <w:noProof w:val="0"/>
        </w:rPr>
        <w:t>tępowaniu upadłościowym, tj. bez stosowania ograniczeń. Wzór EU TLAC3b dotyczy wyłącznie funduszy własnych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zob</w:t>
      </w:r>
      <w:r w:rsidRPr="00724359">
        <w:rPr>
          <w:noProof w:val="0"/>
        </w:rPr>
        <w:t>owiązań kwalifikujących się do spełnienia wymogu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 dyrektywy 2014/59/UE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45e tej dyrektywy.</w:t>
      </w:r>
    </w:p>
    <w:p w14:paraId="417A390B" w14:textId="21A72711" w:rsidR="00410769" w:rsidRPr="00724359" w:rsidRDefault="00410769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14 ust. 2 niniejszego rozporządzenia podmioty, które nie podlegają obowiązkowi spełnienia wymogu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92a rozporządzenia (UE) nr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575/2013, ale podlegają obowiązkowi spełnienia wymogu określonego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 dyrektywy 2014/59/UE zgodnie</w:t>
      </w:r>
      <w:r w:rsidR="00724359" w:rsidRPr="00724359">
        <w:rPr>
          <w:noProof w:val="0"/>
        </w:rPr>
        <w:t xml:space="preserve"> z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45e tej dyrektywy, mogą zdecydować, czy – aby spełnić wymóg dotyczący ujawniania informacji określony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art</w:t>
      </w:r>
      <w:r w:rsidRPr="00724359">
        <w:rPr>
          <w:noProof w:val="0"/>
        </w:rPr>
        <w:t>. 45i ust. 3 lit. b) dyrektywy 2014/59/UE – skorzystają ze wzoru EU TLAC3a czy EU TLAC3b.</w:t>
      </w:r>
    </w:p>
    <w:p w14:paraId="7914D4A7" w14:textId="602F40A7" w:rsidR="005F391D" w:rsidRPr="00724359" w:rsidRDefault="005F391D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Począwszy od dnia rozpoczęcia stosowania art.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45i ust.</w:t>
      </w:r>
      <w:r w:rsidR="00724359" w:rsidRPr="00724359">
        <w:rPr>
          <w:noProof w:val="0"/>
        </w:rPr>
        <w:t> </w:t>
      </w:r>
      <w:r w:rsidRPr="00724359">
        <w:rPr>
          <w:noProof w:val="0"/>
        </w:rPr>
        <w:t>3 dyrektywy 2014/59/UE jednostki emitujące ujawniają we wzorze EU TLAC3a zobowiązania potencjalnie kwalifikujące się do spełnienia wymogów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MREL i TLAC. Przed tym dniem jednostki emitujące ujawniają zobowiązania potencjalnie kwalifikujące się do spełnienia wymogu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zak</w:t>
      </w:r>
      <w:r w:rsidRPr="00724359">
        <w:rPr>
          <w:noProof w:val="0"/>
        </w:rPr>
        <w:t>resie wewnętrznej TLAC.</w:t>
      </w:r>
    </w:p>
    <w:p w14:paraId="0643F6F9" w14:textId="426769E0" w:rsidR="005F391D" w:rsidRPr="00724359" w:rsidRDefault="00134FA4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Kwoty pozostające do spłaty,</w:t>
      </w:r>
      <w:r w:rsidR="00724359" w:rsidRPr="00724359">
        <w:rPr>
          <w:noProof w:val="0"/>
        </w:rPr>
        <w:t xml:space="preserve"> o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któ</w:t>
      </w:r>
      <w:r w:rsidRPr="00724359">
        <w:rPr>
          <w:noProof w:val="0"/>
        </w:rPr>
        <w:t>rych mowa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wie</w:t>
      </w:r>
      <w:r w:rsidRPr="00724359">
        <w:rPr>
          <w:noProof w:val="0"/>
        </w:rPr>
        <w:t>rszach 2–10, należy podzielić na stopnie uprzywilejowania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pos</w:t>
      </w:r>
      <w:r w:rsidRPr="00724359">
        <w:rPr>
          <w:noProof w:val="0"/>
        </w:rPr>
        <w:t>tępowaniu upadłościowym na podstawie prawa dotyczącego niewypłacalności obowiązującego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sto</w:t>
      </w:r>
      <w:r w:rsidRPr="00724359">
        <w:rPr>
          <w:noProof w:val="0"/>
        </w:rPr>
        <w:t>sunku do jednostki emitującej, niezależnie od prawa właściwego dla instrumentu.</w:t>
      </w:r>
    </w:p>
    <w:p w14:paraId="2ED9C4B9" w14:textId="65663EF6" w:rsidR="005F391D" w:rsidRPr="00724359" w:rsidRDefault="00EA31AA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Stopniami uprzywilejowania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pos</w:t>
      </w:r>
      <w:r w:rsidRPr="00724359">
        <w:rPr>
          <w:noProof w:val="0"/>
        </w:rPr>
        <w:t>tępowaniu upadłościowym są stopnie podane przez właściwy organ ds. restrukturyzacji</w:t>
      </w:r>
      <w:r w:rsidR="00724359" w:rsidRPr="00724359">
        <w:rPr>
          <w:noProof w:val="0"/>
        </w:rPr>
        <w:t xml:space="preserve"> i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upo</w:t>
      </w:r>
      <w:r w:rsidRPr="00724359">
        <w:rPr>
          <w:noProof w:val="0"/>
        </w:rPr>
        <w:t>rządkowanej likwidacji</w:t>
      </w:r>
      <w:r w:rsidR="00724359" w:rsidRPr="00724359">
        <w:rPr>
          <w:noProof w:val="0"/>
        </w:rPr>
        <w:t xml:space="preserve"> </w:t>
      </w:r>
      <w:r w:rsidR="00724359" w:rsidRPr="00724359">
        <w:rPr>
          <w:noProof w:val="0"/>
        </w:rPr>
        <w:lastRenderedPageBreak/>
        <w:t>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zno</w:t>
      </w:r>
      <w:r w:rsidRPr="00724359">
        <w:rPr>
          <w:noProof w:val="0"/>
        </w:rPr>
        <w:t>rmalizowany sposób określony</w:t>
      </w:r>
      <w:r w:rsidR="00724359" w:rsidRPr="00724359">
        <w:rPr>
          <w:noProof w:val="0"/>
        </w:rPr>
        <w:t xml:space="preserve"> w</w:t>
      </w:r>
      <w:r w:rsidR="00724359">
        <w:rPr>
          <w:noProof w:val="0"/>
        </w:rPr>
        <w:t> </w:t>
      </w:r>
      <w:r w:rsidR="00724359" w:rsidRPr="00724359">
        <w:rPr>
          <w:noProof w:val="0"/>
        </w:rPr>
        <w:t>odp</w:t>
      </w:r>
      <w:r w:rsidRPr="00724359">
        <w:rPr>
          <w:noProof w:val="0"/>
        </w:rPr>
        <w:t>owiednim wzorze na potrzeby sprawozdawczości.</w:t>
      </w:r>
    </w:p>
    <w:p w14:paraId="098D1362" w14:textId="424912A1" w:rsidR="003D2D85" w:rsidRPr="00724359" w:rsidRDefault="00134FA4" w:rsidP="00B62DC9">
      <w:pPr>
        <w:pStyle w:val="InstructionsText2"/>
        <w:numPr>
          <w:ilvl w:val="0"/>
          <w:numId w:val="12"/>
        </w:numPr>
        <w:rPr>
          <w:noProof w:val="0"/>
        </w:rPr>
      </w:pPr>
      <w:r w:rsidRPr="00724359">
        <w:rPr>
          <w:noProof w:val="0"/>
        </w:rPr>
        <w:t>Pozycje przedstawia się od mającej najniższy stopień uprzywilejowania do mającej wyższy stopień uprzywilejowania. Kolumny dla pozycji dodaje się do czasu, aż zostaną ujawnione potencjalnie kwalifikowalne instrumenty mające najwyższe stopnie uprzywilejowania.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134FA4" w:rsidRPr="00724359" w14:paraId="6CE82287" w14:textId="77777777" w:rsidTr="006E57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35ABF31F" w14:textId="77777777" w:rsidR="00134FA4" w:rsidRPr="00724359" w:rsidRDefault="00134FA4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Wiersze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09AC79A" w14:textId="6C152234" w:rsidR="00134FA4" w:rsidRPr="00724359" w:rsidRDefault="00E46262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Odniesienia prawne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ins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trukcje</w:t>
            </w:r>
          </w:p>
        </w:tc>
      </w:tr>
      <w:tr w:rsidR="001D5616" w:rsidRPr="00724359" w14:paraId="0C101719" w14:textId="77777777" w:rsidTr="006E5727">
        <w:trPr>
          <w:trHeight w:val="1014"/>
        </w:trPr>
        <w:tc>
          <w:tcPr>
            <w:tcW w:w="1384" w:type="dxa"/>
          </w:tcPr>
          <w:p w14:paraId="20818F1A" w14:textId="6C8CC711" w:rsidR="001D5616" w:rsidRPr="00724359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1</w:t>
            </w:r>
          </w:p>
        </w:tc>
        <w:tc>
          <w:tcPr>
            <w:tcW w:w="7655" w:type="dxa"/>
          </w:tcPr>
          <w:p w14:paraId="255BAE3D" w14:textId="5720630D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Opis stopnia uprzywilejowania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pos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tępowaniu upadłościowym (tekst dowolny)</w:t>
            </w:r>
          </w:p>
          <w:p w14:paraId="4938332D" w14:textId="7F0089FD" w:rsidR="001D5616" w:rsidRPr="00724359" w:rsidRDefault="001D5616" w:rsidP="00EA31AA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Liczba stopni uprzywilejowania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pos</w:t>
            </w:r>
            <w:r w:rsidRPr="00724359">
              <w:rPr>
                <w:color w:val="000000" w:themeColor="text1"/>
              </w:rPr>
              <w:t>tępowaniu upadłościowym (n)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hie</w:t>
            </w:r>
            <w:r w:rsidRPr="00724359">
              <w:rPr>
                <w:color w:val="000000" w:themeColor="text1"/>
              </w:rPr>
              <w:t>rarchii wierzycieli będzie zależała od zestawu zobowiązań jednostki. Dla każdego stopnia uprzywilejowania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pos</w:t>
            </w:r>
            <w:r w:rsidRPr="00724359">
              <w:rPr>
                <w:color w:val="000000" w:themeColor="text1"/>
              </w:rPr>
              <w:t>tępowaniu upadłościowym istnieje jedna kolumna. Opis powinien zawierać specyfikację rodzajów należności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obr</w:t>
            </w:r>
            <w:r w:rsidRPr="00724359">
              <w:rPr>
                <w:color w:val="000000" w:themeColor="text1"/>
              </w:rPr>
              <w:t>ębie danego stopnia uprzywilejowania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pos</w:t>
            </w:r>
            <w:r w:rsidRPr="00724359">
              <w:rPr>
                <w:color w:val="000000" w:themeColor="text1"/>
              </w:rPr>
              <w:t>tępowaniu upadłościowym (np. kapitał podstawowy Tier I, instrumenty</w:t>
            </w:r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Tie</w:t>
            </w:r>
            <w:r w:rsidRPr="00724359">
              <w:rPr>
                <w:color w:val="000000" w:themeColor="text1"/>
              </w:rPr>
              <w:t>r II).</w:t>
            </w:r>
          </w:p>
        </w:tc>
      </w:tr>
      <w:tr w:rsidR="001D5616" w:rsidRPr="00724359" w14:paraId="282F3909" w14:textId="77777777" w:rsidTr="006E5727">
        <w:trPr>
          <w:trHeight w:val="1014"/>
        </w:trPr>
        <w:tc>
          <w:tcPr>
            <w:tcW w:w="1384" w:type="dxa"/>
          </w:tcPr>
          <w:p w14:paraId="6052D413" w14:textId="27A1C7E6" w:rsidR="001D5616" w:rsidRPr="00724359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2</w:t>
            </w:r>
          </w:p>
        </w:tc>
        <w:tc>
          <w:tcPr>
            <w:tcW w:w="7655" w:type="dxa"/>
          </w:tcPr>
          <w:p w14:paraId="649ECD5E" w14:textId="7C56426E" w:rsidR="001D5616" w:rsidRPr="00724359" w:rsidRDefault="00367DF1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Zobowiązania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dusze własne</w:t>
            </w:r>
          </w:p>
          <w:p w14:paraId="6CEB4608" w14:textId="166BE42D" w:rsidR="003D2D85" w:rsidRPr="00724359" w:rsidRDefault="003D2D85" w:rsidP="003D2D85">
            <w:pPr>
              <w:pStyle w:val="Applicationdirecte"/>
              <w:spacing w:before="120"/>
              <w:rPr>
                <w:color w:val="000000" w:themeColor="text1"/>
              </w:rPr>
            </w:pPr>
            <w:r w:rsidRPr="00724359">
              <w:rPr>
                <w:color w:val="000000" w:themeColor="text1"/>
              </w:rPr>
              <w:t>Kwota funduszy własnych, zobowiązań kwalifikowalnych</w:t>
            </w:r>
            <w:r w:rsidR="00724359" w:rsidRPr="00724359">
              <w:rPr>
                <w:color w:val="000000" w:themeColor="text1"/>
              </w:rPr>
              <w:t xml:space="preserve"> i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zob</w:t>
            </w:r>
            <w:r w:rsidRPr="00724359">
              <w:rPr>
                <w:color w:val="000000" w:themeColor="text1"/>
              </w:rPr>
              <w:t>owiązań, których stopień uprzywilejowania jest niższy niż stopień uprzywilejowania funduszy własnych lub zobowiązań kwalifikowalnych lub jest równy temu stopniowi.</w:t>
            </w:r>
          </w:p>
          <w:p w14:paraId="7ABCDC8B" w14:textId="720E49F8" w:rsidR="00585921" w:rsidRPr="00724359" w:rsidRDefault="003D2D85" w:rsidP="00E13544">
            <w:pPr>
              <w:pStyle w:val="Applicationdirecte"/>
              <w:spacing w:before="120"/>
              <w:rPr>
                <w:color w:val="000000" w:themeColor="text1"/>
              </w:rPr>
            </w:pPr>
            <w:r w:rsidRPr="00724359">
              <w:rPr>
                <w:color w:val="000000" w:themeColor="text1"/>
              </w:rPr>
              <w:t>Obejmuje to również zobowiązania wyłączone</w:t>
            </w:r>
            <w:r w:rsidR="00724359" w:rsidRPr="00724359">
              <w:rPr>
                <w:color w:val="000000" w:themeColor="text1"/>
              </w:rPr>
              <w:t xml:space="preserve"> z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umo</w:t>
            </w:r>
            <w:r w:rsidRPr="00724359">
              <w:rPr>
                <w:color w:val="000000" w:themeColor="text1"/>
              </w:rPr>
              <w:t>rzenia lub konwersji długu.</w:t>
            </w:r>
            <w:r w:rsidRPr="00724359">
              <w:t xml:space="preserve"> </w:t>
            </w:r>
          </w:p>
          <w:p w14:paraId="3B3981A4" w14:textId="543E66EA" w:rsidR="003D2D85" w:rsidRPr="00724359" w:rsidRDefault="008348B0" w:rsidP="00640F37">
            <w:pPr>
              <w:pStyle w:val="Fait"/>
            </w:pPr>
            <w:r w:rsidRPr="00724359">
              <w:t>Wiersz ten nie ma zastosowania we wzorze EU TLAC3b.</w:t>
            </w:r>
          </w:p>
        </w:tc>
      </w:tr>
      <w:tr w:rsidR="001D5616" w:rsidRPr="00724359" w14:paraId="7EFDEF71" w14:textId="77777777" w:rsidTr="006E5727">
        <w:trPr>
          <w:trHeight w:val="483"/>
        </w:trPr>
        <w:tc>
          <w:tcPr>
            <w:tcW w:w="1384" w:type="dxa"/>
          </w:tcPr>
          <w:p w14:paraId="36ABDA8C" w14:textId="78FEFA6B" w:rsidR="001D5616" w:rsidRPr="00724359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3</w:t>
            </w:r>
          </w:p>
        </w:tc>
        <w:tc>
          <w:tcPr>
            <w:tcW w:w="7655" w:type="dxa"/>
          </w:tcPr>
          <w:p w14:paraId="79EC0340" w14:textId="6157F06D" w:rsidR="001D5616" w:rsidRPr="00724359" w:rsidRDefault="00A14A6B" w:rsidP="001D5616">
            <w:pPr>
              <w:pStyle w:val="Fait"/>
              <w:rPr>
                <w:b/>
                <w:color w:val="000000" w:themeColor="text1"/>
                <w:szCs w:val="24"/>
              </w:rPr>
            </w:pPr>
            <w:r w:rsidRPr="00724359">
              <w:rPr>
                <w:b/>
                <w:color w:val="000000" w:themeColor="text1"/>
              </w:rPr>
              <w:t>Zobowiązania</w:t>
            </w:r>
            <w:r w:rsidR="00724359" w:rsidRPr="00724359">
              <w:rPr>
                <w:b/>
                <w:color w:val="000000" w:themeColor="text1"/>
              </w:rPr>
              <w:t xml:space="preserve"> i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fun</w:t>
            </w:r>
            <w:r w:rsidRPr="00724359">
              <w:rPr>
                <w:b/>
                <w:color w:val="000000" w:themeColor="text1"/>
              </w:rPr>
              <w:t>dusze własne –</w:t>
            </w:r>
            <w:r w:rsidR="00724359" w:rsidRPr="00724359">
              <w:rPr>
                <w:b/>
                <w:color w:val="000000" w:themeColor="text1"/>
              </w:rPr>
              <w:t xml:space="preserve"> w</w:t>
            </w:r>
            <w:r w:rsidR="00724359">
              <w:rPr>
                <w:b/>
                <w:color w:val="000000" w:themeColor="text1"/>
              </w:rPr>
              <w:t> </w:t>
            </w:r>
            <w:r w:rsidR="00724359" w:rsidRPr="00724359">
              <w:rPr>
                <w:b/>
                <w:color w:val="000000" w:themeColor="text1"/>
              </w:rPr>
              <w:t>tym</w:t>
            </w:r>
            <w:r w:rsidRPr="00724359">
              <w:rPr>
                <w:b/>
                <w:color w:val="000000" w:themeColor="text1"/>
              </w:rPr>
              <w:t xml:space="preserve"> wyłączone zobowiązania</w:t>
            </w:r>
          </w:p>
          <w:p w14:paraId="0FF41010" w14:textId="58B61A44" w:rsidR="003D2D85" w:rsidRPr="00724359" w:rsidRDefault="003D2D85" w:rsidP="003D2D85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rPr>
                <w:color w:val="000000" w:themeColor="text1"/>
              </w:rPr>
              <w:t>Podział zobowiązań wyłączonych na podstawie art. 72a ust. 2 rozporządzenia (UE) nr</w:t>
            </w:r>
            <w:r w:rsidR="00724359" w:rsidRPr="00724359">
              <w:rPr>
                <w:color w:val="000000" w:themeColor="text1"/>
              </w:rPr>
              <w:t> </w:t>
            </w:r>
            <w:r w:rsidRPr="00724359">
              <w:rPr>
                <w:color w:val="000000" w:themeColor="text1"/>
              </w:rPr>
              <w:t xml:space="preserve">575/2013 lub art. 44 ust. 2 dyrektywy 2014/59/UE </w:t>
            </w:r>
            <w:proofErr w:type="gramStart"/>
            <w:r w:rsidRPr="00724359">
              <w:rPr>
                <w:color w:val="000000" w:themeColor="text1"/>
              </w:rPr>
              <w:t>oraz,</w:t>
            </w:r>
            <w:proofErr w:type="gramEnd"/>
            <w:r w:rsidR="00724359" w:rsidRPr="00724359">
              <w:rPr>
                <w:color w:val="000000" w:themeColor="text1"/>
              </w:rPr>
              <w:t xml:space="preserve"> w</w:t>
            </w:r>
            <w:r w:rsidR="00724359">
              <w:rPr>
                <w:color w:val="000000" w:themeColor="text1"/>
              </w:rPr>
              <w:t> </w:t>
            </w:r>
            <w:r w:rsidR="00724359" w:rsidRPr="00724359">
              <w:rPr>
                <w:color w:val="000000" w:themeColor="text1"/>
              </w:rPr>
              <w:t>sto</w:t>
            </w:r>
            <w:r w:rsidRPr="00724359">
              <w:rPr>
                <w:color w:val="000000" w:themeColor="text1"/>
              </w:rPr>
              <w:t>sownych przypadkach, art. 44 ust. 3 tej dyrektywy.</w:t>
            </w:r>
          </w:p>
          <w:p w14:paraId="6E4598A5" w14:textId="066BD409" w:rsidR="003D2D85" w:rsidRPr="00724359" w:rsidRDefault="008348B0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Wiersz ten nie ma zastosowania we wzorze EU TLAC3b.</w:t>
            </w:r>
          </w:p>
        </w:tc>
      </w:tr>
      <w:tr w:rsidR="001D5616" w:rsidRPr="00724359" w14:paraId="3040763E" w14:textId="77777777" w:rsidTr="006E5727">
        <w:trPr>
          <w:trHeight w:val="1014"/>
        </w:trPr>
        <w:tc>
          <w:tcPr>
            <w:tcW w:w="1384" w:type="dxa"/>
          </w:tcPr>
          <w:p w14:paraId="6ED7CBD7" w14:textId="71B213F7" w:rsidR="001D5616" w:rsidRPr="00724359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 w:rsidRPr="00724359">
              <w:t>4</w:t>
            </w:r>
          </w:p>
        </w:tc>
        <w:tc>
          <w:tcPr>
            <w:tcW w:w="7655" w:type="dxa"/>
          </w:tcPr>
          <w:p w14:paraId="67B3F8CE" w14:textId="0D43863B" w:rsidR="001D5616" w:rsidRPr="00724359" w:rsidRDefault="00367DF1" w:rsidP="001D561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Zobowiązania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dusze własne pomniejszone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wył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ączone zobowiązania</w:t>
            </w:r>
          </w:p>
          <w:p w14:paraId="09D8C04D" w14:textId="33577507" w:rsidR="001D5616" w:rsidRPr="00724359" w:rsidRDefault="00367DF1" w:rsidP="001D5616">
            <w:pPr>
              <w:jc w:val="both"/>
              <w:rPr>
                <w:color w:val="000000" w:themeColor="text1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Zobowiązania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dusze własne po odliczeniu wyłączonych zobowiązań.</w:t>
            </w:r>
            <w:r w:rsidRPr="00724359">
              <w:rPr>
                <w:color w:val="000000" w:themeColor="text1"/>
              </w:rPr>
              <w:t xml:space="preserve"> </w:t>
            </w:r>
          </w:p>
          <w:p w14:paraId="4C2B3296" w14:textId="5FECF8AC" w:rsidR="003D2D85" w:rsidRPr="00724359" w:rsidRDefault="008348B0" w:rsidP="001D5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Wiersz ten nie ma zastosowania we wzorze EU TLAC3b.</w:t>
            </w:r>
          </w:p>
        </w:tc>
      </w:tr>
      <w:tr w:rsidR="001D5616" w:rsidRPr="00724359" w14:paraId="3A2C5DDE" w14:textId="77777777" w:rsidTr="006E5727">
        <w:trPr>
          <w:trHeight w:val="316"/>
        </w:trPr>
        <w:tc>
          <w:tcPr>
            <w:tcW w:w="1384" w:type="dxa"/>
          </w:tcPr>
          <w:p w14:paraId="3404E285" w14:textId="021B6A65" w:rsidR="001D5616" w:rsidRPr="00724359" w:rsidRDefault="008871C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55" w:type="dxa"/>
          </w:tcPr>
          <w:p w14:paraId="3A72D26C" w14:textId="0ED68276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Podzbiór zobowiązań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fun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duszy własnych pomniejszonych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wył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ączone zobowiązania, które są funduszami własnymi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owiązaniami potencjalnie kwalifikującymi się do spełnienia MREL/TLAC</w:t>
            </w:r>
          </w:p>
          <w:p w14:paraId="4D791BCD" w14:textId="6375AA21" w:rsidR="001D5616" w:rsidRPr="00724359" w:rsidRDefault="001D5616" w:rsidP="008B67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Podział kwoty funduszy własnych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i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zob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owiązań kwalifikujących się do celów MREL </w:t>
            </w:r>
            <w:proofErr w:type="gramStart"/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lub,</w:t>
            </w:r>
            <w:proofErr w:type="gramEnd"/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w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sto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sownych przypadkach, do celów TLAC zgodnie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pkt 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19 powyżej, bez stosowania ograniczeń dotyczących ujmowania zobowiązań niepodporządkowanych.</w:t>
            </w:r>
          </w:p>
        </w:tc>
      </w:tr>
      <w:tr w:rsidR="001D5616" w:rsidRPr="00724359" w14:paraId="1AD03E0A" w14:textId="77777777" w:rsidTr="006E5727">
        <w:trPr>
          <w:trHeight w:val="316"/>
        </w:trPr>
        <w:tc>
          <w:tcPr>
            <w:tcW w:w="1384" w:type="dxa"/>
          </w:tcPr>
          <w:p w14:paraId="5319D1AF" w14:textId="74E28EE0" w:rsidR="001D5616" w:rsidRPr="00724359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7655" w:type="dxa"/>
          </w:tcPr>
          <w:p w14:paraId="208DFDB8" w14:textId="6F2FB385" w:rsidR="001D5616" w:rsidRPr="00724359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W tym rezydualny termin zapadalności ≥ 1 rok &lt; 2 lata </w:t>
            </w:r>
          </w:p>
          <w:p w14:paraId="024B38D7" w14:textId="277FEEB9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1D5616" w:rsidRPr="00724359" w14:paraId="589F2978" w14:textId="77777777" w:rsidTr="006E5727">
        <w:trPr>
          <w:trHeight w:val="316"/>
        </w:trPr>
        <w:tc>
          <w:tcPr>
            <w:tcW w:w="1384" w:type="dxa"/>
          </w:tcPr>
          <w:p w14:paraId="41E8C660" w14:textId="7938235A" w:rsidR="001D5616" w:rsidRPr="00724359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55" w:type="dxa"/>
          </w:tcPr>
          <w:p w14:paraId="1A0F18F5" w14:textId="1406EA6F" w:rsidR="001D5616" w:rsidRPr="00724359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rezydualny termin zapadalności ≥ 2 lata &lt; 5 lat</w:t>
            </w:r>
          </w:p>
          <w:p w14:paraId="503D3ECD" w14:textId="7BF17FD6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1D5616" w:rsidRPr="00724359" w14:paraId="1CE5BF41" w14:textId="77777777" w:rsidTr="006E5727">
        <w:trPr>
          <w:trHeight w:val="316"/>
        </w:trPr>
        <w:tc>
          <w:tcPr>
            <w:tcW w:w="1384" w:type="dxa"/>
          </w:tcPr>
          <w:p w14:paraId="6D06C91E" w14:textId="6BE3FA67" w:rsidR="001D5616" w:rsidRPr="00724359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55" w:type="dxa"/>
          </w:tcPr>
          <w:p w14:paraId="385E6CA6" w14:textId="685C5434" w:rsidR="001D5616" w:rsidRPr="00724359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rezydualny termin zapadalności ≥ 5 lat &lt; 10 lat</w:t>
            </w:r>
          </w:p>
          <w:p w14:paraId="197AF3C0" w14:textId="7DD60F85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owiednim rezydualnym terminie zapadalności.</w:t>
            </w:r>
          </w:p>
        </w:tc>
      </w:tr>
      <w:tr w:rsidR="001D5616" w:rsidRPr="00724359" w14:paraId="6652A440" w14:textId="77777777" w:rsidTr="006E5727">
        <w:trPr>
          <w:trHeight w:val="316"/>
        </w:trPr>
        <w:tc>
          <w:tcPr>
            <w:tcW w:w="1384" w:type="dxa"/>
          </w:tcPr>
          <w:p w14:paraId="34E6E46D" w14:textId="5ECCD03F" w:rsidR="001D5616" w:rsidRPr="00724359" w:rsidRDefault="008871C6" w:rsidP="008871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55" w:type="dxa"/>
          </w:tcPr>
          <w:p w14:paraId="18D5EBD6" w14:textId="1D1DF8A9" w:rsidR="001D5616" w:rsidRPr="00724359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rezydualny termin zapadalności ≥ 10 lat, ale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z</w:t>
            </w:r>
            <w:r w:rsidR="00724359">
              <w:rPr>
                <w:rFonts w:ascii="Times New Roman" w:hAnsi="Times New Roman"/>
                <w:b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wył</w:t>
            </w: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ączeniem wieczystych papierów wartościowych</w:t>
            </w:r>
          </w:p>
          <w:p w14:paraId="61C53A18" w14:textId="34D6955C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>Podzbiór wiersza 5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 o</w:t>
            </w:r>
            <w:r w:rsidR="00724359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724359" w:rsidRPr="00724359">
              <w:rPr>
                <w:rFonts w:ascii="Times New Roman" w:hAnsi="Times New Roman"/>
                <w:color w:val="000000" w:themeColor="text1"/>
                <w:sz w:val="24"/>
              </w:rPr>
              <w:t>odp</w:t>
            </w: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owiednim rezydualnym terminie zapadalności. </w:t>
            </w:r>
          </w:p>
        </w:tc>
      </w:tr>
      <w:tr w:rsidR="001D5616" w:rsidRPr="00724359" w14:paraId="122BED89" w14:textId="77777777" w:rsidTr="006E5727">
        <w:trPr>
          <w:trHeight w:val="316"/>
        </w:trPr>
        <w:tc>
          <w:tcPr>
            <w:tcW w:w="1384" w:type="dxa"/>
          </w:tcPr>
          <w:p w14:paraId="0B741CEB" w14:textId="37EB6C3B" w:rsidR="001D5616" w:rsidRPr="00724359" w:rsidRDefault="001D5616" w:rsidP="001D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5" w:type="dxa"/>
          </w:tcPr>
          <w:p w14:paraId="00862BE8" w14:textId="48E6FB14" w:rsidR="001D5616" w:rsidRPr="00724359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b/>
                <w:color w:val="000000" w:themeColor="text1"/>
                <w:sz w:val="24"/>
              </w:rPr>
              <w:t>W tym wieczyste papiery wartościowe</w:t>
            </w:r>
          </w:p>
          <w:p w14:paraId="364F102A" w14:textId="35E5C977" w:rsidR="001D5616" w:rsidRPr="00724359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359">
              <w:rPr>
                <w:rFonts w:ascii="Times New Roman" w:hAnsi="Times New Roman"/>
                <w:color w:val="000000" w:themeColor="text1"/>
                <w:sz w:val="24"/>
              </w:rPr>
              <w:t xml:space="preserve">Podzbiór wiersza 5, który stanowią wieczyste papiery wartościowe. </w:t>
            </w:r>
          </w:p>
        </w:tc>
      </w:tr>
    </w:tbl>
    <w:p w14:paraId="727A9C45" w14:textId="513EB7A2" w:rsidR="002E3F40" w:rsidRPr="00724359" w:rsidRDefault="00676354" w:rsidP="00AA4A01">
      <w:pPr>
        <w:pStyle w:val="body"/>
      </w:pPr>
      <w:r w:rsidRPr="00724359">
        <w:t>”</w:t>
      </w:r>
    </w:p>
    <w:sectPr w:rsidR="002E3F40" w:rsidRPr="00724359" w:rsidSect="00807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8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5B52" w14:textId="77777777" w:rsidR="00EE5DE6" w:rsidRPr="00724359" w:rsidRDefault="00EE5DE6" w:rsidP="00A00E34">
      <w:r w:rsidRPr="00724359">
        <w:separator/>
      </w:r>
    </w:p>
    <w:p w14:paraId="6D9A16C1" w14:textId="77777777" w:rsidR="00EE5DE6" w:rsidRPr="00724359" w:rsidRDefault="00EE5DE6"/>
  </w:endnote>
  <w:endnote w:type="continuationSeparator" w:id="0">
    <w:p w14:paraId="68144B1B" w14:textId="77777777" w:rsidR="00EE5DE6" w:rsidRPr="00724359" w:rsidRDefault="00EE5DE6" w:rsidP="00A00E34">
      <w:r w:rsidRPr="00724359">
        <w:continuationSeparator/>
      </w:r>
    </w:p>
    <w:p w14:paraId="6D92350E" w14:textId="77777777" w:rsidR="00EE5DE6" w:rsidRPr="00724359" w:rsidRDefault="00EE5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EUAlbertina">
    <w:altName w:val="Times New Roman"/>
    <w:charset w:val="00"/>
    <w:family w:val="auto"/>
    <w:pitch w:val="variable"/>
    <w:sig w:usb0="00000001" w:usb1="1000E0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1EFF" w14:textId="77777777" w:rsidR="00724359" w:rsidRDefault="00724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653737"/>
      <w:docPartObj>
        <w:docPartGallery w:val="Page Numbers (Bottom of Page)"/>
        <w:docPartUnique/>
      </w:docPartObj>
    </w:sdtPr>
    <w:sdtEndPr/>
    <w:sdtContent>
      <w:p w14:paraId="7E860D88" w14:textId="580CA2FB" w:rsidR="00EE5DE6" w:rsidRPr="00724359" w:rsidRDefault="00EE5DE6" w:rsidP="00940030">
        <w:pPr>
          <w:pStyle w:val="Footer"/>
          <w:jc w:val="center"/>
        </w:pPr>
        <w:r w:rsidRPr="00724359">
          <w:fldChar w:fldCharType="begin"/>
        </w:r>
        <w:r w:rsidRPr="00724359">
          <w:instrText xml:space="preserve"> PAGE   \* MERGEFORMAT </w:instrText>
        </w:r>
        <w:r w:rsidRPr="00724359">
          <w:fldChar w:fldCharType="separate"/>
        </w:r>
        <w:r w:rsidR="00290A9D" w:rsidRPr="00724359">
          <w:t>20</w:t>
        </w:r>
        <w:r w:rsidRPr="00724359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2D45" w14:textId="77777777" w:rsidR="00724359" w:rsidRDefault="00724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0FCA" w14:textId="77777777" w:rsidR="00EE5DE6" w:rsidRPr="00724359" w:rsidRDefault="00EE5DE6">
      <w:pPr>
        <w:rPr>
          <w:sz w:val="12"/>
          <w:szCs w:val="12"/>
        </w:rPr>
      </w:pPr>
      <w:r w:rsidRPr="00724359">
        <w:rPr>
          <w:sz w:val="12"/>
          <w:szCs w:val="12"/>
        </w:rPr>
        <w:separator/>
      </w:r>
    </w:p>
  </w:footnote>
  <w:footnote w:type="continuationSeparator" w:id="0">
    <w:p w14:paraId="6AD737B5" w14:textId="77777777" w:rsidR="00EE5DE6" w:rsidRPr="00724359" w:rsidRDefault="00EE5DE6" w:rsidP="00A00E34">
      <w:r w:rsidRPr="00724359">
        <w:continuationSeparator/>
      </w:r>
    </w:p>
    <w:p w14:paraId="5D810347" w14:textId="77777777" w:rsidR="00EE5DE6" w:rsidRPr="00724359" w:rsidRDefault="00EE5DE6"/>
  </w:footnote>
  <w:footnote w:type="continuationNotice" w:id="1">
    <w:p w14:paraId="57FCC2A8" w14:textId="77777777" w:rsidR="00EE5DE6" w:rsidRPr="00724359" w:rsidRDefault="00EE5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B2EC" w14:textId="00F9D07C" w:rsidR="00EE5DE6" w:rsidRPr="00724359" w:rsidRDefault="00CF0B8E">
    <w:pPr>
      <w:pStyle w:val="Header"/>
    </w:pPr>
    <w:r w:rsidRPr="00724359">
      <mc:AlternateContent>
        <mc:Choice Requires="wps">
          <w:drawing>
            <wp:anchor distT="0" distB="0" distL="0" distR="0" simplePos="0" relativeHeight="251659264" behindDoc="0" locked="0" layoutInCell="1" allowOverlap="1" wp14:anchorId="0ABFD109" wp14:editId="13862CD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2540"/>
              <wp:wrapSquare wrapText="bothSides"/>
              <wp:docPr id="2" name="Text Box 2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10E33" w14:textId="033AAB4C" w:rsidR="00CF0B8E" w:rsidRPr="00CF0B8E" w:rsidRDefault="00CF0B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FD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itle:  - Description: EBA Regular Use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3710E33" w14:textId="033AAB4C" w:rsidR="00CF0B8E" w:rsidRPr="00CF0B8E" w:rsidRDefault="00CF0B8E">
                    <w:pPr>
                      <w:rPr>
                        <w:noProof/>
                        <w:color w:val="000000"/>
                        <w:sz w:val="24"/>
                        <w:szCs w:val="24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4"/>
                        <w:rFonts w:ascii="Calibri" w:hAnsi="Calibri"/>
                      </w:rPr>
                      <w:t xml:space="preserve"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8608" w14:textId="77777777" w:rsidR="00724359" w:rsidRDefault="00724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C792" w14:textId="02EA7972" w:rsidR="00EE5DE6" w:rsidRPr="00724359" w:rsidRDefault="00CF0B8E">
    <w:pPr>
      <w:pStyle w:val="Header"/>
    </w:pPr>
    <w:r w:rsidRPr="00724359">
      <mc:AlternateContent>
        <mc:Choice Requires="wps">
          <w:drawing>
            <wp:anchor distT="0" distB="0" distL="0" distR="0" simplePos="0" relativeHeight="251658240" behindDoc="0" locked="0" layoutInCell="1" allowOverlap="1" wp14:anchorId="7841ADB4" wp14:editId="57113CA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2540"/>
              <wp:wrapSquare wrapText="bothSides"/>
              <wp:docPr id="1" name="Text Box 1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BD6C" w14:textId="64E8C075" w:rsidR="00CF0B8E" w:rsidRPr="00CF0B8E" w:rsidRDefault="00CF0B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A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itle:  - Description: EBA Regular Us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9CDBD6C" w14:textId="64E8C075" w:rsidR="00CF0B8E" w:rsidRPr="00CF0B8E" w:rsidRDefault="00CF0B8E">
                    <w:pPr>
                      <w:rPr>
                        <w:noProof/>
                        <w:color w:val="000000"/>
                        <w:sz w:val="24"/>
                        <w:szCs w:val="24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4"/>
                        <w:rFonts w:ascii="Calibri" w:hAnsi="Calibri"/>
                      </w:rPr>
                      <w:t xml:space="preserve"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5920"/>
    <w:multiLevelType w:val="hybridMultilevel"/>
    <w:tmpl w:val="CA5CBCCC"/>
    <w:lvl w:ilvl="0" w:tplc="E7565B6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43CB"/>
    <w:multiLevelType w:val="hybridMultilevel"/>
    <w:tmpl w:val="0B82EB28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286D"/>
    <w:multiLevelType w:val="hybridMultilevel"/>
    <w:tmpl w:val="35E62C9C"/>
    <w:lvl w:ilvl="0" w:tplc="C1962A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8B8"/>
    <w:multiLevelType w:val="multilevel"/>
    <w:tmpl w:val="FEE42B3C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ascii="Tahoma" w:eastAsia="Calibri" w:hAnsi="Tahoma" w:cs="Tahoma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1C645D18"/>
    <w:multiLevelType w:val="hybridMultilevel"/>
    <w:tmpl w:val="3BE2C7B8"/>
    <w:lvl w:ilvl="0" w:tplc="D47C1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B3A92"/>
    <w:multiLevelType w:val="singleLevel"/>
    <w:tmpl w:val="73D64A0E"/>
    <w:name w:val="Considérant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9" w15:restartNumberingAfterBreak="0">
    <w:nsid w:val="2D4A3D6B"/>
    <w:multiLevelType w:val="hybridMultilevel"/>
    <w:tmpl w:val="AE94D732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71C07"/>
    <w:multiLevelType w:val="hybridMultilevel"/>
    <w:tmpl w:val="EEC22C74"/>
    <w:lvl w:ilvl="0" w:tplc="5F56F3B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57CB8"/>
    <w:multiLevelType w:val="hybridMultilevel"/>
    <w:tmpl w:val="760C1692"/>
    <w:lvl w:ilvl="0" w:tplc="236EA62C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686A3D"/>
    <w:multiLevelType w:val="hybridMultilevel"/>
    <w:tmpl w:val="F92E0946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E03EB"/>
    <w:multiLevelType w:val="hybridMultilevel"/>
    <w:tmpl w:val="67A836AC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57A9"/>
    <w:multiLevelType w:val="hybridMultilevel"/>
    <w:tmpl w:val="42E0F2FC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D7471F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27369"/>
    <w:multiLevelType w:val="hybridMultilevel"/>
    <w:tmpl w:val="8E7A791A"/>
    <w:lvl w:ilvl="0" w:tplc="4A2A8390">
      <w:start w:val="1"/>
      <w:numFmt w:val="decimal"/>
      <w:pStyle w:val="numberedparagraph"/>
      <w:lvlText w:val="%1.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307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8027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8747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9467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10187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10907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11627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12347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13067" w:hanging="180"/>
      </w:pPr>
      <w:rPr>
        <w:rFonts w:cs="Times New Roman"/>
      </w:rPr>
    </w:lvl>
  </w:abstractNum>
  <w:abstractNum w:abstractNumId="20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 w15:restartNumberingAfterBreak="0">
    <w:nsid w:val="6BCD57BB"/>
    <w:multiLevelType w:val="multilevel"/>
    <w:tmpl w:val="F60CCED6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734B1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5749">
    <w:abstractNumId w:val="16"/>
  </w:num>
  <w:num w:numId="2" w16cid:durableId="1184441859">
    <w:abstractNumId w:val="3"/>
  </w:num>
  <w:num w:numId="3" w16cid:durableId="1028918299">
    <w:abstractNumId w:val="13"/>
  </w:num>
  <w:num w:numId="4" w16cid:durableId="776296339">
    <w:abstractNumId w:val="22"/>
  </w:num>
  <w:num w:numId="5" w16cid:durableId="750153091">
    <w:abstractNumId w:val="1"/>
  </w:num>
  <w:num w:numId="6" w16cid:durableId="336813224">
    <w:abstractNumId w:val="21"/>
  </w:num>
  <w:num w:numId="7" w16cid:durableId="465779702">
    <w:abstractNumId w:val="18"/>
  </w:num>
  <w:num w:numId="8" w16cid:durableId="663163219">
    <w:abstractNumId w:val="0"/>
  </w:num>
  <w:num w:numId="9" w16cid:durableId="1917978329">
    <w:abstractNumId w:val="8"/>
  </w:num>
  <w:num w:numId="10" w16cid:durableId="353311820">
    <w:abstractNumId w:val="23"/>
  </w:num>
  <w:num w:numId="11" w16cid:durableId="6709576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85784">
    <w:abstractNumId w:val="15"/>
  </w:num>
  <w:num w:numId="13" w16cid:durableId="1831798045">
    <w:abstractNumId w:val="20"/>
  </w:num>
  <w:num w:numId="14" w16cid:durableId="1121650833">
    <w:abstractNumId w:val="19"/>
  </w:num>
  <w:num w:numId="15" w16cid:durableId="1026759010">
    <w:abstractNumId w:val="11"/>
  </w:num>
  <w:num w:numId="16" w16cid:durableId="826094156">
    <w:abstractNumId w:val="9"/>
  </w:num>
  <w:num w:numId="17" w16cid:durableId="1348865239">
    <w:abstractNumId w:val="17"/>
  </w:num>
  <w:num w:numId="18" w16cid:durableId="1335106368">
    <w:abstractNumId w:val="7"/>
  </w:num>
  <w:num w:numId="19" w16cid:durableId="227693673">
    <w:abstractNumId w:val="11"/>
  </w:num>
  <w:num w:numId="20" w16cid:durableId="748769138">
    <w:abstractNumId w:val="11"/>
  </w:num>
  <w:num w:numId="21" w16cid:durableId="935597942">
    <w:abstractNumId w:val="2"/>
  </w:num>
  <w:num w:numId="22" w16cid:durableId="1734306422">
    <w:abstractNumId w:val="5"/>
  </w:num>
  <w:num w:numId="23" w16cid:durableId="451824100">
    <w:abstractNumId w:val="14"/>
  </w:num>
  <w:num w:numId="24" w16cid:durableId="398483654">
    <w:abstractNumId w:val="12"/>
  </w:num>
  <w:num w:numId="25" w16cid:durableId="818500383">
    <w:abstractNumId w:val="4"/>
  </w:num>
  <w:num w:numId="26" w16cid:durableId="1235430350">
    <w:abstractNumId w:val="11"/>
  </w:num>
  <w:num w:numId="27" w16cid:durableId="1326936538">
    <w:abstractNumId w:val="11"/>
  </w:num>
  <w:num w:numId="28" w16cid:durableId="1637417445">
    <w:abstractNumId w:val="11"/>
  </w:num>
  <w:num w:numId="29" w16cid:durableId="1921674367">
    <w:abstractNumId w:val="11"/>
  </w:num>
  <w:num w:numId="30" w16cid:durableId="1001541118">
    <w:abstractNumId w:val="11"/>
  </w:num>
  <w:num w:numId="31" w16cid:durableId="24329730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activeWritingStyle w:appName="MSWord" w:lang="pl-PL" w:vendorID="64" w:dllVersion="0" w:nlCheck="1" w:checkStyle="0"/>
  <w:proofState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LW_DocType" w:val="EBA GL-REC 20XX XX (FINAL GLS-REC ON"/>
  </w:docVars>
  <w:rsids>
    <w:rsidRoot w:val="006307A5"/>
    <w:rsid w:val="00000DE2"/>
    <w:rsid w:val="00001873"/>
    <w:rsid w:val="00002ED7"/>
    <w:rsid w:val="00003F50"/>
    <w:rsid w:val="00004389"/>
    <w:rsid w:val="0000671C"/>
    <w:rsid w:val="000115C7"/>
    <w:rsid w:val="000121E8"/>
    <w:rsid w:val="0001312A"/>
    <w:rsid w:val="00013281"/>
    <w:rsid w:val="000145DB"/>
    <w:rsid w:val="00015DE4"/>
    <w:rsid w:val="0001617D"/>
    <w:rsid w:val="0002022F"/>
    <w:rsid w:val="00021902"/>
    <w:rsid w:val="00021E4F"/>
    <w:rsid w:val="00022F5A"/>
    <w:rsid w:val="000231B7"/>
    <w:rsid w:val="00023BE0"/>
    <w:rsid w:val="00026E75"/>
    <w:rsid w:val="00026FC1"/>
    <w:rsid w:val="00027CA0"/>
    <w:rsid w:val="00030D65"/>
    <w:rsid w:val="000360DE"/>
    <w:rsid w:val="00036DB1"/>
    <w:rsid w:val="00037C74"/>
    <w:rsid w:val="00037D40"/>
    <w:rsid w:val="00040129"/>
    <w:rsid w:val="000445F0"/>
    <w:rsid w:val="000457FD"/>
    <w:rsid w:val="00045B67"/>
    <w:rsid w:val="000602F0"/>
    <w:rsid w:val="00060F40"/>
    <w:rsid w:val="000611BF"/>
    <w:rsid w:val="00062830"/>
    <w:rsid w:val="00062937"/>
    <w:rsid w:val="00066A9A"/>
    <w:rsid w:val="00070882"/>
    <w:rsid w:val="000774B3"/>
    <w:rsid w:val="00083C33"/>
    <w:rsid w:val="000843CD"/>
    <w:rsid w:val="00085838"/>
    <w:rsid w:val="0008623B"/>
    <w:rsid w:val="00097F01"/>
    <w:rsid w:val="000A1C81"/>
    <w:rsid w:val="000A2295"/>
    <w:rsid w:val="000A2565"/>
    <w:rsid w:val="000A3851"/>
    <w:rsid w:val="000A53C4"/>
    <w:rsid w:val="000A553F"/>
    <w:rsid w:val="000B1645"/>
    <w:rsid w:val="000B1CB3"/>
    <w:rsid w:val="000B22D4"/>
    <w:rsid w:val="000B3C02"/>
    <w:rsid w:val="000B47A2"/>
    <w:rsid w:val="000B4D72"/>
    <w:rsid w:val="000B51DB"/>
    <w:rsid w:val="000C0577"/>
    <w:rsid w:val="000C2E1B"/>
    <w:rsid w:val="000C3B9F"/>
    <w:rsid w:val="000C5255"/>
    <w:rsid w:val="000C5A8A"/>
    <w:rsid w:val="000C6F8C"/>
    <w:rsid w:val="000C74DC"/>
    <w:rsid w:val="000C7FD8"/>
    <w:rsid w:val="000D0E56"/>
    <w:rsid w:val="000D19EC"/>
    <w:rsid w:val="000D1FC3"/>
    <w:rsid w:val="000D7A44"/>
    <w:rsid w:val="000E0614"/>
    <w:rsid w:val="000E0C27"/>
    <w:rsid w:val="000E4902"/>
    <w:rsid w:val="000E4D2F"/>
    <w:rsid w:val="000E5B26"/>
    <w:rsid w:val="000E6ABB"/>
    <w:rsid w:val="000E6D15"/>
    <w:rsid w:val="000E7BBF"/>
    <w:rsid w:val="000F33D3"/>
    <w:rsid w:val="000F3E72"/>
    <w:rsid w:val="000F5992"/>
    <w:rsid w:val="000F607B"/>
    <w:rsid w:val="000F6495"/>
    <w:rsid w:val="000F6FD8"/>
    <w:rsid w:val="0010098C"/>
    <w:rsid w:val="00101B32"/>
    <w:rsid w:val="00102896"/>
    <w:rsid w:val="00103DB7"/>
    <w:rsid w:val="001061FA"/>
    <w:rsid w:val="0011007A"/>
    <w:rsid w:val="00111034"/>
    <w:rsid w:val="001142F6"/>
    <w:rsid w:val="0011517F"/>
    <w:rsid w:val="00121BB0"/>
    <w:rsid w:val="00121E46"/>
    <w:rsid w:val="0012686C"/>
    <w:rsid w:val="001300F0"/>
    <w:rsid w:val="0013022F"/>
    <w:rsid w:val="0013090C"/>
    <w:rsid w:val="00131C5D"/>
    <w:rsid w:val="00134FA4"/>
    <w:rsid w:val="001358FD"/>
    <w:rsid w:val="00136D98"/>
    <w:rsid w:val="00141B74"/>
    <w:rsid w:val="00142DF6"/>
    <w:rsid w:val="00145255"/>
    <w:rsid w:val="00145D24"/>
    <w:rsid w:val="00150101"/>
    <w:rsid w:val="001515F1"/>
    <w:rsid w:val="00152832"/>
    <w:rsid w:val="00154596"/>
    <w:rsid w:val="001600FC"/>
    <w:rsid w:val="0016339F"/>
    <w:rsid w:val="001651F7"/>
    <w:rsid w:val="0016737A"/>
    <w:rsid w:val="00170316"/>
    <w:rsid w:val="00170DA1"/>
    <w:rsid w:val="00172007"/>
    <w:rsid w:val="001736AB"/>
    <w:rsid w:val="001741D6"/>
    <w:rsid w:val="0017446F"/>
    <w:rsid w:val="00177CB9"/>
    <w:rsid w:val="0018025F"/>
    <w:rsid w:val="001834D4"/>
    <w:rsid w:val="00185F8E"/>
    <w:rsid w:val="0018755F"/>
    <w:rsid w:val="00187B95"/>
    <w:rsid w:val="00192287"/>
    <w:rsid w:val="00193B9E"/>
    <w:rsid w:val="00195025"/>
    <w:rsid w:val="001A016C"/>
    <w:rsid w:val="001A2A81"/>
    <w:rsid w:val="001A5BD4"/>
    <w:rsid w:val="001A70A8"/>
    <w:rsid w:val="001A79EE"/>
    <w:rsid w:val="001A7C5B"/>
    <w:rsid w:val="001B2C0D"/>
    <w:rsid w:val="001B350C"/>
    <w:rsid w:val="001B5DB5"/>
    <w:rsid w:val="001B6017"/>
    <w:rsid w:val="001B7A0B"/>
    <w:rsid w:val="001B7EB3"/>
    <w:rsid w:val="001C19B7"/>
    <w:rsid w:val="001C1FD9"/>
    <w:rsid w:val="001C5BC2"/>
    <w:rsid w:val="001C7800"/>
    <w:rsid w:val="001D0179"/>
    <w:rsid w:val="001D2F20"/>
    <w:rsid w:val="001D5361"/>
    <w:rsid w:val="001D5616"/>
    <w:rsid w:val="001D5620"/>
    <w:rsid w:val="001E0DA8"/>
    <w:rsid w:val="001E1188"/>
    <w:rsid w:val="001E1FDE"/>
    <w:rsid w:val="001E2C89"/>
    <w:rsid w:val="001E3599"/>
    <w:rsid w:val="001F1CB9"/>
    <w:rsid w:val="001F4C02"/>
    <w:rsid w:val="001F4CE8"/>
    <w:rsid w:val="001F7501"/>
    <w:rsid w:val="001F75A3"/>
    <w:rsid w:val="001F7EB8"/>
    <w:rsid w:val="00205878"/>
    <w:rsid w:val="00213065"/>
    <w:rsid w:val="002138F0"/>
    <w:rsid w:val="00213D7B"/>
    <w:rsid w:val="00214DEC"/>
    <w:rsid w:val="00214E35"/>
    <w:rsid w:val="00216E68"/>
    <w:rsid w:val="002216A2"/>
    <w:rsid w:val="00223B7E"/>
    <w:rsid w:val="00224761"/>
    <w:rsid w:val="00224A3F"/>
    <w:rsid w:val="00224D96"/>
    <w:rsid w:val="002306C7"/>
    <w:rsid w:val="00230A15"/>
    <w:rsid w:val="00232344"/>
    <w:rsid w:val="0023278E"/>
    <w:rsid w:val="00241BD8"/>
    <w:rsid w:val="0024295D"/>
    <w:rsid w:val="002432DE"/>
    <w:rsid w:val="002434B0"/>
    <w:rsid w:val="002461BD"/>
    <w:rsid w:val="002462A7"/>
    <w:rsid w:val="00247621"/>
    <w:rsid w:val="00247AB7"/>
    <w:rsid w:val="00253125"/>
    <w:rsid w:val="00254CA9"/>
    <w:rsid w:val="00254DFD"/>
    <w:rsid w:val="0026239C"/>
    <w:rsid w:val="00264555"/>
    <w:rsid w:val="002645B6"/>
    <w:rsid w:val="00264EA5"/>
    <w:rsid w:val="00266F94"/>
    <w:rsid w:val="0027418E"/>
    <w:rsid w:val="002767AA"/>
    <w:rsid w:val="002814F8"/>
    <w:rsid w:val="00281891"/>
    <w:rsid w:val="00282ED2"/>
    <w:rsid w:val="00285E97"/>
    <w:rsid w:val="002907FA"/>
    <w:rsid w:val="00290A9D"/>
    <w:rsid w:val="00290DA3"/>
    <w:rsid w:val="002924A2"/>
    <w:rsid w:val="002928F8"/>
    <w:rsid w:val="00295727"/>
    <w:rsid w:val="00297816"/>
    <w:rsid w:val="002A065A"/>
    <w:rsid w:val="002A0FF0"/>
    <w:rsid w:val="002A1CB5"/>
    <w:rsid w:val="002A34A3"/>
    <w:rsid w:val="002A3A19"/>
    <w:rsid w:val="002A5117"/>
    <w:rsid w:val="002A5279"/>
    <w:rsid w:val="002B6AA3"/>
    <w:rsid w:val="002B71D4"/>
    <w:rsid w:val="002B7668"/>
    <w:rsid w:val="002C0DCF"/>
    <w:rsid w:val="002D0461"/>
    <w:rsid w:val="002D1867"/>
    <w:rsid w:val="002D724B"/>
    <w:rsid w:val="002E1FC7"/>
    <w:rsid w:val="002E32D3"/>
    <w:rsid w:val="002E3F40"/>
    <w:rsid w:val="002E4D38"/>
    <w:rsid w:val="002E6355"/>
    <w:rsid w:val="002F2009"/>
    <w:rsid w:val="002F3554"/>
    <w:rsid w:val="002F47AF"/>
    <w:rsid w:val="00300924"/>
    <w:rsid w:val="003025A8"/>
    <w:rsid w:val="00306345"/>
    <w:rsid w:val="00306F09"/>
    <w:rsid w:val="00310603"/>
    <w:rsid w:val="003129B6"/>
    <w:rsid w:val="00313D08"/>
    <w:rsid w:val="003149FA"/>
    <w:rsid w:val="00314D6E"/>
    <w:rsid w:val="00315264"/>
    <w:rsid w:val="00320E57"/>
    <w:rsid w:val="003221EF"/>
    <w:rsid w:val="00322C23"/>
    <w:rsid w:val="003248A2"/>
    <w:rsid w:val="00324A6D"/>
    <w:rsid w:val="00325425"/>
    <w:rsid w:val="0032589A"/>
    <w:rsid w:val="003306DD"/>
    <w:rsid w:val="00330C6C"/>
    <w:rsid w:val="003312F4"/>
    <w:rsid w:val="00331959"/>
    <w:rsid w:val="00334BA5"/>
    <w:rsid w:val="00335F4B"/>
    <w:rsid w:val="00336FAF"/>
    <w:rsid w:val="0034127D"/>
    <w:rsid w:val="00341FB2"/>
    <w:rsid w:val="00346BC4"/>
    <w:rsid w:val="00350D0D"/>
    <w:rsid w:val="00351057"/>
    <w:rsid w:val="00352220"/>
    <w:rsid w:val="0035477B"/>
    <w:rsid w:val="00355C4C"/>
    <w:rsid w:val="003604AA"/>
    <w:rsid w:val="00362F08"/>
    <w:rsid w:val="00364AD2"/>
    <w:rsid w:val="003651A6"/>
    <w:rsid w:val="00365358"/>
    <w:rsid w:val="00367DF1"/>
    <w:rsid w:val="003705AC"/>
    <w:rsid w:val="00371481"/>
    <w:rsid w:val="0037295D"/>
    <w:rsid w:val="00372BEC"/>
    <w:rsid w:val="00376814"/>
    <w:rsid w:val="00385DE1"/>
    <w:rsid w:val="00386F82"/>
    <w:rsid w:val="003909DE"/>
    <w:rsid w:val="00392385"/>
    <w:rsid w:val="0039300A"/>
    <w:rsid w:val="003946D4"/>
    <w:rsid w:val="003956D6"/>
    <w:rsid w:val="00396053"/>
    <w:rsid w:val="00397B7E"/>
    <w:rsid w:val="003A0F02"/>
    <w:rsid w:val="003A2580"/>
    <w:rsid w:val="003A2BF5"/>
    <w:rsid w:val="003A4578"/>
    <w:rsid w:val="003A4F6C"/>
    <w:rsid w:val="003B30F3"/>
    <w:rsid w:val="003B6A5A"/>
    <w:rsid w:val="003B6D48"/>
    <w:rsid w:val="003C0C1E"/>
    <w:rsid w:val="003C10CA"/>
    <w:rsid w:val="003C3E07"/>
    <w:rsid w:val="003C527B"/>
    <w:rsid w:val="003D01F8"/>
    <w:rsid w:val="003D0BF6"/>
    <w:rsid w:val="003D116C"/>
    <w:rsid w:val="003D263E"/>
    <w:rsid w:val="003D2D85"/>
    <w:rsid w:val="003D6072"/>
    <w:rsid w:val="003D6E27"/>
    <w:rsid w:val="003D7A72"/>
    <w:rsid w:val="003D7D9F"/>
    <w:rsid w:val="003E318D"/>
    <w:rsid w:val="003E4086"/>
    <w:rsid w:val="003E4404"/>
    <w:rsid w:val="003F5FDC"/>
    <w:rsid w:val="00401EDD"/>
    <w:rsid w:val="0040501C"/>
    <w:rsid w:val="00406F30"/>
    <w:rsid w:val="00407DCE"/>
    <w:rsid w:val="00410769"/>
    <w:rsid w:val="00412567"/>
    <w:rsid w:val="00413CCD"/>
    <w:rsid w:val="004172D1"/>
    <w:rsid w:val="004172D6"/>
    <w:rsid w:val="00421B3A"/>
    <w:rsid w:val="00422C16"/>
    <w:rsid w:val="00424530"/>
    <w:rsid w:val="0043577F"/>
    <w:rsid w:val="0043584F"/>
    <w:rsid w:val="0043675A"/>
    <w:rsid w:val="004372C4"/>
    <w:rsid w:val="00440D98"/>
    <w:rsid w:val="00441F85"/>
    <w:rsid w:val="004421C3"/>
    <w:rsid w:val="00447BBE"/>
    <w:rsid w:val="00452468"/>
    <w:rsid w:val="0045301B"/>
    <w:rsid w:val="00453020"/>
    <w:rsid w:val="004541F3"/>
    <w:rsid w:val="00455CD2"/>
    <w:rsid w:val="00455E0E"/>
    <w:rsid w:val="00455F54"/>
    <w:rsid w:val="004657A7"/>
    <w:rsid w:val="00466C09"/>
    <w:rsid w:val="004719B4"/>
    <w:rsid w:val="00471CA1"/>
    <w:rsid w:val="00471CCE"/>
    <w:rsid w:val="004730A0"/>
    <w:rsid w:val="0047368B"/>
    <w:rsid w:val="00475770"/>
    <w:rsid w:val="004806FA"/>
    <w:rsid w:val="00480FBC"/>
    <w:rsid w:val="00481540"/>
    <w:rsid w:val="00481AC4"/>
    <w:rsid w:val="004825E8"/>
    <w:rsid w:val="00482FB6"/>
    <w:rsid w:val="004871EA"/>
    <w:rsid w:val="0048795F"/>
    <w:rsid w:val="004955E7"/>
    <w:rsid w:val="0049781D"/>
    <w:rsid w:val="00497CEA"/>
    <w:rsid w:val="004A2984"/>
    <w:rsid w:val="004A5B8D"/>
    <w:rsid w:val="004A5D8B"/>
    <w:rsid w:val="004A7656"/>
    <w:rsid w:val="004B1382"/>
    <w:rsid w:val="004B2FC0"/>
    <w:rsid w:val="004B3067"/>
    <w:rsid w:val="004B7784"/>
    <w:rsid w:val="004C1B19"/>
    <w:rsid w:val="004C320A"/>
    <w:rsid w:val="004C6392"/>
    <w:rsid w:val="004C7EBE"/>
    <w:rsid w:val="004D09C0"/>
    <w:rsid w:val="004D3523"/>
    <w:rsid w:val="004D509A"/>
    <w:rsid w:val="004D7668"/>
    <w:rsid w:val="004E0D97"/>
    <w:rsid w:val="004E3901"/>
    <w:rsid w:val="004E405B"/>
    <w:rsid w:val="004E5F86"/>
    <w:rsid w:val="004E6DCC"/>
    <w:rsid w:val="004F0AB6"/>
    <w:rsid w:val="004F2D8A"/>
    <w:rsid w:val="004F63DB"/>
    <w:rsid w:val="004F7817"/>
    <w:rsid w:val="0050071E"/>
    <w:rsid w:val="00501097"/>
    <w:rsid w:val="00503590"/>
    <w:rsid w:val="00505C64"/>
    <w:rsid w:val="005105EF"/>
    <w:rsid w:val="00510C0E"/>
    <w:rsid w:val="00516561"/>
    <w:rsid w:val="005177B5"/>
    <w:rsid w:val="005202C1"/>
    <w:rsid w:val="00522875"/>
    <w:rsid w:val="00522E99"/>
    <w:rsid w:val="00523895"/>
    <w:rsid w:val="0053035C"/>
    <w:rsid w:val="00531879"/>
    <w:rsid w:val="00537D0F"/>
    <w:rsid w:val="005410AB"/>
    <w:rsid w:val="00542965"/>
    <w:rsid w:val="0054335F"/>
    <w:rsid w:val="00543A44"/>
    <w:rsid w:val="005445E6"/>
    <w:rsid w:val="00547B2E"/>
    <w:rsid w:val="00547EE4"/>
    <w:rsid w:val="00552ECB"/>
    <w:rsid w:val="00557BAA"/>
    <w:rsid w:val="00560736"/>
    <w:rsid w:val="00562A39"/>
    <w:rsid w:val="00563C8D"/>
    <w:rsid w:val="00565691"/>
    <w:rsid w:val="00565C4E"/>
    <w:rsid w:val="005673AC"/>
    <w:rsid w:val="00571ACB"/>
    <w:rsid w:val="00571BB6"/>
    <w:rsid w:val="005723E4"/>
    <w:rsid w:val="0057596B"/>
    <w:rsid w:val="00575BA7"/>
    <w:rsid w:val="00582AA7"/>
    <w:rsid w:val="0058477C"/>
    <w:rsid w:val="00584E53"/>
    <w:rsid w:val="00584E70"/>
    <w:rsid w:val="0058568F"/>
    <w:rsid w:val="00585921"/>
    <w:rsid w:val="0059058A"/>
    <w:rsid w:val="00591101"/>
    <w:rsid w:val="00593D83"/>
    <w:rsid w:val="00595DC1"/>
    <w:rsid w:val="00597146"/>
    <w:rsid w:val="00597386"/>
    <w:rsid w:val="00597933"/>
    <w:rsid w:val="005A06E1"/>
    <w:rsid w:val="005A4EA0"/>
    <w:rsid w:val="005A6911"/>
    <w:rsid w:val="005A70AE"/>
    <w:rsid w:val="005A75A5"/>
    <w:rsid w:val="005B1FEA"/>
    <w:rsid w:val="005B31FE"/>
    <w:rsid w:val="005B33E7"/>
    <w:rsid w:val="005B465F"/>
    <w:rsid w:val="005B4A4C"/>
    <w:rsid w:val="005B5C09"/>
    <w:rsid w:val="005B627B"/>
    <w:rsid w:val="005B765F"/>
    <w:rsid w:val="005B7D63"/>
    <w:rsid w:val="005C1F5E"/>
    <w:rsid w:val="005C2EE0"/>
    <w:rsid w:val="005C3676"/>
    <w:rsid w:val="005C3DFF"/>
    <w:rsid w:val="005C4469"/>
    <w:rsid w:val="005C498B"/>
    <w:rsid w:val="005C590A"/>
    <w:rsid w:val="005C7641"/>
    <w:rsid w:val="005D0DDE"/>
    <w:rsid w:val="005D18F8"/>
    <w:rsid w:val="005D3988"/>
    <w:rsid w:val="005D4005"/>
    <w:rsid w:val="005D40D1"/>
    <w:rsid w:val="005D5C25"/>
    <w:rsid w:val="005D7065"/>
    <w:rsid w:val="005D7532"/>
    <w:rsid w:val="005E59A5"/>
    <w:rsid w:val="005E79AA"/>
    <w:rsid w:val="005F10A2"/>
    <w:rsid w:val="005F391D"/>
    <w:rsid w:val="006017FA"/>
    <w:rsid w:val="006037CC"/>
    <w:rsid w:val="006059B2"/>
    <w:rsid w:val="00610305"/>
    <w:rsid w:val="00610419"/>
    <w:rsid w:val="00611DDB"/>
    <w:rsid w:val="00612C7B"/>
    <w:rsid w:val="00615CA4"/>
    <w:rsid w:val="0061775D"/>
    <w:rsid w:val="00620307"/>
    <w:rsid w:val="006209BD"/>
    <w:rsid w:val="006224C1"/>
    <w:rsid w:val="00622726"/>
    <w:rsid w:val="00622FCD"/>
    <w:rsid w:val="00623AB1"/>
    <w:rsid w:val="006269B7"/>
    <w:rsid w:val="00626D85"/>
    <w:rsid w:val="006307A5"/>
    <w:rsid w:val="00630EA1"/>
    <w:rsid w:val="00630FE1"/>
    <w:rsid w:val="00633625"/>
    <w:rsid w:val="00633DC7"/>
    <w:rsid w:val="00636E1D"/>
    <w:rsid w:val="006404D8"/>
    <w:rsid w:val="006405E3"/>
    <w:rsid w:val="00640F37"/>
    <w:rsid w:val="0064224B"/>
    <w:rsid w:val="00642D3B"/>
    <w:rsid w:val="00644B02"/>
    <w:rsid w:val="006453C4"/>
    <w:rsid w:val="00645CF4"/>
    <w:rsid w:val="00646735"/>
    <w:rsid w:val="006475ED"/>
    <w:rsid w:val="00650183"/>
    <w:rsid w:val="006501CC"/>
    <w:rsid w:val="00653FD1"/>
    <w:rsid w:val="00655112"/>
    <w:rsid w:val="0065594A"/>
    <w:rsid w:val="0066112E"/>
    <w:rsid w:val="00662B01"/>
    <w:rsid w:val="00662BA0"/>
    <w:rsid w:val="00662E70"/>
    <w:rsid w:val="00663B0A"/>
    <w:rsid w:val="006641F8"/>
    <w:rsid w:val="006671A5"/>
    <w:rsid w:val="00670254"/>
    <w:rsid w:val="0067299C"/>
    <w:rsid w:val="0067351E"/>
    <w:rsid w:val="0067520E"/>
    <w:rsid w:val="00676354"/>
    <w:rsid w:val="006776E9"/>
    <w:rsid w:val="00680E3F"/>
    <w:rsid w:val="0068246F"/>
    <w:rsid w:val="00692662"/>
    <w:rsid w:val="006973AC"/>
    <w:rsid w:val="00697737"/>
    <w:rsid w:val="006A0D6A"/>
    <w:rsid w:val="006A2D78"/>
    <w:rsid w:val="006A383B"/>
    <w:rsid w:val="006A52ED"/>
    <w:rsid w:val="006B3B29"/>
    <w:rsid w:val="006B4E80"/>
    <w:rsid w:val="006B7D83"/>
    <w:rsid w:val="006C023A"/>
    <w:rsid w:val="006C186D"/>
    <w:rsid w:val="006C4574"/>
    <w:rsid w:val="006C6694"/>
    <w:rsid w:val="006D1E95"/>
    <w:rsid w:val="006D2DAD"/>
    <w:rsid w:val="006D3144"/>
    <w:rsid w:val="006D34EB"/>
    <w:rsid w:val="006D4640"/>
    <w:rsid w:val="006D7393"/>
    <w:rsid w:val="006E05F4"/>
    <w:rsid w:val="006E55E1"/>
    <w:rsid w:val="006E5727"/>
    <w:rsid w:val="006E6D34"/>
    <w:rsid w:val="006E6D4C"/>
    <w:rsid w:val="006F2E13"/>
    <w:rsid w:val="006F3256"/>
    <w:rsid w:val="006F445D"/>
    <w:rsid w:val="006F72C6"/>
    <w:rsid w:val="006F735A"/>
    <w:rsid w:val="007004F7"/>
    <w:rsid w:val="007019F9"/>
    <w:rsid w:val="00702377"/>
    <w:rsid w:val="00703E4E"/>
    <w:rsid w:val="00705FB0"/>
    <w:rsid w:val="007071C6"/>
    <w:rsid w:val="0070732E"/>
    <w:rsid w:val="00711E1C"/>
    <w:rsid w:val="00712D2C"/>
    <w:rsid w:val="00713C09"/>
    <w:rsid w:val="00713E33"/>
    <w:rsid w:val="0071460A"/>
    <w:rsid w:val="0071592D"/>
    <w:rsid w:val="00717DB0"/>
    <w:rsid w:val="00721FBA"/>
    <w:rsid w:val="00724359"/>
    <w:rsid w:val="00725A92"/>
    <w:rsid w:val="00730352"/>
    <w:rsid w:val="00733A42"/>
    <w:rsid w:val="00736334"/>
    <w:rsid w:val="0073688E"/>
    <w:rsid w:val="00742839"/>
    <w:rsid w:val="0075022F"/>
    <w:rsid w:val="00752710"/>
    <w:rsid w:val="00753C69"/>
    <w:rsid w:val="00755505"/>
    <w:rsid w:val="007600E9"/>
    <w:rsid w:val="007604B4"/>
    <w:rsid w:val="0076316D"/>
    <w:rsid w:val="00766271"/>
    <w:rsid w:val="00772993"/>
    <w:rsid w:val="00774940"/>
    <w:rsid w:val="00776697"/>
    <w:rsid w:val="007815FB"/>
    <w:rsid w:val="00781D80"/>
    <w:rsid w:val="007857A2"/>
    <w:rsid w:val="00790A5B"/>
    <w:rsid w:val="00791122"/>
    <w:rsid w:val="00791DE5"/>
    <w:rsid w:val="00794ADC"/>
    <w:rsid w:val="00794EAB"/>
    <w:rsid w:val="007A0054"/>
    <w:rsid w:val="007A2A87"/>
    <w:rsid w:val="007A38F2"/>
    <w:rsid w:val="007A394A"/>
    <w:rsid w:val="007A44A6"/>
    <w:rsid w:val="007A5353"/>
    <w:rsid w:val="007A54D3"/>
    <w:rsid w:val="007A7324"/>
    <w:rsid w:val="007B177F"/>
    <w:rsid w:val="007B3D63"/>
    <w:rsid w:val="007B69D6"/>
    <w:rsid w:val="007C357B"/>
    <w:rsid w:val="007C55D0"/>
    <w:rsid w:val="007D1315"/>
    <w:rsid w:val="007D7196"/>
    <w:rsid w:val="007E12BA"/>
    <w:rsid w:val="007E17FF"/>
    <w:rsid w:val="007E25B9"/>
    <w:rsid w:val="007E2DD6"/>
    <w:rsid w:val="007E57CE"/>
    <w:rsid w:val="007E71F7"/>
    <w:rsid w:val="007F2439"/>
    <w:rsid w:val="007F3548"/>
    <w:rsid w:val="007F501F"/>
    <w:rsid w:val="007F5A93"/>
    <w:rsid w:val="007F6136"/>
    <w:rsid w:val="007F7EED"/>
    <w:rsid w:val="00800B73"/>
    <w:rsid w:val="008028B7"/>
    <w:rsid w:val="00806FEC"/>
    <w:rsid w:val="00807127"/>
    <w:rsid w:val="0080752F"/>
    <w:rsid w:val="008111EF"/>
    <w:rsid w:val="008123E1"/>
    <w:rsid w:val="00812B3B"/>
    <w:rsid w:val="00813BAC"/>
    <w:rsid w:val="00813CD4"/>
    <w:rsid w:val="008149F0"/>
    <w:rsid w:val="0081560B"/>
    <w:rsid w:val="00815C25"/>
    <w:rsid w:val="0082003D"/>
    <w:rsid w:val="00821B9D"/>
    <w:rsid w:val="00823FF9"/>
    <w:rsid w:val="00825520"/>
    <w:rsid w:val="00825672"/>
    <w:rsid w:val="00832DE5"/>
    <w:rsid w:val="008348B0"/>
    <w:rsid w:val="00834CE6"/>
    <w:rsid w:val="00840915"/>
    <w:rsid w:val="0084468C"/>
    <w:rsid w:val="00844EE2"/>
    <w:rsid w:val="0085041F"/>
    <w:rsid w:val="00851DC4"/>
    <w:rsid w:val="008521E0"/>
    <w:rsid w:val="008552A0"/>
    <w:rsid w:val="008611DE"/>
    <w:rsid w:val="00862D23"/>
    <w:rsid w:val="0086363B"/>
    <w:rsid w:val="00863CFB"/>
    <w:rsid w:val="008640A2"/>
    <w:rsid w:val="00865492"/>
    <w:rsid w:val="00867CB4"/>
    <w:rsid w:val="008708AB"/>
    <w:rsid w:val="008717F1"/>
    <w:rsid w:val="00874ED5"/>
    <w:rsid w:val="00875BE3"/>
    <w:rsid w:val="00876CD5"/>
    <w:rsid w:val="008776CA"/>
    <w:rsid w:val="008810BC"/>
    <w:rsid w:val="008834C5"/>
    <w:rsid w:val="008871C6"/>
    <w:rsid w:val="008874AF"/>
    <w:rsid w:val="008907A6"/>
    <w:rsid w:val="00892F55"/>
    <w:rsid w:val="00895BF6"/>
    <w:rsid w:val="00897B68"/>
    <w:rsid w:val="008A02D3"/>
    <w:rsid w:val="008A0AF3"/>
    <w:rsid w:val="008A67AD"/>
    <w:rsid w:val="008A71DF"/>
    <w:rsid w:val="008A72C8"/>
    <w:rsid w:val="008B0845"/>
    <w:rsid w:val="008B1AF1"/>
    <w:rsid w:val="008B237A"/>
    <w:rsid w:val="008B63BC"/>
    <w:rsid w:val="008B671A"/>
    <w:rsid w:val="008B78D5"/>
    <w:rsid w:val="008C1523"/>
    <w:rsid w:val="008C1A94"/>
    <w:rsid w:val="008C2161"/>
    <w:rsid w:val="008C2E99"/>
    <w:rsid w:val="008C2EEB"/>
    <w:rsid w:val="008C5B82"/>
    <w:rsid w:val="008C7F33"/>
    <w:rsid w:val="008D5FF2"/>
    <w:rsid w:val="008E3015"/>
    <w:rsid w:val="008E3ADF"/>
    <w:rsid w:val="008E71C3"/>
    <w:rsid w:val="008F1FDA"/>
    <w:rsid w:val="008F3908"/>
    <w:rsid w:val="008F435C"/>
    <w:rsid w:val="008F63C9"/>
    <w:rsid w:val="008F66E2"/>
    <w:rsid w:val="009014B6"/>
    <w:rsid w:val="009026E7"/>
    <w:rsid w:val="00912882"/>
    <w:rsid w:val="00912895"/>
    <w:rsid w:val="00914DAA"/>
    <w:rsid w:val="00915305"/>
    <w:rsid w:val="009168E0"/>
    <w:rsid w:val="009210DE"/>
    <w:rsid w:val="00922937"/>
    <w:rsid w:val="0092311E"/>
    <w:rsid w:val="0092457E"/>
    <w:rsid w:val="00927883"/>
    <w:rsid w:val="00933758"/>
    <w:rsid w:val="009342D4"/>
    <w:rsid w:val="009358C9"/>
    <w:rsid w:val="00936956"/>
    <w:rsid w:val="00940030"/>
    <w:rsid w:val="00940D58"/>
    <w:rsid w:val="00941E13"/>
    <w:rsid w:val="009425B2"/>
    <w:rsid w:val="00943B87"/>
    <w:rsid w:val="00943C57"/>
    <w:rsid w:val="00945E98"/>
    <w:rsid w:val="00950374"/>
    <w:rsid w:val="009531CB"/>
    <w:rsid w:val="00956949"/>
    <w:rsid w:val="00960683"/>
    <w:rsid w:val="0096160F"/>
    <w:rsid w:val="00962389"/>
    <w:rsid w:val="009632A3"/>
    <w:rsid w:val="00965B80"/>
    <w:rsid w:val="00970EEF"/>
    <w:rsid w:val="0097126E"/>
    <w:rsid w:val="009776BD"/>
    <w:rsid w:val="009902A6"/>
    <w:rsid w:val="00993B1E"/>
    <w:rsid w:val="00994534"/>
    <w:rsid w:val="0099485B"/>
    <w:rsid w:val="00995853"/>
    <w:rsid w:val="00996BB3"/>
    <w:rsid w:val="009A312F"/>
    <w:rsid w:val="009A3433"/>
    <w:rsid w:val="009A4D08"/>
    <w:rsid w:val="009A532A"/>
    <w:rsid w:val="009A57FF"/>
    <w:rsid w:val="009A62CD"/>
    <w:rsid w:val="009B2422"/>
    <w:rsid w:val="009B2AC4"/>
    <w:rsid w:val="009B4CEE"/>
    <w:rsid w:val="009B64D4"/>
    <w:rsid w:val="009B7538"/>
    <w:rsid w:val="009B7766"/>
    <w:rsid w:val="009C0507"/>
    <w:rsid w:val="009C1086"/>
    <w:rsid w:val="009C121A"/>
    <w:rsid w:val="009C12C9"/>
    <w:rsid w:val="009C13C2"/>
    <w:rsid w:val="009C1CE7"/>
    <w:rsid w:val="009C27F8"/>
    <w:rsid w:val="009C2D83"/>
    <w:rsid w:val="009C4B32"/>
    <w:rsid w:val="009D05E0"/>
    <w:rsid w:val="009D16D2"/>
    <w:rsid w:val="009D2279"/>
    <w:rsid w:val="009D2B00"/>
    <w:rsid w:val="009D55F7"/>
    <w:rsid w:val="009E2A50"/>
    <w:rsid w:val="009E38A2"/>
    <w:rsid w:val="009E4107"/>
    <w:rsid w:val="009E56B1"/>
    <w:rsid w:val="009E7102"/>
    <w:rsid w:val="009E76BE"/>
    <w:rsid w:val="009E79BF"/>
    <w:rsid w:val="009F12DA"/>
    <w:rsid w:val="009F3FE6"/>
    <w:rsid w:val="009F41C4"/>
    <w:rsid w:val="009F53AF"/>
    <w:rsid w:val="00A00793"/>
    <w:rsid w:val="00A00E34"/>
    <w:rsid w:val="00A062C7"/>
    <w:rsid w:val="00A06B05"/>
    <w:rsid w:val="00A10257"/>
    <w:rsid w:val="00A14332"/>
    <w:rsid w:val="00A14A6B"/>
    <w:rsid w:val="00A150DD"/>
    <w:rsid w:val="00A205B4"/>
    <w:rsid w:val="00A20F19"/>
    <w:rsid w:val="00A2301F"/>
    <w:rsid w:val="00A23608"/>
    <w:rsid w:val="00A26C98"/>
    <w:rsid w:val="00A27B9D"/>
    <w:rsid w:val="00A27D88"/>
    <w:rsid w:val="00A304D0"/>
    <w:rsid w:val="00A347B2"/>
    <w:rsid w:val="00A36C1C"/>
    <w:rsid w:val="00A3785C"/>
    <w:rsid w:val="00A37ABE"/>
    <w:rsid w:val="00A37FED"/>
    <w:rsid w:val="00A42159"/>
    <w:rsid w:val="00A45BEA"/>
    <w:rsid w:val="00A4607D"/>
    <w:rsid w:val="00A47BCD"/>
    <w:rsid w:val="00A52987"/>
    <w:rsid w:val="00A53EC9"/>
    <w:rsid w:val="00A63B7B"/>
    <w:rsid w:val="00A64297"/>
    <w:rsid w:val="00A65948"/>
    <w:rsid w:val="00A70777"/>
    <w:rsid w:val="00A70974"/>
    <w:rsid w:val="00A725D6"/>
    <w:rsid w:val="00A72AEE"/>
    <w:rsid w:val="00A72C7D"/>
    <w:rsid w:val="00A73E7C"/>
    <w:rsid w:val="00A76095"/>
    <w:rsid w:val="00A81586"/>
    <w:rsid w:val="00A8548B"/>
    <w:rsid w:val="00A85B4D"/>
    <w:rsid w:val="00A8715E"/>
    <w:rsid w:val="00A9023F"/>
    <w:rsid w:val="00A9215E"/>
    <w:rsid w:val="00A92440"/>
    <w:rsid w:val="00A9426B"/>
    <w:rsid w:val="00A95705"/>
    <w:rsid w:val="00A95806"/>
    <w:rsid w:val="00A96376"/>
    <w:rsid w:val="00A97842"/>
    <w:rsid w:val="00AA0676"/>
    <w:rsid w:val="00AA38EB"/>
    <w:rsid w:val="00AA4A01"/>
    <w:rsid w:val="00AA66FF"/>
    <w:rsid w:val="00AA7DCF"/>
    <w:rsid w:val="00AB104D"/>
    <w:rsid w:val="00AB149D"/>
    <w:rsid w:val="00AB197D"/>
    <w:rsid w:val="00AB2476"/>
    <w:rsid w:val="00AB4C8F"/>
    <w:rsid w:val="00AB64A8"/>
    <w:rsid w:val="00AB77FD"/>
    <w:rsid w:val="00AB7A3C"/>
    <w:rsid w:val="00AB7C15"/>
    <w:rsid w:val="00AC1927"/>
    <w:rsid w:val="00AD0C73"/>
    <w:rsid w:val="00AE1A2D"/>
    <w:rsid w:val="00AE5347"/>
    <w:rsid w:val="00AE55F6"/>
    <w:rsid w:val="00AE56DB"/>
    <w:rsid w:val="00AE5775"/>
    <w:rsid w:val="00AE5F3C"/>
    <w:rsid w:val="00AF2AB2"/>
    <w:rsid w:val="00AF5581"/>
    <w:rsid w:val="00AF7442"/>
    <w:rsid w:val="00B00CC4"/>
    <w:rsid w:val="00B01098"/>
    <w:rsid w:val="00B012FF"/>
    <w:rsid w:val="00B03E49"/>
    <w:rsid w:val="00B07EB6"/>
    <w:rsid w:val="00B131DC"/>
    <w:rsid w:val="00B13C87"/>
    <w:rsid w:val="00B1710D"/>
    <w:rsid w:val="00B23E9B"/>
    <w:rsid w:val="00B24DB1"/>
    <w:rsid w:val="00B301F0"/>
    <w:rsid w:val="00B3120E"/>
    <w:rsid w:val="00B32510"/>
    <w:rsid w:val="00B3293A"/>
    <w:rsid w:val="00B3595C"/>
    <w:rsid w:val="00B36D5E"/>
    <w:rsid w:val="00B375DF"/>
    <w:rsid w:val="00B409EF"/>
    <w:rsid w:val="00B43E07"/>
    <w:rsid w:val="00B4462F"/>
    <w:rsid w:val="00B45872"/>
    <w:rsid w:val="00B526A8"/>
    <w:rsid w:val="00B55FAB"/>
    <w:rsid w:val="00B611F1"/>
    <w:rsid w:val="00B61E83"/>
    <w:rsid w:val="00B62D70"/>
    <w:rsid w:val="00B62DC9"/>
    <w:rsid w:val="00B654C4"/>
    <w:rsid w:val="00B6669B"/>
    <w:rsid w:val="00B6734E"/>
    <w:rsid w:val="00B7091D"/>
    <w:rsid w:val="00B7360D"/>
    <w:rsid w:val="00B75164"/>
    <w:rsid w:val="00B759B1"/>
    <w:rsid w:val="00B76198"/>
    <w:rsid w:val="00B7667F"/>
    <w:rsid w:val="00B767C1"/>
    <w:rsid w:val="00B803BA"/>
    <w:rsid w:val="00B80C00"/>
    <w:rsid w:val="00B80F7C"/>
    <w:rsid w:val="00B81CBB"/>
    <w:rsid w:val="00B836E8"/>
    <w:rsid w:val="00B83D9D"/>
    <w:rsid w:val="00B84529"/>
    <w:rsid w:val="00B85E10"/>
    <w:rsid w:val="00B907A2"/>
    <w:rsid w:val="00B96861"/>
    <w:rsid w:val="00B96F7F"/>
    <w:rsid w:val="00BA006A"/>
    <w:rsid w:val="00BA04C8"/>
    <w:rsid w:val="00BA315F"/>
    <w:rsid w:val="00BA3E3D"/>
    <w:rsid w:val="00BA414B"/>
    <w:rsid w:val="00BB093D"/>
    <w:rsid w:val="00BB1195"/>
    <w:rsid w:val="00BB2111"/>
    <w:rsid w:val="00BB21F0"/>
    <w:rsid w:val="00BB35EA"/>
    <w:rsid w:val="00BB3A7F"/>
    <w:rsid w:val="00BB516B"/>
    <w:rsid w:val="00BC150E"/>
    <w:rsid w:val="00BC21D5"/>
    <w:rsid w:val="00BC59E5"/>
    <w:rsid w:val="00BC7FD2"/>
    <w:rsid w:val="00BD05E6"/>
    <w:rsid w:val="00BD45CF"/>
    <w:rsid w:val="00BD6570"/>
    <w:rsid w:val="00BE06F2"/>
    <w:rsid w:val="00BE1110"/>
    <w:rsid w:val="00BE5F2B"/>
    <w:rsid w:val="00BF10F6"/>
    <w:rsid w:val="00BF16DB"/>
    <w:rsid w:val="00BF1E4B"/>
    <w:rsid w:val="00BF2D59"/>
    <w:rsid w:val="00BF6482"/>
    <w:rsid w:val="00BF6D7C"/>
    <w:rsid w:val="00C03AE7"/>
    <w:rsid w:val="00C044C1"/>
    <w:rsid w:val="00C05D9D"/>
    <w:rsid w:val="00C07CCC"/>
    <w:rsid w:val="00C12FA8"/>
    <w:rsid w:val="00C13DEE"/>
    <w:rsid w:val="00C15414"/>
    <w:rsid w:val="00C1757D"/>
    <w:rsid w:val="00C20764"/>
    <w:rsid w:val="00C261D1"/>
    <w:rsid w:val="00C2638F"/>
    <w:rsid w:val="00C316C6"/>
    <w:rsid w:val="00C31F21"/>
    <w:rsid w:val="00C35592"/>
    <w:rsid w:val="00C356AF"/>
    <w:rsid w:val="00C41927"/>
    <w:rsid w:val="00C439D6"/>
    <w:rsid w:val="00C43FD9"/>
    <w:rsid w:val="00C44EB2"/>
    <w:rsid w:val="00C4776A"/>
    <w:rsid w:val="00C47E8F"/>
    <w:rsid w:val="00C54CC8"/>
    <w:rsid w:val="00C54D12"/>
    <w:rsid w:val="00C57BC4"/>
    <w:rsid w:val="00C60915"/>
    <w:rsid w:val="00C62E84"/>
    <w:rsid w:val="00C64457"/>
    <w:rsid w:val="00C64E27"/>
    <w:rsid w:val="00C7138A"/>
    <w:rsid w:val="00C7417A"/>
    <w:rsid w:val="00C74F59"/>
    <w:rsid w:val="00C767FF"/>
    <w:rsid w:val="00C81E10"/>
    <w:rsid w:val="00C85374"/>
    <w:rsid w:val="00C85A9B"/>
    <w:rsid w:val="00C8603E"/>
    <w:rsid w:val="00C91877"/>
    <w:rsid w:val="00C924F1"/>
    <w:rsid w:val="00C93804"/>
    <w:rsid w:val="00C95BAB"/>
    <w:rsid w:val="00C964B8"/>
    <w:rsid w:val="00C97011"/>
    <w:rsid w:val="00CA28F2"/>
    <w:rsid w:val="00CA76A0"/>
    <w:rsid w:val="00CB08B2"/>
    <w:rsid w:val="00CB1021"/>
    <w:rsid w:val="00CB3841"/>
    <w:rsid w:val="00CB3B6B"/>
    <w:rsid w:val="00CC25E6"/>
    <w:rsid w:val="00CC38AC"/>
    <w:rsid w:val="00CC3E46"/>
    <w:rsid w:val="00CC4210"/>
    <w:rsid w:val="00CC5D73"/>
    <w:rsid w:val="00CC7273"/>
    <w:rsid w:val="00CC7310"/>
    <w:rsid w:val="00CC7B25"/>
    <w:rsid w:val="00CD4AF7"/>
    <w:rsid w:val="00CD4C1C"/>
    <w:rsid w:val="00CD5473"/>
    <w:rsid w:val="00CD6024"/>
    <w:rsid w:val="00CD738B"/>
    <w:rsid w:val="00CD7C1C"/>
    <w:rsid w:val="00CD7CA4"/>
    <w:rsid w:val="00CE0D4E"/>
    <w:rsid w:val="00CE3517"/>
    <w:rsid w:val="00CE3C0C"/>
    <w:rsid w:val="00CE61DA"/>
    <w:rsid w:val="00CE78A2"/>
    <w:rsid w:val="00CE79AB"/>
    <w:rsid w:val="00CF0B8E"/>
    <w:rsid w:val="00CF21D0"/>
    <w:rsid w:val="00CF449E"/>
    <w:rsid w:val="00CF5357"/>
    <w:rsid w:val="00D01670"/>
    <w:rsid w:val="00D01CB8"/>
    <w:rsid w:val="00D048AC"/>
    <w:rsid w:val="00D05C26"/>
    <w:rsid w:val="00D062AC"/>
    <w:rsid w:val="00D10C48"/>
    <w:rsid w:val="00D120EF"/>
    <w:rsid w:val="00D152E7"/>
    <w:rsid w:val="00D156A3"/>
    <w:rsid w:val="00D20381"/>
    <w:rsid w:val="00D218D0"/>
    <w:rsid w:val="00D21F91"/>
    <w:rsid w:val="00D30EDF"/>
    <w:rsid w:val="00D33027"/>
    <w:rsid w:val="00D33D65"/>
    <w:rsid w:val="00D34065"/>
    <w:rsid w:val="00D36B9B"/>
    <w:rsid w:val="00D36DC6"/>
    <w:rsid w:val="00D3796C"/>
    <w:rsid w:val="00D413AD"/>
    <w:rsid w:val="00D42C57"/>
    <w:rsid w:val="00D44360"/>
    <w:rsid w:val="00D45306"/>
    <w:rsid w:val="00D45878"/>
    <w:rsid w:val="00D46178"/>
    <w:rsid w:val="00D50981"/>
    <w:rsid w:val="00D53948"/>
    <w:rsid w:val="00D5416C"/>
    <w:rsid w:val="00D549B9"/>
    <w:rsid w:val="00D557EE"/>
    <w:rsid w:val="00D56058"/>
    <w:rsid w:val="00D56CD5"/>
    <w:rsid w:val="00D571F6"/>
    <w:rsid w:val="00D578FF"/>
    <w:rsid w:val="00D57F4B"/>
    <w:rsid w:val="00D61179"/>
    <w:rsid w:val="00D62224"/>
    <w:rsid w:val="00D63D0E"/>
    <w:rsid w:val="00D656AD"/>
    <w:rsid w:val="00D67A13"/>
    <w:rsid w:val="00D70EE2"/>
    <w:rsid w:val="00D73135"/>
    <w:rsid w:val="00D73E5E"/>
    <w:rsid w:val="00D76A01"/>
    <w:rsid w:val="00D76E91"/>
    <w:rsid w:val="00D77AA1"/>
    <w:rsid w:val="00D77E54"/>
    <w:rsid w:val="00D80264"/>
    <w:rsid w:val="00D819D9"/>
    <w:rsid w:val="00D830AD"/>
    <w:rsid w:val="00D831F2"/>
    <w:rsid w:val="00D849AA"/>
    <w:rsid w:val="00D85804"/>
    <w:rsid w:val="00D86434"/>
    <w:rsid w:val="00D872D1"/>
    <w:rsid w:val="00D9187B"/>
    <w:rsid w:val="00D93BA2"/>
    <w:rsid w:val="00D950BA"/>
    <w:rsid w:val="00DA5515"/>
    <w:rsid w:val="00DA6122"/>
    <w:rsid w:val="00DB3B95"/>
    <w:rsid w:val="00DB4809"/>
    <w:rsid w:val="00DB4BDE"/>
    <w:rsid w:val="00DB5E8F"/>
    <w:rsid w:val="00DB61B8"/>
    <w:rsid w:val="00DB733C"/>
    <w:rsid w:val="00DB779A"/>
    <w:rsid w:val="00DC012C"/>
    <w:rsid w:val="00DC3E99"/>
    <w:rsid w:val="00DC7C3E"/>
    <w:rsid w:val="00DD3FF2"/>
    <w:rsid w:val="00DD64EE"/>
    <w:rsid w:val="00DD7FA1"/>
    <w:rsid w:val="00DE0A1C"/>
    <w:rsid w:val="00DE30E0"/>
    <w:rsid w:val="00DE6BC1"/>
    <w:rsid w:val="00DE7C85"/>
    <w:rsid w:val="00DF04DA"/>
    <w:rsid w:val="00DF06E8"/>
    <w:rsid w:val="00DF6D5F"/>
    <w:rsid w:val="00DF724A"/>
    <w:rsid w:val="00DF735F"/>
    <w:rsid w:val="00E02765"/>
    <w:rsid w:val="00E033C3"/>
    <w:rsid w:val="00E038C3"/>
    <w:rsid w:val="00E06D47"/>
    <w:rsid w:val="00E07416"/>
    <w:rsid w:val="00E11C60"/>
    <w:rsid w:val="00E13544"/>
    <w:rsid w:val="00E1386E"/>
    <w:rsid w:val="00E14AA0"/>
    <w:rsid w:val="00E16F59"/>
    <w:rsid w:val="00E22BC2"/>
    <w:rsid w:val="00E22BCE"/>
    <w:rsid w:val="00E24AAF"/>
    <w:rsid w:val="00E258D8"/>
    <w:rsid w:val="00E30718"/>
    <w:rsid w:val="00E31391"/>
    <w:rsid w:val="00E3179D"/>
    <w:rsid w:val="00E326FF"/>
    <w:rsid w:val="00E3467E"/>
    <w:rsid w:val="00E34B8E"/>
    <w:rsid w:val="00E361B0"/>
    <w:rsid w:val="00E41563"/>
    <w:rsid w:val="00E415C9"/>
    <w:rsid w:val="00E46262"/>
    <w:rsid w:val="00E516B0"/>
    <w:rsid w:val="00E51BB1"/>
    <w:rsid w:val="00E54BA8"/>
    <w:rsid w:val="00E54D7F"/>
    <w:rsid w:val="00E55705"/>
    <w:rsid w:val="00E574A1"/>
    <w:rsid w:val="00E6275C"/>
    <w:rsid w:val="00E62DB8"/>
    <w:rsid w:val="00E63010"/>
    <w:rsid w:val="00E63399"/>
    <w:rsid w:val="00E66893"/>
    <w:rsid w:val="00E66BA7"/>
    <w:rsid w:val="00E677EF"/>
    <w:rsid w:val="00E6790C"/>
    <w:rsid w:val="00E70BB6"/>
    <w:rsid w:val="00E7159B"/>
    <w:rsid w:val="00E75F07"/>
    <w:rsid w:val="00E859DF"/>
    <w:rsid w:val="00E85A8B"/>
    <w:rsid w:val="00E87041"/>
    <w:rsid w:val="00E916E4"/>
    <w:rsid w:val="00E94218"/>
    <w:rsid w:val="00E95201"/>
    <w:rsid w:val="00E96304"/>
    <w:rsid w:val="00EA1807"/>
    <w:rsid w:val="00EA251B"/>
    <w:rsid w:val="00EA31AA"/>
    <w:rsid w:val="00EA4947"/>
    <w:rsid w:val="00EC0C41"/>
    <w:rsid w:val="00EC11F0"/>
    <w:rsid w:val="00EC1594"/>
    <w:rsid w:val="00EC1C8C"/>
    <w:rsid w:val="00EC365B"/>
    <w:rsid w:val="00EC5AD1"/>
    <w:rsid w:val="00ED161F"/>
    <w:rsid w:val="00ED2521"/>
    <w:rsid w:val="00ED2F67"/>
    <w:rsid w:val="00ED2FB9"/>
    <w:rsid w:val="00ED36B7"/>
    <w:rsid w:val="00ED7637"/>
    <w:rsid w:val="00EE013F"/>
    <w:rsid w:val="00EE0C7D"/>
    <w:rsid w:val="00EE122D"/>
    <w:rsid w:val="00EE456B"/>
    <w:rsid w:val="00EE5DE6"/>
    <w:rsid w:val="00EE6267"/>
    <w:rsid w:val="00EE6613"/>
    <w:rsid w:val="00EE6988"/>
    <w:rsid w:val="00EF2A23"/>
    <w:rsid w:val="00EF35BF"/>
    <w:rsid w:val="00EF381C"/>
    <w:rsid w:val="00EF47A4"/>
    <w:rsid w:val="00EF685F"/>
    <w:rsid w:val="00F00755"/>
    <w:rsid w:val="00F00C37"/>
    <w:rsid w:val="00F034AC"/>
    <w:rsid w:val="00F04275"/>
    <w:rsid w:val="00F1590F"/>
    <w:rsid w:val="00F160D2"/>
    <w:rsid w:val="00F27395"/>
    <w:rsid w:val="00F31CFB"/>
    <w:rsid w:val="00F339A4"/>
    <w:rsid w:val="00F33C22"/>
    <w:rsid w:val="00F42177"/>
    <w:rsid w:val="00F42DCD"/>
    <w:rsid w:val="00F4484F"/>
    <w:rsid w:val="00F45638"/>
    <w:rsid w:val="00F4748D"/>
    <w:rsid w:val="00F50E9C"/>
    <w:rsid w:val="00F51116"/>
    <w:rsid w:val="00F5117A"/>
    <w:rsid w:val="00F51FA3"/>
    <w:rsid w:val="00F52F33"/>
    <w:rsid w:val="00F53841"/>
    <w:rsid w:val="00F53B21"/>
    <w:rsid w:val="00F60ACD"/>
    <w:rsid w:val="00F612B3"/>
    <w:rsid w:val="00F650BC"/>
    <w:rsid w:val="00F653FF"/>
    <w:rsid w:val="00F66078"/>
    <w:rsid w:val="00F67EF6"/>
    <w:rsid w:val="00F7064A"/>
    <w:rsid w:val="00F7198E"/>
    <w:rsid w:val="00F7311F"/>
    <w:rsid w:val="00F747AD"/>
    <w:rsid w:val="00F8260F"/>
    <w:rsid w:val="00F83279"/>
    <w:rsid w:val="00F87F11"/>
    <w:rsid w:val="00F90B2E"/>
    <w:rsid w:val="00F91302"/>
    <w:rsid w:val="00F942CA"/>
    <w:rsid w:val="00F9452C"/>
    <w:rsid w:val="00F9689B"/>
    <w:rsid w:val="00F97395"/>
    <w:rsid w:val="00F97508"/>
    <w:rsid w:val="00FA0160"/>
    <w:rsid w:val="00FA3503"/>
    <w:rsid w:val="00FA590B"/>
    <w:rsid w:val="00FA5C42"/>
    <w:rsid w:val="00FA68AB"/>
    <w:rsid w:val="00FB021F"/>
    <w:rsid w:val="00FB0A9F"/>
    <w:rsid w:val="00FB2C5B"/>
    <w:rsid w:val="00FB33E0"/>
    <w:rsid w:val="00FB52EB"/>
    <w:rsid w:val="00FB7206"/>
    <w:rsid w:val="00FB7367"/>
    <w:rsid w:val="00FB77F3"/>
    <w:rsid w:val="00FC1D72"/>
    <w:rsid w:val="00FC309B"/>
    <w:rsid w:val="00FC62C4"/>
    <w:rsid w:val="00FD17AA"/>
    <w:rsid w:val="00FE0C92"/>
    <w:rsid w:val="00FE0D29"/>
    <w:rsid w:val="00FE35E0"/>
    <w:rsid w:val="00FE4173"/>
    <w:rsid w:val="00FE4DD2"/>
    <w:rsid w:val="00FE5577"/>
    <w:rsid w:val="00FE78A3"/>
    <w:rsid w:val="00FF2A56"/>
    <w:rsid w:val="00FF3133"/>
    <w:rsid w:val="00FF34CA"/>
    <w:rsid w:val="00FF39DE"/>
    <w:rsid w:val="00FF3AA8"/>
    <w:rsid w:val="00FF5E0F"/>
    <w:rsid w:val="00FF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,"/>
  <w14:docId w14:val="533EF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77"/>
  </w:style>
  <w:style w:type="paragraph" w:styleId="Heading1">
    <w:name w:val="heading 1"/>
    <w:aliases w:val="Cover title white"/>
    <w:basedOn w:val="Normal"/>
    <w:next w:val="Normal"/>
    <w:link w:val="Heading1Char"/>
    <w:uiPriority w:val="9"/>
    <w:qFormat/>
    <w:rsid w:val="00F4217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3415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0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aliases w:val="Title 2"/>
    <w:basedOn w:val="Normal"/>
    <w:next w:val="Normal"/>
    <w:link w:val="Heading3Char"/>
    <w:uiPriority w:val="9"/>
    <w:semiHidden/>
    <w:unhideWhenUsed/>
    <w:qFormat/>
    <w:rsid w:val="00F421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02B4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D4C52" w:themeColor="accent5" w:themeShade="BF"/>
      <w:sz w:val="25"/>
      <w:szCs w:val="25"/>
    </w:rPr>
  </w:style>
  <w:style w:type="paragraph" w:styleId="Heading5">
    <w:name w:val="heading 5"/>
    <w:aliases w:val="Cover subtitle white"/>
    <w:basedOn w:val="Normal"/>
    <w:next w:val="Normal"/>
    <w:link w:val="Heading5Char"/>
    <w:uiPriority w:val="9"/>
    <w:semiHidden/>
    <w:unhideWhenUsed/>
    <w:qFormat/>
    <w:rsid w:val="00F421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4490E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B1C2C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72B3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4490E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B1C2C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uiPriority w:val="9"/>
    <w:rsid w:val="00F42177"/>
    <w:rPr>
      <w:rFonts w:asciiTheme="majorHAnsi" w:eastAsiaTheme="majorEastAsia" w:hAnsiTheme="majorHAnsi" w:cstheme="majorBidi"/>
      <w:color w:val="234156" w:themeColor="accent1" w:themeShade="BF"/>
      <w:sz w:val="30"/>
      <w:szCs w:val="30"/>
    </w:rPr>
  </w:style>
  <w:style w:type="paragraph" w:customStyle="1" w:styleId="Numberedtilelevel1">
    <w:name w:val="Numbered tile level 1"/>
    <w:basedOn w:val="Titlelevel1"/>
    <w:link w:val="Numberedtilelevel1Char"/>
    <w:qFormat/>
    <w:rsid w:val="00482FB6"/>
  </w:style>
  <w:style w:type="character" w:customStyle="1" w:styleId="Heading2Char">
    <w:name w:val="Heading 2 Char"/>
    <w:basedOn w:val="DefaultParagraphFont"/>
    <w:link w:val="Heading2"/>
    <w:uiPriority w:val="9"/>
    <w:semiHidden/>
    <w:rsid w:val="00940030"/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Numberedtitlelevel2">
    <w:name w:val="Numbered title level 2"/>
    <w:basedOn w:val="Titlelevel2"/>
    <w:next w:val="body"/>
    <w:rsid w:val="00482FB6"/>
    <w:pPr>
      <w:numPr>
        <w:ilvl w:val="1"/>
        <w:numId w:val="6"/>
      </w:numPr>
    </w:pPr>
  </w:style>
  <w:style w:type="paragraph" w:customStyle="1" w:styleId="Titlelevel2">
    <w:name w:val="Title level 2"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F42177"/>
    <w:rPr>
      <w:rFonts w:asciiTheme="majorHAnsi" w:eastAsiaTheme="majorEastAsia" w:hAnsiTheme="majorHAnsi" w:cstheme="majorBidi"/>
      <w:color w:val="102B4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77"/>
    <w:rPr>
      <w:rFonts w:asciiTheme="majorHAnsi" w:eastAsiaTheme="majorEastAsia" w:hAnsiTheme="majorHAnsi" w:cstheme="majorBidi"/>
      <w:i/>
      <w:iCs/>
      <w:color w:val="3D4C52" w:themeColor="accent5" w:themeShade="BF"/>
      <w:sz w:val="25"/>
      <w:szCs w:val="25"/>
    </w:rPr>
  </w:style>
  <w:style w:type="character" w:customStyle="1" w:styleId="Heading5Char">
    <w:name w:val="Heading 5 Char"/>
    <w:aliases w:val="Cover subtitle white Char"/>
    <w:basedOn w:val="DefaultParagraphFont"/>
    <w:link w:val="Heading5"/>
    <w:uiPriority w:val="9"/>
    <w:semiHidden/>
    <w:rsid w:val="00F42177"/>
    <w:rPr>
      <w:rFonts w:asciiTheme="majorHAnsi" w:eastAsiaTheme="majorEastAsia" w:hAnsiTheme="majorHAnsi" w:cstheme="majorBidi"/>
      <w:i/>
      <w:iCs/>
      <w:color w:val="84490E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77"/>
    <w:rPr>
      <w:rFonts w:asciiTheme="majorHAnsi" w:eastAsiaTheme="majorEastAsia" w:hAnsiTheme="majorHAnsi" w:cstheme="majorBidi"/>
      <w:i/>
      <w:iCs/>
      <w:color w:val="0B1C2C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77"/>
    <w:rPr>
      <w:rFonts w:asciiTheme="majorHAnsi" w:eastAsiaTheme="majorEastAsia" w:hAnsiTheme="majorHAnsi" w:cstheme="majorBidi"/>
      <w:color w:val="172B3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77"/>
    <w:rPr>
      <w:rFonts w:asciiTheme="majorHAnsi" w:eastAsiaTheme="majorEastAsia" w:hAnsiTheme="majorHAnsi" w:cstheme="majorBidi"/>
      <w:color w:val="84490E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77"/>
    <w:rPr>
      <w:rFonts w:asciiTheme="majorHAnsi" w:eastAsiaTheme="majorEastAsia" w:hAnsiTheme="majorHAnsi" w:cstheme="majorBidi"/>
      <w:color w:val="0B1C2C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rsid w:val="00813BAC"/>
    <w:pPr>
      <w:spacing w:after="80"/>
    </w:pPr>
    <w:rPr>
      <w:rFonts w:ascii="Calibri" w:eastAsia="Times New Roman" w:hAnsi="Calibri" w:cs="Times New Roman"/>
      <w:b/>
      <w:color w:val="000000"/>
    </w:rPr>
  </w:style>
  <w:style w:type="paragraph" w:customStyle="1" w:styleId="Tabledata">
    <w:name w:val="Table data"/>
    <w:basedOn w:val="body"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lang w:eastAsia="en-GB"/>
    </w:rPr>
  </w:style>
  <w:style w:type="paragraph" w:customStyle="1" w:styleId="List1">
    <w:name w:val="List1"/>
    <w:autoRedefine/>
    <w:rsid w:val="008F3908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aliases w:val="Tabla CUADROS"/>
    <w:basedOn w:val="TableProfessional"/>
    <w:uiPriority w:val="59"/>
    <w:rsid w:val="00A14332"/>
    <w:rPr>
      <w:sz w:val="20"/>
      <w:szCs w:val="20"/>
      <w:lang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rsid w:val="007A0054"/>
    <w:pPr>
      <w:numPr>
        <w:numId w:val="5"/>
      </w:numPr>
      <w:spacing w:before="240" w:after="120"/>
      <w:contextualSpacing/>
    </w:pPr>
  </w:style>
  <w:style w:type="paragraph" w:customStyle="1" w:styleId="Titlelevel1">
    <w:name w:val="Title level 1"/>
    <w:link w:val="Titlelevel1Char"/>
    <w:autoRedefine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eastAsia="en-GB"/>
    </w:rPr>
  </w:style>
  <w:style w:type="table" w:customStyle="1" w:styleId="EBAtable">
    <w:name w:val="EBA table"/>
    <w:basedOn w:val="TableNormal"/>
    <w:uiPriority w:val="99"/>
    <w:rsid w:val="002434B0"/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rsid w:val="001C5BC2"/>
    <w:pPr>
      <w:numPr>
        <w:numId w:val="2"/>
      </w:numPr>
    </w:pPr>
  </w:style>
  <w:style w:type="paragraph" w:styleId="TOC1">
    <w:name w:val="toc 1"/>
    <w:autoRedefine/>
    <w:uiPriority w:val="39"/>
    <w:rsid w:val="001F4C02"/>
    <w:pPr>
      <w:tabs>
        <w:tab w:val="right" w:pos="8771"/>
      </w:tabs>
      <w:spacing w:before="120" w:after="120"/>
      <w:ind w:left="426" w:hanging="426"/>
      <w:outlineLvl w:val="0"/>
    </w:pPr>
    <w:rPr>
      <w:b/>
      <w:bCs/>
      <w:noProof/>
      <w:color w:val="2F5773" w:themeColor="text2"/>
    </w:rPr>
  </w:style>
  <w:style w:type="paragraph" w:styleId="TOC2">
    <w:name w:val="toc 2"/>
    <w:next w:val="Normal"/>
    <w:autoRedefine/>
    <w:uiPriority w:val="39"/>
    <w:rsid w:val="00C41927"/>
    <w:pPr>
      <w:tabs>
        <w:tab w:val="left" w:pos="529"/>
        <w:tab w:val="right" w:pos="8771"/>
      </w:tabs>
      <w:spacing w:before="80" w:after="8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63B0A"/>
    <w:pPr>
      <w:tabs>
        <w:tab w:val="right" w:pos="8771"/>
      </w:tabs>
      <w:ind w:left="567"/>
    </w:p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</w:style>
  <w:style w:type="paragraph" w:customStyle="1" w:styleId="bullet2">
    <w:name w:val="bullet 2"/>
    <w:basedOn w:val="body"/>
    <w:rsid w:val="001C5BC2"/>
    <w:pPr>
      <w:numPr>
        <w:numId w:val="1"/>
      </w:numPr>
    </w:pPr>
  </w:style>
  <w:style w:type="paragraph" w:customStyle="1" w:styleId="Numberedtitlelevel3">
    <w:name w:val="Numbered title level 3"/>
    <w:basedOn w:val="Titlelevel3"/>
    <w:next w:val="body"/>
    <w:rsid w:val="008F3908"/>
    <w:pPr>
      <w:numPr>
        <w:ilvl w:val="2"/>
        <w:numId w:val="6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Borders>
        <w:top w:val="single" w:sz="8" w:space="0" w:color="2F5773" w:themeColor="accent1"/>
        <w:bottom w:val="single" w:sz="8" w:space="0" w:color="2F57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rsid w:val="00172007"/>
  </w:style>
  <w:style w:type="paragraph" w:customStyle="1" w:styleId="Numberedtitlelevel4">
    <w:name w:val="Numbered title level 4"/>
    <w:basedOn w:val="Titlelevel4"/>
    <w:rsid w:val="005D400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421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3415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177"/>
    <w:rPr>
      <w:rFonts w:asciiTheme="majorHAnsi" w:eastAsiaTheme="majorEastAsia" w:hAnsiTheme="majorHAnsi" w:cstheme="majorBidi"/>
      <w:color w:val="234156" w:themeColor="accent1" w:themeShade="BF"/>
      <w:spacing w:val="-10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rsid w:val="00172007"/>
    <w:pPr>
      <w:spacing w:before="1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421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42177"/>
    <w:rPr>
      <w:rFonts w:asciiTheme="majorHAnsi" w:eastAsiaTheme="majorEastAsia" w:hAnsiTheme="majorHAnsi" w:cstheme="majorBidi"/>
    </w:rPr>
  </w:style>
  <w:style w:type="character" w:styleId="BookTitle">
    <w:name w:val="Book Title"/>
    <w:basedOn w:val="DefaultParagraphFont"/>
    <w:uiPriority w:val="33"/>
    <w:qFormat/>
    <w:rsid w:val="00F42177"/>
    <w:rPr>
      <w:b/>
      <w:bCs/>
      <w:smallCaps/>
    </w:rPr>
  </w:style>
  <w:style w:type="character" w:customStyle="1" w:styleId="Highlighttext">
    <w:name w:val="Highlight text"/>
    <w:basedOn w:val="DefaultParagraphFont"/>
    <w:uiPriority w:val="1"/>
    <w:semiHidden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rsid w:val="00455E0E"/>
    <w:rPr>
      <w:bCs/>
      <w:lang w:eastAsia="en-GB"/>
    </w:rPr>
  </w:style>
  <w:style w:type="paragraph" w:styleId="ListBullet">
    <w:name w:val="List Bullet"/>
    <w:basedOn w:val="Normal"/>
    <w:semiHidden/>
    <w:rsid w:val="00A304D0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rsid w:val="00E22BCE"/>
    <w:pPr>
      <w:numPr>
        <w:numId w:val="7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customStyle="1" w:styleId="Default">
    <w:name w:val="Default"/>
    <w:rsid w:val="000C7FD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42177"/>
    <w:pPr>
      <w:outlineLvl w:val="9"/>
    </w:pPr>
  </w:style>
  <w:style w:type="character" w:customStyle="1" w:styleId="Marker">
    <w:name w:val="Marker"/>
    <w:rsid w:val="00B43E07"/>
    <w:rPr>
      <w:color w:val="0000FF"/>
      <w:shd w:val="clear" w:color="auto" w:fill="auto"/>
    </w:rPr>
  </w:style>
  <w:style w:type="character" w:customStyle="1" w:styleId="Marker2">
    <w:name w:val="Marker2"/>
    <w:rsid w:val="00B43E07"/>
    <w:rPr>
      <w:color w:val="FF0000"/>
      <w:shd w:val="clear" w:color="auto" w:fill="auto"/>
    </w:rPr>
  </w:style>
  <w:style w:type="paragraph" w:customStyle="1" w:styleId="Annexetitre">
    <w:name w:val="Annexe titre"/>
    <w:basedOn w:val="Normal"/>
    <w:next w:val="Normal"/>
    <w:rsid w:val="00B43E07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Fait"/>
    <w:rsid w:val="00B43E07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idrant">
    <w:name w:val="Considérant"/>
    <w:basedOn w:val="Normal"/>
    <w:rsid w:val="00B43E07"/>
    <w:pPr>
      <w:numPr>
        <w:numId w:val="9"/>
      </w:num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atedadoption">
    <w:name w:val="Date d'adoption"/>
    <w:basedOn w:val="Normal"/>
    <w:next w:val="Titreobjet"/>
    <w:rsid w:val="00B43E07"/>
    <w:pPr>
      <w:spacing w:before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Fait">
    <w:name w:val="Fait à"/>
    <w:basedOn w:val="Normal"/>
    <w:next w:val="Institutionquisigne"/>
    <w:rsid w:val="00B43E07"/>
    <w:pPr>
      <w:keepNext/>
      <w:spacing w:before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Formuledadoption">
    <w:name w:val="Formule d'adoption"/>
    <w:basedOn w:val="Normal"/>
    <w:next w:val="Titrearticle"/>
    <w:rsid w:val="00B43E07"/>
    <w:pPr>
      <w:keepNext/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B43E07"/>
    <w:pPr>
      <w:keepNext/>
      <w:tabs>
        <w:tab w:val="left" w:pos="4252"/>
      </w:tabs>
      <w:spacing w:before="720"/>
      <w:jc w:val="both"/>
    </w:pPr>
    <w:rPr>
      <w:rFonts w:ascii="Times New Roman" w:eastAsia="Times New Roman" w:hAnsi="Times New Roman" w:cs="Times New Roman"/>
      <w:i/>
      <w:sz w:val="24"/>
    </w:rPr>
  </w:style>
  <w:style w:type="paragraph" w:customStyle="1" w:styleId="Personnequisigne">
    <w:name w:val="Personne qui signe"/>
    <w:basedOn w:val="Normal"/>
    <w:next w:val="Institutionquisigne"/>
    <w:rsid w:val="00B43E07"/>
    <w:pPr>
      <w:tabs>
        <w:tab w:val="left" w:pos="4252"/>
      </w:tabs>
    </w:pPr>
    <w:rPr>
      <w:rFonts w:ascii="Times New Roman" w:eastAsia="Times New Roman" w:hAnsi="Times New Roman" w:cs="Times New Roman"/>
      <w:i/>
      <w:sz w:val="24"/>
    </w:rPr>
  </w:style>
  <w:style w:type="paragraph" w:customStyle="1" w:styleId="Titrearticle">
    <w:name w:val="Titre article"/>
    <w:basedOn w:val="Normal"/>
    <w:next w:val="Normal"/>
    <w:rsid w:val="00B43E07"/>
    <w:pPr>
      <w:keepNext/>
      <w:spacing w:before="360" w:after="120"/>
      <w:jc w:val="center"/>
    </w:pPr>
    <w:rPr>
      <w:rFonts w:ascii="Times New Roman" w:eastAsia="Times New Roman" w:hAnsi="Times New Roman" w:cs="Times New Roman"/>
      <w:i/>
      <w:sz w:val="24"/>
    </w:rPr>
  </w:style>
  <w:style w:type="paragraph" w:customStyle="1" w:styleId="Titreobjet">
    <w:name w:val="Titre objet"/>
    <w:basedOn w:val="Normal"/>
    <w:next w:val="Normal"/>
    <w:rsid w:val="00B43E07"/>
    <w:pPr>
      <w:spacing w:before="360" w:after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B43E07"/>
    <w:pPr>
      <w:spacing w:before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Pagedecouverture">
    <w:name w:val="Page de couverture"/>
    <w:basedOn w:val="Normal"/>
    <w:next w:val="Normal"/>
    <w:rsid w:val="00B43E07"/>
    <w:p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agit">
    <w:name w:val="Institution qui agit"/>
    <w:basedOn w:val="Normal"/>
    <w:next w:val="Normal"/>
    <w:rsid w:val="00B43E07"/>
    <w:pPr>
      <w:keepNext/>
      <w:spacing w:before="60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F12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1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9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42177"/>
    <w:pPr>
      <w:spacing w:line="240" w:lineRule="auto"/>
    </w:pPr>
    <w:rPr>
      <w:b/>
      <w:bCs/>
      <w:smallCaps/>
      <w:color w:val="2F5773" w:themeColor="accent1"/>
      <w:spacing w:val="6"/>
    </w:rPr>
  </w:style>
  <w:style w:type="paragraph" w:customStyle="1" w:styleId="Point1letter">
    <w:name w:val="Point 1 (letter)"/>
    <w:basedOn w:val="Normal"/>
    <w:rsid w:val="003956D6"/>
    <w:pPr>
      <w:widowControl w:val="0"/>
      <w:tabs>
        <w:tab w:val="left" w:pos="709"/>
      </w:tabs>
      <w:adjustRightInd w:val="0"/>
      <w:spacing w:before="120" w:after="1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Point2number">
    <w:name w:val="Point 2 (number)"/>
    <w:basedOn w:val="Normal"/>
    <w:rsid w:val="003956D6"/>
    <w:pPr>
      <w:widowControl w:val="0"/>
      <w:adjustRightInd w:val="0"/>
      <w:spacing w:after="240"/>
      <w:ind w:left="1418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M1">
    <w:name w:val="CM1"/>
    <w:basedOn w:val="Default"/>
    <w:next w:val="Default"/>
    <w:uiPriority w:val="99"/>
    <w:rsid w:val="00597146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97146"/>
    <w:rPr>
      <w:rFonts w:ascii="EUAlbertina" w:eastAsiaTheme="minorEastAsia" w:hAnsi="EUAlbertina" w:cstheme="minorBidi"/>
      <w:color w:val="auto"/>
    </w:rPr>
  </w:style>
  <w:style w:type="table" w:customStyle="1" w:styleId="Grilledetableauclaire1">
    <w:name w:val="Grille de tableau claire1"/>
    <w:basedOn w:val="TableNormal"/>
    <w:uiPriority w:val="40"/>
    <w:rsid w:val="00A760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int0number">
    <w:name w:val="Point 0 (number)"/>
    <w:basedOn w:val="Normal"/>
    <w:rsid w:val="00A76095"/>
    <w:pPr>
      <w:spacing w:before="120" w:after="120"/>
      <w:ind w:left="72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1number">
    <w:name w:val="Point 1 (number)"/>
    <w:basedOn w:val="Normal"/>
    <w:rsid w:val="00A76095"/>
    <w:pPr>
      <w:spacing w:before="120" w:after="120"/>
      <w:ind w:left="216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3number">
    <w:name w:val="Point 3 (number)"/>
    <w:basedOn w:val="Normal"/>
    <w:rsid w:val="00A76095"/>
    <w:pPr>
      <w:spacing w:before="120" w:after="120"/>
      <w:ind w:left="5040" w:hanging="360"/>
      <w:jc w:val="both"/>
    </w:pPr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42177"/>
    <w:rPr>
      <w:b/>
      <w:bCs/>
    </w:rPr>
  </w:style>
  <w:style w:type="character" w:styleId="Emphasis">
    <w:name w:val="Emphasis"/>
    <w:basedOn w:val="DefaultParagraphFont"/>
    <w:uiPriority w:val="20"/>
    <w:qFormat/>
    <w:rsid w:val="00F42177"/>
    <w:rPr>
      <w:i/>
      <w:iCs/>
    </w:rPr>
  </w:style>
  <w:style w:type="paragraph" w:styleId="NoSpacing">
    <w:name w:val="No Spacing"/>
    <w:uiPriority w:val="1"/>
    <w:qFormat/>
    <w:rsid w:val="00F421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17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1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7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2F577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77"/>
    <w:rPr>
      <w:rFonts w:asciiTheme="majorHAnsi" w:eastAsiaTheme="majorEastAsia" w:hAnsiTheme="majorHAnsi" w:cstheme="majorBidi"/>
      <w:color w:val="2F5773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421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2177"/>
    <w:rPr>
      <w:b w:val="0"/>
      <w:bCs w:val="0"/>
      <w:i/>
      <w:iCs/>
      <w:color w:val="2F5773" w:themeColor="accent1"/>
    </w:rPr>
  </w:style>
  <w:style w:type="character" w:styleId="SubtleReference">
    <w:name w:val="Subtle Reference"/>
    <w:basedOn w:val="DefaultParagraphFont"/>
    <w:uiPriority w:val="31"/>
    <w:qFormat/>
    <w:rsid w:val="00F421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2177"/>
    <w:rPr>
      <w:b/>
      <w:bCs/>
      <w:smallCaps/>
      <w:color w:val="2F5773" w:themeColor="accent1"/>
      <w:spacing w:val="5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B62DC9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character" w:customStyle="1" w:styleId="FormatvorlageInstructionsTabelleText">
    <w:name w:val="Formatvorlage Instructions Tabelle Text"/>
    <w:uiPriority w:val="99"/>
    <w:qFormat/>
    <w:rsid w:val="00807127"/>
    <w:rPr>
      <w:rFonts w:ascii="Verdana" w:hAnsi="Verdana" w:cs="Times New Roman"/>
      <w:bCs/>
      <w:sz w:val="20"/>
      <w:u w:val="none"/>
    </w:rPr>
  </w:style>
  <w:style w:type="character" w:customStyle="1" w:styleId="InstructionsTextChar">
    <w:name w:val="Instructions Text Char"/>
    <w:link w:val="InstructionsText"/>
    <w:locked/>
    <w:rsid w:val="00B62DC9"/>
    <w:rPr>
      <w:rFonts w:ascii="Times New Roman" w:eastAsia="Times New Roman" w:hAnsi="Times New Roman" w:cs="Times New Roman"/>
      <w:noProof/>
      <w:sz w:val="24"/>
      <w:szCs w:val="24"/>
      <w:lang w:val="pl-PL" w:eastAsia="de-DE"/>
    </w:rPr>
  </w:style>
  <w:style w:type="paragraph" w:styleId="Revision">
    <w:name w:val="Revision"/>
    <w:hidden/>
    <w:uiPriority w:val="99"/>
    <w:semiHidden/>
    <w:rsid w:val="00510C0E"/>
    <w:pPr>
      <w:spacing w:after="0" w:line="240" w:lineRule="auto"/>
    </w:pPr>
  </w:style>
  <w:style w:type="paragraph" w:customStyle="1" w:styleId="Heading">
    <w:name w:val="Heading"/>
    <w:basedOn w:val="Numberedtilelevel1"/>
    <w:link w:val="HeadingChar"/>
    <w:qFormat/>
    <w:rsid w:val="001F4C02"/>
    <w:pPr>
      <w:ind w:left="709" w:hanging="709"/>
    </w:pPr>
    <w:rPr>
      <w:rFonts w:ascii="Times New Roman" w:hAnsi="Times New Roman" w:cs="Times New Roman"/>
      <w:sz w:val="24"/>
      <w:szCs w:val="24"/>
    </w:rPr>
  </w:style>
  <w:style w:type="character" w:customStyle="1" w:styleId="Titlelevel1Char">
    <w:name w:val="Title level 1 Char"/>
    <w:basedOn w:val="DefaultParagraphFont"/>
    <w:link w:val="Titlelevel1"/>
    <w:rsid w:val="00FD17AA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Numberedtilelevel1Char">
    <w:name w:val="Numbered tile level 1 Char"/>
    <w:basedOn w:val="Titlelevel1Char"/>
    <w:link w:val="Numberedtilelevel1"/>
    <w:rsid w:val="00FD17AA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HeadingChar">
    <w:name w:val="Heading Char"/>
    <w:basedOn w:val="Numberedtilelevel1Char"/>
    <w:link w:val="Heading"/>
    <w:rsid w:val="001F4C02"/>
    <w:rPr>
      <w:rFonts w:ascii="Times New Roman" w:eastAsiaTheme="majorEastAsia" w:hAnsi="Times New Roman" w:cs="Times New Roman"/>
      <w:color w:val="2F5773" w:themeColor="text2"/>
      <w:spacing w:val="5"/>
      <w:kern w:val="28"/>
      <w:sz w:val="24"/>
      <w:szCs w:val="24"/>
    </w:rPr>
  </w:style>
  <w:style w:type="paragraph" w:customStyle="1" w:styleId="Instructionsberschrift2">
    <w:name w:val="Instructions Überschrift 2"/>
    <w:basedOn w:val="Heading2"/>
    <w:rsid w:val="0065594A"/>
    <w:pPr>
      <w:keepLines w:val="0"/>
      <w:numPr>
        <w:numId w:val="14"/>
      </w:numPr>
      <w:spacing w:before="240" w:after="240"/>
      <w:jc w:val="both"/>
    </w:pPr>
    <w:rPr>
      <w:rFonts w:ascii="Verdana" w:eastAsia="Arial" w:hAnsi="Verdana" w:cs="Arial"/>
      <w:sz w:val="20"/>
      <w:szCs w:val="24"/>
      <w:u w:val="single"/>
      <w:lang w:eastAsia="x-none"/>
    </w:rPr>
  </w:style>
  <w:style w:type="paragraph" w:customStyle="1" w:styleId="InstructionsText2">
    <w:name w:val="Instructions Text 2"/>
    <w:basedOn w:val="InstructionsText"/>
    <w:qFormat/>
    <w:rsid w:val="0065594A"/>
    <w:pPr>
      <w:spacing w:after="240"/>
    </w:pPr>
  </w:style>
  <w:style w:type="character" w:customStyle="1" w:styleId="InstructionsTabelleberschrift">
    <w:name w:val="Instructions Tabelle Überschrift"/>
    <w:qFormat/>
    <w:rsid w:val="00A47BCD"/>
    <w:rPr>
      <w:rFonts w:ascii="Verdana" w:hAnsi="Verdana" w:cs="Times New Roman"/>
      <w:b/>
      <w:bCs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5F79D-63F7-42D0-8F31-2808AF242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8085</Words>
  <Characters>51752</Characters>
  <Application>Microsoft Office Word</Application>
  <DocSecurity>0</DocSecurity>
  <Lines>1150</Lines>
  <Paragraphs>559</Paragraphs>
  <ScaleCrop>false</ScaleCrop>
  <Company/>
  <LinksUpToDate>false</LinksUpToDate>
  <CharactersWithSpaces>59278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2024-04-05T10:29:00Z</dcterms:created>
  <dcterms:modified xsi:type="dcterms:W3CDTF">2024-05-13T09:30:00Z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2024-03-04T17:54:16Z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91b58fde-dfad-47dc-b1e2-20839b75e6a2</vt:lpwstr>
  </property>
  <property fmtid="{D5CDD505-2E9C-101B-9397-08002B2CF9AE}" pid="8" name="MSIP_Label_6bd9ddd1-4d20-43f6-abfa-fc3c07406f94_ContentBits">
    <vt:lpwstr>0</vt:lpwstr>
  </property>
</Properties>
</file>