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038" w14:textId="40D10931" w:rsidR="00676354" w:rsidRPr="0001617D" w:rsidRDefault="00676354" w:rsidP="0099485B">
      <w:pPr>
        <w:jc w:val="center"/>
        <w:rPr>
          <w:rFonts w:ascii="Times New Roman" w:hAnsi="Times New Roman"/>
          <w:b/>
          <w:sz w:val="24"/>
          <w:u w:val="single"/>
        </w:rPr>
      </w:pPr>
      <w:bookmarkStart w:id="0" w:name="_Toc298787969"/>
      <w:bookmarkStart w:id="1" w:name="_Toc298788158"/>
      <w:bookmarkStart w:id="2" w:name="_Toc298788641"/>
      <w:bookmarkStart w:id="3" w:name="_Toc305686691"/>
      <w:bookmarkStart w:id="4" w:name="_Toc306350093"/>
      <w:bookmarkStart w:id="5" w:name="_Toc306350113"/>
      <w:bookmarkStart w:id="6" w:name="_Toc331517265"/>
      <w:bookmarkStart w:id="7" w:name="_Toc245891774"/>
      <w:bookmarkStart w:id="8" w:name="_Toc238803087"/>
      <w:bookmarkStart w:id="9" w:name="_Toc238803888"/>
      <w:r>
        <w:rPr>
          <w:rFonts w:ascii="Times New Roman" w:hAnsi="Times New Roman"/>
          <w:b/>
          <w:sz w:val="24"/>
          <w:u w:val="single"/>
        </w:rPr>
        <w:t>MT</w:t>
      </w:r>
    </w:p>
    <w:p w14:paraId="39DA4C9C" w14:textId="5F2E6493" w:rsidR="00385DE1" w:rsidRPr="0001617D" w:rsidRDefault="00385DE1" w:rsidP="0099485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ANNESS IV</w:t>
      </w:r>
    </w:p>
    <w:p w14:paraId="66B07866" w14:textId="77777777" w:rsidR="00385DE1" w:rsidRPr="0001617D" w:rsidRDefault="00385DE1" w:rsidP="0099485B">
      <w:pPr>
        <w:jc w:val="center"/>
        <w:rPr>
          <w:rFonts w:ascii="Times New Roman" w:hAnsi="Times New Roman"/>
          <w:b/>
          <w:sz w:val="24"/>
          <w:lang w:val="en-IE"/>
        </w:rPr>
      </w:pPr>
    </w:p>
    <w:p w14:paraId="1D3B5C40" w14:textId="50B78FAF" w:rsidR="0001617D" w:rsidRPr="0001617D" w:rsidRDefault="0001617D" w:rsidP="000161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DIVULGAZZJONI DWAR IR-REKWIŻIT MINIMU GĦALL-FONDI PROPRJI U L-OBBLIGAZZJONIJIET ELIĠIBBLI - STRUZZJONIJIET</w:t>
      </w:r>
    </w:p>
    <w:p w14:paraId="7E4782B7" w14:textId="77777777" w:rsidR="00940030" w:rsidRPr="0008623B" w:rsidRDefault="00940030" w:rsidP="00940030">
      <w:pPr>
        <w:rPr>
          <w:lang w:val="en-GB"/>
        </w:rPr>
      </w:pPr>
    </w:p>
    <w:p w14:paraId="6E12AAF5" w14:textId="3E457CEA" w:rsidR="00940030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1.</w:t>
      </w:r>
      <w:r>
        <w:rPr>
          <w:rFonts w:ascii="Times New Roman" w:hAnsi="Times New Roman"/>
          <w:color w:val="auto"/>
          <w:sz w:val="24"/>
        </w:rPr>
        <w:tab/>
        <w:t>Struzzjonijiet ġenerali: Struttura u konvenzjonijiet</w:t>
      </w:r>
    </w:p>
    <w:p w14:paraId="6CFEBC53" w14:textId="59A6818A" w:rsidR="0065594A" w:rsidRPr="0008623B" w:rsidRDefault="0065594A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792" w:hanging="432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0" w:name="_Toc360188319"/>
      <w:bookmarkStart w:id="11" w:name="_Toc473560867"/>
      <w:bookmarkStart w:id="12" w:name="_Toc15294522"/>
      <w:bookmarkStart w:id="13" w:name="_Toc264038399"/>
      <w:bookmarkStart w:id="14" w:name="_Toc294018834"/>
      <w:r>
        <w:rPr>
          <w:rFonts w:ascii="Times New Roman" w:hAnsi="Times New Roman"/>
          <w:color w:val="auto"/>
          <w:sz w:val="24"/>
        </w:rPr>
        <w:t>1.1</w:t>
      </w:r>
      <w:r>
        <w:rPr>
          <w:rFonts w:ascii="Times New Roman" w:hAnsi="Times New Roman"/>
          <w:color w:val="auto"/>
          <w:sz w:val="24"/>
        </w:rPr>
        <w:tab/>
        <w:t>Struttura</w:t>
      </w:r>
      <w:bookmarkEnd w:id="10"/>
      <w:bookmarkEnd w:id="11"/>
      <w:bookmarkEnd w:id="12"/>
    </w:p>
    <w:p w14:paraId="038BA668" w14:textId="1D5FE25B" w:rsidR="0065594A" w:rsidRPr="0008623B" w:rsidRDefault="0065594A" w:rsidP="00B62DC9">
      <w:pPr>
        <w:pStyle w:val="InstructionsText2"/>
        <w:numPr>
          <w:ilvl w:val="0"/>
          <w:numId w:val="12"/>
        </w:numPr>
      </w:pPr>
      <w:r>
        <w:t>Dan il-qafas għal divulgazzjonijiet dwar l-MREL u t-TLAC jikkonsisti fi tliet gruppi ta’ mudelli:</w:t>
      </w:r>
    </w:p>
    <w:p w14:paraId="160EDC16" w14:textId="77777777" w:rsidR="00AB77FD" w:rsidRPr="0008623B" w:rsidRDefault="00AB77FD" w:rsidP="00B62DC9">
      <w:pPr>
        <w:pStyle w:val="InstructionsText2"/>
        <w:numPr>
          <w:ilvl w:val="1"/>
          <w:numId w:val="15"/>
        </w:numPr>
      </w:pPr>
      <w:r>
        <w:t>MREL u TLAC ta’ gruppi ta’ riżoluzzjoni u entitajiet ta’ riżoluzzjoni;</w:t>
      </w:r>
    </w:p>
    <w:p w14:paraId="531DF249" w14:textId="0719D053" w:rsidR="00AB77FD" w:rsidRPr="0008623B" w:rsidRDefault="00AB77FD" w:rsidP="00B62DC9">
      <w:pPr>
        <w:pStyle w:val="InstructionsText2"/>
        <w:numPr>
          <w:ilvl w:val="1"/>
          <w:numId w:val="15"/>
        </w:numPr>
      </w:pPr>
      <w:r>
        <w:t>MREL u TLAC ta’ entitajiet mhux ta’ riżoluzzjoni u sussidjarji materjali ta’ istituzzjonijiet globali sistemikament importanti mhux tal-UE (G-SIIs);</w:t>
      </w:r>
    </w:p>
    <w:p w14:paraId="3EE4CEDD" w14:textId="5B2484DA" w:rsidR="00AB77FD" w:rsidRPr="0008623B" w:rsidRDefault="00AB77FD" w:rsidP="00B62DC9">
      <w:pPr>
        <w:pStyle w:val="InstructionsText2"/>
        <w:numPr>
          <w:ilvl w:val="1"/>
          <w:numId w:val="15"/>
        </w:numPr>
      </w:pPr>
      <w:r>
        <w:t>klassifikazzjoni tal-kredituri tal-entitajiet emittenti;</w:t>
      </w:r>
    </w:p>
    <w:p w14:paraId="1ED5F5C4" w14:textId="551A7AA0" w:rsidR="0065594A" w:rsidRPr="0008623B" w:rsidRDefault="0065594A" w:rsidP="00B62DC9">
      <w:pPr>
        <w:pStyle w:val="InstructionsText2"/>
        <w:numPr>
          <w:ilvl w:val="0"/>
          <w:numId w:val="12"/>
        </w:numPr>
      </w:pPr>
      <w:r>
        <w:t>Għal kull formola huma pprovduti referenzi legali. Aktar informazzjoni dettaljata rigward aspetti aktar ġenerali tar-rapportar ta’ kull sett ta’ mudelli u struzzjonijiet li jikkonċernaw pożizzjonijiet speċifiċi hija inkluża f’dan l-Anness.</w:t>
      </w:r>
    </w:p>
    <w:p w14:paraId="13B7702A" w14:textId="70815289" w:rsidR="0065594A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792" w:hanging="432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5" w:name="_Toc360188320"/>
      <w:bookmarkStart w:id="16" w:name="_Toc473560868"/>
      <w:bookmarkStart w:id="17" w:name="_Toc15294523"/>
      <w:r>
        <w:rPr>
          <w:rFonts w:ascii="Times New Roman" w:hAnsi="Times New Roman"/>
          <w:color w:val="auto"/>
          <w:sz w:val="24"/>
        </w:rPr>
        <w:t>1.</w:t>
      </w:r>
      <w:bookmarkStart w:id="18" w:name="_Toc15294525"/>
      <w:bookmarkEnd w:id="13"/>
      <w:bookmarkEnd w:id="14"/>
      <w:bookmarkEnd w:id="15"/>
      <w:bookmarkEnd w:id="16"/>
      <w:bookmarkEnd w:id="17"/>
      <w:r>
        <w:rPr>
          <w:rFonts w:ascii="Times New Roman" w:hAnsi="Times New Roman"/>
          <w:color w:val="auto"/>
          <w:sz w:val="24"/>
        </w:rPr>
        <w:t>2</w:t>
      </w:r>
      <w:r>
        <w:rPr>
          <w:rFonts w:ascii="Times New Roman" w:hAnsi="Times New Roman"/>
          <w:color w:val="auto"/>
          <w:sz w:val="24"/>
        </w:rPr>
        <w:tab/>
        <w:t>Abbrevjazzjonijiet</w:t>
      </w:r>
      <w:bookmarkEnd w:id="18"/>
    </w:p>
    <w:p w14:paraId="7F56C9B4" w14:textId="1EA8178A" w:rsidR="0065594A" w:rsidRPr="0008623B" w:rsidRDefault="0065594A" w:rsidP="00B62DC9">
      <w:pPr>
        <w:pStyle w:val="InstructionsText2"/>
        <w:numPr>
          <w:ilvl w:val="0"/>
          <w:numId w:val="12"/>
        </w:numPr>
      </w:pPr>
      <w:r>
        <w:t>Għall-finijiet tal-Annessi għal dan ir-Regolament japplikaw it-taqsiriet li ġejjin:</w:t>
      </w:r>
    </w:p>
    <w:p w14:paraId="7AA24AF3" w14:textId="4E2F4B2C" w:rsidR="0065594A" w:rsidRPr="0008623B" w:rsidRDefault="00B96861" w:rsidP="00B62DC9">
      <w:pPr>
        <w:pStyle w:val="InstructionsText2"/>
        <w:numPr>
          <w:ilvl w:val="0"/>
          <w:numId w:val="31"/>
        </w:numPr>
      </w:pPr>
      <w:r>
        <w:t xml:space="preserve"> “MREL” jirreferi għar-rekwiżit minimu għal fondi proprji u obbligazzjonijiet eliġibbli skont l-Artikolu 45 tad-Direttiva 2014/59/UE;</w:t>
      </w:r>
    </w:p>
    <w:p w14:paraId="3F223F84" w14:textId="14E43992" w:rsidR="0065594A" w:rsidRPr="0008623B" w:rsidRDefault="0065594A" w:rsidP="00B62DC9">
      <w:pPr>
        <w:pStyle w:val="InstructionsText2"/>
        <w:numPr>
          <w:ilvl w:val="0"/>
          <w:numId w:val="31"/>
        </w:numPr>
      </w:pPr>
      <w:r>
        <w:t>“TLAC” tirreferi għar-rekwiżit għal fondi proprji u obbligazzjonijiet eliġibbli għal G-SIIs skont l-Artikolu 92a tar-Regolament (UE) Nru 575/2013;</w:t>
      </w:r>
    </w:p>
    <w:p w14:paraId="1FEB92E2" w14:textId="1715F9BB" w:rsidR="0065594A" w:rsidRPr="0008623B" w:rsidRDefault="0065594A" w:rsidP="00B62DC9">
      <w:pPr>
        <w:pStyle w:val="InstructionsText2"/>
        <w:numPr>
          <w:ilvl w:val="0"/>
          <w:numId w:val="31"/>
        </w:numPr>
      </w:pPr>
      <w:r>
        <w:t>“TLAC interna” tirreferi għar-rekwiżit għal fondi proprji u obbligazzjonijiet eliġibbli għal G-SIIs mhux tal-UE skont l-Artikolu 92b tar-Regolament (UE) Nru 575/2013;</w:t>
      </w:r>
    </w:p>
    <w:p w14:paraId="41F598D3" w14:textId="411A41F7" w:rsidR="0097126E" w:rsidRPr="0008623B" w:rsidRDefault="0097126E" w:rsidP="0073688E">
      <w:pPr>
        <w:pStyle w:val="ListParagraph"/>
        <w:numPr>
          <w:ilvl w:val="0"/>
          <w:numId w:val="31"/>
        </w:numPr>
      </w:pPr>
      <w:r>
        <w:rPr>
          <w:rFonts w:ascii="Times New Roman" w:hAnsi="Times New Roman"/>
          <w:sz w:val="24"/>
        </w:rPr>
        <w:t xml:space="preserve">“MREL intern” jirreferi għall-MREL applikat għal entitajiet li huma stess mhumiex entitajiet ta’ riżoluzzjoni skont l-Artikolu 45f tad-Direttiva 2014/59/UE. </w:t>
      </w:r>
    </w:p>
    <w:p w14:paraId="0BC0B9FF" w14:textId="6844CE8C" w:rsidR="00B43E07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9" w:name="_Toc264033192"/>
      <w:bookmarkEnd w:id="19"/>
      <w:r>
        <w:rPr>
          <w:rFonts w:ascii="Times New Roman" w:hAnsi="Times New Roman"/>
          <w:color w:val="auto"/>
          <w:sz w:val="24"/>
        </w:rPr>
        <w:lastRenderedPageBreak/>
        <w:t>2.</w:t>
      </w:r>
      <w:r>
        <w:rPr>
          <w:rFonts w:ascii="Times New Roman" w:hAnsi="Times New Roman"/>
          <w:color w:val="auto"/>
          <w:sz w:val="24"/>
        </w:rPr>
        <w:tab/>
      </w:r>
      <w:bookmarkStart w:id="20" w:name="_Toc45266923"/>
      <w:bookmarkStart w:id="21" w:name="_Toc45266924"/>
      <w:bookmarkStart w:id="22" w:name="_Toc45266925"/>
      <w:bookmarkStart w:id="23" w:name="_Toc14770635"/>
      <w:bookmarkStart w:id="24" w:name="_Toc45266926"/>
      <w:bookmarkEnd w:id="20"/>
      <w:bookmarkEnd w:id="21"/>
      <w:bookmarkEnd w:id="22"/>
      <w:r>
        <w:rPr>
          <w:rFonts w:ascii="Times New Roman" w:hAnsi="Times New Roman"/>
          <w:color w:val="auto"/>
          <w:sz w:val="24"/>
        </w:rPr>
        <w:t>EU KM2: Metriċi ewlenin - MREL u, fejn applikabbli, ir-rekwiżit tal-G-SII għall-fondi proprji u l-obbligazzjonijiet eliġibbli</w:t>
      </w:r>
      <w:bookmarkEnd w:id="23"/>
      <w:bookmarkEnd w:id="24"/>
    </w:p>
    <w:p w14:paraId="7C25FB3D" w14:textId="5B7ACB83" w:rsidR="001D5361" w:rsidRPr="0008623B" w:rsidRDefault="00CB1021" w:rsidP="00B62DC9">
      <w:pPr>
        <w:pStyle w:val="InstructionsText2"/>
        <w:numPr>
          <w:ilvl w:val="0"/>
          <w:numId w:val="12"/>
        </w:numPr>
      </w:pPr>
      <w:r>
        <w:t>L-entitajiet għandhom jispjegaw fin-narrattiva li takkumpanja l-mudell kwalunkwe differenza materjali bejn l-ammonti ta’ fondi proprji divulgati u l-ammont mgħobbi kompletament tal-IFRS 9 fil-livell tal-grupp ta’ riżoluzzjoni. Huma għandhom jispjegaw ukoll kwalunkwe differenza materjali bejn l-ammont mgħobbi kompletament tal-IFRS 9 fil-livell tal-grupp ta’ riżoluzzjoni meta mqabbel mal-ammont mgħobbi kompletament tal-IFRS 9 fil-livell tal-grupp prudenzjali.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026FC1" w:rsidRPr="0008623B" w14:paraId="534A9C03" w14:textId="77777777" w:rsidTr="00915305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44B24714" w14:textId="77777777" w:rsidR="006D4640" w:rsidRPr="0008623B" w:rsidRDefault="006D4640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Kolonni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065DB08C" w14:textId="663D1380" w:rsidR="006D4640" w:rsidRPr="0008623B" w:rsidRDefault="00E46262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BB516B" w:rsidRPr="0008623B" w14:paraId="5E930C2C" w14:textId="77777777" w:rsidTr="00807127">
        <w:trPr>
          <w:trHeight w:val="637"/>
        </w:trPr>
        <w:tc>
          <w:tcPr>
            <w:tcW w:w="1384" w:type="dxa"/>
          </w:tcPr>
          <w:p w14:paraId="3149647C" w14:textId="54230E4A" w:rsidR="00BB516B" w:rsidRPr="0008623B" w:rsidDel="00DE6BC1" w:rsidRDefault="00BB516B" w:rsidP="003F5FDC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67A0C6A1" w14:textId="614E3ECA" w:rsidR="00BB516B" w:rsidRPr="0008623B" w:rsidRDefault="008C2E99" w:rsidP="0080712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L-entitajiet għandhom jiddivulgaw f’din il-kolonna l-informazzjoni rilevanti dwar l-MREL f’konformità mal-Artikoli 45 u 45e tad-Direttiva 2014/59/UE.</w:t>
            </w:r>
          </w:p>
          <w:p w14:paraId="430CD6A3" w14:textId="4273F292" w:rsidR="00BB516B" w:rsidRPr="0008623B" w:rsidRDefault="008C2E99" w:rsidP="008C2E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L-entitajiet għandhom jiddivulgaw il-valur fi tmiem il-perjodu tad-divulgazzjoni.</w:t>
            </w:r>
          </w:p>
        </w:tc>
      </w:tr>
      <w:tr w:rsidR="00DE6BC1" w:rsidRPr="0008623B" w14:paraId="7B5301DE" w14:textId="77777777" w:rsidTr="00915305">
        <w:trPr>
          <w:trHeight w:val="637"/>
        </w:trPr>
        <w:tc>
          <w:tcPr>
            <w:tcW w:w="1384" w:type="dxa"/>
          </w:tcPr>
          <w:p w14:paraId="6F6942E8" w14:textId="11CBC8E4" w:rsidR="00DE6BC1" w:rsidRPr="0008623B" w:rsidDel="00DE6BC1" w:rsidRDefault="00B96861" w:rsidP="00BB516B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b sa f</w:t>
            </w:r>
          </w:p>
        </w:tc>
        <w:tc>
          <w:tcPr>
            <w:tcW w:w="7655" w:type="dxa"/>
          </w:tcPr>
          <w:p w14:paraId="330BD29E" w14:textId="441C1E3B" w:rsidR="00DE6BC1" w:rsidRPr="0008623B" w:rsidRDefault="008C2E99" w:rsidP="00DE6BC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L-entitajiet li huma G-SIIs soġġetti għar-rekwiżit tat-TLAC skont l-Artikolu 92a tar-Regolament (UE) Nru 575/2013 għandhom jiddivulgaw f’dawn il-kolonni l-informazzjoni rilevanti dwar dak ir-rekwiżit. </w:t>
            </w:r>
          </w:p>
          <w:p w14:paraId="34389FB0" w14:textId="7C26C455" w:rsidR="00DE6BC1" w:rsidRPr="0008623B" w:rsidRDefault="00DE6BC1" w:rsidP="00401ED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Il-perjodi ta’ divulgazzjoni T, T-1, T-2, T-3 u T-4 huma perjodi trimestrali. L-entitajiet għandhom jiddivulgaw id-dati li jikkorrispondu għall-perjodi ta’ divulgazzjoni. L-entitajiet li jiddivulgaw din l-informazzjoni fuq bażi trimestrali għandhom jipprovdu d-data għall-perjodi T, T-1, T-2, T-3 u T-4; l-entitajiet li jiddivulgaw din l-informazzjoni fuq bażi semi-annwali għandhom jipprovdu d-data għall-perjodi T, T-2 u T-4; u l-entitajiet li jiddivulgaw din l-informazzjoni fuq bażi annwali għandhom jipprovdu d-data għall-perjodi T u T-4</w:t>
            </w:r>
          </w:p>
        </w:tc>
      </w:tr>
    </w:tbl>
    <w:p w14:paraId="33309394" w14:textId="77777777" w:rsidR="009C13C2" w:rsidRPr="00E912A5" w:rsidRDefault="009C13C2" w:rsidP="006D4640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026FC1" w:rsidRPr="0008623B" w14:paraId="65A77E60" w14:textId="77777777" w:rsidTr="00915305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2C46BBB5" w14:textId="77777777" w:rsidR="006D4640" w:rsidRPr="0008623B" w:rsidRDefault="006D4640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Ringieli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09BD783" w14:textId="35573839" w:rsidR="006D4640" w:rsidRPr="0008623B" w:rsidRDefault="00E46262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DF735F" w:rsidRPr="0008623B" w14:paraId="3E6E8E5C" w14:textId="77777777" w:rsidTr="005D18F8">
        <w:trPr>
          <w:trHeight w:val="1014"/>
        </w:trPr>
        <w:tc>
          <w:tcPr>
            <w:tcW w:w="1384" w:type="dxa"/>
          </w:tcPr>
          <w:p w14:paraId="2671D250" w14:textId="2BE97FB7" w:rsidR="00DF735F" w:rsidRPr="0008623B" w:rsidRDefault="00150101" w:rsidP="005D18F8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655" w:type="dxa"/>
          </w:tcPr>
          <w:p w14:paraId="779E1D4D" w14:textId="3D6D105C" w:rsidR="00DF735F" w:rsidRPr="0008623B" w:rsidRDefault="00DF735F" w:rsidP="005D18F8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Fondi proprji u obbligazzjonijiet eliġibbli</w:t>
            </w:r>
          </w:p>
          <w:p w14:paraId="0A140E20" w14:textId="2DF06A7B" w:rsidR="00DF735F" w:rsidRPr="0008623B" w:rsidRDefault="00DF735F" w:rsidP="00812B3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Daqs il-valuri divulgati fir-ringiela 22 tal-mudell tad-divulgazzjoni EU TLAC1.</w:t>
            </w:r>
          </w:p>
        </w:tc>
      </w:tr>
      <w:tr w:rsidR="00962389" w:rsidRPr="0008623B" w14:paraId="3461B86E" w14:textId="77777777" w:rsidTr="00915305">
        <w:trPr>
          <w:trHeight w:val="1014"/>
        </w:trPr>
        <w:tc>
          <w:tcPr>
            <w:tcW w:w="1384" w:type="dxa"/>
          </w:tcPr>
          <w:p w14:paraId="47F71FA9" w14:textId="52988882" w:rsidR="00962389" w:rsidRPr="0008623B" w:rsidDel="00150101" w:rsidRDefault="00962389" w:rsidP="005B765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EU-1a</w:t>
            </w:r>
          </w:p>
        </w:tc>
        <w:tc>
          <w:tcPr>
            <w:tcW w:w="7655" w:type="dxa"/>
          </w:tcPr>
          <w:p w14:paraId="3D396CEE" w14:textId="278C4C7F" w:rsidR="00962389" w:rsidRPr="0008623B" w:rsidRDefault="00962389" w:rsidP="009623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- Li minnhom fondi proprji u obbligazzjonijiet subordinati</w:t>
            </w:r>
          </w:p>
          <w:p w14:paraId="729B564A" w14:textId="00537292" w:rsidR="00AF2AB2" w:rsidRPr="0008623B" w:rsidRDefault="00AF2AB2" w:rsidP="009623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Daqs il-valur divulgat fir-ringiela EU-22a tal-mudell tad-divulgazzjoni EU TLAC1.</w:t>
            </w:r>
          </w:p>
          <w:p w14:paraId="6E8661C5" w14:textId="06556E77" w:rsidR="00AF2AB2" w:rsidRPr="0008623B" w:rsidRDefault="00AF2AB2" w:rsidP="00B968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Fondi proprji, obbligazzjonijiet eliġibbli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inklużi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fl-ammont ta’ fondi proprji u obbligazzjonijiet eliġibbli skont l-Artikolu 45b tad-Direttiva 2014/59/UE, li huma strumenti eliġibbli subordinati kif definiti Fl-Artikolu 2(1), il-punt (71b) ta’ dik id-Direttiva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u obbligazzjonijiet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inklużi fl-ammont ta’ fondi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proprji u obbligazzjonijiet eliġibbli skont l-Artikolu 45b(3) tad-Direttiva 2014/59/UE. Fil-każ ta’ strumenti rregolati mil-liġi ta’ pajjiż terz, l-istrument għandu jiġi inkluż biss f’din ir-ringiela jekk jissodisfa r-rekwiżiti stipulati fl-Artikolu 55 tad-Direttiva 2014/59/UE.</w:t>
            </w:r>
          </w:p>
        </w:tc>
      </w:tr>
      <w:tr w:rsidR="00026FC1" w:rsidRPr="0008623B" w14:paraId="7087FBBE" w14:textId="77777777" w:rsidTr="00915305">
        <w:trPr>
          <w:trHeight w:val="1014"/>
        </w:trPr>
        <w:tc>
          <w:tcPr>
            <w:tcW w:w="1384" w:type="dxa"/>
          </w:tcPr>
          <w:p w14:paraId="65A81525" w14:textId="01438D1E" w:rsidR="006D4640" w:rsidRPr="0008623B" w:rsidRDefault="00150101" w:rsidP="00915305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7655" w:type="dxa"/>
          </w:tcPr>
          <w:p w14:paraId="7C401856" w14:textId="7B8EEDE3" w:rsidR="006D4640" w:rsidRPr="0008623B" w:rsidRDefault="006D4640" w:rsidP="009153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L-ammont totali tal-iskopertura għar-riskju (TREA) tal-grupp ta’ riżoluzzjoni </w:t>
            </w:r>
          </w:p>
          <w:p w14:paraId="147C8558" w14:textId="2D445D5F" w:rsidR="006D4640" w:rsidRPr="0008623B" w:rsidRDefault="006D4640" w:rsidP="009369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Daqs il-valur divulgat fir-ringiela 23 tal-mudell tad-divulgazzjoni EU TLAC1.</w:t>
            </w:r>
          </w:p>
          <w:p w14:paraId="10BE5322" w14:textId="167B6DDA" w:rsidR="00705FB0" w:rsidRPr="0008623B" w:rsidRDefault="003D0BF6" w:rsidP="00FB02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45(2), il-punt (a), tad-Direttiva 2014/59/UE, l-Artikolu 92(3) tar-Regolament (UE) Nru 575/2013.</w:t>
            </w:r>
          </w:p>
        </w:tc>
      </w:tr>
      <w:tr w:rsidR="00DF735F" w:rsidRPr="0008623B" w14:paraId="36D02255" w14:textId="77777777" w:rsidTr="005D18F8">
        <w:trPr>
          <w:trHeight w:val="316"/>
        </w:trPr>
        <w:tc>
          <w:tcPr>
            <w:tcW w:w="1384" w:type="dxa"/>
          </w:tcPr>
          <w:p w14:paraId="24FC7113" w14:textId="5D3DECAC" w:rsidR="00DF735F" w:rsidRPr="0008623B" w:rsidRDefault="00150101" w:rsidP="005D18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655" w:type="dxa"/>
          </w:tcPr>
          <w:p w14:paraId="038AB6D4" w14:textId="14BCE5D0" w:rsidR="00DF735F" w:rsidRPr="0008623B" w:rsidRDefault="00DF735F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bħala persentaġġ tat-TREA</w:t>
            </w:r>
          </w:p>
          <w:p w14:paraId="7B949D15" w14:textId="2BA6D31F" w:rsidR="00DF735F" w:rsidRPr="0008623B" w:rsidRDefault="00DF735F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Daqs il-valuri divulgati fir-ringiela 25 tal-mudell tad-divulgazzjoni EU TLAC1. </w:t>
            </w:r>
          </w:p>
          <w:p w14:paraId="0F5B2611" w14:textId="00BEB708" w:rsidR="00DF735F" w:rsidRPr="0008623B" w:rsidRDefault="00705FB0" w:rsidP="00DE7C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Għall-finijiet ta’ din ir-ringiela, l-ammont ta’ fondi proprji u obbligazzjonijiet eliġibbli li huwa divulgat fir-ringiela 1 għandu jiġi espress bħala persentaġġ tal-ammont totali tal-iskopertura għar-riskju kkalkolat f’konformità mal-Artikolu 92(3) tar-Regolament (UE) Nru 575/2013.</w:t>
            </w:r>
          </w:p>
        </w:tc>
      </w:tr>
      <w:tr w:rsidR="00000DE2" w:rsidRPr="0008623B" w14:paraId="57CCD1AB" w14:textId="77777777" w:rsidTr="00915305">
        <w:trPr>
          <w:trHeight w:val="1014"/>
        </w:trPr>
        <w:tc>
          <w:tcPr>
            <w:tcW w:w="1384" w:type="dxa"/>
          </w:tcPr>
          <w:p w14:paraId="3F2D9068" w14:textId="39D72622" w:rsidR="00000DE2" w:rsidRPr="0008623B" w:rsidDel="00150101" w:rsidRDefault="00000DE2" w:rsidP="00DB779A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EU-3 a</w:t>
            </w:r>
          </w:p>
        </w:tc>
        <w:tc>
          <w:tcPr>
            <w:tcW w:w="7655" w:type="dxa"/>
          </w:tcPr>
          <w:p w14:paraId="44E29BD6" w14:textId="2EF98522" w:rsidR="00000DE2" w:rsidRPr="0008623B" w:rsidRDefault="00000DE2" w:rsidP="00000D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bħala persentaġġ tat-TREA - Li minnhom fondi proprji u obbligazzjonijiet subordinati</w:t>
            </w:r>
          </w:p>
          <w:p w14:paraId="6CBFF6B4" w14:textId="23321C0B" w:rsidR="00000DE2" w:rsidRPr="0008623B" w:rsidRDefault="00000DE2" w:rsidP="00000D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Daqs il-valur divulgat fir-ringiela EU-25a tal-mudell tad-divulgazzjoni EU TLAC1.</w:t>
            </w:r>
          </w:p>
          <w:p w14:paraId="5209AA08" w14:textId="5CE53966" w:rsidR="00000DE2" w:rsidRPr="0008623B" w:rsidRDefault="00705FB0" w:rsidP="00AA4A01">
            <w:pPr>
              <w:pStyle w:val="Institutionquisigne"/>
              <w:spacing w:before="100" w:beforeAutospacing="1"/>
              <w:rPr>
                <w:b/>
                <w:i w:val="0"/>
                <w:color w:val="000000" w:themeColor="text1"/>
                <w:szCs w:val="24"/>
              </w:rPr>
            </w:pPr>
            <w:r>
              <w:rPr>
                <w:i w:val="0"/>
                <w:color w:val="000000" w:themeColor="text1"/>
              </w:rPr>
              <w:t>Għall-finijiet ta’ din ir-ringiela, l-ammont ta’ fondi proprji u obbligazzjonijiet eliġibbli subordinati li huwa ppreżentat fir-ringiela EU-1a għandu jiġi espress bħala persentaġġ tal-ammont totali tal-iskopertura għar-riskju kkalkolat f’konformità mal-Artikolu 92(3) tar-Regolament (UE) Nru 575/2013.</w:t>
            </w:r>
          </w:p>
        </w:tc>
      </w:tr>
      <w:tr w:rsidR="00026FC1" w:rsidRPr="0008623B" w14:paraId="598F6093" w14:textId="77777777" w:rsidTr="00915305">
        <w:trPr>
          <w:trHeight w:val="1014"/>
        </w:trPr>
        <w:tc>
          <w:tcPr>
            <w:tcW w:w="1384" w:type="dxa"/>
          </w:tcPr>
          <w:p w14:paraId="2BD1914D" w14:textId="668E84BB" w:rsidR="00150101" w:rsidRPr="0008623B" w:rsidRDefault="00150101" w:rsidP="00150101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655" w:type="dxa"/>
          </w:tcPr>
          <w:p w14:paraId="21BFF265" w14:textId="5070F7DC" w:rsidR="006D4640" w:rsidRPr="0008623B" w:rsidRDefault="00B409EF" w:rsidP="009153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Il-kejl tal-iskopertura totali (total exposure measure, “TEM”) tal-grupp ta’ riżoluzzjoni</w:t>
            </w:r>
          </w:p>
          <w:p w14:paraId="252377B7" w14:textId="103F2793" w:rsidR="006D4640" w:rsidRPr="0008623B" w:rsidRDefault="006D4640" w:rsidP="0093695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Daqs il-valur divulgat fir-ringiela 24 tal-mudell tad-divulgazzjoni EU TLAC1.</w:t>
            </w:r>
          </w:p>
          <w:p w14:paraId="5BC2C1BD" w14:textId="4F7E9896" w:rsidR="00705FB0" w:rsidRPr="0008623B" w:rsidRDefault="003D0BF6" w:rsidP="00FB021F">
            <w:pPr>
              <w:pStyle w:val="Fait"/>
            </w:pPr>
            <w:r>
              <w:t>L-Artikolu 45(2), il-punt (b), tad-Direttiva 2014/59/UE, l-Artikolu 429(4) u l-Artikolu 429a tar-Regolament (UE) Nru 575/2013.</w:t>
            </w:r>
          </w:p>
        </w:tc>
      </w:tr>
      <w:tr w:rsidR="00150101" w:rsidRPr="0008623B" w14:paraId="338EAA8B" w14:textId="77777777" w:rsidTr="005D18F8">
        <w:trPr>
          <w:trHeight w:val="316"/>
        </w:trPr>
        <w:tc>
          <w:tcPr>
            <w:tcW w:w="1384" w:type="dxa"/>
          </w:tcPr>
          <w:p w14:paraId="22D80E63" w14:textId="3B307FF1" w:rsidR="00150101" w:rsidRPr="0008623B" w:rsidRDefault="00150101" w:rsidP="005D18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655" w:type="dxa"/>
          </w:tcPr>
          <w:p w14:paraId="55ACA309" w14:textId="5203CF48" w:rsidR="00150101" w:rsidRPr="0008623B" w:rsidRDefault="00150101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bħala persentaġġ tat-TEM</w:t>
            </w:r>
          </w:p>
          <w:p w14:paraId="5AF77D83" w14:textId="1205FA3D" w:rsidR="00150101" w:rsidRPr="0008623B" w:rsidRDefault="00150101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Daqs il-valur divulgat fir-ringiela 26 tal-mudell tad-divulgazzjoni EU TLAC1.</w:t>
            </w:r>
          </w:p>
          <w:p w14:paraId="63970459" w14:textId="46B09F83" w:rsidR="00150101" w:rsidRPr="0008623B" w:rsidRDefault="00705FB0" w:rsidP="00FB02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Għall-finijiet ta’ din ir-ringiela, l-ammont ta’ fondi proprji u obbligazzjonijiet eliġibbli li huwa ppreżentat fir-ringiela 1 għandu jiġi espress bħala persentaġġ tal-kejl tal-iskopertura totali kkalkolat f’konformità mal-Artikolu 429(4) u l-Artikolu 429a tar-Regolament (UE) Nru 575/2013.</w:t>
            </w:r>
          </w:p>
        </w:tc>
      </w:tr>
      <w:tr w:rsidR="0037295D" w:rsidRPr="0008623B" w14:paraId="0D9B4EED" w14:textId="77777777" w:rsidTr="00807127">
        <w:trPr>
          <w:trHeight w:val="1014"/>
        </w:trPr>
        <w:tc>
          <w:tcPr>
            <w:tcW w:w="1384" w:type="dxa"/>
          </w:tcPr>
          <w:p w14:paraId="59748E19" w14:textId="219DA8E1" w:rsidR="0037295D" w:rsidRPr="0008623B" w:rsidDel="00150101" w:rsidRDefault="00A3785C" w:rsidP="00807127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EU-5a</w:t>
            </w:r>
          </w:p>
        </w:tc>
        <w:tc>
          <w:tcPr>
            <w:tcW w:w="7655" w:type="dxa"/>
          </w:tcPr>
          <w:p w14:paraId="677C4852" w14:textId="7733E767" w:rsidR="0037295D" w:rsidRPr="0008623B" w:rsidRDefault="00A3785C" w:rsidP="00A378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bħala persentaġġ tat-TEM - Li minnhom fondi proprji u obbligazzjonijiet subordinati</w:t>
            </w:r>
          </w:p>
          <w:p w14:paraId="25EF5991" w14:textId="1725162F" w:rsidR="0037295D" w:rsidRPr="0008623B" w:rsidRDefault="0037295D" w:rsidP="008071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Daqs il-valur divulgat fir-ringiela EU-26a tal-mudell tad-divulgazzjoni EU TLAC1.</w:t>
            </w:r>
          </w:p>
          <w:p w14:paraId="4E14C375" w14:textId="17204913" w:rsidR="0037295D" w:rsidRPr="0008623B" w:rsidRDefault="00705FB0" w:rsidP="00FB021F">
            <w:pPr>
              <w:pStyle w:val="Fait"/>
              <w:spacing w:before="0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Għall-finijiet ta’ din ir-ringiela, l-ammont ta’ fondi proprji u obbligazzjonijiet eliġibbli subordinati li huwa ppreżentat fir-ringiela EU-1a għandu jiġi espress bħala persentaġġ tal-kejl tal-iskopertura totali kkalkolat f’konformità mal-Artikolu 429(4) u l-Artikolu 429a tar-Regolament (UE) Nru 575/2013</w:t>
            </w:r>
          </w:p>
        </w:tc>
      </w:tr>
      <w:tr w:rsidR="0064224B" w:rsidRPr="0008623B" w14:paraId="4586DD47" w14:textId="77777777" w:rsidTr="00BB35EA">
        <w:trPr>
          <w:trHeight w:val="316"/>
        </w:trPr>
        <w:tc>
          <w:tcPr>
            <w:tcW w:w="1384" w:type="dxa"/>
          </w:tcPr>
          <w:p w14:paraId="641FAF10" w14:textId="4E1D75A0" w:rsidR="0064224B" w:rsidRPr="0008623B" w:rsidRDefault="0064224B" w:rsidP="00BB3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6a</w:t>
            </w:r>
          </w:p>
        </w:tc>
        <w:tc>
          <w:tcPr>
            <w:tcW w:w="7655" w:type="dxa"/>
          </w:tcPr>
          <w:p w14:paraId="2E8BDE31" w14:textId="16D0165F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Tapplika l-eżenzjoni ta’ subordinazzjoni fl-Artikolu 72b(4) tar-Regolament (UE) Nru 575/2013? (eżenzjoni ta’ 5 %)</w:t>
            </w:r>
          </w:p>
          <w:p w14:paraId="46D7CE6C" w14:textId="47F6F9D3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Din ir-ringiela għandha tiġi divulgata biss minn entitajiet soġġetti għar-rekwiżit għall-fondi proprji u l-obbligazzjonijiet eliġibbli għall-G-SIIs.</w:t>
            </w:r>
          </w:p>
          <w:p w14:paraId="6016F028" w14:textId="34A18C3F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Jekk l-awtorità ta’ riżoluzzjoni tippermetti li l-obbligazzjonijiet jikkwalifikaw bħala strumenti ta’ obbligazzjonijiet eliġibbli f’konformità mal-Artikolu 72b(4) tar-Regolament (UE) Nru 575/2013, l-entità li tirrapporta għandha tindika “iva”.</w:t>
            </w:r>
          </w:p>
          <w:p w14:paraId="6B081016" w14:textId="4812518D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Jekk l-awtorità ta’ riżoluzzjoni ma tippermettix li l-obbligazzjonijiet jikkwalifikaw bħala strumenti ta’ obbligazzjonijiet eliġibbli f’konformità mal-Artikolu 72b(4) tar-Regolament (UE) Nru 575/2013, il-grupp ta’ riżoluzzjoni jew l-entità ta’ riżoluzzjoni għandhom jindikaw “le”.</w:t>
            </w:r>
          </w:p>
          <w:p w14:paraId="2F5E08DD" w14:textId="726ED396" w:rsidR="0064224B" w:rsidRPr="0008623B" w:rsidRDefault="0064224B" w:rsidP="00A70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Billi l-eżenzjonijiet fl-Artikolu 72b(3) u (4) tar-Regolament (UE) Nru 575/2013 huma esklussivi b’mod reċiproku, din ir-ringiela għandha titħalla vojta jekk l-entità li tirrapporta tkun imliet ir-ringiela 6b.</w:t>
            </w:r>
          </w:p>
        </w:tc>
      </w:tr>
      <w:tr w:rsidR="008B1AF1" w:rsidRPr="0008623B" w14:paraId="03F999DF" w14:textId="77777777" w:rsidTr="00915305">
        <w:trPr>
          <w:trHeight w:val="316"/>
        </w:trPr>
        <w:tc>
          <w:tcPr>
            <w:tcW w:w="1384" w:type="dxa"/>
          </w:tcPr>
          <w:p w14:paraId="4B73F7B3" w14:textId="3C82303C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6b</w:t>
            </w:r>
          </w:p>
        </w:tc>
        <w:tc>
          <w:tcPr>
            <w:tcW w:w="7655" w:type="dxa"/>
          </w:tcPr>
          <w:p w14:paraId="41C2E586" w14:textId="6CC03437" w:rsidR="00BB35EA" w:rsidRPr="0008623B" w:rsidRDefault="00650183" w:rsidP="00705F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L-ammont aggregat ta’ strumenti ta’ obbligazzjonijiet eliġibbli mhux subordinati permessi jekk tiġi applikata d-diskrezzjoni ta’ subordinazzjoni f’konformità mal-Artikolu 72b(3) tar-Regolament (UE) Nru 575/2013 (eżenzjoni massima ta’ 3,5 %)</w:t>
            </w:r>
          </w:p>
          <w:p w14:paraId="564101D0" w14:textId="5C7DA717" w:rsidR="00705FB0" w:rsidRPr="0008623B" w:rsidRDefault="00705FB0" w:rsidP="00705F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Din ir-ringiela għandha tiġi divulgata biss minn entitajiet soġġetti għar-rekwiżit tal-G-SII għall-fondi proprji u l-obbligazzjonijiet eliġibbli.</w:t>
            </w:r>
          </w:p>
          <w:p w14:paraId="00AD85CC" w14:textId="318F6AC9" w:rsidR="002A5279" w:rsidRPr="0008623B" w:rsidRDefault="002A5279" w:rsidP="002A527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aggregat ta’ strumenti ta’ obbligazzjonijiet eliġibbli mhux subordinati li l-awtorità ta’ riżoluzzjoni tkun ippermettiet li jikkwalifikaw bħala strumenti ta’ obbligazzjonijiet eliġibbli għall-finijiet ta’ TLAC skont l-Artikolu 72b(3) tar-Regolament (UE) Nru 575/2013.</w:t>
            </w:r>
          </w:p>
          <w:p w14:paraId="24CA67B7" w14:textId="04F0B6BC" w:rsidR="008B1AF1" w:rsidRPr="0008623B" w:rsidRDefault="00705FB0" w:rsidP="00D458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Billi l-eżenzjonijiet fl-Artikolu 72b(3) u (4) tar-Regolament (UE) Nru 575/2013 huma esklussivi b’mod reċiproku, din ir-ringiela għandha titħalla vojta jekk l-entità tindika “iva” fir-ringiela 6a.</w:t>
            </w:r>
          </w:p>
        </w:tc>
      </w:tr>
      <w:tr w:rsidR="008B1AF1" w:rsidRPr="0008623B" w14:paraId="2D64923D" w14:textId="77777777" w:rsidTr="00915305">
        <w:trPr>
          <w:trHeight w:val="316"/>
        </w:trPr>
        <w:tc>
          <w:tcPr>
            <w:tcW w:w="1384" w:type="dxa"/>
          </w:tcPr>
          <w:p w14:paraId="6C3622AD" w14:textId="140E60D3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6c</w:t>
            </w:r>
          </w:p>
        </w:tc>
        <w:tc>
          <w:tcPr>
            <w:tcW w:w="7655" w:type="dxa"/>
          </w:tcPr>
          <w:p w14:paraId="73DD47A6" w14:textId="24A022DC" w:rsidR="008B1AF1" w:rsidRPr="0008623B" w:rsidRDefault="008B1AF1" w:rsidP="008B1A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Jekk tapplika eżenzjoni ta’ subordinazzjoni limitata f’konformità mal-Artikolu 72b(3) tar-Regolament (UE) Nru 575/2013, l-ammont ta’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finanzjament maħruġ li jikklassifika pari passu mal-obbligazzjonijiet esklużi u li huwa rikonoxxut taħt ir-ringiela 1, diviż bil-finanzjament maħruġ li jikklassifika pari passu mal-obbligazzjonijiet esklużi u li jkun rikonoxxut taħt ir-ringiela 1 jekk ma jkun ġie applikat l-ebda limitu massimu (%)</w:t>
            </w:r>
          </w:p>
          <w:p w14:paraId="02910CB6" w14:textId="36BCF0A1" w:rsidR="00CF21D0" w:rsidRPr="0008623B" w:rsidRDefault="00CF21D0" w:rsidP="00B654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Din ir-ringiela għandha tiġi divulgata biss minn entitajiet soġġetti għar-rekwiżit tal-G-SII għall-fondi proprji u l-obbligazzjonijiet eliġibbli.</w:t>
            </w:r>
          </w:p>
          <w:p w14:paraId="27823EE1" w14:textId="65D1AB03" w:rsidR="008B1AF1" w:rsidRPr="0008623B" w:rsidRDefault="008B1AF1" w:rsidP="00B654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Din ir-ringiela tinforma lis-sidien tad-dejn superjuri maħruġ mill-entità ta’ riżoluzzjoni dwar il-persentaġġ ta’ dejn superjuri mhux eskluż li jkun tqies eliġibbli, sabiex, fejn applikabbli, ikunu jistgħu japplikaw ir-reġim ta’ tnaqqis stabbilit fl-Artikolu 72e tar-Regolament (UE) Nru 575/2013.</w:t>
            </w:r>
          </w:p>
          <w:p w14:paraId="69CB0A17" w14:textId="58CD2CDA" w:rsidR="00CF21D0" w:rsidRPr="0008623B" w:rsidRDefault="00F66078" w:rsidP="00B62DC9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Meta tapplika eżenzjoni ta’ subordinazzjoni limitata skont l-Artikolu 72b(3) tar-Regolament (UE) Nru 575/2013, l-entitajiet għandhom jirrapportaw:</w:t>
            </w:r>
          </w:p>
          <w:p w14:paraId="2D4EFCF5" w14:textId="674F215C" w:rsidR="00CF21D0" w:rsidRPr="0008623B" w:rsidRDefault="00F66078" w:rsidP="0073688E">
            <w:pPr>
              <w:spacing w:before="120" w:after="120" w:line="240" w:lineRule="auto"/>
              <w:jc w:val="both"/>
              <w:rPr>
                <w:rStyle w:val="InstructionsTabelleberschrift"/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(a) l-ammont ta’ finanzjament maħruġ li jikklassifika pari passu mal-obbligazzjonijiet esklużi kif imsemmi fl-Artikolu 72a(2) tar-Regolament (UE) Nru 575/2013 u inkluż fl-ammont ippreżentat fir-ringiela 1;</w:t>
            </w:r>
          </w:p>
          <w:p w14:paraId="61EF1E26" w14:textId="12BB5640" w:rsidR="00CF21D0" w:rsidRPr="0008623B" w:rsidRDefault="00F66078" w:rsidP="0073688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(b) diviż bl-ammont ta’ finanzjament maħruġ li jikklassifika pari passu mal-obbligazzjonijiet esklużi kif imsemmi fl-Artikolu 72a(2) tar-Regolament (UE) Nru 575/2013 u li jkun rikonoxxut taħt ir-ringiela 1 jekk ma jkun ġie applikat l-ebda limitu massimu.</w:t>
            </w:r>
          </w:p>
        </w:tc>
      </w:tr>
      <w:tr w:rsidR="008B1AF1" w:rsidRPr="0008623B" w14:paraId="3397A407" w14:textId="77777777" w:rsidTr="00915305">
        <w:trPr>
          <w:trHeight w:val="316"/>
        </w:trPr>
        <w:tc>
          <w:tcPr>
            <w:tcW w:w="1384" w:type="dxa"/>
          </w:tcPr>
          <w:p w14:paraId="064B005C" w14:textId="65B49825" w:rsidR="008B1AF1" w:rsidRPr="00E912A5" w:rsidDel="00CD7CA4" w:rsidRDefault="008B1AF1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65986DE" w14:textId="77777777" w:rsidR="008B1AF1" w:rsidRPr="0008623B" w:rsidRDefault="008B1AF1" w:rsidP="008B1A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Rekwiżit minimu għal fondi proprji u obbligazzjonijiet eliġibbli (MREL)</w:t>
            </w:r>
          </w:p>
        </w:tc>
      </w:tr>
      <w:tr w:rsidR="008B1AF1" w:rsidRPr="0008623B" w14:paraId="1D50EF40" w14:textId="77777777" w:rsidTr="00915305">
        <w:trPr>
          <w:trHeight w:val="316"/>
        </w:trPr>
        <w:tc>
          <w:tcPr>
            <w:tcW w:w="1384" w:type="dxa"/>
          </w:tcPr>
          <w:p w14:paraId="5B7C6EEB" w14:textId="0DDF46DE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EU-7</w:t>
            </w:r>
          </w:p>
        </w:tc>
        <w:tc>
          <w:tcPr>
            <w:tcW w:w="7655" w:type="dxa"/>
          </w:tcPr>
          <w:p w14:paraId="4FB8070F" w14:textId="2E661595" w:rsidR="008B1AF1" w:rsidRPr="0008623B" w:rsidRDefault="008B1AF1" w:rsidP="008B1AF1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espress bħala perċentwal tat-TREA</w:t>
            </w:r>
          </w:p>
          <w:p w14:paraId="5D62407D" w14:textId="1D56CFCB" w:rsidR="006453C4" w:rsidRPr="0008623B" w:rsidRDefault="006453C4" w:rsidP="00D33D65">
            <w:pPr>
              <w:pStyle w:val="Fait"/>
            </w:pPr>
            <w:r>
              <w:rPr>
                <w:color w:val="000000" w:themeColor="text1"/>
              </w:rPr>
              <w:t>Ir-rekwiżit minimu tal-entità għall-fondi proprji u l-obbligazzjonijiet eliġibbli kif iddeterminat mill-awtorità ta’ riżoluzzjoni f’konformità mal-Artikolu 45e tad-Direttiva 2014/59/UE, espress bħala persentaġġ tal-ammont totali tal-iskopertura għar-riskju kkalkolat f’konformità mal-Artikolu 92(3) tar-Regolament (UE) Nru 575/2013.</w:t>
            </w:r>
          </w:p>
        </w:tc>
      </w:tr>
      <w:tr w:rsidR="008B1AF1" w:rsidRPr="0008623B" w14:paraId="1415A72E" w14:textId="77777777" w:rsidTr="00915305">
        <w:trPr>
          <w:trHeight w:val="316"/>
        </w:trPr>
        <w:tc>
          <w:tcPr>
            <w:tcW w:w="1384" w:type="dxa"/>
          </w:tcPr>
          <w:p w14:paraId="519FCFF9" w14:textId="293BA3A8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EU-8</w:t>
            </w:r>
          </w:p>
        </w:tc>
        <w:tc>
          <w:tcPr>
            <w:tcW w:w="7655" w:type="dxa"/>
          </w:tcPr>
          <w:p w14:paraId="7AFA5D84" w14:textId="75D8B263" w:rsidR="008B1AF1" w:rsidRPr="0008623B" w:rsidRDefault="00B80F7C" w:rsidP="008B1AF1">
            <w:pPr>
              <w:pStyle w:val="Applicationdirecte"/>
              <w:spacing w:before="0" w:after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espress bħala persentaġġ tat-TREA - Li minnhom għandhom jiġu ssodisfati b’fondi proprji jew obbligazzjonijiet subordinati</w:t>
            </w:r>
          </w:p>
          <w:p w14:paraId="33EFDD9D" w14:textId="00E44973" w:rsidR="008B1AF1" w:rsidRPr="0008623B" w:rsidRDefault="00D819D9" w:rsidP="00D33D65">
            <w:pPr>
              <w:rPr>
                <w:color w:val="000000" w:themeColor="text1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Fejn applikabbli, il-parti tal-MREL li, skont l-Artikolu 45b, il-paragrafi (4) sa (8), tad-Direttiva 2014/59/UE, l-awtorità ta’ riżoluzzjoni tkun talbet li tiġi ssodisfata bl-użu ta’ fondi proprji, strumenti eliġibbli subordinati jew obbligazzjonijiet kif imsemmi fil-paragrafu 3 ta’ dak l-Artikolu</w:t>
            </w:r>
            <w:r>
              <w:rPr>
                <w:rFonts w:ascii="Times New Roman" w:hAnsi="Times New Roman"/>
                <w:sz w:val="24"/>
              </w:rPr>
              <w:t>, espress bħala persentaġġ tal-ammont totali tal-iskopertura għar-riskju kkalkolat f’konformità mal-Artikolu 92(3)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8B1AF1" w:rsidRPr="0008623B" w14:paraId="060950C0" w14:textId="77777777" w:rsidTr="00915305">
        <w:trPr>
          <w:trHeight w:val="316"/>
        </w:trPr>
        <w:tc>
          <w:tcPr>
            <w:tcW w:w="1384" w:type="dxa"/>
          </w:tcPr>
          <w:p w14:paraId="1DBB4CB4" w14:textId="31361788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EU-9</w:t>
            </w:r>
          </w:p>
        </w:tc>
        <w:tc>
          <w:tcPr>
            <w:tcW w:w="7655" w:type="dxa"/>
          </w:tcPr>
          <w:p w14:paraId="357A69B0" w14:textId="07AF7072" w:rsidR="008B1AF1" w:rsidRPr="0008623B" w:rsidRDefault="008B1AF1" w:rsidP="008B1AF1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espress bħala perċentwal tat-TEM</w:t>
            </w:r>
          </w:p>
          <w:p w14:paraId="7ABED549" w14:textId="5EF36813" w:rsidR="006453C4" w:rsidRPr="0008623B" w:rsidRDefault="006453C4" w:rsidP="00717DB0">
            <w:pPr>
              <w:pStyle w:val="Fait"/>
            </w:pPr>
            <w:r>
              <w:t xml:space="preserve">Ir-rekwiżit minimu tal-entità li tirrapporta għall-fondi proprji u l-obbligazzjonijiet eliġibbli kif iddeterminat mill-awtorità ta’ riżoluzzjoni f’konformità mal-Artikolu 45e tad-Direttiva 2014/59/UE, espress bħala </w:t>
            </w:r>
            <w:r>
              <w:lastRenderedPageBreak/>
              <w:t>persentaġġ tal-kejl tal-iskopertura totali kkalkolat f’konformità mal-Artikolu 429(4) u l-Artikolu 429a tar-Regolament (UE) Nru 575/2013.</w:t>
            </w:r>
          </w:p>
        </w:tc>
      </w:tr>
      <w:tr w:rsidR="008B1AF1" w:rsidRPr="0008623B" w14:paraId="5A4A9503" w14:textId="77777777" w:rsidTr="00915305">
        <w:trPr>
          <w:trHeight w:val="316"/>
        </w:trPr>
        <w:tc>
          <w:tcPr>
            <w:tcW w:w="1384" w:type="dxa"/>
          </w:tcPr>
          <w:p w14:paraId="4E5C6AFC" w14:textId="2C522F9C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EU-10</w:t>
            </w:r>
          </w:p>
        </w:tc>
        <w:tc>
          <w:tcPr>
            <w:tcW w:w="7655" w:type="dxa"/>
          </w:tcPr>
          <w:p w14:paraId="4A8117E5" w14:textId="70796A0D" w:rsidR="008B1AF1" w:rsidRPr="0008623B" w:rsidRDefault="00B80F7C" w:rsidP="008B1AF1">
            <w:pPr>
              <w:pStyle w:val="Applicationdirecte"/>
              <w:spacing w:before="0" w:after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espress bħala persentaġġ tat-TEM - Li minnhom għandhom jiġu ssodisfati b’fondi proprji jew obbligazzjonijiet subordinati</w:t>
            </w:r>
          </w:p>
          <w:p w14:paraId="366BA2A0" w14:textId="50E2609F" w:rsidR="008B1AF1" w:rsidRPr="0008623B" w:rsidRDefault="00D819D9" w:rsidP="00E1386E">
            <w:pPr>
              <w:rPr>
                <w:color w:val="000000" w:themeColor="text1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Fejn applikabbli, il-parti tal-MREL li, skont l-Artikolu 45b, il-paragrafi (4) sa (8), tad-Direttiva 2014/59/UE, l-awtorità ta’ riżoluzzjoni tkun talbet li tiġi ssodisfata bl-użu ta’ fondi proprji, strumenti eliġibbli subordinati jew obbligazzjonijiet kif imsemmi fil-paragrafu 3 ta’ dak l-Artikolu</w:t>
            </w:r>
            <w:r>
              <w:rPr>
                <w:rFonts w:ascii="Times New Roman" w:hAnsi="Times New Roman"/>
                <w:sz w:val="24"/>
              </w:rPr>
              <w:t>, espress bħala persentaġġ tal-miżura totali tal-iskopertura għar-riskju kkalkolat f’konformità mal-Artikolu 429(4) u l-Artikolu 429a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</w:tbl>
    <w:p w14:paraId="38CEC33F" w14:textId="77777777" w:rsidR="005673AC" w:rsidRPr="00E912A5" w:rsidRDefault="005673AC" w:rsidP="00E258D8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2DE89D5" w14:textId="0B5C7ED4" w:rsidR="003956D6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5" w:name="_Toc14768967"/>
      <w:bookmarkStart w:id="26" w:name="_Toc14769241"/>
      <w:bookmarkStart w:id="27" w:name="_Toc14769635"/>
      <w:bookmarkStart w:id="28" w:name="_Toc14769788"/>
      <w:bookmarkStart w:id="29" w:name="_Toc14770058"/>
      <w:bookmarkStart w:id="30" w:name="_Toc14770328"/>
      <w:bookmarkStart w:id="31" w:name="_Toc14770481"/>
      <w:bookmarkStart w:id="32" w:name="_Toc14770636"/>
      <w:bookmarkStart w:id="33" w:name="_Toc14770791"/>
      <w:bookmarkStart w:id="34" w:name="_Toc14770948"/>
      <w:bookmarkStart w:id="35" w:name="_Toc14771489"/>
      <w:bookmarkStart w:id="36" w:name="_Toc14771607"/>
      <w:bookmarkStart w:id="37" w:name="_Toc15478323"/>
      <w:bookmarkStart w:id="38" w:name="_Toc14768968"/>
      <w:bookmarkStart w:id="39" w:name="_Toc14769242"/>
      <w:bookmarkStart w:id="40" w:name="_Toc14769636"/>
      <w:bookmarkStart w:id="41" w:name="_Toc14769789"/>
      <w:bookmarkStart w:id="42" w:name="_Toc14770059"/>
      <w:bookmarkStart w:id="43" w:name="_Toc14770329"/>
      <w:bookmarkStart w:id="44" w:name="_Toc14770482"/>
      <w:bookmarkStart w:id="45" w:name="_Toc14770637"/>
      <w:bookmarkStart w:id="46" w:name="_Toc14770792"/>
      <w:bookmarkStart w:id="47" w:name="_Toc14770949"/>
      <w:bookmarkStart w:id="48" w:name="_Toc14771608"/>
      <w:bookmarkStart w:id="49" w:name="_Toc14768969"/>
      <w:bookmarkStart w:id="50" w:name="_Toc14769243"/>
      <w:bookmarkStart w:id="51" w:name="_Toc14769637"/>
      <w:bookmarkStart w:id="52" w:name="_Toc14769790"/>
      <w:bookmarkStart w:id="53" w:name="_Toc14770060"/>
      <w:bookmarkStart w:id="54" w:name="_Toc14770330"/>
      <w:bookmarkStart w:id="55" w:name="_Toc14770483"/>
      <w:bookmarkStart w:id="56" w:name="_Toc14770638"/>
      <w:bookmarkStart w:id="57" w:name="_Toc14770793"/>
      <w:bookmarkStart w:id="58" w:name="_Toc14770950"/>
      <w:bookmarkStart w:id="59" w:name="_Toc14771491"/>
      <w:bookmarkStart w:id="60" w:name="_Toc14771609"/>
      <w:bookmarkStart w:id="61" w:name="_Toc15478325"/>
      <w:bookmarkStart w:id="62" w:name="_Toc14768970"/>
      <w:bookmarkStart w:id="63" w:name="_Toc14769244"/>
      <w:bookmarkStart w:id="64" w:name="_Toc14769638"/>
      <w:bookmarkStart w:id="65" w:name="_Toc14769791"/>
      <w:bookmarkStart w:id="66" w:name="_Toc14770061"/>
      <w:bookmarkStart w:id="67" w:name="_Toc14770331"/>
      <w:bookmarkStart w:id="68" w:name="_Toc14770484"/>
      <w:bookmarkStart w:id="69" w:name="_Toc14770639"/>
      <w:bookmarkStart w:id="70" w:name="_Toc14770794"/>
      <w:bookmarkStart w:id="71" w:name="_Toc14770951"/>
      <w:bookmarkStart w:id="72" w:name="_Toc14771610"/>
      <w:bookmarkStart w:id="73" w:name="_Toc14768971"/>
      <w:bookmarkStart w:id="74" w:name="_Toc14769245"/>
      <w:bookmarkStart w:id="75" w:name="_Toc14769639"/>
      <w:bookmarkStart w:id="76" w:name="_Toc14769792"/>
      <w:bookmarkStart w:id="77" w:name="_Toc14770062"/>
      <w:bookmarkStart w:id="78" w:name="_Toc14770332"/>
      <w:bookmarkStart w:id="79" w:name="_Toc14770485"/>
      <w:bookmarkStart w:id="80" w:name="_Toc14770640"/>
      <w:bookmarkStart w:id="81" w:name="_Toc14770795"/>
      <w:bookmarkStart w:id="82" w:name="_Toc14770952"/>
      <w:bookmarkStart w:id="83" w:name="_Toc14771493"/>
      <w:bookmarkStart w:id="84" w:name="_Toc14771611"/>
      <w:bookmarkStart w:id="85" w:name="_Toc15478327"/>
      <w:bookmarkStart w:id="86" w:name="_Toc14768986"/>
      <w:bookmarkStart w:id="87" w:name="_Toc14769260"/>
      <w:bookmarkStart w:id="88" w:name="_Toc14769654"/>
      <w:bookmarkStart w:id="89" w:name="_Toc14769807"/>
      <w:bookmarkStart w:id="90" w:name="_Toc14770077"/>
      <w:bookmarkStart w:id="91" w:name="_Toc14770347"/>
      <w:bookmarkStart w:id="92" w:name="_Toc14770500"/>
      <w:bookmarkStart w:id="93" w:name="_Toc14770655"/>
      <w:bookmarkStart w:id="94" w:name="_Toc14770810"/>
      <w:bookmarkStart w:id="95" w:name="_Toc14770967"/>
      <w:bookmarkStart w:id="96" w:name="_Toc14771504"/>
      <w:bookmarkStart w:id="97" w:name="_Toc14771626"/>
      <w:bookmarkStart w:id="98" w:name="_Toc15478338"/>
      <w:bookmarkStart w:id="99" w:name="_Toc14768987"/>
      <w:bookmarkStart w:id="100" w:name="_Toc14769261"/>
      <w:bookmarkStart w:id="101" w:name="_Toc14769655"/>
      <w:bookmarkStart w:id="102" w:name="_Toc14769808"/>
      <w:bookmarkStart w:id="103" w:name="_Toc14770078"/>
      <w:bookmarkStart w:id="104" w:name="_Toc14770348"/>
      <w:bookmarkStart w:id="105" w:name="_Toc14770501"/>
      <w:bookmarkStart w:id="106" w:name="_Toc14770656"/>
      <w:bookmarkStart w:id="107" w:name="_Toc14770811"/>
      <w:bookmarkStart w:id="108" w:name="_Toc14770968"/>
      <w:bookmarkStart w:id="109" w:name="_Toc14771627"/>
      <w:bookmarkStart w:id="110" w:name="_Toc14768988"/>
      <w:bookmarkStart w:id="111" w:name="_Toc14769262"/>
      <w:bookmarkStart w:id="112" w:name="_Toc14769656"/>
      <w:bookmarkStart w:id="113" w:name="_Toc14769809"/>
      <w:bookmarkStart w:id="114" w:name="_Toc14770079"/>
      <w:bookmarkStart w:id="115" w:name="_Toc14770349"/>
      <w:bookmarkStart w:id="116" w:name="_Toc14770502"/>
      <w:bookmarkStart w:id="117" w:name="_Toc14770657"/>
      <w:bookmarkStart w:id="118" w:name="_Toc14770812"/>
      <w:bookmarkStart w:id="119" w:name="_Toc14770969"/>
      <w:bookmarkStart w:id="120" w:name="_Toc14771506"/>
      <w:bookmarkStart w:id="121" w:name="_Toc14771628"/>
      <w:bookmarkStart w:id="122" w:name="_Toc15478340"/>
      <w:bookmarkStart w:id="123" w:name="_Toc14768989"/>
      <w:bookmarkStart w:id="124" w:name="_Toc14769263"/>
      <w:bookmarkStart w:id="125" w:name="_Toc14769657"/>
      <w:bookmarkStart w:id="126" w:name="_Toc14769810"/>
      <w:bookmarkStart w:id="127" w:name="_Toc14770080"/>
      <w:bookmarkStart w:id="128" w:name="_Toc14770350"/>
      <w:bookmarkStart w:id="129" w:name="_Toc14770503"/>
      <w:bookmarkStart w:id="130" w:name="_Toc14770658"/>
      <w:bookmarkStart w:id="131" w:name="_Toc14770813"/>
      <w:bookmarkStart w:id="132" w:name="_Toc14770970"/>
      <w:bookmarkStart w:id="133" w:name="_Toc14771629"/>
      <w:bookmarkStart w:id="134" w:name="_Toc14768990"/>
      <w:bookmarkStart w:id="135" w:name="_Toc14769264"/>
      <w:bookmarkStart w:id="136" w:name="_Toc14769658"/>
      <w:bookmarkStart w:id="137" w:name="_Toc14769811"/>
      <w:bookmarkStart w:id="138" w:name="_Toc14770081"/>
      <w:bookmarkStart w:id="139" w:name="_Toc14770351"/>
      <w:bookmarkStart w:id="140" w:name="_Toc14770504"/>
      <w:bookmarkStart w:id="141" w:name="_Toc14770659"/>
      <w:bookmarkStart w:id="142" w:name="_Toc14770814"/>
      <w:bookmarkStart w:id="143" w:name="_Toc14770971"/>
      <w:bookmarkStart w:id="144" w:name="_Toc14771508"/>
      <w:bookmarkStart w:id="145" w:name="_Toc14771630"/>
      <w:bookmarkStart w:id="146" w:name="_Toc15478342"/>
      <w:bookmarkStart w:id="147" w:name="_Toc14769016"/>
      <w:bookmarkStart w:id="148" w:name="_Toc14769290"/>
      <w:bookmarkStart w:id="149" w:name="_Toc14769684"/>
      <w:bookmarkStart w:id="150" w:name="_Toc14769837"/>
      <w:bookmarkStart w:id="151" w:name="_Toc14770107"/>
      <w:bookmarkStart w:id="152" w:name="_Toc14770377"/>
      <w:bookmarkStart w:id="153" w:name="_Toc14770530"/>
      <w:bookmarkStart w:id="154" w:name="_Toc14770685"/>
      <w:bookmarkStart w:id="155" w:name="_Toc14770840"/>
      <w:bookmarkStart w:id="156" w:name="_Toc14770997"/>
      <w:bookmarkStart w:id="157" w:name="_Toc14771527"/>
      <w:bookmarkStart w:id="158" w:name="_Toc14771656"/>
      <w:bookmarkStart w:id="159" w:name="_Toc15478361"/>
      <w:bookmarkStart w:id="160" w:name="_Toc14769060"/>
      <w:bookmarkStart w:id="161" w:name="_Toc14769334"/>
      <w:bookmarkStart w:id="162" w:name="_Toc14769728"/>
      <w:bookmarkStart w:id="163" w:name="_Toc14769881"/>
      <w:bookmarkStart w:id="164" w:name="_Toc14770151"/>
      <w:bookmarkStart w:id="165" w:name="_Toc14770421"/>
      <w:bookmarkStart w:id="166" w:name="_Toc14770574"/>
      <w:bookmarkStart w:id="167" w:name="_Toc14770729"/>
      <w:bookmarkStart w:id="168" w:name="_Toc14770884"/>
      <w:bookmarkStart w:id="169" w:name="_Toc14771041"/>
      <w:bookmarkStart w:id="170" w:name="_Toc14771559"/>
      <w:bookmarkStart w:id="171" w:name="_Toc14771700"/>
      <w:bookmarkStart w:id="172" w:name="_Toc15478393"/>
      <w:bookmarkStart w:id="173" w:name="_Toc14769113"/>
      <w:bookmarkStart w:id="174" w:name="_Toc14769387"/>
      <w:bookmarkStart w:id="175" w:name="_Toc14769781"/>
      <w:bookmarkStart w:id="176" w:name="_Toc14769934"/>
      <w:bookmarkStart w:id="177" w:name="_Toc14770204"/>
      <w:bookmarkStart w:id="178" w:name="_Toc14770474"/>
      <w:bookmarkStart w:id="179" w:name="_Toc14770627"/>
      <w:bookmarkStart w:id="180" w:name="_Toc14770782"/>
      <w:bookmarkStart w:id="181" w:name="_Toc14770937"/>
      <w:bookmarkStart w:id="182" w:name="_Toc14771094"/>
      <w:bookmarkStart w:id="183" w:name="_Toc14771600"/>
      <w:bookmarkStart w:id="184" w:name="_Toc14771753"/>
      <w:bookmarkStart w:id="185" w:name="_Toc1547843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rFonts w:ascii="Times New Roman" w:hAnsi="Times New Roman"/>
          <w:color w:val="auto"/>
          <w:sz w:val="24"/>
        </w:rPr>
        <w:t>3.</w:t>
      </w:r>
      <w:r>
        <w:rPr>
          <w:rFonts w:ascii="Times New Roman" w:hAnsi="Times New Roman"/>
          <w:color w:val="auto"/>
          <w:sz w:val="24"/>
        </w:rPr>
        <w:tab/>
      </w:r>
      <w:bookmarkStart w:id="186" w:name="_Toc14770783"/>
      <w:bookmarkStart w:id="187" w:name="_Toc45266927"/>
      <w:r>
        <w:rPr>
          <w:rFonts w:ascii="Times New Roman" w:hAnsi="Times New Roman"/>
          <w:color w:val="auto"/>
          <w:sz w:val="24"/>
        </w:rPr>
        <w:t>EU TLAC 1: Kompożizzjoni - MREL u, fejn applikabbli, ir-rekwiżit tal-G-SII għall-fondi proprji u l-obbligazzjonijiet eliġibbli</w:t>
      </w:r>
      <w:bookmarkEnd w:id="186"/>
      <w:bookmarkEnd w:id="187"/>
    </w:p>
    <w:p w14:paraId="5FDEB8AD" w14:textId="17A1952C" w:rsidR="00021E4F" w:rsidRPr="0008623B" w:rsidRDefault="00021E4F" w:rsidP="00B62DC9">
      <w:pPr>
        <w:pStyle w:val="InstructionsText2"/>
        <w:numPr>
          <w:ilvl w:val="0"/>
          <w:numId w:val="12"/>
        </w:numPr>
      </w:pPr>
      <w:r>
        <w:t>Il-pożizzjoni tal-fondi proprji u tal-obbligazzjonijiet eliġibbli relatati mal-grupp ta’ riżoluzzjoni għandha tinkludi biss strumenti kapitali u obbligazzjonijiet eliġibbli maħruġa mill-entità ta’ riżoluzzjoni u, fejn konformi mal-Artikolu 45b(3) tad-Direttiva 2014/59/UE jew mal-Artikolu 88a tar-Regolament (UE) Nru 575/2013, kif applikabbli, minn sussidjarji tal-entità ta’ riżoluzzjoni, bl-esklużjoni ta’ entitajiet barra mill-grupp ta’ riżoluzzjoni. Bl-istess mod, il-pożizzjoni tal-fondi proprji u tal-obbligazzjonijiet eliġibbli hija bbażata fuq l-ammont totali tal-iskopertura għar-riskju (aġġustat kif permess skont l-Artikolu 45h(2) tad-Direttiva 2014/59/UE) u l-kejl tal-iskopertura totali kkalkolat fil-livell tal-grupp ta’ riżoluzzjoni.</w:t>
      </w:r>
    </w:p>
    <w:p w14:paraId="31AA4E2B" w14:textId="5FF6ED9D" w:rsidR="00B00CC4" w:rsidRPr="0008623B" w:rsidRDefault="00021E4F" w:rsidP="00B62DC9">
      <w:pPr>
        <w:pStyle w:val="InstructionsText2"/>
        <w:numPr>
          <w:ilvl w:val="0"/>
          <w:numId w:val="12"/>
        </w:numPr>
      </w:pPr>
      <w:r>
        <w:t>Fir-rigward tal-aġġustamenti regolatorji, l-entitajiet għandhom jiddivulgaw it-tnaqqis mill-fondi proprji u l-obbligazzjonijiet eliġibbli bħala numri negattivi u żidiet mal-fondi proprji u l-obbligazzjonijiet eliġibbli bħala numri pożittivi.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807127" w:rsidRPr="0008623B" w14:paraId="326F196A" w14:textId="77777777" w:rsidTr="008071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0D11A621" w14:textId="7182C6B7" w:rsidR="00807127" w:rsidRPr="0008623B" w:rsidRDefault="00807127" w:rsidP="00807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Kolonni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91EECCB" w14:textId="195647A1" w:rsidR="00807127" w:rsidRPr="0008623B" w:rsidRDefault="00E46262" w:rsidP="00807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807127" w:rsidRPr="0008623B" w14:paraId="32E9685C" w14:textId="77777777" w:rsidTr="00807127">
        <w:trPr>
          <w:trHeight w:val="637"/>
        </w:trPr>
        <w:tc>
          <w:tcPr>
            <w:tcW w:w="1384" w:type="dxa"/>
          </w:tcPr>
          <w:p w14:paraId="6B2EC01C" w14:textId="6A4D6558" w:rsidR="00807127" w:rsidRPr="0008623B" w:rsidDel="00DE6BC1" w:rsidRDefault="00807127" w:rsidP="00EF47A4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436FCBC7" w14:textId="60418D16" w:rsidR="00807127" w:rsidRPr="0008623B" w:rsidRDefault="008C2E99" w:rsidP="003C10C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L-entitajiet għandhom jiddivulgaw f’din il-kolonna l-informazzjoni rilevanti dwar l-MREL skont l-Artikoli 45 u 45e tad-Direttiva 2014/59/UE.</w:t>
            </w:r>
          </w:p>
        </w:tc>
      </w:tr>
      <w:tr w:rsidR="00807127" w:rsidRPr="0008623B" w14:paraId="462C6C09" w14:textId="77777777" w:rsidTr="00807127">
        <w:trPr>
          <w:trHeight w:val="637"/>
        </w:trPr>
        <w:tc>
          <w:tcPr>
            <w:tcW w:w="1384" w:type="dxa"/>
          </w:tcPr>
          <w:p w14:paraId="560866CC" w14:textId="77777777" w:rsidR="00807127" w:rsidRPr="0008623B" w:rsidDel="00DE6BC1" w:rsidRDefault="00807127" w:rsidP="00807127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655" w:type="dxa"/>
          </w:tcPr>
          <w:p w14:paraId="1B5C7CCC" w14:textId="65BA9065" w:rsidR="00807127" w:rsidRPr="0008623B" w:rsidRDefault="008C2E99" w:rsidP="00F60AC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L-entitajiet li huma G-SIIs soġġetti għal rekwiżit tat-TLAC skont l-Artikolu 92a tar-Regolament (UE) Nru 575/2013 għandhom jiddivulgaw f’din il-kolonna l-informazzjoni rilevanti dwar dak ir-rekwiżit. </w:t>
            </w:r>
          </w:p>
        </w:tc>
      </w:tr>
      <w:tr w:rsidR="00807127" w:rsidRPr="0008623B" w14:paraId="4B0052CD" w14:textId="77777777" w:rsidTr="00807127">
        <w:trPr>
          <w:trHeight w:val="637"/>
        </w:trPr>
        <w:tc>
          <w:tcPr>
            <w:tcW w:w="1384" w:type="dxa"/>
          </w:tcPr>
          <w:p w14:paraId="3F556DCF" w14:textId="09520620" w:rsidR="00807127" w:rsidRPr="0008623B" w:rsidDel="00DE6BC1" w:rsidRDefault="00807127" w:rsidP="00EF47A4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655" w:type="dxa"/>
          </w:tcPr>
          <w:p w14:paraId="77906683" w14:textId="414268DB" w:rsidR="00807127" w:rsidRPr="0008623B" w:rsidRDefault="00807127" w:rsidP="00B62DC9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il-kolonna għandha timtela biss minn entitajiet soġġetti għar-rekwiżit tat-TLAC.</w:t>
            </w:r>
            <w:r>
              <w:t xml:space="preserve"> </w:t>
            </w:r>
          </w:p>
          <w:p w14:paraId="1B6D4BC4" w14:textId="410E4195" w:rsidR="00807127" w:rsidRPr="0008623B" w:rsidRDefault="00807127" w:rsidP="00B62DC9">
            <w:pPr>
              <w:pStyle w:val="InstructionsText"/>
            </w:pPr>
            <w:r>
              <w:t>Din il-kolonna għandha tirrifletti d-differenza bejn l-ammonti applikabbli fil-kuntest tar-rekwiżit stabbiliti fl-Artikolu 45 tad-Direttiva 2014/59/UE u l-ammonti applikabbli fil-kuntest tar-rekwiżit tal-Artikolu 92a tar-Regolament (UE) Nru 575/2013.</w:t>
            </w:r>
          </w:p>
        </w:tc>
      </w:tr>
    </w:tbl>
    <w:p w14:paraId="3AC1888A" w14:textId="77777777" w:rsidR="00807127" w:rsidRPr="00E912A5" w:rsidRDefault="00807127" w:rsidP="00807127">
      <w:pPr>
        <w:jc w:val="both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7696"/>
      </w:tblGrid>
      <w:tr w:rsidR="00026FC1" w:rsidRPr="0008623B" w14:paraId="6EA9B061" w14:textId="77777777" w:rsidTr="00E4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BF1AA" w14:textId="77777777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Ringiela 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2E936" w14:textId="094D65BE" w:rsidR="00021E4F" w:rsidRPr="0008623B" w:rsidRDefault="00E46262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026FC1" w:rsidRPr="0008623B" w14:paraId="614F9517" w14:textId="77777777" w:rsidTr="00E46262">
        <w:tc>
          <w:tcPr>
            <w:tcW w:w="1030" w:type="dxa"/>
          </w:tcPr>
          <w:p w14:paraId="7EE06B6D" w14:textId="77777777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736" w:type="dxa"/>
          </w:tcPr>
          <w:p w14:paraId="709BFA1D" w14:textId="0A17EB42" w:rsidR="00021E4F" w:rsidRPr="002D1439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Kapital tal-Grad 1 ta’ Ekwità Komuni (CET1)</w:t>
            </w:r>
          </w:p>
          <w:p w14:paraId="0C38277D" w14:textId="1D578338" w:rsidR="00021E4F" w:rsidRPr="002D1439" w:rsidRDefault="00021E4F" w:rsidP="0097126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Il-kapital CET1 tal-grupp ta’ riżoluzzjoni, ikkalkolat f’konformità mal-Artikolu 50 tar-Regolament (UE) Nru 575/2013.</w:t>
            </w:r>
          </w:p>
        </w:tc>
      </w:tr>
      <w:tr w:rsidR="00026FC1" w:rsidRPr="0008623B" w14:paraId="0AC96626" w14:textId="77777777" w:rsidTr="00E46262">
        <w:tc>
          <w:tcPr>
            <w:tcW w:w="1030" w:type="dxa"/>
          </w:tcPr>
          <w:p w14:paraId="4517736A" w14:textId="77777777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736" w:type="dxa"/>
          </w:tcPr>
          <w:p w14:paraId="2FB37E1A" w14:textId="007BDD23" w:rsidR="00021E4F" w:rsidRPr="0008623B" w:rsidRDefault="00021E4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Kapital tal-Grad 1 Addizzjonali (AT1) </w:t>
            </w:r>
          </w:p>
          <w:p w14:paraId="05B0D3DA" w14:textId="4151C42D" w:rsidR="00E94218" w:rsidRPr="0008623B" w:rsidRDefault="00021E4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Il-kapital AT1 tal-grupp ta’ riżoluzzjoni, ikkalkolat f’konformità mal-Artikolu 61 tar-Regolament (UE) Nru 575/2013.</w:t>
            </w:r>
          </w:p>
          <w:p w14:paraId="66E56E67" w14:textId="5AF6C892" w:rsidR="00021E4F" w:rsidRPr="0008623B" w:rsidRDefault="00E94218" w:rsidP="00E9421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Fil-każ tal-MREL, l-istrumenti rregolati mil-liġi ta’ pajjiż terz għandhom jiġu inklużi biss f’din ir-ringiela jekk jissodisfaw ir-rekwiżiti stipulati fl-Artikolu 55 tad-Direttiva 2014/59/UE.</w:t>
            </w:r>
          </w:p>
        </w:tc>
      </w:tr>
      <w:tr w:rsidR="00026FC1" w:rsidRPr="0008623B" w14:paraId="2781CFBF" w14:textId="77777777" w:rsidTr="00E46262">
        <w:tc>
          <w:tcPr>
            <w:tcW w:w="1030" w:type="dxa"/>
          </w:tcPr>
          <w:p w14:paraId="6B607587" w14:textId="58DB8643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7736" w:type="dxa"/>
          </w:tcPr>
          <w:p w14:paraId="30A3A120" w14:textId="05F7C1CC" w:rsidR="00021E4F" w:rsidRPr="002D1439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Kapital tal-Grad 2 (T2)</w:t>
            </w:r>
          </w:p>
          <w:p w14:paraId="6F849BF3" w14:textId="3A19BC99" w:rsidR="00021E4F" w:rsidRPr="002D1439" w:rsidRDefault="00021E4F" w:rsidP="001F75A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Il-kapital tal-Grad 2 tal-grupp ta’ riżoluzzjoni, ikkalkolat f’konformità mal-Artikolu 71 tar-Regolament (UE) Nru 575/2013.</w:t>
            </w:r>
          </w:p>
          <w:p w14:paraId="2C50816C" w14:textId="487961E7" w:rsidR="00E94218" w:rsidRPr="002D1439" w:rsidRDefault="00E94218" w:rsidP="001F75A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Fil-każ tal-MREL, l-istrumenti rregolati mil-liġi ta’ pajjiż terz għandhom jiġu inklużi biss f’din ir-ringiela jekk jissodisfaw ir-rekwiżiti stipulati fl-Artikolu 55 tad-Direttiva 2014/59/UE.</w:t>
            </w:r>
          </w:p>
        </w:tc>
      </w:tr>
      <w:tr w:rsidR="00026FC1" w:rsidRPr="0008623B" w14:paraId="77060B4B" w14:textId="77777777" w:rsidTr="00E46262">
        <w:tc>
          <w:tcPr>
            <w:tcW w:w="1030" w:type="dxa"/>
          </w:tcPr>
          <w:p w14:paraId="62D73831" w14:textId="2A91E8D9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7736" w:type="dxa"/>
          </w:tcPr>
          <w:p w14:paraId="3A0853BF" w14:textId="73ADC517" w:rsidR="00021E4F" w:rsidRPr="002D1439" w:rsidRDefault="00021E4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 xml:space="preserve">Fondi proprji għall-finijiet tal-Artikolu 92a tar-Regolament (UE) Nru 575/2013 u l-Artikolu 45 tad-Direttiva 2014/59/UE </w:t>
            </w:r>
          </w:p>
          <w:p w14:paraId="61FB0BF1" w14:textId="6C6EEBF4" w:rsidR="00021E4F" w:rsidRPr="002D1439" w:rsidRDefault="00021E4F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Il-fondi proprji għall-finijiet tal-Artikoli 92a tar-Regolament (UE) Nru 575/2013 u l-Artikolu 45 tad-Direttiva 2014/59/UE, li għandhom jiġu kkalkolati bħala r-ringiela 1 flimkien mar-ringiela 2 flimkien mar-ringiela 6.</w:t>
            </w:r>
          </w:p>
        </w:tc>
      </w:tr>
      <w:tr w:rsidR="00026FC1" w:rsidRPr="0008623B" w14:paraId="5B3A8911" w14:textId="77777777" w:rsidTr="00E46262">
        <w:tc>
          <w:tcPr>
            <w:tcW w:w="1030" w:type="dxa"/>
          </w:tcPr>
          <w:p w14:paraId="3865D42E" w14:textId="14C5B714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7736" w:type="dxa"/>
          </w:tcPr>
          <w:p w14:paraId="5BC74910" w14:textId="5B101009" w:rsidR="00BD6570" w:rsidRPr="0008623B" w:rsidRDefault="00021E4F" w:rsidP="00BD657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Strumenti ta’ obbligazzjonijiet eliġibbli maħruġa direttament mill-entità ta’ riżoluzzjoni li huma subordinati għall-obbligazzjonijiet esklużi (mhux soġġetti għal anterjorità)</w:t>
            </w:r>
          </w:p>
          <w:p w14:paraId="074ADC7C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5DF92336" w14:textId="765EDF5B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L-obbligazzjonijiet eliġibbli inklużi fl-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ammont ta’ fondi proprji u obbligazzjonijiet eliġibbli skont l-Artikolu 45b tad-Direttiva 2014/59/UE li huma strumenti eliġibbli subordinati kif definiti fl-Artikolu 2(1), il-punt (71b) tad-Direttiva 2014/59/UE u li jinħarġu direttament mill-entità ta’ riżoluzzjoni.</w:t>
            </w:r>
          </w:p>
          <w:p w14:paraId="26CA1F30" w14:textId="30AB9FAB" w:rsidR="00A97842" w:rsidRPr="0008623B" w:rsidRDefault="00A9784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39C8C83A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66B62B57" w14:textId="0743E841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jikkonformaw mar-rekwiżiti kollha stabbiliti fl-Artikoli 72a sa 72d tar-Regolament (UE) Nru 575/2013, bl-esklużjoni tal-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obbligazzjonijiet permessi li jikkwalifikaw bħala strumenti ta’ obbligazzjonijiet eliġibbli skont l-Artikolu 72b(3) jew (4) ta’ dak ir-Regolament, u li jinħarġu direttament mill-entità ta’ riżoluzzjoni.</w:t>
            </w:r>
          </w:p>
          <w:p w14:paraId="1DC64B11" w14:textId="43193578" w:rsidR="00021E4F" w:rsidRPr="0008623B" w:rsidRDefault="00BD6570" w:rsidP="002A1CB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la għandha tinkludi l-porzjon ammortizzat tal-istrumenti tal-Grad 2, fejn il-maturità li jifdal tkun akbar minn sena (l-Artikolu 72a(1) tar-Regolament (UE) Nru 575/2013) u lanqas l-obbligazzjonijiet, il-punt (b), eliġibbli soġġetti għal anterjorità skont l-Artikolu 494b tar-Regolament (UE) Nru 575/2013.</w:t>
            </w:r>
          </w:p>
        </w:tc>
      </w:tr>
      <w:tr w:rsidR="00026FC1" w:rsidRPr="0008623B" w14:paraId="138E2D9C" w14:textId="77777777" w:rsidTr="00E46262">
        <w:tc>
          <w:tcPr>
            <w:tcW w:w="1030" w:type="dxa"/>
          </w:tcPr>
          <w:p w14:paraId="6FA92C5C" w14:textId="69DE2A40" w:rsidR="00021E4F" w:rsidRPr="0008623B" w:rsidRDefault="00D571F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EU-12 a</w:t>
            </w:r>
          </w:p>
        </w:tc>
        <w:tc>
          <w:tcPr>
            <w:tcW w:w="7736" w:type="dxa"/>
          </w:tcPr>
          <w:p w14:paraId="5358B90C" w14:textId="357A9C41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Strumenti ta’ obbligazzjonijiet eliġibbli maħruġa minn entitajiet oħrajn fil-grupp ta’ riżoluzzjoni li huma subordinati għall-obbligazzjonijiet esklużi (mhux soġġetti għal anterjorità)</w:t>
            </w:r>
          </w:p>
          <w:p w14:paraId="57A6D73A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369BA2B0" w14:textId="05CA7721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inklużi fl-ammont ta’ fondi proprji u obbligazzjonijiet eliġibbli skont l-Artikolu 45b tad-Direttiva 2014/59/UE li jinħarġu minn sussidjarji u inklużi f’MREL f’konformità mal-Artikolu 45b(3) ta’ dik id-Direttiva.</w:t>
            </w:r>
          </w:p>
          <w:p w14:paraId="02BD22DB" w14:textId="392507F9" w:rsidR="003E4404" w:rsidRPr="0008623B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0BBD12E2" w14:textId="7EA7B44E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6F8A0C84" w14:textId="0CA61C04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jikkonformaw mar-rekwiżiti kollha stabbiliti fl-Artikoli 72a sa 72d tar-Regolament (UE) Nru 575/2013, bl-esklużjoni tal-obbligazzjonijiet permessi li jikkwalifikaw bħala strumenti ta’ obbligazzjonijiet eliġibbli skont l-Artikolu 72b(3) jew (4) ta’ dak ir-Regolament, li jinħarġu minn sussidjarji u jikkwalifikaw sabiex jiġu inklużi fl-istrumenti tal-obbligazzjonijiet eliġibbli kkonsolidati ta’ entità skont l-Artikolu 88a ta’ dak ir-Regolament (UE) Nru 575/2013.</w:t>
            </w:r>
          </w:p>
          <w:p w14:paraId="0DBFD655" w14:textId="5A3E4820" w:rsidR="00021E4F" w:rsidRPr="0008623B" w:rsidRDefault="00BD6570" w:rsidP="002A1CB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la għandha tinkludi l-porzjon ammortizzat tal-istrumenti tal-Grad 2, fejn il-maturità li jifdal tkun akbar minn sena (l-Artikolu 72a(1) tar-Regolament (UE) Nru 575/2013) u lanqas l-obbligazzjonijiet, il-punt (b), eliġibbli soġġetti għal anterjorità skont l-Artikolu 494b tar-Regolament (UE) Nru 575/2013.</w:t>
            </w:r>
          </w:p>
        </w:tc>
      </w:tr>
      <w:tr w:rsidR="00922937" w:rsidRPr="0008623B" w14:paraId="128E215B" w14:textId="77777777" w:rsidTr="00E46262">
        <w:tc>
          <w:tcPr>
            <w:tcW w:w="1030" w:type="dxa"/>
          </w:tcPr>
          <w:p w14:paraId="59505232" w14:textId="6BA871E1" w:rsidR="00922937" w:rsidRPr="0008623B" w:rsidRDefault="0092293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EU-12b</w:t>
            </w:r>
          </w:p>
        </w:tc>
        <w:tc>
          <w:tcPr>
            <w:tcW w:w="7736" w:type="dxa"/>
          </w:tcPr>
          <w:p w14:paraId="120C20CA" w14:textId="0D51C3A9" w:rsidR="00922937" w:rsidRPr="0008623B" w:rsidRDefault="00922937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Strumenti tal-obbligazzjonijiet eliġibbli li huma subordinati għall-obbligazzjonijiet esklużi maħruġa qabel is-27 ta’ Ġunju 2019 (subordinati soġġetti għal anterjorità)</w:t>
            </w:r>
          </w:p>
          <w:p w14:paraId="31DC06A4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60F78D8E" w14:textId="77777777" w:rsidR="00BD6570" w:rsidRPr="0008623B" w:rsidRDefault="00BD6570" w:rsidP="00B62DC9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L-obbligazzjonijiet eliġibbli li jissodisfaw il-kundizzjonijiet li ġejjin:</w:t>
            </w:r>
          </w:p>
          <w:p w14:paraId="13FE6179" w14:textId="7E1CDD80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ikunu nħarġu qabel is-27 ta’ Ġunju 2019;</w:t>
            </w:r>
          </w:p>
          <w:p w14:paraId="20EE0D1D" w14:textId="2261ECA3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ikunu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strumenti eliġibbli subordinati kif definiti fl-Artikolu 2(1), il-punt (71b) tad-Direttiva 2014/59/UE; </w:t>
            </w:r>
          </w:p>
          <w:p w14:paraId="6779E72D" w14:textId="44987C71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 xml:space="preserve">ikunu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inklużi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f’fondi proprji u obbligazzjonijiet eliġibbli bħala riżultat tal-Artikolu 494b(3) tar-Regolament (UE) Nru 575/2013.</w:t>
            </w:r>
          </w:p>
          <w:p w14:paraId="3997A101" w14:textId="21BFEA1B" w:rsidR="003E4404" w:rsidRPr="0008623B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4AA69ACA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748D115E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li jissodisfaw il-kundizzjonijiet li ġejjin:</w:t>
            </w:r>
          </w:p>
          <w:p w14:paraId="62E0491E" w14:textId="7B8C3AD6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ikunu nħarġu qabel is-27 ta’ Ġunju 2019;</w:t>
            </w:r>
          </w:p>
          <w:p w14:paraId="5161FB69" w14:textId="33B28B47" w:rsidR="00BD6570" w:rsidRPr="002D1439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b/>
                <w:sz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jikkonformaw mal-Artikolu 72b(2), il-punt (d), tar-Regolament (UE) Nru 575/2013;</w:t>
            </w:r>
          </w:p>
          <w:p w14:paraId="796E2BAA" w14:textId="102908EC" w:rsidR="00922937" w:rsidRPr="002D1439" w:rsidRDefault="00BD6570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jikkwalifikaw bħala obbligazzjonijiet eliġibbli bħala riżultat tal-anterjorità stabbilita fl-Artikolu 494</w:t>
            </w:r>
            <w:proofErr w:type="gramStart"/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b(</w:t>
            </w:r>
            <w:proofErr w:type="gramEnd"/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3) tar-Regolament (UE) Nru 575/2013.</w:t>
            </w:r>
          </w:p>
        </w:tc>
      </w:tr>
      <w:tr w:rsidR="00BA315F" w:rsidRPr="0008623B" w14:paraId="5089A67B" w14:textId="77777777" w:rsidTr="00E46262">
        <w:tc>
          <w:tcPr>
            <w:tcW w:w="1030" w:type="dxa"/>
          </w:tcPr>
          <w:p w14:paraId="4A7EDDF2" w14:textId="7325896B" w:rsidR="00BA315F" w:rsidRPr="0008623B" w:rsidRDefault="00BA315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EU-12c</w:t>
            </w:r>
          </w:p>
        </w:tc>
        <w:tc>
          <w:tcPr>
            <w:tcW w:w="7736" w:type="dxa"/>
          </w:tcPr>
          <w:p w14:paraId="278B1172" w14:textId="77777777" w:rsidR="00BA315F" w:rsidRPr="002D1439" w:rsidRDefault="00BA315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Strumenti tal-Grad 2 b’maturità residwa ta’ mill-inqas sena sal-punt li ma jikkwalifikawx bħala entrati tal-Grad 2</w:t>
            </w:r>
          </w:p>
          <w:p w14:paraId="6F3FB28E" w14:textId="6395E75A" w:rsidR="00334BA5" w:rsidRPr="002D1439" w:rsidRDefault="00334BA5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Il-porzjon ammortizzat tal-istrumenti tal-Grad 2, fejn il-maturità li jifdal tkun akbar minn sena (l-Artikolu </w:t>
            </w:r>
            <w:proofErr w:type="gramStart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72a(</w:t>
            </w:r>
            <w:proofErr w:type="gramEnd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1), il-punt (b) tar-Regolament (UE) Nru 575/2013).</w:t>
            </w:r>
          </w:p>
          <w:p w14:paraId="4FD8D86D" w14:textId="2C5E3644" w:rsidR="00BA315F" w:rsidRPr="002D1439" w:rsidRDefault="00BA315F" w:rsidP="006501C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Huwa biss l-ammont mhux rikonoxxut f’fondi proprji, iżda li jissodisfa l-kriterji kollha tal-eliġibbiltà stipulati fl-Artikolu 72b tar-Regolament (UE) Nru 575/2013, li għandu jiġi ppreżentat f’din ir-ringiela.</w:t>
            </w:r>
          </w:p>
          <w:p w14:paraId="001569D4" w14:textId="08D94941" w:rsidR="003E4404" w:rsidRPr="002D1439" w:rsidRDefault="003E4404" w:rsidP="003E440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Fil-każ tal-MREL, l-istrumenti rregolati mil-liġi ta’ pajjiż terz għandhom jiġu inklużi biss f’din ir-ringiela jekk jissodisfaw ir-rekwiżiti stipulati fl-Artikolu 55 tad-Direttiva 2014/59/UE.</w:t>
            </w:r>
          </w:p>
        </w:tc>
      </w:tr>
      <w:tr w:rsidR="00026FC1" w:rsidRPr="0008623B" w14:paraId="64D6FD96" w14:textId="77777777" w:rsidTr="00E46262">
        <w:tc>
          <w:tcPr>
            <w:tcW w:w="1030" w:type="dxa"/>
          </w:tcPr>
          <w:p w14:paraId="50786C06" w14:textId="52DA5E60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7736" w:type="dxa"/>
          </w:tcPr>
          <w:p w14:paraId="5D613CA9" w14:textId="2F1AE58A" w:rsidR="009B2422" w:rsidRPr="0008623B" w:rsidRDefault="009B2422" w:rsidP="00E9630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Obbligazzjonijiet eliġibbli li mhumiex subordinati għal obbligazzjonijiet esklużi (mhux soġġetti għal anterjorità qabel il-limitu massimu)</w:t>
            </w:r>
          </w:p>
          <w:p w14:paraId="7660F6FC" w14:textId="77777777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00F0085A" w14:textId="242F8AE9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li jikkonformaw mal-kundizzjonijiet stabbiliti fl-Artikolu 45b tad-Direttiva 2014/59/UE u li mhumiex kompletament subordinati għal pretensjonijiet li jirriżultaw mill-obbligazzjonijiet esklużi msemmija fl-Artikolu 72a(2) tar-Regolament (UE) Nru 575/2013.</w:t>
            </w:r>
          </w:p>
          <w:p w14:paraId="2C657BAC" w14:textId="12DC0920" w:rsidR="003E4404" w:rsidRPr="0008623B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137D2044" w14:textId="77777777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24B93B1" w14:textId="5A6FE155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jikkonformaw mar-rekwiżiti stabbiliti fl-Artikoli 72a sa 72d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, ħlief għall-Artikolu 72b(2), il-punt (d), ta’ dak ir-Regolament, u li jistgħu jkunu permessi li jikkwalifikaw bħala strumenti ta’ obbligazzjonijiet eliġibbli skont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l-Artikolu 72b(3) ta’ dak ir-Regolament jew li huma permessi li jikkwalifikaw bħala strumenti ta’ obbligazzjonijiet eliġibbli skont l-Artikolu 72b(4) ta’ dak ir-Regolament.</w:t>
            </w:r>
          </w:p>
          <w:p w14:paraId="686DBB1D" w14:textId="3C40B2C0" w:rsidR="009B2422" w:rsidRPr="0008623B" w:rsidRDefault="004B3067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Fejn japplika l-Artikolu 72b(3) tar-Regolament (UE) Nru 575/2013 jew l-Artikolu 494(2) tar-Regolament (UE) Nru 575/2013, l-ammont sħiħ mingħajr applikazzjoni tal-limitu massimu ta’ 3,5 % u 2,5 % rispettivament għandu jiġi divulgat f’din ir-ringiela.</w:t>
            </w:r>
          </w:p>
          <w:p w14:paraId="2AE31630" w14:textId="5BBA380B" w:rsidR="009B2422" w:rsidRPr="0008623B" w:rsidRDefault="009B2422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ma għandha tinkludi l-ebda ammont rikonoxxibbli fuq bażi tranżitorja f’konformità mal-Artikolu 494b(3) tar-Regolament (UE) Nru 575/2013.</w:t>
            </w:r>
          </w:p>
        </w:tc>
      </w:tr>
      <w:tr w:rsidR="00922937" w:rsidRPr="0008623B" w14:paraId="54947575" w14:textId="77777777" w:rsidTr="00E46262">
        <w:tc>
          <w:tcPr>
            <w:tcW w:w="1030" w:type="dxa"/>
          </w:tcPr>
          <w:p w14:paraId="034E19A1" w14:textId="2AE4D60C" w:rsidR="00922937" w:rsidRPr="0008623B" w:rsidRDefault="0092293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EU-13 a</w:t>
            </w:r>
          </w:p>
        </w:tc>
        <w:tc>
          <w:tcPr>
            <w:tcW w:w="7736" w:type="dxa"/>
          </w:tcPr>
          <w:p w14:paraId="69BC0D22" w14:textId="6A00E4CF" w:rsidR="00922937" w:rsidRPr="0008623B" w:rsidRDefault="00922937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Obbligazzjonijiet eliġibbli li mhumiex subordinati għall-obbligazzjonijiet esklużi maħruġa qabel is-27 ta’ Ġunju 2019 (qabel il-limitu massimu)</w:t>
            </w:r>
          </w:p>
          <w:p w14:paraId="56BE4571" w14:textId="77777777" w:rsidR="009B2422" w:rsidRPr="0008623B" w:rsidRDefault="009B2422" w:rsidP="009B2422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5C7AEC52" w14:textId="77777777" w:rsidR="009B2422" w:rsidRPr="0008623B" w:rsidRDefault="009B2422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L-obbligazzjonijiet eliġibbli li jissodisfaw il-kundizzjonijiet li ġejjin:</w:t>
            </w:r>
          </w:p>
          <w:p w14:paraId="72C8F1AF" w14:textId="72479061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ikunu nħarġu qabel is-27 ta’ Ġunju 2019;</w:t>
            </w:r>
          </w:p>
          <w:p w14:paraId="21ECB5FF" w14:textId="573F7AE6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ikunu konformi mal-kundizzjonijiet stabbiliti fl-Artikolu 45b tad-Direttiva 2014/59/UE u ma jkunux kompletament subordinati għal pretensjonijiet li jirriżultaw mill-obbligazzjonijiet esklużi msemmija fl-Artikolu 72a(2) tar-Regolament (UE) Nru 575/2013;</w:t>
            </w:r>
          </w:p>
          <w:p w14:paraId="110EAF03" w14:textId="67157606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jikkwalifikaw bħala obbligazzjonijiet eliġibbli bħala riżultat tal-anterjorità stabbilita fl-Artikolu 494b(3) tar-Regolament (UE) Nru 575/2013.</w:t>
            </w:r>
          </w:p>
          <w:p w14:paraId="0E373313" w14:textId="3B67958D" w:rsidR="003E4404" w:rsidRPr="0008623B" w:rsidRDefault="003E4404" w:rsidP="005F391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7B5CC27B" w14:textId="77777777" w:rsidR="009B2422" w:rsidRPr="0008623B" w:rsidRDefault="009B2422" w:rsidP="009B2422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309DD1F6" w14:textId="730AFC17" w:rsidR="009B2422" w:rsidRPr="0008623B" w:rsidRDefault="008E71C3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L-obbligazzjonijiet eliġibbli li jissodisfaw il-kundizzjonijiet li ġejjin:</w:t>
            </w:r>
          </w:p>
          <w:p w14:paraId="318C85C9" w14:textId="7DED1DBB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ikunu nħarġu qabel is-27 ta’ Ġunju 2019;</w:t>
            </w:r>
          </w:p>
          <w:p w14:paraId="76F54B6E" w14:textId="0FE12834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ikunu konformi mar-rekwiżiti stabbiliti fl-Artikoli 72a sa 72d tar-Regolament (UE) Nru 575/2013, ħlief għall-Artikolu 72b(2), il-punt (d), ta’ dak ir-Regolament, u </w:t>
            </w:r>
            <w:r>
              <w:rPr>
                <w:rStyle w:val="FormatvorlageInstructionsTabelleText"/>
                <w:rFonts w:ascii="Times New Roman" w:hAnsi="Times New Roman"/>
                <w:color w:val="000000" w:themeColor="text1"/>
                <w:sz w:val="24"/>
              </w:rPr>
              <w:t>li jistgħu jkunu permessi li jikkwalifikaw bħala strumenti ta’ obbligazzjonijiet eliġibbli skont l-Artikolu 72b(3) ta’ dak ir-Regolament jew li huma permessi li jikkwalifikaw bħala strumenti ta’ obbligazzjonijiet eliġibbli skont l-Artikolu 72b(4) tar-Regolament (UE) Nru 575/2013;</w:t>
            </w:r>
          </w:p>
          <w:p w14:paraId="2DB1E71A" w14:textId="66F98C46" w:rsidR="003312F4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jikkwalifikaw bħala obbligazzjonijiet eliġibbli bħala riżultat tal-anterjorità stabbilita fl-Artikolu 494b(3) tar-Regolament (UE) Nru 575/2013.</w:t>
            </w:r>
          </w:p>
          <w:p w14:paraId="6639DB06" w14:textId="22A4459E" w:rsidR="009B2422" w:rsidRPr="0008623B" w:rsidRDefault="00A150DD" w:rsidP="00A150D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Fejn japplika l-Artikolu 72b(3) tar-Regolament (UE) Nru 575/2013 jew l-Artikolu 494(2) tar-Regolament (UE) Nru 575/2013, l-ammont sħiħ mingħajr applikazzjoni tal-limitu massimu ta’ 3,5 % u 2,5 % rispettivament għandu jiġi rrapportat f’din ir-ringiela.</w:t>
            </w:r>
          </w:p>
        </w:tc>
      </w:tr>
      <w:tr w:rsidR="00026FC1" w:rsidRPr="0008623B" w14:paraId="219A8816" w14:textId="77777777" w:rsidTr="00E46262">
        <w:tc>
          <w:tcPr>
            <w:tcW w:w="1030" w:type="dxa"/>
          </w:tcPr>
          <w:p w14:paraId="26CB4EA4" w14:textId="1E635F7F" w:rsidR="00021E4F" w:rsidRPr="0008623B" w:rsidRDefault="0070237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14</w:t>
            </w:r>
          </w:p>
        </w:tc>
        <w:tc>
          <w:tcPr>
            <w:tcW w:w="7736" w:type="dxa"/>
          </w:tcPr>
          <w:p w14:paraId="6094B9AD" w14:textId="53C6E214" w:rsidR="00021E4F" w:rsidRPr="0008623B" w:rsidRDefault="00922937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L-ammont ta’ strumenti mhux subordinati tal-obbligazzjonijiet eliġibbli, fejn applikabbli wara l-applikazzjoni tal-Artikolu 72b(3) tar-Regolament (UE) Nru 575/2013</w:t>
            </w:r>
          </w:p>
          <w:p w14:paraId="78F7998F" w14:textId="77777777" w:rsidR="000C6F8C" w:rsidRPr="002D1439" w:rsidRDefault="000C6F8C" w:rsidP="008E71C3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i/>
                <w:color w:val="000000" w:themeColor="text1"/>
                <w:sz w:val="24"/>
                <w:lang w:val="es-ES"/>
              </w:rPr>
              <w:t>MREL</w:t>
            </w:r>
          </w:p>
          <w:p w14:paraId="02BBE4C9" w14:textId="6CA91799" w:rsidR="000C6F8C" w:rsidRPr="002D1439" w:rsidRDefault="000C6F8C" w:rsidP="008E71C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Din ir-ringiela għandha tkun daqs ir-ringiela 13 flimkien mar-ringiela EU-13a.</w:t>
            </w:r>
          </w:p>
          <w:p w14:paraId="03898B83" w14:textId="77777777" w:rsidR="000C6F8C" w:rsidRPr="002D1439" w:rsidRDefault="000C6F8C" w:rsidP="008E71C3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i/>
                <w:color w:val="000000" w:themeColor="text1"/>
                <w:sz w:val="24"/>
                <w:lang w:val="es-ES"/>
              </w:rPr>
              <w:t>TLAC</w:t>
            </w:r>
          </w:p>
          <w:p w14:paraId="34E50C43" w14:textId="098233F1" w:rsidR="000C6F8C" w:rsidRPr="002D1439" w:rsidRDefault="003E4404" w:rsidP="008E71C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Meta jiġi applikat l-Artikolu 72</w:t>
            </w:r>
            <w:proofErr w:type="gramStart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b(</w:t>
            </w:r>
            <w:proofErr w:type="gramEnd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3) tar-Regolament (UE) Nru 575/2013, din ir-ringiela turi s-somma tal-ammonti divulgati fir-ringieli 13 u 13a hawn fuq wara l-applikazzjoni tal-Artikolu 72b(3) u tal-Artikolu 494(2) ta’ dak ir-Regolament, rispettivament. </w:t>
            </w:r>
          </w:p>
          <w:p w14:paraId="5A30EA54" w14:textId="5EC0D4FB" w:rsidR="00021E4F" w:rsidRPr="002D1439" w:rsidRDefault="000C6F8C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Meta l-Artikolu 72</w:t>
            </w:r>
            <w:proofErr w:type="gramStart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b(</w:t>
            </w:r>
            <w:proofErr w:type="gramEnd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3) tar-Regolament (UE) Nru 575/2013 ma jiġix applikat, iżda l-entità tibbenefika mill-applikazzjoni tal-Artikolu 72b(4) tar-Regolament (UE) Nru 575/2013, din ir-ringiela għandha tkun daqs ir-ringieli 13 flimkien mar-ringiela EU-13a.</w:t>
            </w:r>
          </w:p>
        </w:tc>
      </w:tr>
      <w:tr w:rsidR="00026FC1" w:rsidRPr="0008623B" w14:paraId="329EB7E3" w14:textId="77777777" w:rsidTr="00E46262">
        <w:tc>
          <w:tcPr>
            <w:tcW w:w="1030" w:type="dxa"/>
          </w:tcPr>
          <w:p w14:paraId="0D278793" w14:textId="45736042" w:rsidR="00021E4F" w:rsidRPr="0008623B" w:rsidRDefault="0070237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7736" w:type="dxa"/>
          </w:tcPr>
          <w:p w14:paraId="4088C906" w14:textId="78FD4FAE" w:rsidR="00021E4F" w:rsidRPr="002D1439" w:rsidRDefault="00021E4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Entrati ta’ obbligazzjonijiet eliġibbli qabel l-aġġustamenti</w:t>
            </w:r>
          </w:p>
          <w:p w14:paraId="22690983" w14:textId="2BAD1B47" w:rsidR="00021E4F" w:rsidRPr="002D1439" w:rsidRDefault="00021E4F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L-entrati ta’ obbligazzjonijiet eliġibbli qabel l-aġġustamenti. Għandhom jiġu kkalkolati bħala r-ringiela 12 flimkien mar-ringiela EU-12a flimkien mar-ringiela EU-12b flimkien mar-ringiela EU-12c flimkien mar-ringiela 14.</w:t>
            </w:r>
          </w:p>
        </w:tc>
      </w:tr>
      <w:tr w:rsidR="00633625" w:rsidRPr="0008623B" w14:paraId="2D0BC40A" w14:textId="77777777" w:rsidTr="00E46262">
        <w:tc>
          <w:tcPr>
            <w:tcW w:w="1030" w:type="dxa"/>
          </w:tcPr>
          <w:p w14:paraId="2FC5E554" w14:textId="764C5877" w:rsidR="00633625" w:rsidRPr="0008623B" w:rsidRDefault="00633625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EU-17 a</w:t>
            </w:r>
          </w:p>
        </w:tc>
        <w:tc>
          <w:tcPr>
            <w:tcW w:w="7736" w:type="dxa"/>
          </w:tcPr>
          <w:p w14:paraId="1A128FD1" w14:textId="1FF7039A" w:rsidR="00633625" w:rsidRPr="0008623B" w:rsidRDefault="00B80F7C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Entrati ta’ obbligazzjonijiet eliġibbli qabel l-aġġustamenti - Li minnhom entrati ta’ obbligazzjonijiet subordinati</w:t>
            </w:r>
          </w:p>
          <w:p w14:paraId="4B5B9304" w14:textId="77777777" w:rsidR="002432DE" w:rsidRPr="0008623B" w:rsidRDefault="002432DE" w:rsidP="00915305">
            <w:pP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2089EA6F" w14:textId="630F5208" w:rsidR="00DB779A" w:rsidRPr="0008623B" w:rsidRDefault="00DB779A" w:rsidP="00915305">
            <w:pPr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L-obbligazzjonijiet eliġibbli inklużi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fl-ammont ta’ fondi proprji u obbligazzjonijiet eliġibbli skont l-Artikolu 45b tad-Direttiva 2014/59/UE li huma strumenti eliġibbli subordinati kif definiti fl-Artikolu 2(1), il-punt (71b) ta’ dik id-Direttiva, u l-obbligazzjonijiet maħruġa minn sussidjarji li huma inklużi fl-MREL f’konformità mal-Artikolu 45b(3) ta’ dik id-Direttiva.</w:t>
            </w:r>
          </w:p>
          <w:p w14:paraId="69D83FC1" w14:textId="5DCAE08F" w:rsidR="003E4404" w:rsidRPr="0008623B" w:rsidRDefault="003E4404" w:rsidP="00915305">
            <w:pPr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740C1237" w14:textId="77777777" w:rsidR="002432DE" w:rsidRPr="0008623B" w:rsidRDefault="002432DE" w:rsidP="00915305">
            <w:pP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04429143" w14:textId="6BD51A61" w:rsidR="002432DE" w:rsidRPr="0008623B" w:rsidRDefault="002432DE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jikkonformaw mar-rekwiżiti kollha stabbiliti fl-Artikoli 72a sa 72d tar-Regolament (UE) Nru 575/2013, bl-esklużjoni tal-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obbligazzjonijiet permessi li jikkwalifikaw bħala strumenti ta’ obbligazzjonijiet eliġibbli skont l-Artikolu 72b(3) jew (4) ta’ dak ir-Regolament.</w:t>
            </w:r>
          </w:p>
          <w:p w14:paraId="2EEECCE3" w14:textId="4B15BE1E" w:rsidR="002432DE" w:rsidRPr="0008623B" w:rsidRDefault="002432DE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 l-obbligazzjonijiet subordinati li huma eliġibbli bħala riżultat tal-anterjorità f’konformità mal-Artikolu 494b tar-Regolament (UE) Nru 575/2013 u l-porzjon ammortizzat tal-istrumenti tal-Grad 2, fejn il-maturità li jifdal tkun akbar minn sena (l-Artikolu 72a(1), il-punt (b), tar-Regolament (UE) Nru 575/2013).</w:t>
            </w:r>
          </w:p>
          <w:p w14:paraId="55FB8435" w14:textId="63FEC689" w:rsidR="002432DE" w:rsidRPr="002D1439" w:rsidRDefault="002432DE" w:rsidP="00B62DC9">
            <w:pPr>
              <w:pStyle w:val="InstructionsText"/>
              <w:rPr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Għandhom jiġu kkalkolati bħala r-ringiela 12 flimkien mar-ringiela EU-12a flimkien mar-ringiela EU-12b flimkien mar-ringiela EU-12c.</w:t>
            </w:r>
          </w:p>
        </w:tc>
      </w:tr>
      <w:tr w:rsidR="00026FC1" w:rsidRPr="0008623B" w14:paraId="45424BEE" w14:textId="77777777" w:rsidTr="00E46262">
        <w:tc>
          <w:tcPr>
            <w:tcW w:w="1030" w:type="dxa"/>
          </w:tcPr>
          <w:p w14:paraId="747BC26F" w14:textId="022289A3" w:rsidR="00702377" w:rsidRPr="0008623B" w:rsidRDefault="00702377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18</w:t>
            </w:r>
          </w:p>
        </w:tc>
        <w:tc>
          <w:tcPr>
            <w:tcW w:w="7736" w:type="dxa"/>
          </w:tcPr>
          <w:p w14:paraId="4ADF1782" w14:textId="77777777" w:rsidR="00702377" w:rsidRPr="002D1439" w:rsidRDefault="00702377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Entrati ta’ fondi proprji u obbligazzjonijiet eliġibbli qabel l-aġġustamenti</w:t>
            </w:r>
          </w:p>
          <w:p w14:paraId="151E44CE" w14:textId="2369C944" w:rsidR="00702377" w:rsidRPr="0008623B" w:rsidRDefault="00702377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L-entrati ta’ fondi proprji u obbligazzjonijiet eliġibbli qabel l-aġġustamenti.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Għandhom jiġu kkalkolati bħala r-ringiela 11 flimkien mar-ringiela 17.</w:t>
            </w:r>
          </w:p>
        </w:tc>
      </w:tr>
      <w:tr w:rsidR="00026FC1" w:rsidRPr="0008623B" w14:paraId="74F69B7A" w14:textId="77777777" w:rsidTr="00E46262">
        <w:tc>
          <w:tcPr>
            <w:tcW w:w="1030" w:type="dxa"/>
          </w:tcPr>
          <w:p w14:paraId="1B67D30A" w14:textId="6055FAE6" w:rsidR="00702377" w:rsidRPr="0008623B" w:rsidRDefault="00702377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7736" w:type="dxa"/>
          </w:tcPr>
          <w:p w14:paraId="7917D77C" w14:textId="37BD1628" w:rsidR="00702377" w:rsidRPr="0008623B" w:rsidRDefault="00D413AD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(Tnaqqis ta’ skoperturi bejn gruppi ta’ riżoluzzjoni ta’ punt ta’ dħul multiplu (MPE))</w:t>
            </w:r>
          </w:p>
          <w:p w14:paraId="36A58FE6" w14:textId="45D80DF4" w:rsidR="00A9426B" w:rsidRPr="0008623B" w:rsidRDefault="00A9426B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Ammont negattiv</w:t>
            </w:r>
          </w:p>
          <w:p w14:paraId="0D579B89" w14:textId="657876CE" w:rsidR="00702377" w:rsidRPr="0008623B" w:rsidRDefault="00702377" w:rsidP="00480FB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It-tnaqqis tal-iskoperturi bejn il-gruppi ta’ riżoluzzjoni G-SII tal-MPE, li jikkorrispondu ma’ parteċipazzjonijiet diretti, indiretti jew sintetiċi ta’ strumenti ta’ fondi proprji jew strumenti ta’ obbligazzjonijiet eliġibbli ta’ sussidjarja waħda jew aktar li ma jappartjenux għall-istess grupp ta’ riżoluzzjoni bħall-entità ta’ riżoluzzjoni, f’konformità mal-Artikolu 72e(4) tar-Regolament (UE) Nru 575/2013.</w:t>
            </w:r>
          </w:p>
        </w:tc>
      </w:tr>
      <w:tr w:rsidR="00026FC1" w:rsidRPr="0008623B" w14:paraId="34D251D0" w14:textId="77777777" w:rsidTr="00E46262">
        <w:tc>
          <w:tcPr>
            <w:tcW w:w="1030" w:type="dxa"/>
          </w:tcPr>
          <w:p w14:paraId="33B786D1" w14:textId="62F68C2B" w:rsidR="00702377" w:rsidRPr="0008623B" w:rsidRDefault="00D571F6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7736" w:type="dxa"/>
          </w:tcPr>
          <w:p w14:paraId="22BBBE31" w14:textId="44D9E160" w:rsidR="00702377" w:rsidRPr="0008623B" w:rsidRDefault="00D413AD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(Tnaqqis tal-investimenti fi strumenti ta’ obbligazzjonijiet eliġibbli oħrajn)</w:t>
            </w:r>
          </w:p>
          <w:p w14:paraId="36E83D5C" w14:textId="77777777" w:rsidR="00A9426B" w:rsidRPr="0008623B" w:rsidRDefault="00A9426B" w:rsidP="00A9426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Ammont negattiv</w:t>
            </w:r>
          </w:p>
          <w:p w14:paraId="5109AFDE" w14:textId="3A888804" w:rsidR="00D36DC6" w:rsidRPr="0008623B" w:rsidRDefault="00D36DC6" w:rsidP="00B24DB1">
            <w:pP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160C4AD3" w14:textId="5E7F7684" w:rsidR="00702377" w:rsidRPr="0008623B" w:rsidRDefault="00702377" w:rsidP="00B24DB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It-tnaqqis tal-investimenti fi strumenti ta’ obbligazzjonijiet eliġibbli oħrajn f’konformità mal-Artikoli 72e(1), (2) u (3), u l-Artikoli 72f sa 72j tar-Regolament (UE) Nru 575/2013. L-ammont li għandu jitnaqqas mill-elementi tal-obbligazzjonijiet eliġibbli f’konformità mal-Parti Tnejn, it-Titolu I, il-Kapitolu 5a, it-Taqsima 2, tar-Regolament (UE) Nru 575/2013.</w:t>
            </w:r>
          </w:p>
          <w:p w14:paraId="58A38F14" w14:textId="027B8532" w:rsidR="00D36DC6" w:rsidRPr="0008623B" w:rsidRDefault="00D36DC6" w:rsidP="00B24DB1">
            <w:pP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MREL u TLAC</w:t>
            </w:r>
          </w:p>
          <w:p w14:paraId="131C0401" w14:textId="7FBC18FB" w:rsidR="00BF16DB" w:rsidRPr="0008623B" w:rsidRDefault="00BF16DB" w:rsidP="00B24DB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Din ir-ringiela għandha tinkludi wkoll ammonti koperti minn permess biex jinxtraw, jinfdew, jitħallsu lura jew jinxtraw mill-ġdid strumenti ta’ obbligazzjonijiet eliġibbli f’konformità mal-Artikolu 78 tar-Regolament (UE) Nru 575/2013, sal-punt li l-entità li tiddivulga tkun għadha ma użatx dak l-ammont biex tixtri, tifdi, tħallas lura jew tixtri mill-ġdid strumenti.</w:t>
            </w:r>
          </w:p>
        </w:tc>
      </w:tr>
      <w:tr w:rsidR="00026FC1" w:rsidRPr="0008623B" w14:paraId="739A1A6D" w14:textId="77777777" w:rsidTr="00E46262">
        <w:tc>
          <w:tcPr>
            <w:tcW w:w="1030" w:type="dxa"/>
          </w:tcPr>
          <w:p w14:paraId="03995BED" w14:textId="59572D69" w:rsidR="00702377" w:rsidRPr="0008623B" w:rsidRDefault="00D571F6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22</w:t>
            </w:r>
          </w:p>
        </w:tc>
        <w:tc>
          <w:tcPr>
            <w:tcW w:w="7736" w:type="dxa"/>
          </w:tcPr>
          <w:p w14:paraId="2D6851E4" w14:textId="5FE3EEF7" w:rsidR="00702377" w:rsidRPr="002D1439" w:rsidRDefault="000B4D72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u obbligazzjonijiet eliġibbli wara l-aġġustamenti</w:t>
            </w:r>
          </w:p>
          <w:p w14:paraId="69BED263" w14:textId="4E69A591" w:rsidR="00702377" w:rsidRPr="002D1439" w:rsidRDefault="00702377" w:rsidP="00A9426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Il-fondi proprji u l-obbligazzjonijiet eliġibbli kif definiti fl-Artikolu 72l tar-Regolament (UE) Nru 575/2013. Għandhom jiġu kkalkolati bħala r-ringiela 18 flimkien mar-ringiela 19 flimkien mar-ringiela 20.</w:t>
            </w:r>
          </w:p>
          <w:p w14:paraId="5794043B" w14:textId="1C4A8682" w:rsidR="003E4404" w:rsidRPr="002D1439" w:rsidRDefault="003E4404" w:rsidP="00A9426B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i/>
                <w:color w:val="000000" w:themeColor="text1"/>
                <w:sz w:val="24"/>
                <w:lang w:val="es-ES"/>
              </w:rPr>
              <w:t>MREL</w:t>
            </w:r>
          </w:p>
          <w:p w14:paraId="0DCEFD91" w14:textId="77777777" w:rsidR="005B765F" w:rsidRPr="002D1439" w:rsidRDefault="005B765F" w:rsidP="005B765F">
            <w:pPr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L-ammont ta’ fondi proprji u obbligazzjonijiet eliġibbli li jingħaddu lejn l-MREL għandu jiġi divulgat bħala s-somma ta’:</w:t>
            </w:r>
          </w:p>
          <w:p w14:paraId="58E25068" w14:textId="71FF99F0" w:rsidR="005B765F" w:rsidRPr="002D1439" w:rsidRDefault="005B765F" w:rsidP="00C477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 xml:space="preserve">il-fondi proprji kif stabbiliti fl-Artikolu 4(1), il-punt (118) u l-Artikolu 72 tar-Regolament (UE) Nru 575/2013, </w:t>
            </w:r>
          </w:p>
          <w:p w14:paraId="7D33907A" w14:textId="75C17250" w:rsidR="005B765F" w:rsidRPr="0008623B" w:rsidRDefault="005B765F" w:rsidP="00C477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kif definit fl-Artikolu 2(1), il-punt (71a), tad-Direttiva 2014/59/UE.</w:t>
            </w:r>
          </w:p>
          <w:p w14:paraId="38858668" w14:textId="194B5715" w:rsidR="003E4404" w:rsidRPr="0008623B" w:rsidRDefault="003E4404" w:rsidP="005F391D">
            <w:pPr>
              <w:spacing w:before="120" w:after="120" w:line="240" w:lineRule="auto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7E3B34F5" w14:textId="546FE87E" w:rsidR="003E4404" w:rsidRPr="0008623B" w:rsidRDefault="003E4404" w:rsidP="005F391D">
            <w:pPr>
              <w:spacing w:before="120" w:after="120" w:line="240" w:lineRule="auto"/>
              <w:jc w:val="both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3E3A8B56" w14:textId="3FF85A2A" w:rsidR="005B765F" w:rsidRPr="0008623B" w:rsidRDefault="005B765F" w:rsidP="005B765F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għat-TLAC għandu jkun l-ammont imsemmi fl-Artikolu 72l tar-Regolament (UE) Nru 575/2013, li jikkonsisti fi:</w:t>
            </w:r>
          </w:p>
          <w:p w14:paraId="1CDBC2DF" w14:textId="319B5CC1" w:rsidR="00DB779A" w:rsidRPr="002D1439" w:rsidRDefault="005B765F" w:rsidP="003D0BF6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il-fondi proprji kif stabbiliti fl-Artikolu 4(1), il-punt (118) u l-Artikolu 72 tar-Regolament (UE) Nru 575/2013;</w:t>
            </w:r>
          </w:p>
          <w:p w14:paraId="3185C317" w14:textId="14AD01AB" w:rsidR="005B765F" w:rsidRPr="002D1439" w:rsidRDefault="005B765F" w:rsidP="005B627B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l-obbligazzjonijiet eliġibbli msemmija fl-Artikolu 72k tar-Regolament (UE) Nru 575/2013.</w:t>
            </w:r>
          </w:p>
        </w:tc>
      </w:tr>
      <w:tr w:rsidR="00633625" w:rsidRPr="0008623B" w14:paraId="3C365839" w14:textId="77777777" w:rsidTr="00E46262">
        <w:tc>
          <w:tcPr>
            <w:tcW w:w="1030" w:type="dxa"/>
          </w:tcPr>
          <w:p w14:paraId="13AA7EE3" w14:textId="302E8B20" w:rsidR="00633625" w:rsidRPr="0008623B" w:rsidRDefault="00633625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EU-22a</w:t>
            </w:r>
          </w:p>
        </w:tc>
        <w:tc>
          <w:tcPr>
            <w:tcW w:w="7736" w:type="dxa"/>
          </w:tcPr>
          <w:p w14:paraId="05DA41C9" w14:textId="77777777" w:rsidR="00633625" w:rsidRPr="0008623B" w:rsidRDefault="00633625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fondi proprji u obbligazzjonijiet subordinati</w:t>
            </w:r>
          </w:p>
          <w:p w14:paraId="0ED27DF2" w14:textId="30421E2C" w:rsidR="00DB779A" w:rsidRPr="0008623B" w:rsidRDefault="00DB779A" w:rsidP="00E06D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Fondi proprji, obbligazzjonijiet eliġibbli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inklużi </w:t>
            </w:r>
            <w:r>
              <w:rPr>
                <w:rFonts w:ascii="Times New Roman" w:hAnsi="Times New Roman"/>
                <w:sz w:val="24"/>
              </w:rPr>
              <w:t>fl-ammont ta’ fondi proprji u obbligazzjonijiet eliġibbli skont l-Artikolu 45b tad-Direttiva 2014/59/UE, li huma strumenti eliġibbli subordinati kif definiti Fl-Artikolu 2(1), il-punt (71b) ta’ dik id-Direttiva u obbligazzjonijiet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inklużi fl-ammont ta’ fondi proprji u obbligazzjonijiet eliġibbli skont l-Artikolu 45b(3) tad-Direttiva 2014/59/UE.</w:t>
            </w:r>
          </w:p>
        </w:tc>
      </w:tr>
      <w:tr w:rsidR="00026FC1" w:rsidRPr="0008623B" w14:paraId="129D2D8D" w14:textId="77777777" w:rsidTr="00E46262">
        <w:tc>
          <w:tcPr>
            <w:tcW w:w="1030" w:type="dxa"/>
          </w:tcPr>
          <w:p w14:paraId="1B5B041C" w14:textId="4E1F9AEC" w:rsidR="00702377" w:rsidRPr="0008623B" w:rsidRDefault="00D571F6" w:rsidP="00CE0D4E">
            <w:pPr>
              <w:keepNext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23</w:t>
            </w:r>
          </w:p>
        </w:tc>
        <w:tc>
          <w:tcPr>
            <w:tcW w:w="7736" w:type="dxa"/>
          </w:tcPr>
          <w:p w14:paraId="0DB96856" w14:textId="3D3296F4" w:rsidR="00702377" w:rsidRPr="0008623B" w:rsidRDefault="00702377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L-ammont totali tal-iskopertura għar-riskju (TREA)</w:t>
            </w:r>
          </w:p>
          <w:p w14:paraId="58889E7E" w14:textId="691DB651" w:rsidR="008149F0" w:rsidRPr="0008623B" w:rsidRDefault="00702377" w:rsidP="007E12BA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L-ammont totali tal-iskopertura għar-riskju tal-grupp ta’ riżoluzzjoni f’konformità mal-Artikolu 18(1), it-tieni subparagrafu, tar-Regolament (UE) Nru 575/2013.</w:t>
            </w:r>
          </w:p>
          <w:p w14:paraId="1B151396" w14:textId="33E81FE9" w:rsidR="00702377" w:rsidRPr="0008623B" w:rsidRDefault="008149F0" w:rsidP="00E54D7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totali tal-iskopertura għar-riskju ddivulgat f’din ir-ringiela għandu jkun l-ammont totali tal-iskopertura għar-riskju li huwa l-bażi għall-konformità mar-rekwiżiti stabbiliti fl-Artikolu 45 tad-Direttiva 2014/59/UE jew tal-Artikolu 92a tar-Regolament (UE) Nru 575/2013, kif applikabbli.</w:t>
            </w:r>
          </w:p>
        </w:tc>
      </w:tr>
      <w:tr w:rsidR="00026FC1" w:rsidRPr="0008623B" w14:paraId="28440368" w14:textId="77777777" w:rsidTr="00E46262">
        <w:tc>
          <w:tcPr>
            <w:tcW w:w="1030" w:type="dxa"/>
          </w:tcPr>
          <w:p w14:paraId="32E92C5A" w14:textId="7CF5EC98" w:rsidR="00702377" w:rsidRPr="0008623B" w:rsidRDefault="00D571F6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7736" w:type="dxa"/>
          </w:tcPr>
          <w:p w14:paraId="36574007" w14:textId="1B8A459D" w:rsidR="00702377" w:rsidRPr="002D1439" w:rsidRDefault="00516561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Il-kejl tal-iskopertura totali (TEM)</w:t>
            </w:r>
          </w:p>
          <w:p w14:paraId="778066F0" w14:textId="53FCCE7C" w:rsidR="00702377" w:rsidRPr="002D1439" w:rsidRDefault="00DB779A" w:rsidP="003D0BF6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sz w:val="24"/>
                <w:lang w:val="es-ES"/>
              </w:rPr>
              <w:t>Skont tal-Artikolu 45(2), il-punt (b), tad-Direttiva 2014/59/UE, il-kejl tal-iskopertura totali kkalkolat f’konformità mal-Artikolu 429(4) u l-Artikolu 429a tar-Regolament (UE) Nru 575/2013.</w:t>
            </w:r>
          </w:p>
          <w:p w14:paraId="62A67E31" w14:textId="3AEA2863" w:rsidR="008149F0" w:rsidRPr="002D1439" w:rsidRDefault="008149F0" w:rsidP="00E54D7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Il-kejl tal-iskopertura totali rrapportat f’din ir-ringiela għandu jkun il-kejl tal-iskopertura totali, li huwa l-bażi għall-konformità mar-rekwiżiti tal-Artikolu 45 tad-Direttiva 2014/59/UE jew l-Artikolu 92a tar-Regolament (UE) Nru 575/2013, kif applikabbli.</w:t>
            </w:r>
          </w:p>
        </w:tc>
      </w:tr>
      <w:tr w:rsidR="00D571F6" w:rsidRPr="0008623B" w14:paraId="13300665" w14:textId="77777777" w:rsidTr="00E46262">
        <w:tc>
          <w:tcPr>
            <w:tcW w:w="1030" w:type="dxa"/>
            <w:vAlign w:val="top"/>
          </w:tcPr>
          <w:p w14:paraId="0F988C86" w14:textId="06ED1881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736" w:type="dxa"/>
          </w:tcPr>
          <w:p w14:paraId="2C833139" w14:textId="0A4AF6D0" w:rsidR="00D77E54" w:rsidRPr="002D1439" w:rsidRDefault="00D571F6" w:rsidP="00DB779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u obbligazzjonijiet eliġibbli bħala persentaġġ tat-TREA</w:t>
            </w:r>
          </w:p>
          <w:p w14:paraId="7AB95F7A" w14:textId="6941F5F6" w:rsidR="00DB779A" w:rsidRPr="002D1439" w:rsidRDefault="00DB779A" w:rsidP="00DB779A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Għall-finijiet ta’ din ir-ringiela, f’konformità mal-Artikolu 45(2), il-punt (a) tad-Direttiva 2014/59/UE u l-Artikolu 92a tar-Regolament (UE) Nru 575/2013, l-ammont ta’ fondi proprji u obbligazzjonijiet eliġibbli li jgħoddu għall-MREL jew it-TLAC, kif applikabbli, għandu jkun espress bħala persentaġġ tal-ammont totali tal-iskopertura għar-riskju kkalkolat f’konformità mal-Artikolu 92(3) tar-Regolament (UE) Nru 575/2013.</w:t>
            </w:r>
          </w:p>
          <w:p w14:paraId="7EB8D0D2" w14:textId="458D8C7A" w:rsidR="00D571F6" w:rsidRPr="002D1439" w:rsidRDefault="00E06D47" w:rsidP="00E06D4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Għandu jiġi kkalkolat bħala r-ringiela 22 diviża bir-ringiela 23.</w:t>
            </w:r>
          </w:p>
        </w:tc>
      </w:tr>
      <w:tr w:rsidR="00DD64EE" w:rsidRPr="0008623B" w14:paraId="344FACA7" w14:textId="77777777" w:rsidTr="00E46262">
        <w:tc>
          <w:tcPr>
            <w:tcW w:w="1030" w:type="dxa"/>
            <w:vAlign w:val="top"/>
          </w:tcPr>
          <w:p w14:paraId="79C19FE6" w14:textId="5B9A3D69" w:rsidR="00DD64EE" w:rsidRPr="0008623B" w:rsidRDefault="00DD64EE" w:rsidP="00DD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EU-25a</w:t>
            </w:r>
          </w:p>
        </w:tc>
        <w:tc>
          <w:tcPr>
            <w:tcW w:w="7736" w:type="dxa"/>
            <w:vAlign w:val="top"/>
          </w:tcPr>
          <w:p w14:paraId="29460D13" w14:textId="6252FCF5" w:rsidR="00DD64EE" w:rsidRPr="0008623B" w:rsidRDefault="00DD64EE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 minnhom fondi proprji u obbligazzjonijiet subordinati</w:t>
            </w:r>
          </w:p>
          <w:p w14:paraId="3177CD5E" w14:textId="4C559037" w:rsidR="00282ED2" w:rsidRPr="0008623B" w:rsidRDefault="00DD64EE" w:rsidP="00DD64E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Għall-finijiet ta’ din ir-ringiela, l-ammont ta’ fondi proprji u obbligazzjonijiet eliġibbli subordinati li jgħoddu għall-MREL għandu jiġi espress bħala persentaġġ tal-ammont totali tal-iskopertura għar-riskju kkalkolat f’konformità mal-Artikolu 92(3) tar-Regolament (UE) Nru 575/2013.</w:t>
            </w:r>
          </w:p>
          <w:p w14:paraId="1420404E" w14:textId="486A4F7A" w:rsidR="00DD64EE" w:rsidRPr="0008623B" w:rsidRDefault="00633625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Għandu jiġi kkalkolat bħala r-ringiela 22a diviża bir-ringiela 23.</w:t>
            </w:r>
          </w:p>
        </w:tc>
      </w:tr>
      <w:tr w:rsidR="00D571F6" w:rsidRPr="0008623B" w14:paraId="36017B22" w14:textId="77777777" w:rsidTr="00E46262">
        <w:tc>
          <w:tcPr>
            <w:tcW w:w="1030" w:type="dxa"/>
            <w:vAlign w:val="top"/>
          </w:tcPr>
          <w:p w14:paraId="34721F24" w14:textId="1ACC2AE8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736" w:type="dxa"/>
          </w:tcPr>
          <w:p w14:paraId="36877A46" w14:textId="7121B65E" w:rsidR="00D571F6" w:rsidRPr="002D1439" w:rsidRDefault="00D571F6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u obbligazzjonijiet eliġibbli bħala persentaġġ tat-TEM</w:t>
            </w:r>
          </w:p>
          <w:p w14:paraId="00EB744D" w14:textId="4F8F3490" w:rsidR="00F31CFB" w:rsidRPr="002D1439" w:rsidRDefault="00F31CFB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Għall-finijiet ta’ din ir-ringiela, f’konformità mal-Artikolu 45(2), il-punt (b), tad-Direttiva 2014/59/UE u l-Artikolu 92a tar-Regolament (UE) Nru 575/2013, l-ammont ta’ fondi proprji u obbligazzjonijiet eliġibbli li jingħaddu lejn l-MREL jew it-TLAC, kif applikabbli, għandu jiġi espress bħala persentaġġ tal-kejl tal-iskopertura totali kkalkolat f’konformità mal-Artikolu 429(4) u l-Artikolu 429a tar-Regolament (UE) Nru 575/2013.</w:t>
            </w:r>
          </w:p>
          <w:p w14:paraId="4625DFA4" w14:textId="11EAD745" w:rsidR="00D571F6" w:rsidRPr="002D1439" w:rsidRDefault="00F31CFB" w:rsidP="00F31CF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lastRenderedPageBreak/>
              <w:t>Għandu jiġi kkalkolat bħala r-ringiela 22 diviża bir-ringiela 24.</w:t>
            </w:r>
          </w:p>
        </w:tc>
      </w:tr>
      <w:tr w:rsidR="00DD64EE" w:rsidRPr="0008623B" w14:paraId="6226AC49" w14:textId="77777777" w:rsidTr="00E46262">
        <w:tc>
          <w:tcPr>
            <w:tcW w:w="1030" w:type="dxa"/>
          </w:tcPr>
          <w:p w14:paraId="0551FE26" w14:textId="5A7C8577" w:rsidR="00DD64EE" w:rsidRPr="0008623B" w:rsidRDefault="00DD64EE" w:rsidP="00DD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EU-26a</w:t>
            </w:r>
          </w:p>
        </w:tc>
        <w:tc>
          <w:tcPr>
            <w:tcW w:w="7736" w:type="dxa"/>
          </w:tcPr>
          <w:p w14:paraId="20A52E81" w14:textId="3A7027C7" w:rsidR="00DD64EE" w:rsidRPr="0008623B" w:rsidRDefault="00DD64EE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 minnhom fondi proprji u obbligazzjonijiet subordinati</w:t>
            </w:r>
          </w:p>
          <w:p w14:paraId="45B16E43" w14:textId="10BF2834" w:rsidR="00CF449E" w:rsidRPr="0008623B" w:rsidRDefault="00CF449E" w:rsidP="001B5DB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Għall-fini ta’ din ir-ringiela, l-ammont ta’ fondi proprji u obbligazzjonijiet eliġibbli subordinati li jgħoddu għall-MREL għandu jiġi espress bħala persentaġġ tal-kejl tal-iskopertura totali kkalkolat f’konformità mal-Artikolu 429(4) u l-Artikolu 429a tar-Regolament (UE) Nru 575/2013.</w:t>
            </w:r>
          </w:p>
          <w:p w14:paraId="358FA12B" w14:textId="445A7C3B" w:rsidR="00633625" w:rsidRPr="0008623B" w:rsidRDefault="00633625" w:rsidP="001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Għandu jiġi kkalkolat bħala r-ringiela 22a diviża bir-ringiela 24.</w:t>
            </w:r>
          </w:p>
        </w:tc>
      </w:tr>
      <w:tr w:rsidR="00D571F6" w:rsidRPr="0008623B" w14:paraId="097C48C9" w14:textId="77777777" w:rsidTr="00E46262">
        <w:tc>
          <w:tcPr>
            <w:tcW w:w="1030" w:type="dxa"/>
            <w:vAlign w:val="top"/>
          </w:tcPr>
          <w:p w14:paraId="71DD980C" w14:textId="7575C305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736" w:type="dxa"/>
          </w:tcPr>
          <w:p w14:paraId="5D1EF640" w14:textId="01C37C4A" w:rsidR="00D571F6" w:rsidRPr="0008623B" w:rsidRDefault="00D571F6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Is-CET1 (bħala persentaġġ tat-TREA) disponibbli wara li jiġu ssodisfati r-rekwiżiti tal-grupp ta’ riżoluzzjoni</w:t>
            </w:r>
          </w:p>
          <w:p w14:paraId="0227909F" w14:textId="1CB6809D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>L-ammont ta’ CET1, bħala persentaġġ tal-ammont totali tal-iskopertura għar-riskju, ugwali għal żero jew pożittiv, disponibbli wara li jiġu ssodisfati kull wieħed mir-rekwiżiti msemmija fl-Artikolu 141, il-punti (a), (b) u (c) tad-Direttiva 2013/36/UE u l-ogħla minn:</w:t>
            </w:r>
          </w:p>
          <w:p w14:paraId="42E3D4EA" w14:textId="2070C8C0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 xml:space="preserve">(a) fejn applikabbli, ir-rekwiżit tal-G-SII għall-fondi proprji u l-obbligazzjonijiet eliġibbli stipulati fl-Artikolu 92a tar-Regolament (UE) Nru 575/2013 meta kkalkolat f’konformità mal-paragrafu (1), il-punt (a) ta’ dak l-Artikolu u </w:t>
            </w:r>
          </w:p>
          <w:p w14:paraId="396BF4D8" w14:textId="21D22CB1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>(b) ir-rekwiżit minimu għall-fondi proprji u l-obbligazzjonijiet eliġibbli stipulat fl-Artikolu 45 tad-Direttiva 2014/59/UE, meta kkalkolat f’konformità mal-paragrafu (2), il-punt (a) ta’ dak l-Artikolu.</w:t>
            </w:r>
          </w:p>
          <w:p w14:paraId="7D9CD928" w14:textId="77777777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</w:p>
          <w:p w14:paraId="0543D9CF" w14:textId="084E2193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>Iċ-ċifra divulgata għandha tkun identika kemm fil-kolonni tal-MREL kif ukoll f’dawk tat-TLAC.</w:t>
            </w:r>
          </w:p>
          <w:p w14:paraId="7018FBAF" w14:textId="3CA720C2" w:rsidR="00D571F6" w:rsidRPr="0008623B" w:rsidRDefault="00A47BCD" w:rsidP="00940D5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Hija għandha tqis l-effett tad-dispożizzjonijiet tranżitorji fuq il-fondi proprji u l-obbligazzjonijiet eliġibbli, l-ammont totali tal-iskopertura għar-riskju u r-rekwiżiti nfushom. La l-gwida dwar il-fondi proprji addizzjonali msemmija fl-Artikolu 104b tad-Direttiva 2013/36/UE u lanqas ir-rekwiżit ta’ riżerva kombinata tal-Artikolu 128, l-ewwel paragrafu, il-punt (6) ta’ dik id-Direttiva, ma għandhom jiġu kkunsidrati.</w:t>
            </w:r>
          </w:p>
        </w:tc>
      </w:tr>
      <w:tr w:rsidR="00D571F6" w:rsidRPr="0008623B" w14:paraId="015114DE" w14:textId="77777777" w:rsidTr="00E46262">
        <w:tc>
          <w:tcPr>
            <w:tcW w:w="1030" w:type="dxa"/>
            <w:vAlign w:val="top"/>
          </w:tcPr>
          <w:p w14:paraId="67C0B6E2" w14:textId="23ADC5ED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736" w:type="dxa"/>
          </w:tcPr>
          <w:p w14:paraId="725380F6" w14:textId="27172D98" w:rsidR="00D571F6" w:rsidRPr="0008623B" w:rsidRDefault="00D571F6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Ir-rekwiżit ta’ riżerva kombinata speċifiku għall-istituzzjoni </w:t>
            </w:r>
          </w:p>
          <w:p w14:paraId="4829A94F" w14:textId="10305ADD" w:rsidR="00D571F6" w:rsidRPr="0008623B" w:rsidRDefault="00D571F6" w:rsidP="00940D5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Ir-rekwiżit ta’ riżerva kombinata speċifiku għall-istituzzjoni definit fl-Artikolu 128, l-ewwel paragrafu, il-punt (6) tad-Direttiva 2013/36/UE, espress bħala persentaġġ tal-ammont totali tal-iskopertura għar-riskju, applikabbli għall-grupp ta’ riżoluzzjoni f’konformità mal-ewwel paragrafu, il-punt (6), ta’ dak l-Artikolu.</w:t>
            </w:r>
          </w:p>
        </w:tc>
      </w:tr>
      <w:tr w:rsidR="00D571F6" w:rsidRPr="0008623B" w14:paraId="0D814418" w14:textId="77777777" w:rsidTr="00E46262">
        <w:tc>
          <w:tcPr>
            <w:tcW w:w="1030" w:type="dxa"/>
            <w:vAlign w:val="top"/>
          </w:tcPr>
          <w:p w14:paraId="2D747295" w14:textId="712C6D78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736" w:type="dxa"/>
            <w:vAlign w:val="top"/>
          </w:tcPr>
          <w:p w14:paraId="793F80F0" w14:textId="2D85B0CB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Ir-rekwiżit ta’ riżerva kombinata speċifiku għall-istituzzjoni - Li minnu rekwiżit ta’ riżerva ta’ konservazzjoni ta’ kapital </w:t>
            </w:r>
          </w:p>
          <w:p w14:paraId="5C784879" w14:textId="40A880B0" w:rsidR="00D571F6" w:rsidRPr="0008623B" w:rsidRDefault="00D571F6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L-ammont tar-riżerva kombinata speċifika għall-istituzzjoni (espress bħala persentaġġ tal-ammont totali tal-iskopertura għar-riskju) li tirrigwarda r-rekwiżit ta’ riżerva ta’ konservazzjoni tal-kapital.</w:t>
            </w:r>
          </w:p>
        </w:tc>
      </w:tr>
      <w:tr w:rsidR="00D571F6" w:rsidRPr="0008623B" w14:paraId="63B8627F" w14:textId="77777777" w:rsidTr="00E46262">
        <w:tc>
          <w:tcPr>
            <w:tcW w:w="1030" w:type="dxa"/>
            <w:vAlign w:val="top"/>
          </w:tcPr>
          <w:p w14:paraId="68373BD4" w14:textId="0AC3FF61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7736" w:type="dxa"/>
            <w:vAlign w:val="top"/>
          </w:tcPr>
          <w:p w14:paraId="369B9330" w14:textId="25965D76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Ir-rekwiżit ta’ riżerva kombinata speċifiku għall-istituzzjoni - Li minnu rekwiżit ta’ riżerva kontroċiklika </w:t>
            </w:r>
          </w:p>
          <w:p w14:paraId="6E30DDC3" w14:textId="72487262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L-ammont tar-riżerva kombinata speċifika għall-istituzzjoni (espress bħala persentaġġ tal-ammont totali tal-iskopertura għar-riskju) li tirrigwarda r-rekwiżit ta’ riżerva kontroċiklika.</w:t>
            </w:r>
          </w:p>
        </w:tc>
      </w:tr>
      <w:tr w:rsidR="00D571F6" w:rsidRPr="0008623B" w14:paraId="780D8179" w14:textId="77777777" w:rsidTr="00E46262">
        <w:tc>
          <w:tcPr>
            <w:tcW w:w="1030" w:type="dxa"/>
            <w:vAlign w:val="top"/>
          </w:tcPr>
          <w:p w14:paraId="4011938A" w14:textId="6723E0C3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736" w:type="dxa"/>
            <w:vAlign w:val="top"/>
          </w:tcPr>
          <w:p w14:paraId="40BC9FBF" w14:textId="6369FDFB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Ir-rekwiżit ta’ riżerva kombinata speċifiku għall-istituzzjoni - Li minnu rekwiżit ta’ riżerva għar-riskju sistemiku </w:t>
            </w:r>
          </w:p>
          <w:p w14:paraId="2538331C" w14:textId="1E3B6906" w:rsidR="00D571F6" w:rsidRPr="0008623B" w:rsidRDefault="00D571F6" w:rsidP="009B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L-ammont tar-riżerva kombinata speċifika għall-istituzzjoni (espress bħala persentaġġ tal-ammont totali tal-iskopertura għar-riskju) li tirrigwarda r-rekwiżit ta’ riżerva għar-riskju sistemiku.</w:t>
            </w:r>
          </w:p>
        </w:tc>
      </w:tr>
      <w:tr w:rsidR="00D571F6" w:rsidRPr="0008623B" w14:paraId="2321A559" w14:textId="77777777" w:rsidTr="00E46262">
        <w:tc>
          <w:tcPr>
            <w:tcW w:w="1030" w:type="dxa"/>
            <w:vAlign w:val="top"/>
          </w:tcPr>
          <w:p w14:paraId="5B6DF329" w14:textId="537A82C8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EU-31a</w:t>
            </w:r>
          </w:p>
        </w:tc>
        <w:tc>
          <w:tcPr>
            <w:tcW w:w="7736" w:type="dxa"/>
            <w:vAlign w:val="top"/>
          </w:tcPr>
          <w:p w14:paraId="2ACB2A11" w14:textId="0C32CAAA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Ir-rekwiżit ta’ riżerva kombinata speċifiku għall-istituzzjoni - Li minnu riżerva għal Istituzzjoni Globali Sistematikament Importanti (G-SII) jew Istituzzjoni Oħra Sistematikament Importanti (O-SII)</w:t>
            </w:r>
          </w:p>
          <w:p w14:paraId="6700C20F" w14:textId="59F7281D" w:rsidR="00D571F6" w:rsidRPr="0008623B" w:rsidRDefault="00D571F6" w:rsidP="00563C8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L-ammont tar-riżerva kombinata speċifika għall-istituzzjoni (espress bħala persentaġġ tal-ammont totali tal-iskopertura għar-riskju) li tirrigwarda r-rekwiżit ta’ riżerva G-SII jew O-SII.</w:t>
            </w:r>
          </w:p>
        </w:tc>
      </w:tr>
      <w:tr w:rsidR="0023278E" w:rsidRPr="0008623B" w14:paraId="08100425" w14:textId="77777777" w:rsidTr="00E46262">
        <w:tc>
          <w:tcPr>
            <w:tcW w:w="1030" w:type="dxa"/>
            <w:vAlign w:val="top"/>
          </w:tcPr>
          <w:p w14:paraId="6C04F598" w14:textId="5E33E643" w:rsidR="0023278E" w:rsidRPr="0008623B" w:rsidRDefault="0023278E" w:rsidP="002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EU-32</w:t>
            </w:r>
          </w:p>
        </w:tc>
        <w:tc>
          <w:tcPr>
            <w:tcW w:w="7736" w:type="dxa"/>
            <w:vAlign w:val="top"/>
          </w:tcPr>
          <w:p w14:paraId="154EB8B0" w14:textId="1395906F" w:rsidR="0023278E" w:rsidRPr="0008623B" w:rsidRDefault="0023278E" w:rsidP="0023278E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L-ammont totali tal-obbligazzjonijiet esklużi msemmija fl-Artikolu 72a(2) tar-Regolament (UE) Nru 575/2013</w:t>
            </w:r>
          </w:p>
        </w:tc>
      </w:tr>
    </w:tbl>
    <w:p w14:paraId="79FEC8BB" w14:textId="2A1A82F0" w:rsidR="005C7641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88" w:name="_Toc14769121"/>
      <w:bookmarkStart w:id="189" w:name="_Toc14769395"/>
      <w:bookmarkStart w:id="190" w:name="_Toc14769942"/>
      <w:bookmarkStart w:id="191" w:name="_Toc14770212"/>
      <w:bookmarkStart w:id="192" w:name="_Toc14771101"/>
      <w:bookmarkStart w:id="193" w:name="_Toc14771761"/>
      <w:bookmarkStart w:id="194" w:name="_Toc14769169"/>
      <w:bookmarkStart w:id="195" w:name="_Toc14769443"/>
      <w:bookmarkStart w:id="196" w:name="_Toc14769990"/>
      <w:bookmarkStart w:id="197" w:name="_Toc14770260"/>
      <w:bookmarkStart w:id="198" w:name="_Toc14771149"/>
      <w:bookmarkStart w:id="199" w:name="_Toc14771809"/>
      <w:bookmarkStart w:id="200" w:name="_Toc14769201"/>
      <w:bookmarkStart w:id="201" w:name="_Toc14769475"/>
      <w:bookmarkStart w:id="202" w:name="_Toc14770022"/>
      <w:bookmarkStart w:id="203" w:name="_Toc14770292"/>
      <w:bookmarkStart w:id="204" w:name="_Toc14771181"/>
      <w:bookmarkStart w:id="205" w:name="_Toc14771841"/>
      <w:bookmarkStart w:id="206" w:name="_Toc14770784"/>
      <w:bookmarkStart w:id="207" w:name="_Toc45266928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rFonts w:ascii="Times New Roman" w:hAnsi="Times New Roman"/>
          <w:color w:val="auto"/>
          <w:sz w:val="24"/>
        </w:rPr>
        <w:t>4.</w:t>
      </w:r>
      <w:r>
        <w:rPr>
          <w:rFonts w:ascii="Times New Roman" w:hAnsi="Times New Roman"/>
          <w:color w:val="auto"/>
          <w:sz w:val="24"/>
        </w:rPr>
        <w:tab/>
        <w:t>EU ILAC: Kapaċità interna ta’ assorbiment tat-telf: MREL intern u, fejn applikabbli, rekwiżit għal fondi proprji u obbligazzjonijiet eliġibbli għal G-SIIs mhux tal-UE</w:t>
      </w:r>
      <w:bookmarkStart w:id="208" w:name="_Toc14770785"/>
      <w:bookmarkEnd w:id="206"/>
      <w:bookmarkEnd w:id="208"/>
      <w:r>
        <w:rPr>
          <w:rFonts w:ascii="Times New Roman" w:hAnsi="Times New Roman"/>
          <w:color w:val="auto"/>
          <w:sz w:val="24"/>
        </w:rPr>
        <w:t>(TLAC interna)</w:t>
      </w:r>
      <w:bookmarkEnd w:id="207"/>
    </w:p>
    <w:p w14:paraId="4B755467" w14:textId="5E1539C5" w:rsidR="00413CCD" w:rsidRPr="0008623B" w:rsidRDefault="00413CCD" w:rsidP="00B62DC9">
      <w:pPr>
        <w:pStyle w:val="InstructionsText2"/>
        <w:numPr>
          <w:ilvl w:val="0"/>
          <w:numId w:val="12"/>
        </w:numPr>
      </w:pPr>
      <w:r>
        <w:t>Dan il-mudell jiddivulga l-fondi proprji u l-obbligazzjonijiet eliġibbli tal-entitajiet li huma stess mhumiex entitajiet ta’ riżoluzzjoni għall-finijiet tar-rekwiżit għall-fondi proprji u l-obbligazzjonijiet eliġibbli stipulat fl-Artikolu 45f tad-Direttiva 2014/59/UE (MREL intern), kif ukoll ir-rekwiżit għall-fondi proprji u l-obbligazzjonijiet eliġibbli għal G-SIIs mhux tal-UE applikabbli għal sussidjarji materjali ta’ G-SIIs ta’ pajjiżi terzi stipulati fl-Artikolu 92b tar-Regolament (UE) Nru 575/2013 (TLAC interna).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FF6326" w:rsidRPr="0008623B" w14:paraId="4BB456DC" w14:textId="77777777" w:rsidTr="00F42DCD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0BD997C3" w14:textId="77777777" w:rsidR="00FF6326" w:rsidRPr="0008623B" w:rsidRDefault="00FF6326" w:rsidP="00F4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Kolonni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59FBA21" w14:textId="5D467A7A" w:rsidR="00FF6326" w:rsidRPr="0008623B" w:rsidRDefault="00E46262" w:rsidP="00F4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FF6326" w:rsidRPr="0008623B" w14:paraId="4D038DE2" w14:textId="77777777" w:rsidTr="00F42DCD">
        <w:trPr>
          <w:trHeight w:val="637"/>
        </w:trPr>
        <w:tc>
          <w:tcPr>
            <w:tcW w:w="1384" w:type="dxa"/>
          </w:tcPr>
          <w:p w14:paraId="60750BB7" w14:textId="77777777" w:rsidR="00FF6326" w:rsidRPr="0008623B" w:rsidDel="00DE6BC1" w:rsidRDefault="00FF6326" w:rsidP="00F42DCD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054F4480" w14:textId="09D63B79" w:rsidR="00FF6326" w:rsidRPr="0008623B" w:rsidRDefault="00CB1021" w:rsidP="00F90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L-entitajiet għandhom jiddivulgaw f’din il-kolonna l-informazzjoni rilevanti dwar l-MREL intern f’konformità mal-Artikoli 45 u 45f tad-Direttiva 2014/59/UE.</w:t>
            </w:r>
          </w:p>
        </w:tc>
      </w:tr>
      <w:tr w:rsidR="00FF6326" w:rsidRPr="0008623B" w14:paraId="1546A396" w14:textId="77777777" w:rsidTr="00F42DCD">
        <w:trPr>
          <w:trHeight w:val="637"/>
        </w:trPr>
        <w:tc>
          <w:tcPr>
            <w:tcW w:w="1384" w:type="dxa"/>
          </w:tcPr>
          <w:p w14:paraId="1C66F776" w14:textId="7AB435E5" w:rsidR="00FF6326" w:rsidRPr="0008623B" w:rsidDel="00DE6BC1" w:rsidRDefault="00F90B2E" w:rsidP="00F90B2E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b</w:t>
            </w:r>
          </w:p>
        </w:tc>
        <w:tc>
          <w:tcPr>
            <w:tcW w:w="7655" w:type="dxa"/>
          </w:tcPr>
          <w:p w14:paraId="353033F9" w14:textId="2CD18282" w:rsidR="00FF6326" w:rsidRPr="0008623B" w:rsidRDefault="00CB1021" w:rsidP="00F90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L-entitajiet li huma sussidjarji materjali ta’ G-SIIs mhux tal-UE skont l-Artikolu 92b tar-Regolament (UE) Nru 575/2013 għandhom jiddivulgaw f’din il-kolonna l-informazzjoni rilevanti dwar it-TLAC interna f’konformità mal-Artikolu 92b tar-Regolament (UE) Nru 575/2013. </w:t>
            </w:r>
          </w:p>
        </w:tc>
      </w:tr>
      <w:tr w:rsidR="00FF6326" w:rsidRPr="0008623B" w14:paraId="22E6AD38" w14:textId="77777777" w:rsidTr="00F42DCD">
        <w:trPr>
          <w:trHeight w:val="637"/>
        </w:trPr>
        <w:tc>
          <w:tcPr>
            <w:tcW w:w="1384" w:type="dxa"/>
          </w:tcPr>
          <w:p w14:paraId="51FE79F2" w14:textId="77777777" w:rsidR="00FF6326" w:rsidRPr="0008623B" w:rsidDel="00DE6BC1" w:rsidRDefault="00FF6326" w:rsidP="00F42DCD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655" w:type="dxa"/>
          </w:tcPr>
          <w:p w14:paraId="5128BCFA" w14:textId="7C8880AD" w:rsidR="00FF6326" w:rsidRPr="0008623B" w:rsidRDefault="00560736" w:rsidP="00BF6482">
            <w:pPr>
              <w:autoSpaceDE w:val="0"/>
              <w:autoSpaceDN w:val="0"/>
              <w:adjustRightInd w:val="0"/>
              <w:spacing w:before="120" w:after="120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Informazzjoni kwalitattiva relatata mar-rekwiżit applikabbli u l-livell ta’ applikazzjoni.</w:t>
            </w:r>
          </w:p>
        </w:tc>
      </w:tr>
    </w:tbl>
    <w:p w14:paraId="11222185" w14:textId="77777777" w:rsidR="00FF6326" w:rsidRPr="0008623B" w:rsidRDefault="00FF6326" w:rsidP="00FF6326">
      <w:pPr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GB"/>
        </w:rPr>
      </w:pPr>
    </w:p>
    <w:p w14:paraId="607A36F9" w14:textId="7120601E" w:rsidR="0082003D" w:rsidRPr="0008623B" w:rsidRDefault="0082003D" w:rsidP="005C7641">
      <w:pPr>
        <w:jc w:val="both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642"/>
      </w:tblGrid>
      <w:tr w:rsidR="00026FC1" w:rsidRPr="0008623B" w14:paraId="0EE47F56" w14:textId="77777777" w:rsidTr="002A0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7BCFB" w14:textId="77777777" w:rsidR="0067351E" w:rsidRPr="0008623B" w:rsidRDefault="0067351E" w:rsidP="00EF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Ringiela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9CC04" w14:textId="58876303" w:rsidR="0067351E" w:rsidRPr="0008623B" w:rsidRDefault="00E46262" w:rsidP="00EF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5D18F8" w:rsidRPr="0008623B" w14:paraId="4273A8E3" w14:textId="77777777" w:rsidTr="002A065A">
        <w:tc>
          <w:tcPr>
            <w:tcW w:w="1109" w:type="dxa"/>
            <w:vAlign w:val="top"/>
          </w:tcPr>
          <w:p w14:paraId="6FB9A622" w14:textId="17181A2D" w:rsidR="005D18F8" w:rsidRPr="0008623B" w:rsidRDefault="005D18F8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EU-1</w:t>
            </w:r>
          </w:p>
        </w:tc>
        <w:tc>
          <w:tcPr>
            <w:tcW w:w="7642" w:type="dxa"/>
          </w:tcPr>
          <w:p w14:paraId="33FA642D" w14:textId="4C8C035D" w:rsidR="005D18F8" w:rsidRPr="0008623B" w:rsidRDefault="005D18F8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L-entità hija soġġetta għal rekwiżit ta’ G-SII mhux tal-UE għall-fondi proprji u l-obbligazzjonijiet eliġibbli? (Iva / Le)</w:t>
            </w:r>
          </w:p>
          <w:p w14:paraId="402765A8" w14:textId="58B96136" w:rsidR="005D18F8" w:rsidRPr="0008623B" w:rsidRDefault="005D18F8" w:rsidP="00F90B2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Jekk l-entità hijiex soġġetta għal rekwiżit ta’ TLAC interna skont l-Artikolu 92b tar-Regolament (UE) Nru 575/2013.</w:t>
            </w:r>
          </w:p>
        </w:tc>
      </w:tr>
      <w:tr w:rsidR="005D18F8" w:rsidRPr="0008623B" w14:paraId="753D9E0C" w14:textId="77777777" w:rsidTr="002A065A">
        <w:tc>
          <w:tcPr>
            <w:tcW w:w="1109" w:type="dxa"/>
            <w:vAlign w:val="top"/>
          </w:tcPr>
          <w:p w14:paraId="4D6276FA" w14:textId="29D2C84A" w:rsidR="005D18F8" w:rsidRPr="0008623B" w:rsidRDefault="005D18F8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</w:t>
            </w:r>
          </w:p>
        </w:tc>
        <w:tc>
          <w:tcPr>
            <w:tcW w:w="7642" w:type="dxa"/>
          </w:tcPr>
          <w:p w14:paraId="5580A119" w14:textId="4279FE54" w:rsidR="005D18F8" w:rsidRPr="0008623B" w:rsidRDefault="005D18F8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Jekk EU-1 tiġi mwieġba b’“Iva”, ir-rekwiżit huwa applikabbli fuq bażi konsolidata jew individwali? (K/I)</w:t>
            </w:r>
          </w:p>
          <w:p w14:paraId="16349591" w14:textId="439F9DE2" w:rsidR="005D18F8" w:rsidRPr="0008623B" w:rsidRDefault="005D18F8" w:rsidP="005D18F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Jekk l-entità hijiex soġġetta għar-rekwiżit tat-TLAC interna fuq bażi konsolidata jew individwali, skont l-Artikolu 18 tar-Regolament (UE) Nru 575/2013.</w:t>
            </w:r>
          </w:p>
          <w:p w14:paraId="557B461D" w14:textId="0A55FA2A" w:rsidR="005D18F8" w:rsidRPr="0008623B" w:rsidRDefault="005D18F8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Meta r-rekwiżit ikun fuq bażi konsolidata, dan il-mudell kollu għandu jimtela fuq bażi konsolidata. Fil-każijiet l-oħrajn kollha, dan il-mudell għandu jimtela fuq bażi individwali.</w:t>
            </w:r>
          </w:p>
        </w:tc>
      </w:tr>
      <w:tr w:rsidR="005C4469" w:rsidRPr="0008623B" w14:paraId="3EFBB389" w14:textId="77777777" w:rsidTr="002A065A">
        <w:tc>
          <w:tcPr>
            <w:tcW w:w="1109" w:type="dxa"/>
            <w:vAlign w:val="top"/>
          </w:tcPr>
          <w:p w14:paraId="5EB99A90" w14:textId="2812B763" w:rsidR="005C4469" w:rsidRPr="0008623B" w:rsidRDefault="005C4469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EU-2a</w:t>
            </w:r>
          </w:p>
        </w:tc>
        <w:tc>
          <w:tcPr>
            <w:tcW w:w="7642" w:type="dxa"/>
          </w:tcPr>
          <w:p w14:paraId="116B6FE4" w14:textId="5D78B194" w:rsidR="005C4469" w:rsidRPr="002D1439" w:rsidRDefault="005C4469" w:rsidP="0067299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L-entità hija soġġetta għal MREL intern?</w:t>
            </w:r>
            <w:proofErr w:type="gramEnd"/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 xml:space="preserve"> (Iva / Le)</w:t>
            </w:r>
          </w:p>
          <w:p w14:paraId="61B02EAE" w14:textId="61E31496" w:rsidR="005C4469" w:rsidRPr="002D1439" w:rsidRDefault="005C4469" w:rsidP="00B24DB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Jekk l-entità hijiex soġġetta għal MREL skont l-Artikoli 45 u 45f tad-Direttiva 2014/59/UE.</w:t>
            </w:r>
          </w:p>
        </w:tc>
      </w:tr>
      <w:tr w:rsidR="005C4469" w:rsidRPr="0008623B" w14:paraId="1E79865E" w14:textId="77777777" w:rsidTr="002A065A">
        <w:tc>
          <w:tcPr>
            <w:tcW w:w="1109" w:type="dxa"/>
            <w:vAlign w:val="top"/>
          </w:tcPr>
          <w:p w14:paraId="59235EF1" w14:textId="1C47DD13" w:rsidR="005C4469" w:rsidRPr="0008623B" w:rsidRDefault="005C4469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EU-2b</w:t>
            </w:r>
          </w:p>
        </w:tc>
        <w:tc>
          <w:tcPr>
            <w:tcW w:w="7642" w:type="dxa"/>
          </w:tcPr>
          <w:p w14:paraId="3CFE2B07" w14:textId="0BF8D801" w:rsidR="005C4469" w:rsidRPr="0008623B" w:rsidRDefault="005C4469" w:rsidP="0067299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Jekk EU-2a tiġi mwieġba b’“Iva”, ir-rekwiżit huwa applikabbli fuq bażi konsolidata jew individwali? (K/I)</w:t>
            </w:r>
          </w:p>
          <w:p w14:paraId="7DC57F76" w14:textId="22478F28" w:rsidR="005C4469" w:rsidRPr="0008623B" w:rsidRDefault="005C4469" w:rsidP="0067299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Jekk l-entità hijiex soġġetta għal MREL intern fuq bażi konsolidata jew individwali.</w:t>
            </w:r>
          </w:p>
          <w:p w14:paraId="4FC6F388" w14:textId="244D10B7" w:rsidR="005C4469" w:rsidRPr="0008623B" w:rsidRDefault="005C4469" w:rsidP="0067299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Meta r-rekwiżit ikun fuq bażi konsolidata, dan il-mudell kollu għandu jimtela fuq bażi konsolidata. Fil-każijiet l-oħrajn kollha, dan il-mudell għandu jimtela fuq bażi individwali.</w:t>
            </w:r>
          </w:p>
        </w:tc>
      </w:tr>
      <w:tr w:rsidR="005D18F8" w:rsidRPr="0008623B" w14:paraId="4F5D32F0" w14:textId="77777777" w:rsidTr="002A065A">
        <w:tc>
          <w:tcPr>
            <w:tcW w:w="1109" w:type="dxa"/>
            <w:vAlign w:val="top"/>
          </w:tcPr>
          <w:p w14:paraId="6EF5BD76" w14:textId="64835762" w:rsidR="005D18F8" w:rsidRPr="0008623B" w:rsidRDefault="005D18F8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EU-3</w:t>
            </w:r>
          </w:p>
        </w:tc>
        <w:tc>
          <w:tcPr>
            <w:tcW w:w="7642" w:type="dxa"/>
          </w:tcPr>
          <w:p w14:paraId="6472530C" w14:textId="5849D3C6" w:rsidR="005D18F8" w:rsidRPr="002D1439" w:rsidRDefault="005D18F8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Kapital tal-Grad 1 ta’ Ekwità Komuni (CET1)</w:t>
            </w:r>
          </w:p>
          <w:p w14:paraId="071B676A" w14:textId="2ECC0EBE" w:rsidR="005D18F8" w:rsidRPr="002D1439" w:rsidRDefault="003D0BF6" w:rsidP="005D18F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L-Artikolu 50 tar-Regolament (UE) Nru 575/2013</w:t>
            </w:r>
          </w:p>
          <w:p w14:paraId="224515AC" w14:textId="760620BD" w:rsidR="005D18F8" w:rsidRPr="002D1439" w:rsidRDefault="005D18F8" w:rsidP="00FF632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lastRenderedPageBreak/>
              <w:t>Kapital CET1, fuq bażi individwali jew konsolidata, fejn applikabbli, f’konformità mal-Artikolu 50 tar-Regolament (UE) Nru 575/2013.</w:t>
            </w:r>
          </w:p>
        </w:tc>
      </w:tr>
      <w:tr w:rsidR="005D18F8" w:rsidRPr="0008623B" w14:paraId="65D6A57F" w14:textId="77777777" w:rsidTr="002A065A">
        <w:tc>
          <w:tcPr>
            <w:tcW w:w="1109" w:type="dxa"/>
            <w:vAlign w:val="top"/>
          </w:tcPr>
          <w:p w14:paraId="77011BCF" w14:textId="1DBC2D36" w:rsidR="005D18F8" w:rsidRPr="0008623B" w:rsidRDefault="005D18F8" w:rsidP="006A52E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EU-4</w:t>
            </w:r>
          </w:p>
        </w:tc>
        <w:tc>
          <w:tcPr>
            <w:tcW w:w="7642" w:type="dxa"/>
          </w:tcPr>
          <w:p w14:paraId="38EE0035" w14:textId="22F8D01E" w:rsidR="005D18F8" w:rsidRPr="002D1439" w:rsidRDefault="008A0AF3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 xml:space="preserve">Kapital tal-Grad 1 Addizzjonali Eliġibbli </w:t>
            </w:r>
          </w:p>
          <w:p w14:paraId="0249C867" w14:textId="75BBE4E4" w:rsidR="00563C8D" w:rsidRPr="002D1439" w:rsidRDefault="003D0BF6" w:rsidP="00510C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L-Artikolu 61 tar-Regolament (UE) Nru 575/2013</w:t>
            </w:r>
          </w:p>
          <w:p w14:paraId="5A71C48F" w14:textId="27B14A49" w:rsidR="005D18F8" w:rsidRPr="002D1439" w:rsidRDefault="00FF6326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sz w:val="24"/>
                <w:lang w:val="es-ES"/>
              </w:rPr>
              <w:t xml:space="preserve">L-istrumenti tal-Grad 1 addizzjonali </w:t>
            </w: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għandhom jiġu kkunsidrati biss meta jissodisfaw il-kriterji</w:t>
            </w:r>
            <w:r w:rsidRPr="002D1439">
              <w:rPr>
                <w:rFonts w:ascii="Times New Roman" w:hAnsi="Times New Roman"/>
                <w:sz w:val="24"/>
                <w:lang w:val="es-ES"/>
              </w:rPr>
              <w:t xml:space="preserve"> stabbiliti fl-Artikolu 92b tar-Regolament (UE) Nru 575/2013 u fl-Artikolu 45</w:t>
            </w:r>
            <w:proofErr w:type="gramStart"/>
            <w:r w:rsidRPr="002D1439">
              <w:rPr>
                <w:rFonts w:ascii="Times New Roman" w:hAnsi="Times New Roman"/>
                <w:sz w:val="24"/>
                <w:lang w:val="es-ES"/>
              </w:rPr>
              <w:t>f(</w:t>
            </w:r>
            <w:proofErr w:type="gramEnd"/>
            <w:r w:rsidRPr="002D1439">
              <w:rPr>
                <w:rFonts w:ascii="Times New Roman" w:hAnsi="Times New Roman"/>
                <w:sz w:val="24"/>
                <w:lang w:val="es-ES"/>
              </w:rPr>
              <w:t>2), il-punt (b)(ii), tad-Direttiva 2014/59/UE.</w:t>
            </w:r>
          </w:p>
          <w:p w14:paraId="0094C1AC" w14:textId="45113FD1" w:rsidR="007600E9" w:rsidRPr="002D1439" w:rsidRDefault="007600E9" w:rsidP="00D950B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Fil-każ ta’ MREL intern, l-istrumenti msemmija fl-Artikolu 89(2), ir-raba’ subparagrafu, tad-Direttiva 2014/59/UE għandhom jiġu inklużi meta japplika dak il-paragrafu. L-istrumenti rregolati mil-liġi ta’ pajjiż terz għandhom jiġu inklużi biss jekk jissodisfaw ir-rekwiżiti stabbiliti fl-Artikolu 55 tad-Direttiva 2014/59/UE.</w:t>
            </w:r>
          </w:p>
        </w:tc>
      </w:tr>
      <w:tr w:rsidR="005D18F8" w:rsidRPr="0008623B" w14:paraId="26CF63CA" w14:textId="77777777" w:rsidTr="002A065A">
        <w:tc>
          <w:tcPr>
            <w:tcW w:w="1109" w:type="dxa"/>
          </w:tcPr>
          <w:p w14:paraId="7590CA0F" w14:textId="3E55E188" w:rsidR="005D18F8" w:rsidRPr="0008623B" w:rsidRDefault="006A52ED" w:rsidP="005D18F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EU-5</w:t>
            </w:r>
          </w:p>
        </w:tc>
        <w:tc>
          <w:tcPr>
            <w:tcW w:w="7642" w:type="dxa"/>
          </w:tcPr>
          <w:p w14:paraId="1D3C1105" w14:textId="5B6AF4D8" w:rsidR="005D18F8" w:rsidRPr="002D1439" w:rsidRDefault="008A0AF3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Kapital tal-Grad 2 eliġibbli</w:t>
            </w:r>
          </w:p>
          <w:p w14:paraId="7C05E6B8" w14:textId="2FF703C8" w:rsidR="00282ED2" w:rsidRPr="002D1439" w:rsidRDefault="003D0BF6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L-Artikolu 71 tar-Regolament (UE) Nru 575/2013 </w:t>
            </w:r>
          </w:p>
          <w:p w14:paraId="3807E78A" w14:textId="1358321A" w:rsidR="005D18F8" w:rsidRPr="002D1439" w:rsidRDefault="002924A2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L-istrumenti tal-Grad 2 addizzjonali </w:t>
            </w:r>
            <w:r w:rsidRPr="002D1439">
              <w:rPr>
                <w:rStyle w:val="FormatvorlageInstructionsTabelleText"/>
                <w:rFonts w:ascii="Times New Roman" w:hAnsi="Times New Roman"/>
                <w:color w:val="000000" w:themeColor="text1"/>
                <w:sz w:val="24"/>
                <w:lang w:val="es-ES"/>
              </w:rPr>
              <w:t>għandhom jiġu kkunsidrati biss meta jissodisfaw il-kriterji</w:t>
            </w: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stabbiliti fl-Artikolu 92b tar-Regolament (UE) Nru 575/2013 u fl-Artikolu 45</w:t>
            </w:r>
            <w:proofErr w:type="gramStart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f(</w:t>
            </w:r>
            <w:proofErr w:type="gramEnd"/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2), il-punt (b)(ii), tad-Direttiva 2014/59/UE.</w:t>
            </w:r>
          </w:p>
          <w:p w14:paraId="6CBCECA5" w14:textId="0194AD8C" w:rsidR="007600E9" w:rsidRPr="002D1439" w:rsidRDefault="007600E9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Fil-każ ta’ MREL intern, l-istrumenti msemmija fl-Artikolu 89(2), ir-raba’ subparagrafu, tad-Direttiva 2014/59/UE għandhom jiġu inklużi meta japplika dak il-paragrafu. L-istrumenti rregolati mil-liġi ta’ pajjiż terz għandhom jiġu inklużi biss jekk jissodisfaw ir-rekwiżiti stabbiliti fl-Artikolu 55 tad-Direttiva 2014/59/UE.</w:t>
            </w:r>
          </w:p>
        </w:tc>
      </w:tr>
      <w:tr w:rsidR="00026FC1" w:rsidRPr="0008623B" w14:paraId="2919AE1B" w14:textId="77777777" w:rsidTr="002A065A">
        <w:tc>
          <w:tcPr>
            <w:tcW w:w="1109" w:type="dxa"/>
          </w:tcPr>
          <w:p w14:paraId="251A5712" w14:textId="4B2177BA" w:rsidR="00B907A2" w:rsidRPr="0008623B" w:rsidRDefault="006A52ED" w:rsidP="00B907A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EU-6</w:t>
            </w:r>
          </w:p>
        </w:tc>
        <w:tc>
          <w:tcPr>
            <w:tcW w:w="7642" w:type="dxa"/>
          </w:tcPr>
          <w:p w14:paraId="37F48E22" w14:textId="01DDD07A" w:rsidR="00B907A2" w:rsidRPr="002D1439" w:rsidRDefault="0031060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eliġibbli</w:t>
            </w:r>
          </w:p>
          <w:p w14:paraId="02484207" w14:textId="3BBDA43F" w:rsidR="00B907A2" w:rsidRPr="002D1439" w:rsidRDefault="00F42DCD" w:rsidP="00AB7C1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Is-somma ta’ kapital CET1, kapital tal-Grad 1 Addizzjonali eliġibbli u kapital tal-Grad 2 eliġibbli.</w:t>
            </w:r>
          </w:p>
        </w:tc>
      </w:tr>
      <w:tr w:rsidR="00026FC1" w:rsidRPr="0008623B" w14:paraId="30D7B21F" w14:textId="77777777" w:rsidTr="002A065A">
        <w:tc>
          <w:tcPr>
            <w:tcW w:w="1109" w:type="dxa"/>
          </w:tcPr>
          <w:p w14:paraId="5D54FF19" w14:textId="5DFAFBC0" w:rsidR="006A383B" w:rsidRPr="0008623B" w:rsidRDefault="00F42DCD" w:rsidP="006A383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EU-7</w:t>
            </w:r>
          </w:p>
        </w:tc>
        <w:tc>
          <w:tcPr>
            <w:tcW w:w="7642" w:type="dxa"/>
          </w:tcPr>
          <w:p w14:paraId="3BF153BB" w14:textId="618EB7D0" w:rsidR="006A383B" w:rsidRPr="0008623B" w:rsidRDefault="006A383B" w:rsidP="006A3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Obbligazzjonijiet eliġibbli </w:t>
            </w:r>
          </w:p>
          <w:p w14:paraId="63CA9295" w14:textId="50FD70BB" w:rsidR="00547B2E" w:rsidRPr="0008623B" w:rsidRDefault="00547B2E" w:rsidP="00F42DCD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MREL intern</w:t>
            </w:r>
          </w:p>
          <w:p w14:paraId="17E7EEB4" w14:textId="3FD297AB" w:rsidR="00F42DCD" w:rsidRPr="0008623B" w:rsidRDefault="00CC7310" w:rsidP="00F42DC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L-obbligazzjonijiet eliġibbli li jissodisfaw il-kundizzjonijiet stabbiliti fid-Direttiva 2014/59/UE, l-Artikolu 45f(2), </w:t>
            </w:r>
            <w:r>
              <w:rPr>
                <w:rStyle w:val="InstructionsTabelleberschrift"/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billi jitqies ukoll, fejn applikabbli, l-Artikolu 89(2)</w:t>
            </w:r>
            <w:r>
              <w:rPr>
                <w:rStyle w:val="FormatvorlageInstructionsTabelleText"/>
                <w:rFonts w:ascii="Times New Roman" w:hAnsi="Times New Roman"/>
                <w:color w:val="000000" w:themeColor="text1"/>
                <w:sz w:val="24"/>
              </w:rPr>
              <w:t>, ir-raba’ subparagrafu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Style w:val="InstructionsTabelleberschrift"/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ta’ dik id-Direttiva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63956C24" w14:textId="6F2B8506" w:rsidR="00547B2E" w:rsidRPr="0008623B" w:rsidRDefault="00547B2E" w:rsidP="00F42DC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5C695D4E" w14:textId="739B28B1" w:rsidR="00547B2E" w:rsidRPr="0008623B" w:rsidRDefault="00CC7310" w:rsidP="00F42DCD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Meta l-awtorità ta’ riżoluzzjoni tas-sussidjarja tippermetti lill-entità tissodisfa l-MREL intern b’garanziji, l-ammont ta’ garanziji li jiġu pprovduti mill-entità ta’ riżoluzzjoni u li jissodisfaw il-kundizzjonijiet kollha stabbiliti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fl-Artikolu 45f(5) tad-Direttiva 2014/59/UE għandhom jiġu inklużi f’din ir-ringiela wkoll.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TLAC Intern</w:t>
            </w:r>
          </w:p>
          <w:p w14:paraId="20CB430B" w14:textId="47B5B51E" w:rsidR="00766271" w:rsidRPr="0008623B" w:rsidRDefault="00CC7310" w:rsidP="00CC731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L-ammont ta’ obbligazzjonijiet eliġibbli għandu jiġi kkalkolat f’konformità mal-Artikolu 72k tar-Regolament (UE) Nru 575/2013, meta dawk l-obbligazzjonijiet jissodisfaw il-kundizzjonijiet stabbiliti fl-Artikolu 92b(2) ta’ dak ir-Regolament.</w:t>
            </w:r>
          </w:p>
        </w:tc>
      </w:tr>
      <w:tr w:rsidR="007600E9" w:rsidRPr="0008623B" w14:paraId="4E845D10" w14:textId="77777777" w:rsidTr="002A065A">
        <w:tc>
          <w:tcPr>
            <w:tcW w:w="1109" w:type="dxa"/>
          </w:tcPr>
          <w:p w14:paraId="153A7C48" w14:textId="5CC7BD86" w:rsidR="007600E9" w:rsidRPr="0008623B" w:rsidRDefault="007600E9" w:rsidP="007600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EU-8</w:t>
            </w:r>
          </w:p>
        </w:tc>
        <w:tc>
          <w:tcPr>
            <w:tcW w:w="7642" w:type="dxa"/>
          </w:tcPr>
          <w:p w14:paraId="49C42D32" w14:textId="17A80A6B" w:rsidR="007600E9" w:rsidRPr="0008623B" w:rsidRDefault="00FF5E0F" w:rsidP="007600E9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Obbligazzjonijiet eliġibbli - li minnhom garanziji permessi</w:t>
            </w:r>
          </w:p>
          <w:p w14:paraId="7FBE9C6F" w14:textId="39072AA7" w:rsidR="007600E9" w:rsidRPr="0008623B" w:rsidRDefault="009C121A" w:rsidP="009C12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l-awtorità ta’ riżoluzzjoni tas-sussidjarja tippermetti lill-entità tissodisfa l-MREL intern b’garanziji, l-ammont ta’ garanziji li jiġu pprovduti mill-entità ta’ riżoluzzjoni u li jissodisfaw il-kundizzjonijiet kollha stabbiliti fl-Artikolu 45f(5) tad-Direttiva 2014/59/UE.</w:t>
            </w:r>
          </w:p>
        </w:tc>
      </w:tr>
      <w:tr w:rsidR="00547B2E" w:rsidRPr="0008623B" w14:paraId="352876D4" w14:textId="77777777" w:rsidTr="002A065A">
        <w:tc>
          <w:tcPr>
            <w:tcW w:w="1109" w:type="dxa"/>
          </w:tcPr>
          <w:p w14:paraId="6DCACB84" w14:textId="766ADF9F" w:rsidR="00547B2E" w:rsidRPr="0008623B" w:rsidRDefault="00644B02" w:rsidP="007600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EU-9a</w:t>
            </w:r>
          </w:p>
        </w:tc>
        <w:tc>
          <w:tcPr>
            <w:tcW w:w="7642" w:type="dxa"/>
          </w:tcPr>
          <w:p w14:paraId="32608FA7" w14:textId="7D99477C" w:rsidR="00547B2E" w:rsidRPr="0008623B" w:rsidRDefault="00547B2E" w:rsidP="007600E9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(Aġġustamenti)</w:t>
            </w:r>
          </w:p>
          <w:p w14:paraId="716CE6EE" w14:textId="77777777" w:rsidR="00547B2E" w:rsidRPr="0008623B" w:rsidRDefault="00547B2E" w:rsidP="007600E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 negattiv</w:t>
            </w:r>
          </w:p>
          <w:p w14:paraId="53DD0B4C" w14:textId="77777777" w:rsidR="00CB3841" w:rsidRPr="0008623B" w:rsidRDefault="00CB3841" w:rsidP="00CB384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L-aġġustamenti li ġejjin għandhom jiġu ddivulgati f’din ir-ringiela:</w:t>
            </w:r>
          </w:p>
          <w:p w14:paraId="61271E0C" w14:textId="02F82C25" w:rsidR="00766271" w:rsidRPr="0008623B" w:rsidRDefault="00766271" w:rsidP="0076627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Parteċipazzjonijiet ta’ strumenti ta’ fondi proprji u strumenti ta’ obbligazzjonijiet eliġibbli li għandhom jitnaqqsu f’konformità mal-Artikolu 72e(5) tar-Regolament (UE) Nru 575/2013 u l-Artikolu 45c (2a), il-ħames subparagrafu, tad-Direttiva 2014/59/UE</w:t>
            </w:r>
          </w:p>
          <w:p w14:paraId="17EE89C8" w14:textId="699CDE18" w:rsidR="00547B2E" w:rsidRPr="0008623B" w:rsidRDefault="00766271" w:rsidP="00CB38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L-ammonti koperti minn permess biex jinxtraw, jinfdew, jitħallsu lura jew jinxtraw mill-ġdid strumenti ta’ obbligazzjonijiet eliġibbli f’konformità mal-Artikolu 78 tar-Regolament (UE) Nru 575/2013, sal-punt li l-entità relatriċi tkun għadha ma użatx dak l-ammont biex tixtri, tifdi, tħallas lura jew tixtri mill-ġdid strumenti (“ammonti ta’ permessi minn qabel mhux użati)</w:t>
            </w:r>
          </w:p>
        </w:tc>
      </w:tr>
      <w:tr w:rsidR="00026FC1" w:rsidRPr="0008623B" w14:paraId="79FC726E" w14:textId="77777777" w:rsidTr="002A065A"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161A" w14:textId="75BE9513" w:rsidR="00A9215E" w:rsidRPr="0008623B" w:rsidRDefault="00F42DCD" w:rsidP="008C152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EU-9b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FCBD" w14:textId="4ADDE5EB" w:rsidR="006475ED" w:rsidRPr="002D1439" w:rsidRDefault="00A9215E" w:rsidP="006475E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u obbligazzjonijiet eliġibbli wara l-aġġustamenti</w:t>
            </w:r>
          </w:p>
          <w:p w14:paraId="6DB0E5C7" w14:textId="7B912E87" w:rsidR="00547B2E" w:rsidRPr="002D1439" w:rsidRDefault="00547B2E" w:rsidP="00F42DCD">
            <w:pPr>
              <w:rPr>
                <w:rStyle w:val="FormatvorlageInstructionsTabelleText"/>
                <w:rFonts w:ascii="Times New Roman" w:hAnsi="Times New Roman"/>
                <w:i/>
                <w:sz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i/>
                <w:sz w:val="24"/>
                <w:lang w:val="es-ES"/>
              </w:rPr>
              <w:t>MREL intern</w:t>
            </w:r>
          </w:p>
          <w:p w14:paraId="4FED8305" w14:textId="534AF772" w:rsidR="00547B2E" w:rsidRPr="002D1439" w:rsidRDefault="00F42DCD" w:rsidP="00F42DCD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L-ammonti ta’ fondi proprji eliġibbli u obbligazzjonijiet eliġibbli tal-entità, netti mill-aġġustamenti, li jgħoddu għall-MREL intern kif stabbilit fl-Artikolu 45</w:t>
            </w:r>
            <w:proofErr w:type="gramStart"/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f(</w:t>
            </w:r>
            <w:proofErr w:type="gramEnd"/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2) tad-Direttiva 2014/59/UE</w:t>
            </w:r>
            <w:r w:rsidRPr="002D1439">
              <w:rPr>
                <w:rFonts w:ascii="Times New Roman" w:hAnsi="Times New Roman"/>
                <w:sz w:val="24"/>
                <w:lang w:val="es-ES"/>
              </w:rPr>
              <w:t>,</w:t>
            </w:r>
            <w:r w:rsidRPr="002D143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  <w:lang w:val="es-ES"/>
              </w:rPr>
              <w:t xml:space="preserve"> billi jitqies ukoll, fejn applikabbli, l-Artikolu 89(2)</w:t>
            </w:r>
            <w:r w:rsidRPr="002D1439">
              <w:rPr>
                <w:rFonts w:ascii="Times New Roman" w:hAnsi="Times New Roman"/>
                <w:sz w:val="24"/>
                <w:lang w:val="es-ES"/>
              </w:rPr>
              <w:t>, ta’ dik id-Direttiva, ir-raba’ subparagrafu.</w:t>
            </w:r>
            <w:r w:rsidRPr="002D143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  <w:lang w:val="es-ES"/>
              </w:rPr>
              <w:t xml:space="preserve"> Fil-każ ta’ strumenti rregolati mil-liġi ta’ pajjiż terz, l-istrument għandu jiġi inkluż biss f’din ir-ringiela jekk jissodisfa r-rekwiżiti stipulati fl-Artikolu 55 tad-Direttiva 2014/59/UE.</w:t>
            </w:r>
          </w:p>
          <w:p w14:paraId="2C1B0641" w14:textId="08263093" w:rsidR="00547B2E" w:rsidRPr="002D1439" w:rsidRDefault="00547B2E" w:rsidP="00F42DCD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Li għandhom jiġu kkalkolati bħala r-ringiela EU-6 flimkien mar-ringiela EU-7 flimkien mar-ringiela EU-9a.</w:t>
            </w:r>
          </w:p>
          <w:p w14:paraId="2538ACE7" w14:textId="7B547E87" w:rsidR="00547B2E" w:rsidRPr="002D1439" w:rsidRDefault="00547B2E" w:rsidP="00F42DCD">
            <w:pPr>
              <w:rPr>
                <w:rStyle w:val="FormatvorlageInstructionsTabelleText"/>
                <w:rFonts w:ascii="Times New Roman" w:hAnsi="Times New Roman"/>
                <w:i/>
                <w:sz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i/>
                <w:sz w:val="24"/>
                <w:lang w:val="es-ES"/>
              </w:rPr>
              <w:t>TLAC interna</w:t>
            </w:r>
          </w:p>
          <w:p w14:paraId="56CFB916" w14:textId="470CF1AB" w:rsidR="006475ED" w:rsidRPr="002D1439" w:rsidRDefault="00547B2E" w:rsidP="00503590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lastRenderedPageBreak/>
              <w:t>Il-fondi proprji u l-obbligazzjonijiet eliġibbli li jgħoddu għar-rekwiżit għal fondi proprji u obbligazzjonijiet eliġibbli għal G-SIIs mhux tal-UE kif stabbilit fl-Artikolu 92</w:t>
            </w:r>
            <w:proofErr w:type="gramStart"/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b(</w:t>
            </w:r>
            <w:proofErr w:type="gramEnd"/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2) tar-Regolament (UE) Nru 575/2013.</w:t>
            </w: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Li għandhom jiġu kkalkolati bħala r-ringiela EU-6 flimkien mar-ringiela EU-7.</w:t>
            </w:r>
          </w:p>
        </w:tc>
      </w:tr>
      <w:tr w:rsidR="00026FC1" w:rsidRPr="0008623B" w14:paraId="2CEBF3B0" w14:textId="77777777" w:rsidTr="002A065A">
        <w:tc>
          <w:tcPr>
            <w:tcW w:w="1109" w:type="dxa"/>
          </w:tcPr>
          <w:p w14:paraId="43BF2529" w14:textId="36FBE66E" w:rsidR="000C5255" w:rsidRPr="0008623B" w:rsidDel="00FF3133" w:rsidRDefault="007F6136" w:rsidP="00F421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EU-10</w:t>
            </w:r>
          </w:p>
        </w:tc>
        <w:tc>
          <w:tcPr>
            <w:tcW w:w="7642" w:type="dxa"/>
          </w:tcPr>
          <w:p w14:paraId="09DCE834" w14:textId="5F82E219" w:rsidR="007F6136" w:rsidRPr="0008623B" w:rsidRDefault="007F6136" w:rsidP="00C07CC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L-ammont totali tal-iskopertura għar-riskju (TREA)</w:t>
            </w:r>
          </w:p>
          <w:p w14:paraId="5B78340F" w14:textId="6D0E9C20" w:rsidR="000C5255" w:rsidRPr="0008623B" w:rsidRDefault="000C525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L-ammont totali tal-iskopertura għar-riskju tal-entità individwali jew tal-grupp konsolidat li fil-livell tiegħu ġew stabbiliti r-rekwiżiti, kif applikabbli, f’konformità mal-Artikolu 18(1), it-tieni subparagrafu, tar-Regolament (UE) Nru 575/2013.</w:t>
            </w:r>
          </w:p>
          <w:p w14:paraId="17016E2A" w14:textId="75D89C0B" w:rsidR="008149F0" w:rsidRPr="0008623B" w:rsidRDefault="008149F0" w:rsidP="00B7091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totali tal-iskopertura għar-riskju rrapportat f’din ir-ringiela għandu jkun l-ammont totali tal-iskopertura għar-riskju li huwa l-bażi għall-konformità mar-rekwiżiti tal-Artikolu 45 tad-Direttiva 2014/59/UE jew l-Artikolu 92b tar-Regolament (UE) Nru 575/2013, kif applikabbli.</w:t>
            </w:r>
          </w:p>
        </w:tc>
      </w:tr>
      <w:tr w:rsidR="00026FC1" w:rsidRPr="0008623B" w14:paraId="09EE5A03" w14:textId="77777777" w:rsidTr="002A065A">
        <w:tc>
          <w:tcPr>
            <w:tcW w:w="1109" w:type="dxa"/>
          </w:tcPr>
          <w:p w14:paraId="5D0897E5" w14:textId="78C3CD2B" w:rsidR="000C5255" w:rsidRPr="0008623B" w:rsidDel="00FF3133" w:rsidRDefault="007F613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EU-11</w:t>
            </w:r>
          </w:p>
        </w:tc>
        <w:tc>
          <w:tcPr>
            <w:tcW w:w="7642" w:type="dxa"/>
          </w:tcPr>
          <w:p w14:paraId="3D1B444A" w14:textId="48056C18" w:rsidR="000C5255" w:rsidRPr="002D1439" w:rsidRDefault="00D156A3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Il-kejl tal-iskopertura totali (TEM)</w:t>
            </w:r>
          </w:p>
          <w:p w14:paraId="53B11114" w14:textId="7FEC6446" w:rsidR="000C5255" w:rsidRPr="002D1439" w:rsidRDefault="006501CC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Il-kejl tal-iskopertura totali (id-denominatur tal-proporzjon tal-ingranaġġ), tal-entità individwali jew tal-grupp konsolidat li fil-livell tiegħu ġew stabbiliti r-rekwiżiti, kif applikabbli, f’konformità mal-Artikolu 429(4) u l-Artikolu 429a tar-Regolament (UE) Nru 575/2013.</w:t>
            </w:r>
          </w:p>
          <w:p w14:paraId="2DB81445" w14:textId="64886997" w:rsidR="008149F0" w:rsidRPr="002D1439" w:rsidRDefault="008149F0" w:rsidP="00B7091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Style w:val="FormatvorlageInstructionsTabelleText"/>
                <w:rFonts w:ascii="Times New Roman" w:hAnsi="Times New Roman"/>
                <w:sz w:val="24"/>
                <w:lang w:val="es-ES"/>
              </w:rPr>
              <w:t>Il-kejl tal-iskopertura totali rrapportat f’din ir-ringiela għandu jkun il-kejl tal-iskopertura totali, li huwa l-bażi għall-konformità mar-rekwiżiti stabbiliti fl-Artikolu 45 tad-Direttiva 2014/59/UE jew l-Artikolu 92b tar-Regolament (UE) Nru 575/2013, kif applikabbli.</w:t>
            </w:r>
          </w:p>
        </w:tc>
      </w:tr>
      <w:tr w:rsidR="00026FC1" w:rsidRPr="0008623B" w14:paraId="3F7E48D5" w14:textId="77777777" w:rsidTr="002A065A">
        <w:tc>
          <w:tcPr>
            <w:tcW w:w="1109" w:type="dxa"/>
          </w:tcPr>
          <w:p w14:paraId="068C68E0" w14:textId="4F4AB2A0" w:rsidR="000C5255" w:rsidRPr="0008623B" w:rsidRDefault="007F613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EU-12</w:t>
            </w:r>
          </w:p>
        </w:tc>
        <w:tc>
          <w:tcPr>
            <w:tcW w:w="7642" w:type="dxa"/>
          </w:tcPr>
          <w:p w14:paraId="4D8D9DC8" w14:textId="2ACFCB31" w:rsidR="000C5255" w:rsidRPr="002D1439" w:rsidRDefault="000C5255" w:rsidP="000C525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u obbligazzjonijiet eliġibbli bħala persentaġġ tat-TREA</w:t>
            </w:r>
          </w:p>
          <w:p w14:paraId="745451FA" w14:textId="77777777" w:rsidR="000C5255" w:rsidRPr="002D1439" w:rsidRDefault="000C5255" w:rsidP="007F6136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Il-proporzjon tal-fondi proprji u l-obbligazzjonijiet eliġibbli, bħala persentaġġ tal-ammont totali tal-iskopertura għar-riskju.</w:t>
            </w:r>
          </w:p>
          <w:p w14:paraId="53A01624" w14:textId="53B31A41" w:rsidR="00DB779A" w:rsidRPr="002D1439" w:rsidRDefault="00DB779A" w:rsidP="00AB7A3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Għandu jiġi kkalkolat bħala r-ringiela EU-9b diviża bir-ringiela EU-10.</w:t>
            </w:r>
          </w:p>
        </w:tc>
      </w:tr>
      <w:tr w:rsidR="000F5992" w:rsidRPr="0008623B" w14:paraId="05A06C82" w14:textId="77777777" w:rsidTr="002A065A">
        <w:tc>
          <w:tcPr>
            <w:tcW w:w="1109" w:type="dxa"/>
          </w:tcPr>
          <w:p w14:paraId="3717A45E" w14:textId="2311289F" w:rsidR="000F5992" w:rsidRPr="0008623B" w:rsidDel="00F42177" w:rsidRDefault="000F5992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EU-13</w:t>
            </w:r>
          </w:p>
        </w:tc>
        <w:tc>
          <w:tcPr>
            <w:tcW w:w="7642" w:type="dxa"/>
          </w:tcPr>
          <w:p w14:paraId="4B61594C" w14:textId="66FE0C57" w:rsidR="000F5992" w:rsidRPr="0008623B" w:rsidRDefault="00FF5E0F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bħala persentaġġ tat-TREA - li minnhom garanziji permessi</w:t>
            </w:r>
          </w:p>
          <w:p w14:paraId="3E66E9D6" w14:textId="43B7D24C" w:rsidR="000F5992" w:rsidRPr="0008623B" w:rsidRDefault="00B24DB1" w:rsidP="00A963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l-awtorità ta’ riżoluzzjoni tas-sussidjarja tippermetti lill-entità tissodisfa l-MREL intern b’garanziji, l-ammont</w:t>
            </w:r>
            <w:r>
              <w:rPr>
                <w:rFonts w:ascii="Times New Roman" w:hAnsi="Times New Roman"/>
                <w:sz w:val="24"/>
              </w:rPr>
              <w:t xml:space="preserve"> ta’ garanziji li jiġu pprovduti mill-entità ta’ riżoluzzjoni u li jikkonformaw mal-kundizzjonijiet stabbiliti fl-Artikolu 45f(5) tad-Direttiva 2014/59/UE, bħala persentaġġ tal-ammont totali tal-iskopertura għar-riskju.</w:t>
            </w:r>
          </w:p>
          <w:p w14:paraId="21098783" w14:textId="24721D46" w:rsidR="00B24DB1" w:rsidRPr="0008623B" w:rsidRDefault="00B07EB6" w:rsidP="00AA067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Li għandhom jiġu kkalkolati bħala r-ringiela EU-8 diviża bir-ringiela EU-10.</w:t>
            </w:r>
          </w:p>
        </w:tc>
      </w:tr>
      <w:tr w:rsidR="00026FC1" w:rsidRPr="0008623B" w14:paraId="1BE5C236" w14:textId="77777777" w:rsidTr="002A065A">
        <w:tc>
          <w:tcPr>
            <w:tcW w:w="1109" w:type="dxa"/>
          </w:tcPr>
          <w:p w14:paraId="6389E44B" w14:textId="64502185" w:rsidR="000C5255" w:rsidRPr="0008623B" w:rsidRDefault="007F613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EU-14</w:t>
            </w:r>
          </w:p>
        </w:tc>
        <w:tc>
          <w:tcPr>
            <w:tcW w:w="7642" w:type="dxa"/>
          </w:tcPr>
          <w:p w14:paraId="747FEBA4" w14:textId="71CE299B" w:rsidR="000C5255" w:rsidRPr="002D1439" w:rsidRDefault="000C5255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  <w:t>Fondi proprji u obbligazzjonijiet eliġibbli bħala persentaġġ tat-TEM</w:t>
            </w:r>
          </w:p>
          <w:p w14:paraId="10E78AE1" w14:textId="0BBF5E97" w:rsidR="000C5255" w:rsidRPr="002D1439" w:rsidRDefault="000C5255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lastRenderedPageBreak/>
              <w:t>Il-proporzjon ta’ fondi proprji u obbligazzjonijiet eliġibbli, bħala persentaġġ tal-kejl tal-iskopertura totali.</w:t>
            </w:r>
          </w:p>
          <w:p w14:paraId="3C080CF4" w14:textId="28CCBF72" w:rsidR="003946D4" w:rsidRPr="002D1439" w:rsidRDefault="003946D4" w:rsidP="00AB7A3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2D1439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Għandu jiġi kkalkolat bħala r-ringiela EU-9b diviża bir-ringiela EU-11.</w:t>
            </w:r>
          </w:p>
        </w:tc>
      </w:tr>
      <w:tr w:rsidR="000F5992" w:rsidRPr="0008623B" w14:paraId="06EE9DB1" w14:textId="77777777" w:rsidTr="002A065A">
        <w:tc>
          <w:tcPr>
            <w:tcW w:w="1109" w:type="dxa"/>
          </w:tcPr>
          <w:p w14:paraId="38BE120A" w14:textId="5E907A17" w:rsidR="000F5992" w:rsidRPr="0008623B" w:rsidDel="00F42177" w:rsidRDefault="000F5992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EU-15</w:t>
            </w:r>
          </w:p>
        </w:tc>
        <w:tc>
          <w:tcPr>
            <w:tcW w:w="7642" w:type="dxa"/>
          </w:tcPr>
          <w:p w14:paraId="6EC6E664" w14:textId="0D1F1FF7" w:rsidR="000F5992" w:rsidRPr="0008623B" w:rsidRDefault="00FF5E0F" w:rsidP="003F5FD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Fondi proprji u obbligazzjonijiet eliġibbli bħala persentaġġ tat-TEM - li minnhom garanziji permessi</w:t>
            </w:r>
          </w:p>
          <w:p w14:paraId="49C52AE4" w14:textId="4E11ED80" w:rsidR="00B07EB6" w:rsidRPr="0008623B" w:rsidRDefault="00AA0676" w:rsidP="00A963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l-awtorità ta’ riżoluzzjoni tas-sussidjarja tippermetti lill-entità tissodisfa l-MREL intern b’garanziji, l-ammont</w:t>
            </w:r>
            <w:r>
              <w:rPr>
                <w:rFonts w:ascii="Times New Roman" w:hAnsi="Times New Roman"/>
                <w:sz w:val="24"/>
              </w:rPr>
              <w:t xml:space="preserve"> ta’ garanziji li jiġu pprovduti mill-entità ta’ riżoluzzjoni u li jikkonformaw mal-kundizzjonijiet stabbiliti fl-Artikolu 45f(5) tad-Direttiva 2014/59/UE, bħala persentaġġ tal-miżura totali tal-iskopertura għar-riskju.</w:t>
            </w:r>
          </w:p>
          <w:p w14:paraId="5F818595" w14:textId="4B7CE3AB" w:rsidR="000F5992" w:rsidRPr="0008623B" w:rsidRDefault="00B07EB6" w:rsidP="00B07EB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Li għandhom jiġu kkalkolati bħala r-ringiela EU-8 diviża bir-ringiela EU-11.</w:t>
            </w:r>
          </w:p>
        </w:tc>
      </w:tr>
      <w:tr w:rsidR="00026FC1" w:rsidRPr="0008623B" w14:paraId="72C7F5C5" w14:textId="77777777" w:rsidTr="002A065A">
        <w:tc>
          <w:tcPr>
            <w:tcW w:w="1109" w:type="dxa"/>
          </w:tcPr>
          <w:p w14:paraId="480E6DB5" w14:textId="4B427067" w:rsidR="000C5255" w:rsidRPr="0008623B" w:rsidRDefault="00F42177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EU-16</w:t>
            </w:r>
          </w:p>
        </w:tc>
        <w:tc>
          <w:tcPr>
            <w:tcW w:w="7642" w:type="dxa"/>
          </w:tcPr>
          <w:p w14:paraId="77339BFA" w14:textId="07707C45" w:rsidR="000C5255" w:rsidRPr="0008623B" w:rsidRDefault="000C5255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Is-CET1 (bħala persentaġġ tat-TREA) disponibbli wara li jiġu ssodisfati r-rekwiżiti tal-entità</w:t>
            </w:r>
          </w:p>
          <w:p w14:paraId="10969C39" w14:textId="385E6EF9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L-ammont ta’ CET1, ugwali għal żero jew pożittiv, disponibbli wara li jiġu ssodisfati kull wieħed mir-rekwiżiti msemmija fl-Artikolu 141a, il-punti (a), (b) u (c) tad-Direttiva 2013/36/UE u l-ogħla minn:</w:t>
            </w:r>
          </w:p>
          <w:p w14:paraId="58E9B9E9" w14:textId="7860E6DE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(a) fejn applikabbli, ir-rekwiżit G-SII mhux tal-UE għall-fondi proprji u l-obbligazzjonijiet eliġibbli skont l-Artikolu 92b tar-Regolament (UE) Nru 575/2013 meta kkalkolat f’konformità mal-Artikolu 92b(1) tar-Regolament (UE) Nru 575/2013 bħala 90 % tar-rekwiżit tal-Artikolu 92a(1), il-punt (a), ta’ dak ir-Regolament u </w:t>
            </w:r>
          </w:p>
          <w:p w14:paraId="198DF7D6" w14:textId="3885C36B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(b) ir-rekwiżit minimu għall-fondi proprji u l-obbligazzjonijiet eliġibbli skont l-Artikolu 45 tad-Direttiva 2014/59/UE, meta kkalkolat f’konformità mal-Artikolu 45(2), il-punt (a) ta’ dik id-Direttiva.</w:t>
            </w:r>
          </w:p>
          <w:p w14:paraId="4CF4E1A3" w14:textId="6E11E15F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Iċ-ċifra divulgata għandha tkun identika kemm fil-kolonni tal-MREL kif ukoll f’dawk tat-TLAC.</w:t>
            </w:r>
          </w:p>
          <w:p w14:paraId="6C9387A7" w14:textId="461089FB" w:rsidR="000C5255" w:rsidRPr="0008623B" w:rsidRDefault="00A47BCD" w:rsidP="00AA0676">
            <w:pPr>
              <w:rPr>
                <w:b/>
                <w:noProof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Hija għandha tqis l-effett tad-dispożizzjonijiet tranżitorji fuq il-fondi proprji u l-obbligazzjonijiet eliġibbli, l-ammont totali tal-iskopertura għar-riskju u r-rekwiżiti nfushom. La l-gwida dwar il-fondi proprji addizzjonali msemmija fl-Artikolu 104b tad-Direttiva 2013/36/UE u lanqas ir-rekwiżit ta’ riżerva kombinata tal-Artikolu 128, l-ewwel paragrafu, il-punt (6) ta’ dik id-Direttiva, ma għandhom jiġu kkunsidrati.</w:t>
            </w:r>
          </w:p>
        </w:tc>
      </w:tr>
      <w:tr w:rsidR="00026FC1" w:rsidRPr="0008623B" w14:paraId="27986DD8" w14:textId="77777777" w:rsidTr="002A065A">
        <w:tc>
          <w:tcPr>
            <w:tcW w:w="1109" w:type="dxa"/>
          </w:tcPr>
          <w:p w14:paraId="72398D99" w14:textId="0534A19F" w:rsidR="000C5255" w:rsidRPr="0008623B" w:rsidRDefault="000F5992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EU-17</w:t>
            </w:r>
          </w:p>
        </w:tc>
        <w:tc>
          <w:tcPr>
            <w:tcW w:w="7642" w:type="dxa"/>
          </w:tcPr>
          <w:p w14:paraId="76F0E68B" w14:textId="21794D3D" w:rsidR="000C5255" w:rsidRPr="0008623B" w:rsidRDefault="000C5255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Ir-rekwiżit ta’ riżerva kombinata speċifiku għall-istituzzjoni </w:t>
            </w:r>
          </w:p>
          <w:p w14:paraId="24FA0B83" w14:textId="4835122C" w:rsidR="000C5255" w:rsidRPr="0008623B" w:rsidRDefault="000C5255" w:rsidP="00CB08B2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Ir-rekwiżit ta’ riżerva kombinata speċifiku għall-istituzzjoni definit fl-Artikolu 128, l-ewwel paragrafu, il-punt (6) tad-Direttiva 2013/36/UE, espress bħala persentaġġ tal-ammont totali tal-iskopertura għar-riskju,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applikabbli għall-entità skont l-Artikolu 128, l-ewwel paragrafu, il-punt (6), tad-Direttiva 2013/36/UE.</w:t>
            </w:r>
          </w:p>
        </w:tc>
      </w:tr>
      <w:tr w:rsidR="00026FC1" w:rsidRPr="0008623B" w14:paraId="7F2F0D59" w14:textId="77777777" w:rsidTr="002A065A">
        <w:trPr>
          <w:trHeight w:val="58"/>
        </w:trPr>
        <w:tc>
          <w:tcPr>
            <w:tcW w:w="1109" w:type="dxa"/>
          </w:tcPr>
          <w:p w14:paraId="5F6F778C" w14:textId="5F16CF0E" w:rsidR="000F5992" w:rsidRPr="0008623B" w:rsidRDefault="00F42177" w:rsidP="00644B0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EU-18</w:t>
            </w:r>
          </w:p>
        </w:tc>
        <w:tc>
          <w:tcPr>
            <w:tcW w:w="7642" w:type="dxa"/>
          </w:tcPr>
          <w:p w14:paraId="44696FD9" w14:textId="2B694FE0" w:rsidR="008834C5" w:rsidRPr="0008623B" w:rsidRDefault="00F51FA3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Ir-rekwiżit espress bħala perċentwal tat-TREA</w:t>
            </w:r>
          </w:p>
          <w:p w14:paraId="4059E3AD" w14:textId="09123D9B" w:rsidR="00B07EB6" w:rsidRPr="0008623B" w:rsidRDefault="00B07EB6" w:rsidP="0092457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MREL intern</w:t>
            </w:r>
          </w:p>
          <w:p w14:paraId="7A3B8EB3" w14:textId="022A0950" w:rsidR="00036DB1" w:rsidRPr="0008623B" w:rsidRDefault="00B07EB6" w:rsidP="0092457E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Ir-rekwiżit għall-fondi proprji u l-obbligazzjonijiet eliġibbli applikabbli għall-entità f’konformità mal-Artikolu 45f tad-Direttiva 2014/59/UE, espress bħala persentaġġ tal-ammont totali tal-iskopertura għar-riskju (fil-livell individwali jew konsolidat, kif applikabbli).</w:t>
            </w:r>
          </w:p>
          <w:p w14:paraId="36F1A57F" w14:textId="701178C9" w:rsidR="00B07EB6" w:rsidRPr="0008623B" w:rsidRDefault="00B07EB6" w:rsidP="00B07EB6">
            <w:pP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TLAC interna</w:t>
            </w:r>
          </w:p>
          <w:p w14:paraId="524A15B1" w14:textId="10807991" w:rsidR="00D156A3" w:rsidRPr="0008623B" w:rsidRDefault="00B07EB6" w:rsidP="00CB08B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Ir-rekwiżit stabbilit fl-Artikolu 92b tar-Regolament (UE) Nru 575/2013, espress bħala persentaġġ tal-ammont totali tal-iskopertura għar-riskju (fil-livell individwali jew konsolidat, kif applikabbli).</w:t>
            </w:r>
          </w:p>
        </w:tc>
      </w:tr>
      <w:tr w:rsidR="00026FC1" w:rsidRPr="0008623B" w14:paraId="33DA72AB" w14:textId="77777777" w:rsidTr="002A065A">
        <w:tc>
          <w:tcPr>
            <w:tcW w:w="1109" w:type="dxa"/>
          </w:tcPr>
          <w:p w14:paraId="784E2295" w14:textId="4500A04A" w:rsidR="008834C5" w:rsidRPr="0008623B" w:rsidRDefault="00F42177" w:rsidP="00CE0D4E">
            <w:pPr>
              <w:keepNext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EU-19</w:t>
            </w:r>
          </w:p>
        </w:tc>
        <w:tc>
          <w:tcPr>
            <w:tcW w:w="7642" w:type="dxa"/>
          </w:tcPr>
          <w:p w14:paraId="168B9372" w14:textId="2BC4791B" w:rsidR="008834C5" w:rsidRPr="0008623B" w:rsidRDefault="00FF5E0F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Ir-rekwiżit espress bħala persentaġġ tat-TREA - li minnu parti mir-rekwiżit li tista’ tiġi ssodisfata b’garanzija</w:t>
            </w:r>
          </w:p>
          <w:p w14:paraId="689193A8" w14:textId="2B66DAF3" w:rsidR="00036DB1" w:rsidRPr="0008623B" w:rsidRDefault="00036DB1" w:rsidP="0010289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Fejn applikabbli, parti mir-rekwiżit għal fondi proprji u obbligazzjonijiet eliġibbli espress bħala persentaġġ tal-ammont tal-iskopertura tar-riskju totali li tista’ tiġi ssodisfata b’garanzija pprovduta mill-entità ta’ riżoluzzjoni f’konformità mal-Artikolu 45f(5) tad-Direttiva 2014/59/UE.</w:t>
            </w:r>
          </w:p>
        </w:tc>
      </w:tr>
      <w:tr w:rsidR="00026FC1" w:rsidRPr="0008623B" w14:paraId="7DB5B45D" w14:textId="77777777" w:rsidTr="002A065A">
        <w:tc>
          <w:tcPr>
            <w:tcW w:w="1109" w:type="dxa"/>
          </w:tcPr>
          <w:p w14:paraId="291F5089" w14:textId="5540E6DA" w:rsidR="008834C5" w:rsidRPr="0008623B" w:rsidRDefault="00BB093D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EU-20</w:t>
            </w:r>
          </w:p>
        </w:tc>
        <w:tc>
          <w:tcPr>
            <w:tcW w:w="7642" w:type="dxa"/>
          </w:tcPr>
          <w:p w14:paraId="517C1D7E" w14:textId="160471A8" w:rsidR="008834C5" w:rsidRPr="0008623B" w:rsidRDefault="00A96376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Ir-rekwiżit espress bħala perċentwal tat-TEM</w:t>
            </w:r>
          </w:p>
          <w:p w14:paraId="390682C6" w14:textId="2F127DB6" w:rsidR="00B07EB6" w:rsidRPr="0008623B" w:rsidRDefault="00B07EB6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MREL intern</w:t>
            </w:r>
          </w:p>
          <w:p w14:paraId="15AB0F32" w14:textId="4388F7B3" w:rsidR="00036DB1" w:rsidRPr="0008623B" w:rsidRDefault="00B07EB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Ir-rekwiżit għall-fondi proprji u l-obbligazzjonijiet eliġibbli applikabbli għall-entità f’konformità mal-Artikolu 45f tad-Direttiva 2014/59/UE, espress bħala persentaġġ tal-kejl tal-iskopertura totali (fil-livell individwali jew konsolidat tal-impriża omm tal-UE, kif applikabbli).</w:t>
            </w:r>
          </w:p>
          <w:p w14:paraId="28AE2B52" w14:textId="40D45C6B" w:rsidR="00B07EB6" w:rsidRPr="0008623B" w:rsidRDefault="00B07EB6" w:rsidP="006501CC">
            <w:pP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TLAC interna </w:t>
            </w:r>
          </w:p>
          <w:p w14:paraId="316152E4" w14:textId="47164313" w:rsidR="00D156A3" w:rsidRPr="0008623B" w:rsidRDefault="00B07EB6" w:rsidP="00CB08B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Ir-rekwiżit stabbilit fl-Artikolu 92b tar-Regolament (UE) Nru 575/2013, espress bħala persentaġġ tal-kejl tal-iskopertura totali għar-riskju (fil-livell individwali jew konsolidat, kif applikabbli).</w:t>
            </w:r>
          </w:p>
        </w:tc>
      </w:tr>
      <w:tr w:rsidR="00026FC1" w:rsidRPr="0008623B" w14:paraId="665B02CC" w14:textId="77777777" w:rsidTr="002A065A">
        <w:tc>
          <w:tcPr>
            <w:tcW w:w="1109" w:type="dxa"/>
          </w:tcPr>
          <w:p w14:paraId="4CC8B518" w14:textId="34221154" w:rsidR="008834C5" w:rsidRPr="0008623B" w:rsidRDefault="0092457E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EU-21</w:t>
            </w:r>
          </w:p>
        </w:tc>
        <w:tc>
          <w:tcPr>
            <w:tcW w:w="7642" w:type="dxa"/>
          </w:tcPr>
          <w:p w14:paraId="5E678549" w14:textId="3C180ACA" w:rsidR="008834C5" w:rsidRPr="0008623B" w:rsidRDefault="00FF5E0F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Ir-rekwiżit espress bħala persentaġġ tat-TEM - li minnu parti mir-rekwiżit li tista’ tiġi ssodisfata b’garanzija</w:t>
            </w:r>
          </w:p>
          <w:p w14:paraId="4AD84850" w14:textId="46814386" w:rsidR="00036DB1" w:rsidRPr="0008623B" w:rsidRDefault="00036DB1" w:rsidP="00CB08B2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Fejn applikabbli, parti mir-rekwiżit għal fondi proprji u obbligazzjonijiet eliġibbli espress bħala persentaġġ tal-kejl tal-iskopertura totali li tista’ tiġi ssodisfata b’garanzija pprovduta mill-entità ta’ riżoluzzjoni f’konformità mal-Artikolu 45f(5) tad-Direttiva 2014/59/UE.</w:t>
            </w:r>
          </w:p>
        </w:tc>
      </w:tr>
      <w:tr w:rsidR="000B47A2" w:rsidRPr="0008623B" w14:paraId="2ACBD5CA" w14:textId="77777777" w:rsidTr="002A065A">
        <w:tc>
          <w:tcPr>
            <w:tcW w:w="1119" w:type="dxa"/>
            <w:vAlign w:val="top"/>
          </w:tcPr>
          <w:p w14:paraId="41CF7AC6" w14:textId="519C4DAD" w:rsidR="000B47A2" w:rsidRPr="0008623B" w:rsidRDefault="000B47A2" w:rsidP="0033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EU-22</w:t>
            </w:r>
          </w:p>
        </w:tc>
        <w:tc>
          <w:tcPr>
            <w:tcW w:w="7642" w:type="dxa"/>
            <w:vAlign w:val="top"/>
          </w:tcPr>
          <w:p w14:paraId="4FA5E841" w14:textId="053232BD" w:rsidR="000B47A2" w:rsidRPr="0008623B" w:rsidRDefault="000B47A2" w:rsidP="003312F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L-ammont totali tal-obbligazzjonijiet esklużi msemmija fl-Artikolu 72a(2) tar-Regolament (UE) Nru 575/2013</w:t>
            </w:r>
          </w:p>
        </w:tc>
      </w:tr>
    </w:tbl>
    <w:p w14:paraId="0C6C28B8" w14:textId="738A3B7A" w:rsidR="003956D6" w:rsidRPr="0008623B" w:rsidRDefault="003956D6" w:rsidP="003956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9" w:name="_Toc521936439"/>
      <w:bookmarkStart w:id="210" w:name="_Toc521936455"/>
      <w:bookmarkStart w:id="211" w:name="_Toc521936215"/>
      <w:bookmarkStart w:id="212" w:name="_Toc521936440"/>
      <w:bookmarkStart w:id="213" w:name="_Toc521936456"/>
      <w:bookmarkStart w:id="214" w:name="_Toc521936554"/>
      <w:bookmarkStart w:id="215" w:name="_Toc521938414"/>
      <w:bookmarkStart w:id="216" w:name="_Toc521941535"/>
      <w:bookmarkStart w:id="217" w:name="_Toc521936122"/>
      <w:bookmarkStart w:id="218" w:name="_Toc521936139"/>
      <w:bookmarkStart w:id="219" w:name="_Toc521936178"/>
      <w:bookmarkStart w:id="220" w:name="_Toc521936190"/>
      <w:bookmarkStart w:id="221" w:name="_Toc521936218"/>
      <w:bookmarkStart w:id="222" w:name="_Toc521936278"/>
      <w:bookmarkStart w:id="223" w:name="_Toc521936409"/>
      <w:bookmarkStart w:id="224" w:name="_Toc521936443"/>
      <w:bookmarkStart w:id="225" w:name="_Toc521936459"/>
      <w:bookmarkStart w:id="226" w:name="_Toc521936503"/>
      <w:bookmarkStart w:id="227" w:name="_Toc521936555"/>
      <w:bookmarkStart w:id="228" w:name="_Toc521938415"/>
      <w:bookmarkStart w:id="229" w:name="_Toc521941536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2A405E3F" w14:textId="56A87181" w:rsidR="00134FA4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30" w:name="_Toc529272911"/>
      <w:bookmarkStart w:id="231" w:name="_Toc14770786"/>
      <w:bookmarkStart w:id="232" w:name="_Toc4526692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auto"/>
          <w:sz w:val="24"/>
        </w:rPr>
        <w:t>5.</w:t>
      </w:r>
      <w:r>
        <w:rPr>
          <w:rFonts w:ascii="Times New Roman" w:hAnsi="Times New Roman"/>
          <w:color w:val="auto"/>
          <w:sz w:val="24"/>
        </w:rPr>
        <w:tab/>
        <w:t xml:space="preserve">EU TLAC2: Klassifikazzjoni tal-kredituri - entitajiet li mhumiex entitajiet ta’ riżoluzzjoni </w:t>
      </w:r>
      <w:bookmarkEnd w:id="230"/>
      <w:r>
        <w:rPr>
          <w:rFonts w:ascii="Times New Roman" w:hAnsi="Times New Roman"/>
          <w:color w:val="auto"/>
          <w:sz w:val="24"/>
        </w:rPr>
        <w:t>huma stess</w:t>
      </w:r>
      <w:bookmarkEnd w:id="231"/>
      <w:bookmarkEnd w:id="232"/>
    </w:p>
    <w:p w14:paraId="7A03C7D5" w14:textId="52B10ED1" w:rsidR="00EE122D" w:rsidRPr="0008623B" w:rsidRDefault="00EE122D" w:rsidP="00B62DC9">
      <w:pPr>
        <w:pStyle w:val="InstructionsText2"/>
        <w:numPr>
          <w:ilvl w:val="0"/>
          <w:numId w:val="12"/>
        </w:numPr>
      </w:pPr>
      <w:r>
        <w:t>L-informazzjoni inkluża fil-mudell EU TLAC 2 hija ddivulgata fil-livell tal-entità individwali.</w:t>
      </w:r>
    </w:p>
    <w:p w14:paraId="37B5040A" w14:textId="241394B6" w:rsidR="00D76A01" w:rsidRPr="0008623B" w:rsidRDefault="00D76A01" w:rsidP="00B62DC9">
      <w:pPr>
        <w:pStyle w:val="InstructionsText2"/>
        <w:numPr>
          <w:ilvl w:val="0"/>
          <w:numId w:val="12"/>
        </w:numPr>
      </w:pPr>
      <w:r>
        <w:t>Il-mudell EU TLAC2 jeżisti f’żewġ verżjonijiet, EU TLAC2a u EU TLAC2b. It-TLAC2a tkopri l-finanzjament kollu li huwa pari passu jew subordinat għal strumenti eliġibbli għall-MREL, inklużi l-fondi proprji u strumenti kapitali oħrajn. L-EU TLAC2b tkopri biss il-fondi proprji u l-obbligazzjonijiet eliġibbli biex jissodisfaw ir-rekwiżit tal-Artikolu 45 tad-Direttiva 2014/59/UE f’konformità mal-Artikolu 45f ta’ dik id-Direttiva.</w:t>
      </w:r>
    </w:p>
    <w:p w14:paraId="51E3EFB7" w14:textId="5F05BD0B" w:rsidR="00410769" w:rsidRPr="0008623B" w:rsidRDefault="00410769" w:rsidP="00B62DC9">
      <w:pPr>
        <w:pStyle w:val="InstructionsText2"/>
        <w:numPr>
          <w:ilvl w:val="0"/>
          <w:numId w:val="12"/>
        </w:numPr>
      </w:pPr>
      <w:r>
        <w:t>F’konformità mal-Artikolu 13(2) ta’ dan ir-Regolament, l-entitajiet li mhumiex soġġetti għall-obbligu ta’ konformità mar-rekwiżit stabbilit fl-Artikolu 92b tar-Regolament (UE) Nru 575/2013, iżda li huma soġġetti għall-obbligu ta’ konformità mar-rekwiżit tal-Artikolu 45 tad-Direttiva 2014/59/UE f’konformità mal-Artikolu 45f ta’ dik id-Direttiva jistgħu jagħżlu jekk jużawx l-EU TLAC2a jew l-EU TLAC2b biex jikkonformaw mar-rekwiżit ta’ divulgazzjoni stabbilit fl-Artikolu 45i(3), il-punt (b) tad-Direttiva 2014/59/UE.</w:t>
      </w:r>
    </w:p>
    <w:p w14:paraId="0E950EC5" w14:textId="2D041687" w:rsidR="00510C0E" w:rsidRPr="0008623B" w:rsidRDefault="0071460A" w:rsidP="00B62DC9">
      <w:pPr>
        <w:pStyle w:val="InstructionsText2"/>
        <w:numPr>
          <w:ilvl w:val="0"/>
          <w:numId w:val="12"/>
        </w:numPr>
      </w:pPr>
      <w:r>
        <w:t>Mid-data tal-applikazzjoni tal-Artikolu 45i(3) tad-Direttiva 2014/59/UE, l-entitajiet emittenti għandhom jiddivulgaw taħt il-mudell TLAC2a l-obbligazzjonijiet potenzjalment eliġibbli biex jissodisfaw ir-rekwiżiti tal-MREL intern u tat-TLAC interna. Qabel dik id-data, l-entitajiet emittenti għandhom jiddivulgaw l-obbligazzjonijiet potenzjalment eliġibbli biex jissodisfaw ir-rekwiżit tat-TLAC interna.</w:t>
      </w:r>
    </w:p>
    <w:p w14:paraId="6CD2E5E7" w14:textId="10E10F4A" w:rsidR="00134FA4" w:rsidRPr="0008623B" w:rsidRDefault="00134FA4" w:rsidP="00B62DC9">
      <w:pPr>
        <w:pStyle w:val="InstructionsText2"/>
        <w:numPr>
          <w:ilvl w:val="0"/>
          <w:numId w:val="12"/>
        </w:numPr>
      </w:pPr>
      <w:r>
        <w:t>L-ammonti pendenti msemmija fir-ringieli għandhom jiġu diżaggregati fi gradi ta’ insolvenza abbażi tal-liġi dwar l-insolvenza tal-entità emittenti, irrispettivament mil-liġi regolatorja tal-istrument.</w:t>
      </w:r>
    </w:p>
    <w:p w14:paraId="0B0B9A5D" w14:textId="25143FFC" w:rsidR="00134FA4" w:rsidRPr="0008623B" w:rsidRDefault="00522875" w:rsidP="00B62DC9">
      <w:pPr>
        <w:pStyle w:val="InstructionsText2"/>
        <w:numPr>
          <w:ilvl w:val="0"/>
          <w:numId w:val="12"/>
        </w:numPr>
      </w:pPr>
      <w:r>
        <w:t>Il-gradi ta’ insolvenza għandhom ikunu dawk ikkomunikati mill-awtorità ta’ riżoluzzjoni kompetenti f’konformità mal-preżentazzjoni standardizzata speċifikata fl-Artikolu 8 ta’ dan ir-Regolament.</w:t>
      </w:r>
    </w:p>
    <w:p w14:paraId="572D872C" w14:textId="35C5457F" w:rsidR="00134FA4" w:rsidRPr="0008623B" w:rsidRDefault="00134FA4" w:rsidP="00B62DC9">
      <w:pPr>
        <w:pStyle w:val="InstructionsText2"/>
        <w:numPr>
          <w:ilvl w:val="0"/>
          <w:numId w:val="12"/>
        </w:numPr>
      </w:pPr>
      <w:r>
        <w:t xml:space="preserve">Il-gradi jiġu ppreżentati mill-aktar subordinati għall-aktar superjuri. Il-kolonni għall-gradi għandhom jiżdiedu sakemm ikunu ġew divulgati l-istrumenti potenzjalment eliġibbli tal-aktar klassifikazzjoni superjuri. </w:t>
      </w:r>
    </w:p>
    <w:p w14:paraId="451EEEC0" w14:textId="6C07DCB8" w:rsidR="00134FA4" w:rsidRPr="0008623B" w:rsidRDefault="00134FA4" w:rsidP="00B62DC9">
      <w:pPr>
        <w:pStyle w:val="InstructionsText2"/>
        <w:numPr>
          <w:ilvl w:val="0"/>
          <w:numId w:val="12"/>
        </w:numPr>
      </w:pPr>
      <w:r>
        <w:t>L-ammont attribwibbli għal kull grad jiġi diżaggregat aktar fl-ammonti tal-entità ta’ riżoluzzjoni, inklużi l-ammonti direttament jew indirettament tal-entità ta’ riżoluzzjoni permezz ta’ entitajiet tul il-katina tas-sjieda, fejn applikabbli; u ammonti oħrajn li ma jkunux tal-entità ta’ riżoluzzjoni, fejn applikabbli. L-ammont totali ta’ kull ringiela jimtela fl-aħħar kolonna ta’ kull ringiela.</w:t>
      </w:r>
    </w:p>
    <w:p w14:paraId="4EBA1B5C" w14:textId="77777777" w:rsidR="00134FA4" w:rsidRPr="00E912A5" w:rsidRDefault="00134FA4" w:rsidP="00134FA4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fr-B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134FA4" w:rsidRPr="0008623B" w14:paraId="31E0F598" w14:textId="77777777" w:rsidTr="006E57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1E16BF2A" w14:textId="77777777" w:rsidR="00134FA4" w:rsidRPr="0008623B" w:rsidRDefault="00134FA4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Ringieli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9B07763" w14:textId="240E225B" w:rsidR="00134FA4" w:rsidRPr="0008623B" w:rsidRDefault="00E46262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8871C6" w:rsidRPr="0008623B" w14:paraId="209D319D" w14:textId="77777777" w:rsidTr="00AA4A01">
        <w:trPr>
          <w:trHeight w:val="70"/>
        </w:trPr>
        <w:tc>
          <w:tcPr>
            <w:tcW w:w="1384" w:type="dxa"/>
          </w:tcPr>
          <w:p w14:paraId="6E58CC27" w14:textId="0752B747" w:rsidR="008871C6" w:rsidRPr="0008623B" w:rsidRDefault="008871C6" w:rsidP="000C3B9F">
            <w:pPr>
              <w:pStyle w:val="Applicationdirecte"/>
              <w:spacing w:before="120"/>
              <w:rPr>
                <w:szCs w:val="24"/>
              </w:rPr>
            </w:pPr>
            <w:r>
              <w:t>1</w:t>
            </w:r>
          </w:p>
        </w:tc>
        <w:tc>
          <w:tcPr>
            <w:tcW w:w="7655" w:type="dxa"/>
          </w:tcPr>
          <w:p w14:paraId="5F9CE229" w14:textId="006CF2E0" w:rsidR="008871C6" w:rsidRPr="0008623B" w:rsidRDefault="008871C6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Sett vojt fl-UE</w:t>
            </w:r>
          </w:p>
        </w:tc>
      </w:tr>
      <w:tr w:rsidR="000C3B9F" w:rsidRPr="0008623B" w14:paraId="568E403E" w14:textId="77777777" w:rsidTr="006E5727">
        <w:trPr>
          <w:trHeight w:val="1014"/>
        </w:trPr>
        <w:tc>
          <w:tcPr>
            <w:tcW w:w="1384" w:type="dxa"/>
          </w:tcPr>
          <w:p w14:paraId="1E3A9FE3" w14:textId="763A11D8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2</w:t>
            </w:r>
          </w:p>
        </w:tc>
        <w:tc>
          <w:tcPr>
            <w:tcW w:w="7655" w:type="dxa"/>
          </w:tcPr>
          <w:p w14:paraId="4A148EDF" w14:textId="407C4BEB" w:rsidR="000C3B9F" w:rsidRPr="0008623B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Deskrizzjoni tal-grad ta’ insolvenza (test liberu)</w:t>
            </w:r>
          </w:p>
          <w:p w14:paraId="11B9DED3" w14:textId="414A0BB6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 xml:space="preserve">In-numru ta’ gradi ta’ insolvenza (n) fil-ġerarkija tal-kredituri se jiddependi fuq is-sett ta’ obbligazzjonijiet tal-entità emittenti. Id-deskrizzjoni jenħtieġ li tinkludi speċifikazzjoni tat-tipi ta’ pretensjonijiet li huma fi ħdan dak il-grad ta’ insolvenza (eż. CET1, strumenti tal-Grad 2). </w:t>
            </w:r>
          </w:p>
          <w:p w14:paraId="22A60804" w14:textId="5BBC2F70" w:rsidR="000C3B9F" w:rsidRPr="0008623B" w:rsidRDefault="000C3B9F" w:rsidP="00331959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t>Hemm kolonna waħda għal kull grad ta’ insolvenza, fejn l-ammont jinżamm kollu kemm hu mill-entità ta’ riżoluzzjoni, inklużi l-ammonti direttament jew indirettament tal-entità ta’ riżoluzzjoni permezz ta’ entitajiet tul il-katina tas-sjieda, fejn applikabbli, u t-tieni kolonna fejn parti mill-ammont għal kull grad tinżamm ukoll minn sidien li mhumiex l-entità ta’ riżoluzzjoni.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C3B9F" w:rsidRPr="0008623B" w14:paraId="4F584FCC" w14:textId="77777777" w:rsidTr="006E5727">
        <w:trPr>
          <w:trHeight w:val="1014"/>
        </w:trPr>
        <w:tc>
          <w:tcPr>
            <w:tcW w:w="1384" w:type="dxa"/>
          </w:tcPr>
          <w:p w14:paraId="2A436C9B" w14:textId="2CCB8C6C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3</w:t>
            </w:r>
          </w:p>
        </w:tc>
        <w:tc>
          <w:tcPr>
            <w:tcW w:w="7655" w:type="dxa"/>
          </w:tcPr>
          <w:p w14:paraId="77AA473A" w14:textId="5D74CC27" w:rsidR="000C3B9F" w:rsidRPr="0008623B" w:rsidRDefault="00367DF1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Obbligazzjonijiet u fondi proprji</w:t>
            </w:r>
          </w:p>
          <w:p w14:paraId="4216384F" w14:textId="0D31DC4A" w:rsidR="000C3B9F" w:rsidRPr="0008623B" w:rsidRDefault="00BB21F0" w:rsidP="00AA4A01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L-ammont ta’ fondi proprji, obbligazzjonijiet eliġibbli u obbligazzjonijiet li jikklassifikaw aktar baxxi minn jew pari passu ma’ fondi proprji jew obbligazzjonijiet eliġibbli.</w:t>
            </w:r>
          </w:p>
          <w:p w14:paraId="1B0E819E" w14:textId="77777777" w:rsidR="00BB21F0" w:rsidRPr="0008623B" w:rsidRDefault="00BB21F0" w:rsidP="00AA4A01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 għandu jinkludi wkoll obbligazzjonijiet esklużi minn rikapitalizzazzjoni interna.</w:t>
            </w:r>
          </w:p>
          <w:p w14:paraId="5A7B82DD" w14:textId="368405A5" w:rsidR="008907A6" w:rsidRPr="0008623B" w:rsidRDefault="00410769" w:rsidP="005F391D">
            <w:pPr>
              <w:pStyle w:val="Fait"/>
            </w:pPr>
            <w:r>
              <w:t>Din ir-ringiela mhijiex applikabbli fil-mudell EU TLAC2b.</w:t>
            </w:r>
          </w:p>
        </w:tc>
      </w:tr>
      <w:tr w:rsidR="000C3B9F" w:rsidRPr="0008623B" w14:paraId="27EAD1F9" w14:textId="77777777" w:rsidTr="006E5727">
        <w:trPr>
          <w:trHeight w:val="483"/>
        </w:trPr>
        <w:tc>
          <w:tcPr>
            <w:tcW w:w="1384" w:type="dxa"/>
          </w:tcPr>
          <w:p w14:paraId="09FA1416" w14:textId="27DA35B3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4</w:t>
            </w:r>
          </w:p>
        </w:tc>
        <w:tc>
          <w:tcPr>
            <w:tcW w:w="7655" w:type="dxa"/>
          </w:tcPr>
          <w:p w14:paraId="59E154B3" w14:textId="0A45A9DB" w:rsidR="000C3B9F" w:rsidRPr="0008623B" w:rsidRDefault="00A14A6B" w:rsidP="000C3B9F">
            <w:pPr>
              <w:pStyle w:val="Fait"/>
              <w:rPr>
                <w:rFonts w:eastAsiaTheme="minorEastAsia"/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Obbligazzjonijiet u fondi proprji - Li minnhom obbligazzjonijiet esklużi</w:t>
            </w:r>
          </w:p>
          <w:p w14:paraId="543649CA" w14:textId="35542114" w:rsidR="006C6694" w:rsidRPr="0008623B" w:rsidRDefault="000C3B9F" w:rsidP="005F391D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Diżaggregazzjoni tal-obbligazzjonijiet esklużi skont l-Artikolu 72a(2) tar-Regolament (UE) Nru 575/2013 jew l-Artikolu 44(2) tad-Direttiva 2014/59/UE u, fejn applikabbli, l-Artikolu 44(3) tad-Direttiva 2014/59/UE.</w:t>
            </w:r>
          </w:p>
          <w:p w14:paraId="182D9647" w14:textId="5AEB0362" w:rsidR="008907A6" w:rsidRPr="0008623B" w:rsidRDefault="00410769" w:rsidP="005F391D">
            <w:pPr>
              <w:pStyle w:val="Applicationdirecte"/>
              <w:spacing w:before="120"/>
            </w:pPr>
            <w:r>
              <w:t>Din ir-ringiela mhijiex applikabbli fil-mudell EU TLAC2b.</w:t>
            </w:r>
          </w:p>
        </w:tc>
      </w:tr>
      <w:tr w:rsidR="000C3B9F" w:rsidRPr="0008623B" w14:paraId="3CFAFBE4" w14:textId="77777777" w:rsidTr="006E5727">
        <w:trPr>
          <w:trHeight w:val="1014"/>
        </w:trPr>
        <w:tc>
          <w:tcPr>
            <w:tcW w:w="1384" w:type="dxa"/>
          </w:tcPr>
          <w:p w14:paraId="76860F6D" w14:textId="42C3686D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5</w:t>
            </w:r>
          </w:p>
        </w:tc>
        <w:tc>
          <w:tcPr>
            <w:tcW w:w="7655" w:type="dxa"/>
          </w:tcPr>
          <w:p w14:paraId="005DF5FF" w14:textId="228C6814" w:rsidR="0016339F" w:rsidRPr="0008623B" w:rsidRDefault="00367DF1" w:rsidP="00EF47A4">
            <w:pPr>
              <w:pStyle w:val="Fait"/>
            </w:pPr>
            <w:r>
              <w:rPr>
                <w:b/>
                <w:color w:val="000000" w:themeColor="text1"/>
              </w:rPr>
              <w:t>Obbligazzjonijiet u fondi proprji wara li jitnaqqsu l-obbligazzjonijiet esklużi</w:t>
            </w:r>
          </w:p>
          <w:p w14:paraId="359D335B" w14:textId="3554B9D3" w:rsidR="008907A6" w:rsidRPr="0008623B" w:rsidRDefault="00367DF1" w:rsidP="005F391D">
            <w:pPr>
              <w:pStyle w:val="Fait"/>
            </w:pPr>
            <w:r>
              <w:rPr>
                <w:color w:val="000000" w:themeColor="text1"/>
              </w:rPr>
              <w:t>Obbligazzjonijiet u fondi proprji netti mill-obbligazzjonijiet esklużi.</w:t>
            </w:r>
          </w:p>
          <w:p w14:paraId="52590AAA" w14:textId="18E701D2" w:rsidR="000C3B9F" w:rsidRPr="0008623B" w:rsidRDefault="00410769" w:rsidP="008907A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Din ir-ringiela mhijiex applikabbli fil-mudell EU TLAC2b.</w:t>
            </w:r>
          </w:p>
        </w:tc>
      </w:tr>
      <w:tr w:rsidR="000C3B9F" w:rsidRPr="0008623B" w14:paraId="2699A3CB" w14:textId="77777777" w:rsidTr="006E5727">
        <w:trPr>
          <w:trHeight w:val="316"/>
        </w:trPr>
        <w:tc>
          <w:tcPr>
            <w:tcW w:w="1384" w:type="dxa"/>
          </w:tcPr>
          <w:p w14:paraId="039E3565" w14:textId="2A27D53A" w:rsidR="000C3B9F" w:rsidRPr="0008623B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55" w:type="dxa"/>
          </w:tcPr>
          <w:p w14:paraId="677315D1" w14:textId="45D4D61F" w:rsidR="000C3B9F" w:rsidRPr="0008623B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Subsett ta’ obbligazzjonijiet u fondi proprji wara li jitnaqqsu l-obbligazzjonijiet esklużi li huma fondi proprji u obbligazzjonijiet eliġibbli għall-finijiet ta’ MREL intern/TLAC interna</w:t>
            </w:r>
          </w:p>
          <w:p w14:paraId="666E0A9A" w14:textId="0E7111CB" w:rsidR="000C3B9F" w:rsidRPr="0008623B" w:rsidRDefault="000C3B9F" w:rsidP="00341F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Diżaggregazzjoni tal-ammont ta’ fondi proprji u obbligazzjonijiet eliġibbli għall-fini ta’ MREL intern jew għall-finijiet ta’ TLAC interna, kif applikabbli f’konformità mal-paragrafu 11 hawn fuq. </w:t>
            </w:r>
          </w:p>
        </w:tc>
      </w:tr>
      <w:tr w:rsidR="000C3B9F" w:rsidRPr="0008623B" w14:paraId="0BED3052" w14:textId="77777777" w:rsidTr="006E5727">
        <w:trPr>
          <w:trHeight w:val="316"/>
        </w:trPr>
        <w:tc>
          <w:tcPr>
            <w:tcW w:w="1384" w:type="dxa"/>
          </w:tcPr>
          <w:p w14:paraId="6F2D6129" w14:textId="1A05DE99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7655" w:type="dxa"/>
          </w:tcPr>
          <w:p w14:paraId="3AF5477F" w14:textId="1583355E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Li minnhom maturità residwa ≥ sena &lt; sentejn </w:t>
            </w:r>
          </w:p>
          <w:p w14:paraId="6EC4B8A9" w14:textId="6798BA07" w:rsidR="000C3B9F" w:rsidRPr="0008623B" w:rsidRDefault="001633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6 bil-maturità residwa rilevanti.</w:t>
            </w:r>
          </w:p>
        </w:tc>
      </w:tr>
      <w:tr w:rsidR="000C3B9F" w:rsidRPr="0008623B" w14:paraId="094D1657" w14:textId="77777777" w:rsidTr="006E5727">
        <w:trPr>
          <w:trHeight w:val="316"/>
        </w:trPr>
        <w:tc>
          <w:tcPr>
            <w:tcW w:w="1384" w:type="dxa"/>
          </w:tcPr>
          <w:p w14:paraId="25637642" w14:textId="2444ED10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55" w:type="dxa"/>
          </w:tcPr>
          <w:p w14:paraId="73BC8BDA" w14:textId="65A30D65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maturità residwa ≥ sentejn &lt; 5 snin</w:t>
            </w:r>
          </w:p>
          <w:p w14:paraId="234E2E25" w14:textId="7A58A472" w:rsidR="000C3B9F" w:rsidRPr="0008623B" w:rsidRDefault="00F04275" w:rsidP="00F042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6 bil-maturità residwa rilevanti.</w:t>
            </w:r>
          </w:p>
        </w:tc>
      </w:tr>
      <w:tr w:rsidR="000C3B9F" w:rsidRPr="0008623B" w14:paraId="55CCE5FF" w14:textId="77777777" w:rsidTr="006E5727">
        <w:trPr>
          <w:trHeight w:val="316"/>
        </w:trPr>
        <w:tc>
          <w:tcPr>
            <w:tcW w:w="1384" w:type="dxa"/>
          </w:tcPr>
          <w:p w14:paraId="6D5EB35C" w14:textId="61800317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55" w:type="dxa"/>
          </w:tcPr>
          <w:p w14:paraId="6513D39F" w14:textId="3B45C903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maturità residwa ≥ 5 snin &lt; 10 snin</w:t>
            </w:r>
          </w:p>
          <w:p w14:paraId="44AA56B3" w14:textId="34E09E5C" w:rsidR="000C3B9F" w:rsidRPr="0008623B" w:rsidRDefault="00F04275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6 bil-maturità residwa rilevanti.</w:t>
            </w:r>
          </w:p>
        </w:tc>
      </w:tr>
      <w:tr w:rsidR="000C3B9F" w:rsidRPr="0008623B" w14:paraId="0B08B0F5" w14:textId="77777777" w:rsidTr="006E5727">
        <w:trPr>
          <w:trHeight w:val="316"/>
        </w:trPr>
        <w:tc>
          <w:tcPr>
            <w:tcW w:w="1384" w:type="dxa"/>
          </w:tcPr>
          <w:p w14:paraId="30A040BA" w14:textId="2B401877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5" w:type="dxa"/>
          </w:tcPr>
          <w:p w14:paraId="0EDFF84A" w14:textId="7F3D5273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maturità residwa ≥ 10 snin, iżda esklużi t-titoli perpetwi</w:t>
            </w:r>
          </w:p>
          <w:p w14:paraId="4144E4C2" w14:textId="6B7049FC" w:rsidR="000C3B9F" w:rsidRPr="0008623B" w:rsidRDefault="00F04275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6 bil-maturità residwa rilevanti.</w:t>
            </w:r>
          </w:p>
        </w:tc>
      </w:tr>
      <w:tr w:rsidR="000C3B9F" w:rsidRPr="0008623B" w14:paraId="23AD712F" w14:textId="77777777" w:rsidTr="006E5727">
        <w:trPr>
          <w:trHeight w:val="316"/>
        </w:trPr>
        <w:tc>
          <w:tcPr>
            <w:tcW w:w="1384" w:type="dxa"/>
          </w:tcPr>
          <w:p w14:paraId="67796F9B" w14:textId="308AC29C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655" w:type="dxa"/>
          </w:tcPr>
          <w:p w14:paraId="38BB8DE3" w14:textId="6E91083A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titoli perpetwi</w:t>
            </w:r>
          </w:p>
          <w:p w14:paraId="0E3F0B9E" w14:textId="5C0A7C24" w:rsidR="000C3B9F" w:rsidRPr="0008623B" w:rsidRDefault="00F04275" w:rsidP="00F042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6 li huma titoli perpetwi.</w:t>
            </w:r>
          </w:p>
        </w:tc>
      </w:tr>
    </w:tbl>
    <w:p w14:paraId="4FDBE82C" w14:textId="77777777" w:rsidR="00134FA4" w:rsidRPr="0008623B" w:rsidRDefault="00134FA4" w:rsidP="00134FA4">
      <w:pPr>
        <w:jc w:val="both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lang w:val="en-GB"/>
        </w:rPr>
      </w:pPr>
    </w:p>
    <w:p w14:paraId="4266C07E" w14:textId="3B554313" w:rsidR="00134FA4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33" w:name="_Toc529272912"/>
      <w:bookmarkStart w:id="234" w:name="_Toc14770787"/>
      <w:bookmarkStart w:id="235" w:name="_Toc45266930"/>
      <w:r>
        <w:rPr>
          <w:rFonts w:ascii="Times New Roman" w:hAnsi="Times New Roman"/>
          <w:color w:val="auto"/>
          <w:sz w:val="24"/>
        </w:rPr>
        <w:t>6.</w:t>
      </w:r>
      <w:r>
        <w:rPr>
          <w:rFonts w:ascii="Times New Roman" w:hAnsi="Times New Roman"/>
          <w:color w:val="auto"/>
          <w:sz w:val="24"/>
        </w:rPr>
        <w:tab/>
      </w:r>
      <w:r w:rsidRPr="002D1439">
        <w:rPr>
          <w:rFonts w:ascii="Times New Roman" w:hAnsi="Times New Roman" w:cs="Times New Roman"/>
          <w:color w:val="auto"/>
          <w:sz w:val="24"/>
          <w:szCs w:val="24"/>
        </w:rPr>
        <w:t>EU TLAC3: Klassifikazzjoni tal-kredituri – entità ta’</w:t>
      </w:r>
      <w:bookmarkEnd w:id="233"/>
      <w:bookmarkEnd w:id="234"/>
      <w:r w:rsidRPr="002D1439">
        <w:rPr>
          <w:rFonts w:ascii="Times New Roman" w:hAnsi="Times New Roman" w:cs="Times New Roman"/>
          <w:color w:val="auto"/>
          <w:sz w:val="24"/>
          <w:szCs w:val="24"/>
        </w:rPr>
        <w:t xml:space="preserve"> riżoluzzjoni</w:t>
      </w:r>
      <w:bookmarkEnd w:id="235"/>
    </w:p>
    <w:p w14:paraId="578097FF" w14:textId="1EA4E7A0" w:rsidR="00EE122D" w:rsidRPr="0008623B" w:rsidRDefault="00EE122D" w:rsidP="00B62DC9">
      <w:pPr>
        <w:pStyle w:val="InstructionsText2"/>
        <w:numPr>
          <w:ilvl w:val="0"/>
          <w:numId w:val="12"/>
        </w:numPr>
      </w:pPr>
      <w:r>
        <w:t>L-informazzjoni inkluża fil-mudell EU TLAC3 tiġi divulgata fil-livell tal-entità individwali.</w:t>
      </w:r>
    </w:p>
    <w:p w14:paraId="0EB7EFE1" w14:textId="7A32417C" w:rsidR="00410769" w:rsidRPr="0008623B" w:rsidRDefault="00410769" w:rsidP="00B62DC9">
      <w:pPr>
        <w:pStyle w:val="InstructionsText2"/>
        <w:numPr>
          <w:ilvl w:val="0"/>
          <w:numId w:val="12"/>
        </w:numPr>
      </w:pPr>
      <w:r>
        <w:t>Il-mudell EU TLAC3 jeżisti f’żewġ verżjonijiet, EU TLAC3a u EU TLAC3b. L-EU TLAC3a tkopri l-finanzjament kollu li huwa pari passu jew subordinat għal strumenti potenzjalment eliġibbli għall-MREL, inklużi l-fondi proprji u strumenti kapitali oħrajn. L-ammonti li huma ineliġibbli biss bħala riżultat tar-rekwiżiti ta’ subordinazzjoni għandhom jiġu inklużi b’mod sħiħ fir-ringiela li tikkorrespondi għall-grad ta’ insolvenza rilevanti, jiġifieri mingħajr ma jiġu applikati l-limiti massimi. L-EU TLAC3b tkopri biss il-fondi proprji u l-obbligazzjonijiet eliġibbli biex jissodisfaw ir-rekwiżit tal-Artikolu 45 tad-Direttiva 2014/59/UE f’konformità mal-Artikolu 45e ta’ dik id-Direttiva.</w:t>
      </w:r>
    </w:p>
    <w:p w14:paraId="417A390B" w14:textId="2D84B100" w:rsidR="00410769" w:rsidRPr="0008623B" w:rsidRDefault="00410769" w:rsidP="00B62DC9">
      <w:pPr>
        <w:pStyle w:val="InstructionsText2"/>
        <w:numPr>
          <w:ilvl w:val="0"/>
          <w:numId w:val="12"/>
        </w:numPr>
      </w:pPr>
      <w:r>
        <w:t>F’konformità mal-Artikolu 14(2) ta’ dan ir-Regolament, l-entitajiet li mhumiex soġġetti għall-obbligu ta’ konformità mar-rekwiżit stabbilit fl-Artikolu 92a tar-Regolament (UE) Nru 575/2013, iżda li huma soġġetti għall-obbligu ta’ konformità mar-rekwiżit tal-Artikolu 45 tad-Direttiva 2014/59/UE f’konformità mal-Artikolu 45e ta’ dik id-Direttiva jistgħu jagħżlu jekk jużawx l-EU TLAC3a jew l-EU TLAC3b biex jikkonformaw mar-rekwiżit ta’ divulgazzjoni stabbilit fl-Artikolu 45i(3), il-punt (b) tad-Direttiva 2014/59/UE.</w:t>
      </w:r>
    </w:p>
    <w:p w14:paraId="7914D4A7" w14:textId="50C29BF6" w:rsidR="005F391D" w:rsidRPr="0008623B" w:rsidRDefault="005F391D" w:rsidP="00B62DC9">
      <w:pPr>
        <w:pStyle w:val="InstructionsText2"/>
        <w:numPr>
          <w:ilvl w:val="0"/>
          <w:numId w:val="12"/>
        </w:numPr>
      </w:pPr>
      <w:r>
        <w:t xml:space="preserve">Mid-data tal-applikazzjoni tal-Artikolu 45i(3) tad-Direttiva 2014/59/UE, l-entitajiet emittenti għandhom jiddivulgaw taħt il-mudell EU TLAC3a l-obbligazzjonijiet </w:t>
      </w:r>
      <w:r>
        <w:lastRenderedPageBreak/>
        <w:t>potenzjalment eliġibbli biex jissodisfaw ir-rekwiżiti tal-MREL u tat-TLAC. Qabel dik id-data, l-entitajiet emittenti għandhom jiddivulgaw l-obbligazzjonijiet potenzjalment eliġibbli biex jissodisfaw ir-rekwiżit tat-TLAC interna.</w:t>
      </w:r>
    </w:p>
    <w:p w14:paraId="0643F6F9" w14:textId="54E61B56" w:rsidR="005F391D" w:rsidRPr="0008623B" w:rsidRDefault="00134FA4" w:rsidP="00B62DC9">
      <w:pPr>
        <w:pStyle w:val="InstructionsText2"/>
        <w:numPr>
          <w:ilvl w:val="0"/>
          <w:numId w:val="12"/>
        </w:numPr>
      </w:pPr>
      <w:r>
        <w:t>L-ammonti pendenti msemmija fir-ringieli 2 sa 10 għandhom jiġu diżaggregati fi gradi ta’ insolvenza abbażi tal-liġi dwar l-insolvenza tal-entità emittenti, irrispettivament mil-liġi regolatorja tal-istrument.</w:t>
      </w:r>
    </w:p>
    <w:p w14:paraId="2ED9C4B9" w14:textId="752032A7" w:rsidR="005F391D" w:rsidRPr="0008623B" w:rsidRDefault="00EA31AA" w:rsidP="00B62DC9">
      <w:pPr>
        <w:pStyle w:val="InstructionsText2"/>
        <w:numPr>
          <w:ilvl w:val="0"/>
          <w:numId w:val="12"/>
        </w:numPr>
      </w:pPr>
      <w:r>
        <w:t>Il-gradi ta’ insolvenza għandhom ikunu dawk ikkomunikati mill-awtorità ta’ riżoluzzjoni kompetenti f’konformità mal-preżentazzjoni standardizzata speċifikata fil-mudell tar-rapportar rilevanti.</w:t>
      </w:r>
    </w:p>
    <w:p w14:paraId="098D1362" w14:textId="424912A1" w:rsidR="003D2D85" w:rsidRPr="0008623B" w:rsidRDefault="00134FA4" w:rsidP="00B62DC9">
      <w:pPr>
        <w:pStyle w:val="InstructionsText2"/>
        <w:numPr>
          <w:ilvl w:val="0"/>
          <w:numId w:val="12"/>
        </w:numPr>
      </w:pPr>
      <w:r>
        <w:t>Il-gradi jiġu ppreżentati mill-aktar subordinati għall-aktar superjuri. Il-kolonni għall-gradi għandhom jiżdiedu sakemm ikunu ġew divulgati l-istrumenti potenzjalment eliġibbli tal-aktar klassifikazzjoni superjuri.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134FA4" w:rsidRPr="0008623B" w14:paraId="6CE82287" w14:textId="77777777" w:rsidTr="006E57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35ABF31F" w14:textId="77777777" w:rsidR="00134FA4" w:rsidRPr="0008623B" w:rsidRDefault="00134FA4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Ringieli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09AC79A" w14:textId="70829AEF" w:rsidR="00134FA4" w:rsidRPr="0008623B" w:rsidRDefault="00E46262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Referenzi u struzzjonijiet legali</w:t>
            </w:r>
          </w:p>
        </w:tc>
      </w:tr>
      <w:tr w:rsidR="001D5616" w:rsidRPr="0008623B" w14:paraId="0C101719" w14:textId="77777777" w:rsidTr="006E5727">
        <w:trPr>
          <w:trHeight w:val="1014"/>
        </w:trPr>
        <w:tc>
          <w:tcPr>
            <w:tcW w:w="1384" w:type="dxa"/>
          </w:tcPr>
          <w:p w14:paraId="20818F1A" w14:textId="6C8CC711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1</w:t>
            </w:r>
          </w:p>
        </w:tc>
        <w:tc>
          <w:tcPr>
            <w:tcW w:w="7655" w:type="dxa"/>
          </w:tcPr>
          <w:p w14:paraId="255BAE3D" w14:textId="6FBDCDA3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Deskrizzjoni tal-grad ta’ insolvenza (test liberu)</w:t>
            </w:r>
          </w:p>
          <w:p w14:paraId="4938332D" w14:textId="624185AF" w:rsidR="001D5616" w:rsidRPr="0008623B" w:rsidRDefault="001D5616" w:rsidP="00EA31AA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In-numru ta’ gradi ta’ insolvenza (n) fil-ġerarkija tal-kredituri se jiddependi fuq is-sett ta’ obbligazzjonijiet tal-entità. Hemm kolonna waħda għal kull grad ta’ insolvenza. Id-deskrizzjoni jenħtieġ li tinkludi speċifikazzjoni tat-tipi ta’ pretensjonijiet li huma fi ħdan dak il-grad ta’ insolvenza (eż. CET1, strumenti tal-Grad 2).</w:t>
            </w:r>
          </w:p>
        </w:tc>
      </w:tr>
      <w:tr w:rsidR="001D5616" w:rsidRPr="0008623B" w14:paraId="282F3909" w14:textId="77777777" w:rsidTr="006E5727">
        <w:trPr>
          <w:trHeight w:val="1014"/>
        </w:trPr>
        <w:tc>
          <w:tcPr>
            <w:tcW w:w="1384" w:type="dxa"/>
          </w:tcPr>
          <w:p w14:paraId="6052D413" w14:textId="27A1C7E6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2</w:t>
            </w:r>
          </w:p>
        </w:tc>
        <w:tc>
          <w:tcPr>
            <w:tcW w:w="7655" w:type="dxa"/>
          </w:tcPr>
          <w:p w14:paraId="649ECD5E" w14:textId="0534C38B" w:rsidR="001D5616" w:rsidRPr="0008623B" w:rsidRDefault="00367DF1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Obbligazzjonijiet u fondi proprji</w:t>
            </w:r>
          </w:p>
          <w:p w14:paraId="6CEB4608" w14:textId="77777777" w:rsidR="003D2D85" w:rsidRPr="0008623B" w:rsidRDefault="003D2D85" w:rsidP="003D2D85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L-ammont ta’ fondi proprji, obbligazzjonijiet eliġibbli u obbligazzjonijiet li jikklassifikaw aktar baxxi minn jew pari passu ma’ fondi proprji jew obbligazzjonijiet eliġibbli.</w:t>
            </w:r>
          </w:p>
          <w:p w14:paraId="7ABCDC8B" w14:textId="193792D4" w:rsidR="00585921" w:rsidRPr="0008623B" w:rsidRDefault="003D2D85" w:rsidP="00E13544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 għandu jinkludi wkoll obbligazzjonijiet esklużi minn rikapitalizzazzjoni interna.</w:t>
            </w:r>
            <w:r>
              <w:t xml:space="preserve"> </w:t>
            </w:r>
          </w:p>
          <w:p w14:paraId="3B3981A4" w14:textId="543E66EA" w:rsidR="003D2D85" w:rsidRPr="0008623B" w:rsidRDefault="008348B0" w:rsidP="00640F37">
            <w:pPr>
              <w:pStyle w:val="Fait"/>
            </w:pPr>
            <w:r>
              <w:t>Din ir-ringiela mhijiex applikabbli fil-mudell EU TLAC3b.</w:t>
            </w:r>
          </w:p>
        </w:tc>
      </w:tr>
      <w:tr w:rsidR="001D5616" w:rsidRPr="0008623B" w14:paraId="7EFDEF71" w14:textId="77777777" w:rsidTr="006E5727">
        <w:trPr>
          <w:trHeight w:val="483"/>
        </w:trPr>
        <w:tc>
          <w:tcPr>
            <w:tcW w:w="1384" w:type="dxa"/>
          </w:tcPr>
          <w:p w14:paraId="36ABDA8C" w14:textId="78FEFA6B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3</w:t>
            </w:r>
          </w:p>
        </w:tc>
        <w:tc>
          <w:tcPr>
            <w:tcW w:w="7655" w:type="dxa"/>
          </w:tcPr>
          <w:p w14:paraId="79EC0340" w14:textId="06B26FCE" w:rsidR="001D5616" w:rsidRPr="0008623B" w:rsidRDefault="00A14A6B" w:rsidP="001D5616">
            <w:pPr>
              <w:pStyle w:val="Fait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Obbligazzjonijiet u fondi proprji - Li minnhom obbligazzjonijiet esklużi</w:t>
            </w:r>
          </w:p>
          <w:p w14:paraId="0FF41010" w14:textId="001ECF54" w:rsidR="003D2D85" w:rsidRPr="0008623B" w:rsidRDefault="003D2D85" w:rsidP="003D2D85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Diżaggregazzjoni tal-obbligazzjonijiet esklużi skont l-Artikolu 72a(2) tar-Regolament (UE) Nru 575/2013 jew l-Artikolu 44(2) tad-Direttiva 2014/59/UE u, fejn applikabbli, l-Artikolu 44(3) ta’ dik id-Direttiva.</w:t>
            </w:r>
          </w:p>
          <w:p w14:paraId="6E4598A5" w14:textId="066BD409" w:rsidR="003D2D85" w:rsidRPr="0008623B" w:rsidRDefault="008348B0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Din ir-ringiela mhijiex applikabbli fil-mudell EU TLAC3b.</w:t>
            </w:r>
          </w:p>
        </w:tc>
      </w:tr>
      <w:tr w:rsidR="001D5616" w:rsidRPr="0008623B" w14:paraId="3040763E" w14:textId="77777777" w:rsidTr="006E5727">
        <w:trPr>
          <w:trHeight w:val="1014"/>
        </w:trPr>
        <w:tc>
          <w:tcPr>
            <w:tcW w:w="1384" w:type="dxa"/>
          </w:tcPr>
          <w:p w14:paraId="6ED7CBD7" w14:textId="71B213F7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4</w:t>
            </w:r>
          </w:p>
        </w:tc>
        <w:tc>
          <w:tcPr>
            <w:tcW w:w="7655" w:type="dxa"/>
          </w:tcPr>
          <w:p w14:paraId="67B3F8CE" w14:textId="50557F36" w:rsidR="001D5616" w:rsidRPr="0008623B" w:rsidRDefault="00367DF1" w:rsidP="001D561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Obbligazzjonijiet u fondi proprji wara li jitnaqqsu l-obbligazzjonijiet esklużi</w:t>
            </w:r>
          </w:p>
          <w:p w14:paraId="09D8C04D" w14:textId="0C90618C" w:rsidR="001D5616" w:rsidRPr="0008623B" w:rsidRDefault="00367DF1" w:rsidP="001D561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Obbligazzjonijiet u fondi proprji netti mill-obbligazzjonijiet esklużi.</w:t>
            </w:r>
            <w:r>
              <w:rPr>
                <w:color w:val="000000" w:themeColor="text1"/>
              </w:rPr>
              <w:t xml:space="preserve"> </w:t>
            </w:r>
          </w:p>
          <w:p w14:paraId="4C2B3296" w14:textId="5FECF8AC" w:rsidR="003D2D85" w:rsidRPr="0008623B" w:rsidRDefault="008348B0" w:rsidP="001D5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Din ir-ringiela mhijiex applikabbli fil-mudell EU TLAC3b.</w:t>
            </w:r>
          </w:p>
        </w:tc>
      </w:tr>
      <w:tr w:rsidR="001D5616" w:rsidRPr="0008623B" w14:paraId="3A2C5DDE" w14:textId="77777777" w:rsidTr="006E5727">
        <w:trPr>
          <w:trHeight w:val="316"/>
        </w:trPr>
        <w:tc>
          <w:tcPr>
            <w:tcW w:w="1384" w:type="dxa"/>
          </w:tcPr>
          <w:p w14:paraId="3404E285" w14:textId="021B6A65" w:rsidR="001D5616" w:rsidRPr="0008623B" w:rsidRDefault="008871C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7655" w:type="dxa"/>
          </w:tcPr>
          <w:p w14:paraId="3A72D26C" w14:textId="33DDDACD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Subsett ta’ obbligazzjonijiet u fondi proprji wara li jitnaqqsu l-obbligazzjonijiet esklużi li huma fondi proprji u obbligazzjonijiet potenzjalment eliġibbli biex jissodisfaw l-MREL/it-TLAC</w:t>
            </w:r>
          </w:p>
          <w:p w14:paraId="4D791BCD" w14:textId="72DDE991" w:rsidR="001D5616" w:rsidRPr="0008623B" w:rsidRDefault="001D5616" w:rsidP="008B67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Diżaggregazzjoni tal-ammont ta’ fondi proprji u obbligazzjonijiet eliġibbli għall-finijiet ta’ MREL jew għall-finijiet ta’ TLAC, kif applikabbli f’konformità mal-paragrafu 19 hawn fuq, mingħajr applikazzjoni tal-limiti massimi fuq ir-rikonoxximent ta’ obbligazzjonijiet mhux subordinati.</w:t>
            </w:r>
          </w:p>
        </w:tc>
      </w:tr>
      <w:tr w:rsidR="001D5616" w:rsidRPr="0008623B" w14:paraId="1AD03E0A" w14:textId="77777777" w:rsidTr="006E5727">
        <w:trPr>
          <w:trHeight w:val="316"/>
        </w:trPr>
        <w:tc>
          <w:tcPr>
            <w:tcW w:w="1384" w:type="dxa"/>
          </w:tcPr>
          <w:p w14:paraId="5319D1AF" w14:textId="74E28EE0" w:rsidR="001D5616" w:rsidRPr="0008623B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55" w:type="dxa"/>
          </w:tcPr>
          <w:p w14:paraId="208DFDB8" w14:textId="6F2FB385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Li minnhom maturità residwa ≥ sena &lt; sentejn </w:t>
            </w:r>
          </w:p>
          <w:p w14:paraId="024B38D7" w14:textId="23586DB1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5 bil-maturità residwa rilevanti.</w:t>
            </w:r>
          </w:p>
        </w:tc>
      </w:tr>
      <w:tr w:rsidR="001D5616" w:rsidRPr="0008623B" w14:paraId="589F2978" w14:textId="77777777" w:rsidTr="006E5727">
        <w:trPr>
          <w:trHeight w:val="316"/>
        </w:trPr>
        <w:tc>
          <w:tcPr>
            <w:tcW w:w="1384" w:type="dxa"/>
          </w:tcPr>
          <w:p w14:paraId="41E8C660" w14:textId="7938235A" w:rsidR="001D5616" w:rsidRPr="0008623B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55" w:type="dxa"/>
          </w:tcPr>
          <w:p w14:paraId="1A0F18F5" w14:textId="1406EA6F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maturità residwa ≥ sentejn &lt; 5 snin</w:t>
            </w:r>
          </w:p>
          <w:p w14:paraId="503D3ECD" w14:textId="3E0914A8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5 bil-maturità residwa rilevanti.</w:t>
            </w:r>
          </w:p>
        </w:tc>
      </w:tr>
      <w:tr w:rsidR="001D5616" w:rsidRPr="0008623B" w14:paraId="1CE5BF41" w14:textId="77777777" w:rsidTr="006E5727">
        <w:trPr>
          <w:trHeight w:val="316"/>
        </w:trPr>
        <w:tc>
          <w:tcPr>
            <w:tcW w:w="1384" w:type="dxa"/>
          </w:tcPr>
          <w:p w14:paraId="6D06C91E" w14:textId="6BE3FA67" w:rsidR="001D5616" w:rsidRPr="0008623B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55" w:type="dxa"/>
          </w:tcPr>
          <w:p w14:paraId="385E6CA6" w14:textId="685C5434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maturità residwa ≥ 5 snin &lt; 10 snin</w:t>
            </w:r>
          </w:p>
          <w:p w14:paraId="197AF3C0" w14:textId="56872A6F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Is-subsett tar-ringiela 5 bil-maturità residwa rilevanti.</w:t>
            </w:r>
          </w:p>
        </w:tc>
      </w:tr>
      <w:tr w:rsidR="001D5616" w:rsidRPr="0008623B" w14:paraId="6652A440" w14:textId="77777777" w:rsidTr="006E5727">
        <w:trPr>
          <w:trHeight w:val="316"/>
        </w:trPr>
        <w:tc>
          <w:tcPr>
            <w:tcW w:w="1384" w:type="dxa"/>
          </w:tcPr>
          <w:p w14:paraId="34E6E46D" w14:textId="5ECCD03F" w:rsidR="001D5616" w:rsidRPr="0008623B" w:rsidRDefault="008871C6" w:rsidP="008871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55" w:type="dxa"/>
          </w:tcPr>
          <w:p w14:paraId="18D5EBD6" w14:textId="39172B5A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maturità residwa ≥ 10 snin, iżda esklużi t-titoli perpetwi</w:t>
            </w:r>
          </w:p>
          <w:p w14:paraId="61C53A18" w14:textId="6ED02288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Is-subsett tar-ringiela 5 bil-maturità residwa rilevanti. </w:t>
            </w:r>
          </w:p>
        </w:tc>
      </w:tr>
      <w:tr w:rsidR="001D5616" w:rsidRPr="00F7311F" w14:paraId="122BED89" w14:textId="77777777" w:rsidTr="006E5727">
        <w:trPr>
          <w:trHeight w:val="316"/>
        </w:trPr>
        <w:tc>
          <w:tcPr>
            <w:tcW w:w="1384" w:type="dxa"/>
          </w:tcPr>
          <w:p w14:paraId="0B741CEB" w14:textId="37EB6C3B" w:rsidR="001D5616" w:rsidRPr="0008623B" w:rsidRDefault="001D5616" w:rsidP="001D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5" w:type="dxa"/>
          </w:tcPr>
          <w:p w14:paraId="00862BE8" w14:textId="48E6FB14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Li minnhom titoli perpetwi</w:t>
            </w:r>
          </w:p>
          <w:p w14:paraId="364F102A" w14:textId="35E5C977" w:rsidR="001D5616" w:rsidRPr="00F7311F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Is-subsett tar-ringiela 5 li huma titoli perpetwi. </w:t>
            </w:r>
          </w:p>
        </w:tc>
      </w:tr>
    </w:tbl>
    <w:p w14:paraId="727A9C45" w14:textId="513EB7A2" w:rsidR="002E3F40" w:rsidRPr="00DE7C85" w:rsidRDefault="00676354" w:rsidP="00AA4A01">
      <w:pPr>
        <w:pStyle w:val="body"/>
      </w:pPr>
      <w:r>
        <w:t>“</w:t>
      </w:r>
    </w:p>
    <w:sectPr w:rsidR="002E3F40" w:rsidRPr="00DE7C85" w:rsidSect="00807127">
      <w:headerReference w:type="even" r:id="rId8"/>
      <w:footerReference w:type="default" r:id="rId9"/>
      <w:headerReference w:type="first" r:id="rId10"/>
      <w:pgSz w:w="11900" w:h="16840"/>
      <w:pgMar w:top="2268" w:right="1418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5B52" w14:textId="77777777" w:rsidR="00EE5DE6" w:rsidRDefault="00EE5DE6" w:rsidP="00A00E34">
      <w:r>
        <w:separator/>
      </w:r>
    </w:p>
    <w:p w14:paraId="6D9A16C1" w14:textId="77777777" w:rsidR="00EE5DE6" w:rsidRDefault="00EE5DE6"/>
  </w:endnote>
  <w:endnote w:type="continuationSeparator" w:id="0">
    <w:p w14:paraId="68144B1B" w14:textId="77777777" w:rsidR="00EE5DE6" w:rsidRDefault="00EE5DE6" w:rsidP="00A00E34">
      <w:r>
        <w:continuationSeparator/>
      </w:r>
    </w:p>
    <w:p w14:paraId="6D92350E" w14:textId="77777777" w:rsidR="00EE5DE6" w:rsidRDefault="00EE5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EUAlbertina">
    <w:altName w:val="Times New Roman"/>
    <w:charset w:val="00"/>
    <w:family w:val="auto"/>
    <w:pitch w:val="variable"/>
    <w:sig w:usb0="00000001" w:usb1="1000E0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65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60D88" w14:textId="580CA2FB" w:rsidR="00EE5DE6" w:rsidRDefault="00EE5DE6" w:rsidP="009400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9D"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0FCA" w14:textId="77777777" w:rsidR="00EE5DE6" w:rsidRPr="00DB5E8F" w:rsidRDefault="00EE5DE6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14:paraId="6AD737B5" w14:textId="77777777" w:rsidR="00EE5DE6" w:rsidRDefault="00EE5DE6" w:rsidP="00A00E34">
      <w:r>
        <w:continuationSeparator/>
      </w:r>
    </w:p>
    <w:p w14:paraId="5D810347" w14:textId="77777777" w:rsidR="00EE5DE6" w:rsidRDefault="00EE5DE6"/>
  </w:footnote>
  <w:footnote w:type="continuationNotice" w:id="1">
    <w:p w14:paraId="57FCC2A8" w14:textId="77777777" w:rsidR="00EE5DE6" w:rsidRDefault="00EE5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B2EC" w14:textId="00F9D07C" w:rsidR="00EE5DE6" w:rsidRDefault="00CF0B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BFD109" wp14:editId="13862CD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2540"/>
              <wp:wrapSquare wrapText="bothSides"/>
              <wp:docPr id="2" name="Text Box 2" descr="Użu Regolari tal-EB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10E33" w14:textId="033AAB4C" w:rsidR="00CF0B8E" w:rsidRPr="00CF0B8E" w:rsidRDefault="00CF0B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FD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itle:  - Description: Użu Regolari tal-EBA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3710E33" w14:textId="033AAB4C" w:rsidR="00CF0B8E" w:rsidRPr="00CF0B8E" w:rsidRDefault="00CF0B8E">
                    <w:pPr>
                      <w:rPr>
                        <w:noProof/>
                        <w:color w:val="000000"/>
                        <w:sz w:val="24"/>
                        <w:szCs w:val="24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4"/>
                        <w:rFonts w:ascii="Calibri" w:hAnsi="Calibri"/>
                      </w:rPr>
                      <w:t xml:space="preserve"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C792" w14:textId="02EA7972" w:rsidR="00EE5DE6" w:rsidRDefault="00CF0B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1ADB4" wp14:editId="57113CA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2540"/>
              <wp:wrapSquare wrapText="bothSides"/>
              <wp:docPr id="1" name="Text Box 1" descr="Użu Regolari tal-EB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BD6C" w14:textId="64E8C075" w:rsidR="00CF0B8E" w:rsidRPr="00CF0B8E" w:rsidRDefault="00CF0B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A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itle:  - Description: Użu Regolari tal-EBA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9CDBD6C" w14:textId="64E8C075" w:rsidR="00CF0B8E" w:rsidRPr="00CF0B8E" w:rsidRDefault="00CF0B8E">
                    <w:pPr>
                      <w:rPr>
                        <w:noProof/>
                        <w:color w:val="000000"/>
                        <w:sz w:val="24"/>
                        <w:szCs w:val="24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4"/>
                        <w:rFonts w:ascii="Calibri" w:hAnsi="Calibri"/>
                      </w:rPr>
                      <w:t xml:space="preserve"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5920"/>
    <w:multiLevelType w:val="hybridMultilevel"/>
    <w:tmpl w:val="CA5CBCCC"/>
    <w:lvl w:ilvl="0" w:tplc="E7565B6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43CB"/>
    <w:multiLevelType w:val="hybridMultilevel"/>
    <w:tmpl w:val="0B82EB28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286D"/>
    <w:multiLevelType w:val="hybridMultilevel"/>
    <w:tmpl w:val="35E62C9C"/>
    <w:lvl w:ilvl="0" w:tplc="C1962A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8B8"/>
    <w:multiLevelType w:val="multilevel"/>
    <w:tmpl w:val="FEE42B3C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ascii="Tahoma" w:eastAsia="Calibri" w:hAnsi="Tahoma" w:cs="Tahoma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1C645D18"/>
    <w:multiLevelType w:val="hybridMultilevel"/>
    <w:tmpl w:val="3BE2C7B8"/>
    <w:lvl w:ilvl="0" w:tplc="D47C1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B3A92"/>
    <w:multiLevelType w:val="singleLevel"/>
    <w:tmpl w:val="73D64A0E"/>
    <w:name w:val="Considérant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9" w15:restartNumberingAfterBreak="0">
    <w:nsid w:val="2D4A3D6B"/>
    <w:multiLevelType w:val="hybridMultilevel"/>
    <w:tmpl w:val="AE94D732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71C07"/>
    <w:multiLevelType w:val="hybridMultilevel"/>
    <w:tmpl w:val="EEC22C74"/>
    <w:lvl w:ilvl="0" w:tplc="5F56F3B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57CB8"/>
    <w:multiLevelType w:val="hybridMultilevel"/>
    <w:tmpl w:val="760C1692"/>
    <w:lvl w:ilvl="0" w:tplc="236EA62C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686A3D"/>
    <w:multiLevelType w:val="hybridMultilevel"/>
    <w:tmpl w:val="F92E0946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E03EB"/>
    <w:multiLevelType w:val="hybridMultilevel"/>
    <w:tmpl w:val="67A836AC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57A9"/>
    <w:multiLevelType w:val="hybridMultilevel"/>
    <w:tmpl w:val="42E0F2FC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D7471F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27369"/>
    <w:multiLevelType w:val="hybridMultilevel"/>
    <w:tmpl w:val="8E7A791A"/>
    <w:lvl w:ilvl="0" w:tplc="4A2A8390">
      <w:start w:val="1"/>
      <w:numFmt w:val="decimal"/>
      <w:pStyle w:val="numberedparagraph"/>
      <w:lvlText w:val="%1.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307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8027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8747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9467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10187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10907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11627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12347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13067" w:hanging="180"/>
      </w:pPr>
      <w:rPr>
        <w:rFonts w:cs="Times New Roman"/>
      </w:rPr>
    </w:lvl>
  </w:abstractNum>
  <w:abstractNum w:abstractNumId="20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 w15:restartNumberingAfterBreak="0">
    <w:nsid w:val="6BCD57BB"/>
    <w:multiLevelType w:val="multilevel"/>
    <w:tmpl w:val="F60CCED6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734B1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5749">
    <w:abstractNumId w:val="16"/>
  </w:num>
  <w:num w:numId="2" w16cid:durableId="1184441859">
    <w:abstractNumId w:val="3"/>
  </w:num>
  <w:num w:numId="3" w16cid:durableId="1028918299">
    <w:abstractNumId w:val="13"/>
  </w:num>
  <w:num w:numId="4" w16cid:durableId="776296339">
    <w:abstractNumId w:val="22"/>
  </w:num>
  <w:num w:numId="5" w16cid:durableId="750153091">
    <w:abstractNumId w:val="1"/>
  </w:num>
  <w:num w:numId="6" w16cid:durableId="336813224">
    <w:abstractNumId w:val="21"/>
  </w:num>
  <w:num w:numId="7" w16cid:durableId="465779702">
    <w:abstractNumId w:val="18"/>
  </w:num>
  <w:num w:numId="8" w16cid:durableId="663163219">
    <w:abstractNumId w:val="0"/>
  </w:num>
  <w:num w:numId="9" w16cid:durableId="1917978329">
    <w:abstractNumId w:val="8"/>
  </w:num>
  <w:num w:numId="10" w16cid:durableId="353311820">
    <w:abstractNumId w:val="23"/>
  </w:num>
  <w:num w:numId="11" w16cid:durableId="6709576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85784">
    <w:abstractNumId w:val="15"/>
  </w:num>
  <w:num w:numId="13" w16cid:durableId="1831798045">
    <w:abstractNumId w:val="20"/>
  </w:num>
  <w:num w:numId="14" w16cid:durableId="1121650833">
    <w:abstractNumId w:val="19"/>
  </w:num>
  <w:num w:numId="15" w16cid:durableId="1026759010">
    <w:abstractNumId w:val="11"/>
  </w:num>
  <w:num w:numId="16" w16cid:durableId="826094156">
    <w:abstractNumId w:val="9"/>
  </w:num>
  <w:num w:numId="17" w16cid:durableId="1348865239">
    <w:abstractNumId w:val="17"/>
  </w:num>
  <w:num w:numId="18" w16cid:durableId="1335106368">
    <w:abstractNumId w:val="7"/>
  </w:num>
  <w:num w:numId="19" w16cid:durableId="227693673">
    <w:abstractNumId w:val="11"/>
  </w:num>
  <w:num w:numId="20" w16cid:durableId="748769138">
    <w:abstractNumId w:val="11"/>
  </w:num>
  <w:num w:numId="21" w16cid:durableId="935597942">
    <w:abstractNumId w:val="2"/>
  </w:num>
  <w:num w:numId="22" w16cid:durableId="1734306422">
    <w:abstractNumId w:val="5"/>
  </w:num>
  <w:num w:numId="23" w16cid:durableId="451824100">
    <w:abstractNumId w:val="14"/>
  </w:num>
  <w:num w:numId="24" w16cid:durableId="398483654">
    <w:abstractNumId w:val="12"/>
  </w:num>
  <w:num w:numId="25" w16cid:durableId="818500383">
    <w:abstractNumId w:val="4"/>
  </w:num>
  <w:num w:numId="26" w16cid:durableId="1235430350">
    <w:abstractNumId w:val="11"/>
  </w:num>
  <w:num w:numId="27" w16cid:durableId="1326936538">
    <w:abstractNumId w:val="11"/>
  </w:num>
  <w:num w:numId="28" w16cid:durableId="1637417445">
    <w:abstractNumId w:val="11"/>
  </w:num>
  <w:num w:numId="29" w16cid:durableId="1921674367">
    <w:abstractNumId w:val="11"/>
  </w:num>
  <w:num w:numId="30" w16cid:durableId="1001541118">
    <w:abstractNumId w:val="11"/>
  </w:num>
  <w:num w:numId="31" w16cid:durableId="24329730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proofState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046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LW_DocType" w:val="EBA GL-REC 20XX XX (FINAL GLS-REC ON"/>
  </w:docVars>
  <w:rsids>
    <w:rsidRoot w:val="006307A5"/>
    <w:rsid w:val="00000DE2"/>
    <w:rsid w:val="00001873"/>
    <w:rsid w:val="00002ED7"/>
    <w:rsid w:val="00003F50"/>
    <w:rsid w:val="00004389"/>
    <w:rsid w:val="0000671C"/>
    <w:rsid w:val="000115C7"/>
    <w:rsid w:val="000121E8"/>
    <w:rsid w:val="0001312A"/>
    <w:rsid w:val="00013281"/>
    <w:rsid w:val="000145DB"/>
    <w:rsid w:val="00015DE4"/>
    <w:rsid w:val="0001617D"/>
    <w:rsid w:val="0002022F"/>
    <w:rsid w:val="00021902"/>
    <w:rsid w:val="00021E4F"/>
    <w:rsid w:val="00022F5A"/>
    <w:rsid w:val="000231B7"/>
    <w:rsid w:val="00023BE0"/>
    <w:rsid w:val="00026E75"/>
    <w:rsid w:val="00026FC1"/>
    <w:rsid w:val="00027CA0"/>
    <w:rsid w:val="00030D65"/>
    <w:rsid w:val="000360DE"/>
    <w:rsid w:val="00036DB1"/>
    <w:rsid w:val="00037C74"/>
    <w:rsid w:val="00037D40"/>
    <w:rsid w:val="00040129"/>
    <w:rsid w:val="000445F0"/>
    <w:rsid w:val="000457FD"/>
    <w:rsid w:val="00045B67"/>
    <w:rsid w:val="000602F0"/>
    <w:rsid w:val="00060F40"/>
    <w:rsid w:val="000611BF"/>
    <w:rsid w:val="00062830"/>
    <w:rsid w:val="00062937"/>
    <w:rsid w:val="00066A9A"/>
    <w:rsid w:val="00070882"/>
    <w:rsid w:val="000774B3"/>
    <w:rsid w:val="00083C33"/>
    <w:rsid w:val="000843CD"/>
    <w:rsid w:val="00085838"/>
    <w:rsid w:val="0008623B"/>
    <w:rsid w:val="00097F01"/>
    <w:rsid w:val="000A1C81"/>
    <w:rsid w:val="000A2295"/>
    <w:rsid w:val="000A2565"/>
    <w:rsid w:val="000A3851"/>
    <w:rsid w:val="000A53C4"/>
    <w:rsid w:val="000A553F"/>
    <w:rsid w:val="000B1645"/>
    <w:rsid w:val="000B1CB3"/>
    <w:rsid w:val="000B22D4"/>
    <w:rsid w:val="000B3C02"/>
    <w:rsid w:val="000B47A2"/>
    <w:rsid w:val="000B4D72"/>
    <w:rsid w:val="000B51DB"/>
    <w:rsid w:val="000C0577"/>
    <w:rsid w:val="000C2E1B"/>
    <w:rsid w:val="000C3B9F"/>
    <w:rsid w:val="000C5255"/>
    <w:rsid w:val="000C5A8A"/>
    <w:rsid w:val="000C6F8C"/>
    <w:rsid w:val="000C74DC"/>
    <w:rsid w:val="000C7FD8"/>
    <w:rsid w:val="000D0E56"/>
    <w:rsid w:val="000D19EC"/>
    <w:rsid w:val="000D1FC3"/>
    <w:rsid w:val="000D7A44"/>
    <w:rsid w:val="000E0614"/>
    <w:rsid w:val="000E0C27"/>
    <w:rsid w:val="000E4902"/>
    <w:rsid w:val="000E4D2F"/>
    <w:rsid w:val="000E5B26"/>
    <w:rsid w:val="000E6ABB"/>
    <w:rsid w:val="000E6D15"/>
    <w:rsid w:val="000E7BBF"/>
    <w:rsid w:val="000F33D3"/>
    <w:rsid w:val="000F3E72"/>
    <w:rsid w:val="000F5992"/>
    <w:rsid w:val="000F607B"/>
    <w:rsid w:val="000F6495"/>
    <w:rsid w:val="000F6FD8"/>
    <w:rsid w:val="0010098C"/>
    <w:rsid w:val="00101B32"/>
    <w:rsid w:val="00102896"/>
    <w:rsid w:val="00103DB7"/>
    <w:rsid w:val="001061FA"/>
    <w:rsid w:val="0011007A"/>
    <w:rsid w:val="00111034"/>
    <w:rsid w:val="001142F6"/>
    <w:rsid w:val="0011517F"/>
    <w:rsid w:val="00121BB0"/>
    <w:rsid w:val="00121E46"/>
    <w:rsid w:val="0012686C"/>
    <w:rsid w:val="001300F0"/>
    <w:rsid w:val="0013022F"/>
    <w:rsid w:val="0013090C"/>
    <w:rsid w:val="00131C5D"/>
    <w:rsid w:val="00134FA4"/>
    <w:rsid w:val="001358FD"/>
    <w:rsid w:val="00136D98"/>
    <w:rsid w:val="00141B74"/>
    <w:rsid w:val="00142DF6"/>
    <w:rsid w:val="00145255"/>
    <w:rsid w:val="00145D24"/>
    <w:rsid w:val="00150101"/>
    <w:rsid w:val="001515F1"/>
    <w:rsid w:val="00152832"/>
    <w:rsid w:val="00154596"/>
    <w:rsid w:val="001600FC"/>
    <w:rsid w:val="0016339F"/>
    <w:rsid w:val="001651F7"/>
    <w:rsid w:val="0016737A"/>
    <w:rsid w:val="00170316"/>
    <w:rsid w:val="00170DA1"/>
    <w:rsid w:val="00172007"/>
    <w:rsid w:val="001736AB"/>
    <w:rsid w:val="001741D6"/>
    <w:rsid w:val="0017446F"/>
    <w:rsid w:val="00177CB9"/>
    <w:rsid w:val="0018025F"/>
    <w:rsid w:val="001834D4"/>
    <w:rsid w:val="00185F8E"/>
    <w:rsid w:val="0018755F"/>
    <w:rsid w:val="00187B95"/>
    <w:rsid w:val="00192287"/>
    <w:rsid w:val="00193B9E"/>
    <w:rsid w:val="00195025"/>
    <w:rsid w:val="001A016C"/>
    <w:rsid w:val="001A2A81"/>
    <w:rsid w:val="001A5BD4"/>
    <w:rsid w:val="001A70A8"/>
    <w:rsid w:val="001A79EE"/>
    <w:rsid w:val="001A7C5B"/>
    <w:rsid w:val="001B2C0D"/>
    <w:rsid w:val="001B350C"/>
    <w:rsid w:val="001B5DB5"/>
    <w:rsid w:val="001B6017"/>
    <w:rsid w:val="001B7A0B"/>
    <w:rsid w:val="001B7EB3"/>
    <w:rsid w:val="001C19B7"/>
    <w:rsid w:val="001C1FD9"/>
    <w:rsid w:val="001C5BC2"/>
    <w:rsid w:val="001C7800"/>
    <w:rsid w:val="001D0179"/>
    <w:rsid w:val="001D2F20"/>
    <w:rsid w:val="001D5361"/>
    <w:rsid w:val="001D5616"/>
    <w:rsid w:val="001D5620"/>
    <w:rsid w:val="001E0DA8"/>
    <w:rsid w:val="001E1188"/>
    <w:rsid w:val="001E1FDE"/>
    <w:rsid w:val="001E2C89"/>
    <w:rsid w:val="001E3599"/>
    <w:rsid w:val="001F1CB9"/>
    <w:rsid w:val="001F4C02"/>
    <w:rsid w:val="001F4CE8"/>
    <w:rsid w:val="001F7501"/>
    <w:rsid w:val="001F75A3"/>
    <w:rsid w:val="001F7EB8"/>
    <w:rsid w:val="00205878"/>
    <w:rsid w:val="00213065"/>
    <w:rsid w:val="002138F0"/>
    <w:rsid w:val="00213D7B"/>
    <w:rsid w:val="00214DEC"/>
    <w:rsid w:val="00214E35"/>
    <w:rsid w:val="00216E68"/>
    <w:rsid w:val="002216A2"/>
    <w:rsid w:val="00223B7E"/>
    <w:rsid w:val="00224761"/>
    <w:rsid w:val="00224A3F"/>
    <w:rsid w:val="00224D96"/>
    <w:rsid w:val="002306C7"/>
    <w:rsid w:val="00230A15"/>
    <w:rsid w:val="00232344"/>
    <w:rsid w:val="0023278E"/>
    <w:rsid w:val="00241BD8"/>
    <w:rsid w:val="0024295D"/>
    <w:rsid w:val="002432DE"/>
    <w:rsid w:val="002434B0"/>
    <w:rsid w:val="002461BD"/>
    <w:rsid w:val="002462A7"/>
    <w:rsid w:val="00247621"/>
    <w:rsid w:val="00247AB7"/>
    <w:rsid w:val="00253125"/>
    <w:rsid w:val="00254CA9"/>
    <w:rsid w:val="00254DFD"/>
    <w:rsid w:val="0026239C"/>
    <w:rsid w:val="00264555"/>
    <w:rsid w:val="002645B6"/>
    <w:rsid w:val="00264EA5"/>
    <w:rsid w:val="00266F94"/>
    <w:rsid w:val="0027418E"/>
    <w:rsid w:val="002767AA"/>
    <w:rsid w:val="002814F8"/>
    <w:rsid w:val="00281891"/>
    <w:rsid w:val="00282ED2"/>
    <w:rsid w:val="00285E97"/>
    <w:rsid w:val="002907FA"/>
    <w:rsid w:val="00290A9D"/>
    <w:rsid w:val="00290DA3"/>
    <w:rsid w:val="002924A2"/>
    <w:rsid w:val="002928F8"/>
    <w:rsid w:val="00295727"/>
    <w:rsid w:val="00297816"/>
    <w:rsid w:val="002A065A"/>
    <w:rsid w:val="002A0FF0"/>
    <w:rsid w:val="002A1CB5"/>
    <w:rsid w:val="002A34A3"/>
    <w:rsid w:val="002A3A19"/>
    <w:rsid w:val="002A5117"/>
    <w:rsid w:val="002A5279"/>
    <w:rsid w:val="002B6AA3"/>
    <w:rsid w:val="002B71D4"/>
    <w:rsid w:val="002B7668"/>
    <w:rsid w:val="002C0DCF"/>
    <w:rsid w:val="002D0461"/>
    <w:rsid w:val="002D1439"/>
    <w:rsid w:val="002D1867"/>
    <w:rsid w:val="002D724B"/>
    <w:rsid w:val="002E1FC7"/>
    <w:rsid w:val="002E32D3"/>
    <w:rsid w:val="002E3F40"/>
    <w:rsid w:val="002E4D38"/>
    <w:rsid w:val="002E6355"/>
    <w:rsid w:val="002F2009"/>
    <w:rsid w:val="002F3554"/>
    <w:rsid w:val="002F47AF"/>
    <w:rsid w:val="00300924"/>
    <w:rsid w:val="003025A8"/>
    <w:rsid w:val="00306345"/>
    <w:rsid w:val="00306F09"/>
    <w:rsid w:val="00310603"/>
    <w:rsid w:val="003129B6"/>
    <w:rsid w:val="00313D08"/>
    <w:rsid w:val="003149FA"/>
    <w:rsid w:val="00314D6E"/>
    <w:rsid w:val="00315264"/>
    <w:rsid w:val="00320E57"/>
    <w:rsid w:val="003221EF"/>
    <w:rsid w:val="00322C23"/>
    <w:rsid w:val="003248A2"/>
    <w:rsid w:val="00324A6D"/>
    <w:rsid w:val="00325425"/>
    <w:rsid w:val="0032589A"/>
    <w:rsid w:val="003306DD"/>
    <w:rsid w:val="00330C6C"/>
    <w:rsid w:val="003312F4"/>
    <w:rsid w:val="00331959"/>
    <w:rsid w:val="00334BA5"/>
    <w:rsid w:val="00335F4B"/>
    <w:rsid w:val="00336FAF"/>
    <w:rsid w:val="0034127D"/>
    <w:rsid w:val="00341FB2"/>
    <w:rsid w:val="00346BC4"/>
    <w:rsid w:val="00350D0D"/>
    <w:rsid w:val="00351057"/>
    <w:rsid w:val="00352220"/>
    <w:rsid w:val="0035477B"/>
    <w:rsid w:val="00355C4C"/>
    <w:rsid w:val="003604AA"/>
    <w:rsid w:val="00362F08"/>
    <w:rsid w:val="00364AD2"/>
    <w:rsid w:val="003651A6"/>
    <w:rsid w:val="00365358"/>
    <w:rsid w:val="00367DF1"/>
    <w:rsid w:val="003705AC"/>
    <w:rsid w:val="00371481"/>
    <w:rsid w:val="0037295D"/>
    <w:rsid w:val="00372BEC"/>
    <w:rsid w:val="00376814"/>
    <w:rsid w:val="00385DE1"/>
    <w:rsid w:val="00386F82"/>
    <w:rsid w:val="003909DE"/>
    <w:rsid w:val="00392385"/>
    <w:rsid w:val="0039300A"/>
    <w:rsid w:val="003946D4"/>
    <w:rsid w:val="003956D6"/>
    <w:rsid w:val="00396053"/>
    <w:rsid w:val="00397B7E"/>
    <w:rsid w:val="003A0F02"/>
    <w:rsid w:val="003A2580"/>
    <w:rsid w:val="003A2BF5"/>
    <w:rsid w:val="003A4578"/>
    <w:rsid w:val="003A4F6C"/>
    <w:rsid w:val="003B30F3"/>
    <w:rsid w:val="003B6A5A"/>
    <w:rsid w:val="003B6D48"/>
    <w:rsid w:val="003C0C1E"/>
    <w:rsid w:val="003C10CA"/>
    <w:rsid w:val="003C3E07"/>
    <w:rsid w:val="003C527B"/>
    <w:rsid w:val="003D01F8"/>
    <w:rsid w:val="003D0BF6"/>
    <w:rsid w:val="003D116C"/>
    <w:rsid w:val="003D263E"/>
    <w:rsid w:val="003D2D85"/>
    <w:rsid w:val="003D6072"/>
    <w:rsid w:val="003D6E27"/>
    <w:rsid w:val="003D7A72"/>
    <w:rsid w:val="003D7D9F"/>
    <w:rsid w:val="003E318D"/>
    <w:rsid w:val="003E4086"/>
    <w:rsid w:val="003E4404"/>
    <w:rsid w:val="003F5FDC"/>
    <w:rsid w:val="00401EDD"/>
    <w:rsid w:val="0040501C"/>
    <w:rsid w:val="00406F30"/>
    <w:rsid w:val="00407DCE"/>
    <w:rsid w:val="00410769"/>
    <w:rsid w:val="00412567"/>
    <w:rsid w:val="00413CCD"/>
    <w:rsid w:val="004172D1"/>
    <w:rsid w:val="004172D6"/>
    <w:rsid w:val="00421B3A"/>
    <w:rsid w:val="00422C16"/>
    <w:rsid w:val="00424530"/>
    <w:rsid w:val="0043577F"/>
    <w:rsid w:val="0043584F"/>
    <w:rsid w:val="0043675A"/>
    <w:rsid w:val="004372C4"/>
    <w:rsid w:val="00440D98"/>
    <w:rsid w:val="00441F85"/>
    <w:rsid w:val="004421C3"/>
    <w:rsid w:val="00447BBE"/>
    <w:rsid w:val="00452468"/>
    <w:rsid w:val="0045301B"/>
    <w:rsid w:val="00453020"/>
    <w:rsid w:val="004541F3"/>
    <w:rsid w:val="00455CD2"/>
    <w:rsid w:val="00455E0E"/>
    <w:rsid w:val="00455F54"/>
    <w:rsid w:val="004657A7"/>
    <w:rsid w:val="00466C09"/>
    <w:rsid w:val="004719B4"/>
    <w:rsid w:val="00471CA1"/>
    <w:rsid w:val="00471CCE"/>
    <w:rsid w:val="004730A0"/>
    <w:rsid w:val="0047368B"/>
    <w:rsid w:val="00475770"/>
    <w:rsid w:val="004806FA"/>
    <w:rsid w:val="00480FBC"/>
    <w:rsid w:val="00481540"/>
    <w:rsid w:val="00481AC4"/>
    <w:rsid w:val="004825E8"/>
    <w:rsid w:val="00482FB6"/>
    <w:rsid w:val="004871EA"/>
    <w:rsid w:val="0048795F"/>
    <w:rsid w:val="004955E7"/>
    <w:rsid w:val="0049781D"/>
    <w:rsid w:val="00497CEA"/>
    <w:rsid w:val="004A2984"/>
    <w:rsid w:val="004A5B8D"/>
    <w:rsid w:val="004A5D8B"/>
    <w:rsid w:val="004A7656"/>
    <w:rsid w:val="004B1382"/>
    <w:rsid w:val="004B2FC0"/>
    <w:rsid w:val="004B3067"/>
    <w:rsid w:val="004B7784"/>
    <w:rsid w:val="004C1B19"/>
    <w:rsid w:val="004C320A"/>
    <w:rsid w:val="004C6392"/>
    <w:rsid w:val="004C7EBE"/>
    <w:rsid w:val="004D09C0"/>
    <w:rsid w:val="004D3523"/>
    <w:rsid w:val="004D509A"/>
    <w:rsid w:val="004D7668"/>
    <w:rsid w:val="004E0D97"/>
    <w:rsid w:val="004E3901"/>
    <w:rsid w:val="004E405B"/>
    <w:rsid w:val="004E5F86"/>
    <w:rsid w:val="004E6DCC"/>
    <w:rsid w:val="004F0AB6"/>
    <w:rsid w:val="004F2D8A"/>
    <w:rsid w:val="004F63DB"/>
    <w:rsid w:val="004F7817"/>
    <w:rsid w:val="0050071E"/>
    <w:rsid w:val="00501097"/>
    <w:rsid w:val="00503590"/>
    <w:rsid w:val="00505C64"/>
    <w:rsid w:val="005105EF"/>
    <w:rsid w:val="00510C0E"/>
    <w:rsid w:val="00516561"/>
    <w:rsid w:val="005177B5"/>
    <w:rsid w:val="005202C1"/>
    <w:rsid w:val="00522875"/>
    <w:rsid w:val="00522E99"/>
    <w:rsid w:val="00523895"/>
    <w:rsid w:val="0053035C"/>
    <w:rsid w:val="00531879"/>
    <w:rsid w:val="00537D0F"/>
    <w:rsid w:val="005410AB"/>
    <w:rsid w:val="00542965"/>
    <w:rsid w:val="0054335F"/>
    <w:rsid w:val="00543A44"/>
    <w:rsid w:val="005445E6"/>
    <w:rsid w:val="00547B2E"/>
    <w:rsid w:val="00547EE4"/>
    <w:rsid w:val="00552ECB"/>
    <w:rsid w:val="00557BAA"/>
    <w:rsid w:val="00560736"/>
    <w:rsid w:val="00562A39"/>
    <w:rsid w:val="00563C8D"/>
    <w:rsid w:val="00565691"/>
    <w:rsid w:val="00565C4E"/>
    <w:rsid w:val="005673AC"/>
    <w:rsid w:val="00571ACB"/>
    <w:rsid w:val="00571BB6"/>
    <w:rsid w:val="005723E4"/>
    <w:rsid w:val="0057596B"/>
    <w:rsid w:val="00575BA7"/>
    <w:rsid w:val="00582AA7"/>
    <w:rsid w:val="0058477C"/>
    <w:rsid w:val="00584E53"/>
    <w:rsid w:val="00584E70"/>
    <w:rsid w:val="0058568F"/>
    <w:rsid w:val="00585921"/>
    <w:rsid w:val="0059058A"/>
    <w:rsid w:val="00591101"/>
    <w:rsid w:val="00593D83"/>
    <w:rsid w:val="00595DC1"/>
    <w:rsid w:val="00597146"/>
    <w:rsid w:val="00597386"/>
    <w:rsid w:val="00597933"/>
    <w:rsid w:val="005A06E1"/>
    <w:rsid w:val="005A4EA0"/>
    <w:rsid w:val="005A6911"/>
    <w:rsid w:val="005A70AE"/>
    <w:rsid w:val="005A75A5"/>
    <w:rsid w:val="005B1FEA"/>
    <w:rsid w:val="005B31FE"/>
    <w:rsid w:val="005B33E7"/>
    <w:rsid w:val="005B465F"/>
    <w:rsid w:val="005B4A4C"/>
    <w:rsid w:val="005B5C09"/>
    <w:rsid w:val="005B627B"/>
    <w:rsid w:val="005B765F"/>
    <w:rsid w:val="005B7D63"/>
    <w:rsid w:val="005C1F5E"/>
    <w:rsid w:val="005C2EE0"/>
    <w:rsid w:val="005C3676"/>
    <w:rsid w:val="005C3DFF"/>
    <w:rsid w:val="005C4469"/>
    <w:rsid w:val="005C498B"/>
    <w:rsid w:val="005C590A"/>
    <w:rsid w:val="005C7641"/>
    <w:rsid w:val="005D0DDE"/>
    <w:rsid w:val="005D18F8"/>
    <w:rsid w:val="005D3988"/>
    <w:rsid w:val="005D4005"/>
    <w:rsid w:val="005D40D1"/>
    <w:rsid w:val="005D5C25"/>
    <w:rsid w:val="005D7065"/>
    <w:rsid w:val="005D7532"/>
    <w:rsid w:val="005E59A5"/>
    <w:rsid w:val="005E79AA"/>
    <w:rsid w:val="005F10A2"/>
    <w:rsid w:val="005F391D"/>
    <w:rsid w:val="006017FA"/>
    <w:rsid w:val="006037CC"/>
    <w:rsid w:val="006059B2"/>
    <w:rsid w:val="00610305"/>
    <w:rsid w:val="00610419"/>
    <w:rsid w:val="00611DDB"/>
    <w:rsid w:val="00612C7B"/>
    <w:rsid w:val="00615CA4"/>
    <w:rsid w:val="0061775D"/>
    <w:rsid w:val="00620307"/>
    <w:rsid w:val="006209BD"/>
    <w:rsid w:val="006224C1"/>
    <w:rsid w:val="00622726"/>
    <w:rsid w:val="00622FCD"/>
    <w:rsid w:val="00623AB1"/>
    <w:rsid w:val="006269B7"/>
    <w:rsid w:val="00626D85"/>
    <w:rsid w:val="006307A5"/>
    <w:rsid w:val="00630EA1"/>
    <w:rsid w:val="00630FE1"/>
    <w:rsid w:val="00633625"/>
    <w:rsid w:val="00633DC7"/>
    <w:rsid w:val="00636E1D"/>
    <w:rsid w:val="006404D8"/>
    <w:rsid w:val="006405E3"/>
    <w:rsid w:val="00640F37"/>
    <w:rsid w:val="0064224B"/>
    <w:rsid w:val="00642D3B"/>
    <w:rsid w:val="00644B02"/>
    <w:rsid w:val="006453C4"/>
    <w:rsid w:val="00645CF4"/>
    <w:rsid w:val="00646735"/>
    <w:rsid w:val="006475ED"/>
    <w:rsid w:val="00650183"/>
    <w:rsid w:val="006501CC"/>
    <w:rsid w:val="00653FD1"/>
    <w:rsid w:val="00655112"/>
    <w:rsid w:val="0065594A"/>
    <w:rsid w:val="0066112E"/>
    <w:rsid w:val="00662B01"/>
    <w:rsid w:val="00662BA0"/>
    <w:rsid w:val="00662E70"/>
    <w:rsid w:val="00663B0A"/>
    <w:rsid w:val="006641F8"/>
    <w:rsid w:val="006671A5"/>
    <w:rsid w:val="00670254"/>
    <w:rsid w:val="0067299C"/>
    <w:rsid w:val="0067351E"/>
    <w:rsid w:val="0067520E"/>
    <w:rsid w:val="00676354"/>
    <w:rsid w:val="006776E9"/>
    <w:rsid w:val="00680E3F"/>
    <w:rsid w:val="0068246F"/>
    <w:rsid w:val="00692662"/>
    <w:rsid w:val="006973AC"/>
    <w:rsid w:val="00697737"/>
    <w:rsid w:val="006A0D6A"/>
    <w:rsid w:val="006A2D78"/>
    <w:rsid w:val="006A383B"/>
    <w:rsid w:val="006A52ED"/>
    <w:rsid w:val="006B3B29"/>
    <w:rsid w:val="006B4E80"/>
    <w:rsid w:val="006B7D83"/>
    <w:rsid w:val="006C023A"/>
    <w:rsid w:val="006C186D"/>
    <w:rsid w:val="006C4574"/>
    <w:rsid w:val="006C6694"/>
    <w:rsid w:val="006D1E95"/>
    <w:rsid w:val="006D2DAD"/>
    <w:rsid w:val="006D3144"/>
    <w:rsid w:val="006D34EB"/>
    <w:rsid w:val="006D4640"/>
    <w:rsid w:val="006D7393"/>
    <w:rsid w:val="006E05F4"/>
    <w:rsid w:val="006E55E1"/>
    <w:rsid w:val="006E5727"/>
    <w:rsid w:val="006E6D34"/>
    <w:rsid w:val="006E6D4C"/>
    <w:rsid w:val="006F2E13"/>
    <w:rsid w:val="006F3256"/>
    <w:rsid w:val="006F445D"/>
    <w:rsid w:val="006F72C6"/>
    <w:rsid w:val="006F735A"/>
    <w:rsid w:val="007004F7"/>
    <w:rsid w:val="007019F9"/>
    <w:rsid w:val="00702377"/>
    <w:rsid w:val="00703E4E"/>
    <w:rsid w:val="00705FB0"/>
    <w:rsid w:val="007071C6"/>
    <w:rsid w:val="0070732E"/>
    <w:rsid w:val="00711E1C"/>
    <w:rsid w:val="00712D2C"/>
    <w:rsid w:val="00713C09"/>
    <w:rsid w:val="00713E33"/>
    <w:rsid w:val="0071460A"/>
    <w:rsid w:val="0071592D"/>
    <w:rsid w:val="00717DB0"/>
    <w:rsid w:val="00721FBA"/>
    <w:rsid w:val="00725A92"/>
    <w:rsid w:val="00730352"/>
    <w:rsid w:val="00733A42"/>
    <w:rsid w:val="00736334"/>
    <w:rsid w:val="0073688E"/>
    <w:rsid w:val="00742839"/>
    <w:rsid w:val="0075022F"/>
    <w:rsid w:val="00752710"/>
    <w:rsid w:val="00753C69"/>
    <w:rsid w:val="00755505"/>
    <w:rsid w:val="007600E9"/>
    <w:rsid w:val="007604B4"/>
    <w:rsid w:val="0076316D"/>
    <w:rsid w:val="00766271"/>
    <w:rsid w:val="00772993"/>
    <w:rsid w:val="00774940"/>
    <w:rsid w:val="00776697"/>
    <w:rsid w:val="007815FB"/>
    <w:rsid w:val="00781D80"/>
    <w:rsid w:val="007857A2"/>
    <w:rsid w:val="00790A5B"/>
    <w:rsid w:val="00791122"/>
    <w:rsid w:val="00791DE5"/>
    <w:rsid w:val="00794ADC"/>
    <w:rsid w:val="00794EAB"/>
    <w:rsid w:val="007A0054"/>
    <w:rsid w:val="007A2A87"/>
    <w:rsid w:val="007A38F2"/>
    <w:rsid w:val="007A394A"/>
    <w:rsid w:val="007A44A6"/>
    <w:rsid w:val="007A5353"/>
    <w:rsid w:val="007A54D3"/>
    <w:rsid w:val="007A7324"/>
    <w:rsid w:val="007B177F"/>
    <w:rsid w:val="007B3D63"/>
    <w:rsid w:val="007B69D6"/>
    <w:rsid w:val="007C357B"/>
    <w:rsid w:val="007C55D0"/>
    <w:rsid w:val="007D1315"/>
    <w:rsid w:val="007D7196"/>
    <w:rsid w:val="007E12BA"/>
    <w:rsid w:val="007E17FF"/>
    <w:rsid w:val="007E25B9"/>
    <w:rsid w:val="007E2DD6"/>
    <w:rsid w:val="007E57CE"/>
    <w:rsid w:val="007E71F7"/>
    <w:rsid w:val="007F2439"/>
    <w:rsid w:val="007F3548"/>
    <w:rsid w:val="007F501F"/>
    <w:rsid w:val="007F5A93"/>
    <w:rsid w:val="007F6136"/>
    <w:rsid w:val="007F7EED"/>
    <w:rsid w:val="00800B73"/>
    <w:rsid w:val="008028B7"/>
    <w:rsid w:val="00806FEC"/>
    <w:rsid w:val="00807127"/>
    <w:rsid w:val="0080752F"/>
    <w:rsid w:val="008111EF"/>
    <w:rsid w:val="008123E1"/>
    <w:rsid w:val="00812B3B"/>
    <w:rsid w:val="00813BAC"/>
    <w:rsid w:val="00813CD4"/>
    <w:rsid w:val="008149F0"/>
    <w:rsid w:val="0081560B"/>
    <w:rsid w:val="00815C25"/>
    <w:rsid w:val="0082003D"/>
    <w:rsid w:val="00821B9D"/>
    <w:rsid w:val="00823FF9"/>
    <w:rsid w:val="00825520"/>
    <w:rsid w:val="00825672"/>
    <w:rsid w:val="00832DE5"/>
    <w:rsid w:val="008348B0"/>
    <w:rsid w:val="00834CE6"/>
    <w:rsid w:val="00840915"/>
    <w:rsid w:val="0084468C"/>
    <w:rsid w:val="00844EE2"/>
    <w:rsid w:val="0085041F"/>
    <w:rsid w:val="00851DC4"/>
    <w:rsid w:val="008521E0"/>
    <w:rsid w:val="008552A0"/>
    <w:rsid w:val="008611DE"/>
    <w:rsid w:val="00862D23"/>
    <w:rsid w:val="0086363B"/>
    <w:rsid w:val="00863CFB"/>
    <w:rsid w:val="008640A2"/>
    <w:rsid w:val="00865492"/>
    <w:rsid w:val="00867CB4"/>
    <w:rsid w:val="008708AB"/>
    <w:rsid w:val="008717F1"/>
    <w:rsid w:val="00874ED5"/>
    <w:rsid w:val="00875BE3"/>
    <w:rsid w:val="00876CD5"/>
    <w:rsid w:val="008776CA"/>
    <w:rsid w:val="008810BC"/>
    <w:rsid w:val="008834C5"/>
    <w:rsid w:val="008871C6"/>
    <w:rsid w:val="008874AF"/>
    <w:rsid w:val="008907A6"/>
    <w:rsid w:val="00892F55"/>
    <w:rsid w:val="00895BF6"/>
    <w:rsid w:val="00897B68"/>
    <w:rsid w:val="008A02D3"/>
    <w:rsid w:val="008A0AF3"/>
    <w:rsid w:val="008A67AD"/>
    <w:rsid w:val="008A71DF"/>
    <w:rsid w:val="008A72C8"/>
    <w:rsid w:val="008B0845"/>
    <w:rsid w:val="008B1AF1"/>
    <w:rsid w:val="008B237A"/>
    <w:rsid w:val="008B63BC"/>
    <w:rsid w:val="008B671A"/>
    <w:rsid w:val="008B78D5"/>
    <w:rsid w:val="008C1523"/>
    <w:rsid w:val="008C1A94"/>
    <w:rsid w:val="008C2161"/>
    <w:rsid w:val="008C2E99"/>
    <w:rsid w:val="008C2EEB"/>
    <w:rsid w:val="008C5B82"/>
    <w:rsid w:val="008C7F33"/>
    <w:rsid w:val="008D5FF2"/>
    <w:rsid w:val="008E3015"/>
    <w:rsid w:val="008E3ADF"/>
    <w:rsid w:val="008E71C3"/>
    <w:rsid w:val="008F1FDA"/>
    <w:rsid w:val="008F3908"/>
    <w:rsid w:val="008F435C"/>
    <w:rsid w:val="008F63C9"/>
    <w:rsid w:val="008F66E2"/>
    <w:rsid w:val="009014B6"/>
    <w:rsid w:val="009026E7"/>
    <w:rsid w:val="00912882"/>
    <w:rsid w:val="00912895"/>
    <w:rsid w:val="00914DAA"/>
    <w:rsid w:val="00915305"/>
    <w:rsid w:val="009168E0"/>
    <w:rsid w:val="009210DE"/>
    <w:rsid w:val="00922937"/>
    <w:rsid w:val="0092311E"/>
    <w:rsid w:val="0092457E"/>
    <w:rsid w:val="00927883"/>
    <w:rsid w:val="00933758"/>
    <w:rsid w:val="009342D4"/>
    <w:rsid w:val="009358C9"/>
    <w:rsid w:val="00936956"/>
    <w:rsid w:val="00940030"/>
    <w:rsid w:val="00940D58"/>
    <w:rsid w:val="00941E13"/>
    <w:rsid w:val="009425B2"/>
    <w:rsid w:val="00943B87"/>
    <w:rsid w:val="00943C57"/>
    <w:rsid w:val="00945E98"/>
    <w:rsid w:val="00950374"/>
    <w:rsid w:val="009531CB"/>
    <w:rsid w:val="00956949"/>
    <w:rsid w:val="00960683"/>
    <w:rsid w:val="0096160F"/>
    <w:rsid w:val="00962389"/>
    <w:rsid w:val="009632A3"/>
    <w:rsid w:val="00965B80"/>
    <w:rsid w:val="00970EEF"/>
    <w:rsid w:val="0097126E"/>
    <w:rsid w:val="009776BD"/>
    <w:rsid w:val="009902A6"/>
    <w:rsid w:val="00993B1E"/>
    <w:rsid w:val="00994534"/>
    <w:rsid w:val="0099485B"/>
    <w:rsid w:val="00995853"/>
    <w:rsid w:val="00996BB3"/>
    <w:rsid w:val="009A312F"/>
    <w:rsid w:val="009A3433"/>
    <w:rsid w:val="009A4D08"/>
    <w:rsid w:val="009A532A"/>
    <w:rsid w:val="009A57FF"/>
    <w:rsid w:val="009A62CD"/>
    <w:rsid w:val="009B2422"/>
    <w:rsid w:val="009B2AC4"/>
    <w:rsid w:val="009B4CEE"/>
    <w:rsid w:val="009B64D4"/>
    <w:rsid w:val="009B7538"/>
    <w:rsid w:val="009B7766"/>
    <w:rsid w:val="009C0507"/>
    <w:rsid w:val="009C1086"/>
    <w:rsid w:val="009C121A"/>
    <w:rsid w:val="009C12C9"/>
    <w:rsid w:val="009C13C2"/>
    <w:rsid w:val="009C1CE7"/>
    <w:rsid w:val="009C27F8"/>
    <w:rsid w:val="009C2D83"/>
    <w:rsid w:val="009C4B32"/>
    <w:rsid w:val="009D05E0"/>
    <w:rsid w:val="009D16D2"/>
    <w:rsid w:val="009D2279"/>
    <w:rsid w:val="009D2B00"/>
    <w:rsid w:val="009D55F7"/>
    <w:rsid w:val="009E2A50"/>
    <w:rsid w:val="009E38A2"/>
    <w:rsid w:val="009E4107"/>
    <w:rsid w:val="009E56B1"/>
    <w:rsid w:val="009E7102"/>
    <w:rsid w:val="009E76BE"/>
    <w:rsid w:val="009E79BF"/>
    <w:rsid w:val="009F12DA"/>
    <w:rsid w:val="009F3FE6"/>
    <w:rsid w:val="009F41C4"/>
    <w:rsid w:val="009F53AF"/>
    <w:rsid w:val="00A00793"/>
    <w:rsid w:val="00A00E34"/>
    <w:rsid w:val="00A062C7"/>
    <w:rsid w:val="00A06B05"/>
    <w:rsid w:val="00A10257"/>
    <w:rsid w:val="00A14332"/>
    <w:rsid w:val="00A14A6B"/>
    <w:rsid w:val="00A150DD"/>
    <w:rsid w:val="00A205B4"/>
    <w:rsid w:val="00A20F19"/>
    <w:rsid w:val="00A2301F"/>
    <w:rsid w:val="00A23608"/>
    <w:rsid w:val="00A26C98"/>
    <w:rsid w:val="00A27B9D"/>
    <w:rsid w:val="00A27D88"/>
    <w:rsid w:val="00A304D0"/>
    <w:rsid w:val="00A347B2"/>
    <w:rsid w:val="00A36C1C"/>
    <w:rsid w:val="00A3785C"/>
    <w:rsid w:val="00A37ABE"/>
    <w:rsid w:val="00A37FED"/>
    <w:rsid w:val="00A42159"/>
    <w:rsid w:val="00A45BEA"/>
    <w:rsid w:val="00A4607D"/>
    <w:rsid w:val="00A47BCD"/>
    <w:rsid w:val="00A52987"/>
    <w:rsid w:val="00A53EC9"/>
    <w:rsid w:val="00A63B7B"/>
    <w:rsid w:val="00A64297"/>
    <w:rsid w:val="00A65948"/>
    <w:rsid w:val="00A70777"/>
    <w:rsid w:val="00A70974"/>
    <w:rsid w:val="00A725D6"/>
    <w:rsid w:val="00A72AEE"/>
    <w:rsid w:val="00A72C7D"/>
    <w:rsid w:val="00A73E7C"/>
    <w:rsid w:val="00A76095"/>
    <w:rsid w:val="00A81586"/>
    <w:rsid w:val="00A8548B"/>
    <w:rsid w:val="00A85B4D"/>
    <w:rsid w:val="00A8715E"/>
    <w:rsid w:val="00A9023F"/>
    <w:rsid w:val="00A9215E"/>
    <w:rsid w:val="00A92440"/>
    <w:rsid w:val="00A9426B"/>
    <w:rsid w:val="00A95705"/>
    <w:rsid w:val="00A95806"/>
    <w:rsid w:val="00A96376"/>
    <w:rsid w:val="00A97842"/>
    <w:rsid w:val="00AA0676"/>
    <w:rsid w:val="00AA38EB"/>
    <w:rsid w:val="00AA4A01"/>
    <w:rsid w:val="00AA66FF"/>
    <w:rsid w:val="00AA7DCF"/>
    <w:rsid w:val="00AB104D"/>
    <w:rsid w:val="00AB149D"/>
    <w:rsid w:val="00AB197D"/>
    <w:rsid w:val="00AB2476"/>
    <w:rsid w:val="00AB4C8F"/>
    <w:rsid w:val="00AB64A8"/>
    <w:rsid w:val="00AB77FD"/>
    <w:rsid w:val="00AB7A3C"/>
    <w:rsid w:val="00AB7C15"/>
    <w:rsid w:val="00AC1927"/>
    <w:rsid w:val="00AD0C73"/>
    <w:rsid w:val="00AE1A2D"/>
    <w:rsid w:val="00AE5347"/>
    <w:rsid w:val="00AE55F6"/>
    <w:rsid w:val="00AE56DB"/>
    <w:rsid w:val="00AE5775"/>
    <w:rsid w:val="00AE5F3C"/>
    <w:rsid w:val="00AF2AB2"/>
    <w:rsid w:val="00AF5581"/>
    <w:rsid w:val="00AF7442"/>
    <w:rsid w:val="00B00CC4"/>
    <w:rsid w:val="00B01098"/>
    <w:rsid w:val="00B012FF"/>
    <w:rsid w:val="00B03E49"/>
    <w:rsid w:val="00B07EB6"/>
    <w:rsid w:val="00B131DC"/>
    <w:rsid w:val="00B13C87"/>
    <w:rsid w:val="00B1710D"/>
    <w:rsid w:val="00B23E9B"/>
    <w:rsid w:val="00B24DB1"/>
    <w:rsid w:val="00B301F0"/>
    <w:rsid w:val="00B3120E"/>
    <w:rsid w:val="00B32510"/>
    <w:rsid w:val="00B3293A"/>
    <w:rsid w:val="00B3595C"/>
    <w:rsid w:val="00B36D5E"/>
    <w:rsid w:val="00B375DF"/>
    <w:rsid w:val="00B409EF"/>
    <w:rsid w:val="00B43E07"/>
    <w:rsid w:val="00B4462F"/>
    <w:rsid w:val="00B45872"/>
    <w:rsid w:val="00B526A8"/>
    <w:rsid w:val="00B55FAB"/>
    <w:rsid w:val="00B611F1"/>
    <w:rsid w:val="00B61E83"/>
    <w:rsid w:val="00B62D70"/>
    <w:rsid w:val="00B62DC9"/>
    <w:rsid w:val="00B654C4"/>
    <w:rsid w:val="00B6669B"/>
    <w:rsid w:val="00B6734E"/>
    <w:rsid w:val="00B7091D"/>
    <w:rsid w:val="00B7360D"/>
    <w:rsid w:val="00B75164"/>
    <w:rsid w:val="00B759B1"/>
    <w:rsid w:val="00B76198"/>
    <w:rsid w:val="00B7667F"/>
    <w:rsid w:val="00B767C1"/>
    <w:rsid w:val="00B803BA"/>
    <w:rsid w:val="00B80C00"/>
    <w:rsid w:val="00B80F7C"/>
    <w:rsid w:val="00B81CBB"/>
    <w:rsid w:val="00B836E8"/>
    <w:rsid w:val="00B83D9D"/>
    <w:rsid w:val="00B84529"/>
    <w:rsid w:val="00B85E10"/>
    <w:rsid w:val="00B907A2"/>
    <w:rsid w:val="00B96861"/>
    <w:rsid w:val="00B96F7F"/>
    <w:rsid w:val="00BA006A"/>
    <w:rsid w:val="00BA04C8"/>
    <w:rsid w:val="00BA315F"/>
    <w:rsid w:val="00BA3E3D"/>
    <w:rsid w:val="00BA414B"/>
    <w:rsid w:val="00BB093D"/>
    <w:rsid w:val="00BB1195"/>
    <w:rsid w:val="00BB2111"/>
    <w:rsid w:val="00BB21F0"/>
    <w:rsid w:val="00BB35EA"/>
    <w:rsid w:val="00BB3A7F"/>
    <w:rsid w:val="00BB516B"/>
    <w:rsid w:val="00BC150E"/>
    <w:rsid w:val="00BC21D5"/>
    <w:rsid w:val="00BC59E5"/>
    <w:rsid w:val="00BC7FD2"/>
    <w:rsid w:val="00BD05E6"/>
    <w:rsid w:val="00BD45CF"/>
    <w:rsid w:val="00BD6570"/>
    <w:rsid w:val="00BE06F2"/>
    <w:rsid w:val="00BE1110"/>
    <w:rsid w:val="00BE5F2B"/>
    <w:rsid w:val="00BF10F6"/>
    <w:rsid w:val="00BF16DB"/>
    <w:rsid w:val="00BF1E4B"/>
    <w:rsid w:val="00BF2D59"/>
    <w:rsid w:val="00BF6482"/>
    <w:rsid w:val="00BF6D7C"/>
    <w:rsid w:val="00C03AE7"/>
    <w:rsid w:val="00C044C1"/>
    <w:rsid w:val="00C05D9D"/>
    <w:rsid w:val="00C07CCC"/>
    <w:rsid w:val="00C12FA8"/>
    <w:rsid w:val="00C13DEE"/>
    <w:rsid w:val="00C15414"/>
    <w:rsid w:val="00C1757D"/>
    <w:rsid w:val="00C20764"/>
    <w:rsid w:val="00C261D1"/>
    <w:rsid w:val="00C2638F"/>
    <w:rsid w:val="00C316C6"/>
    <w:rsid w:val="00C31F21"/>
    <w:rsid w:val="00C35592"/>
    <w:rsid w:val="00C356AF"/>
    <w:rsid w:val="00C41927"/>
    <w:rsid w:val="00C439D6"/>
    <w:rsid w:val="00C43FD9"/>
    <w:rsid w:val="00C44EB2"/>
    <w:rsid w:val="00C4776A"/>
    <w:rsid w:val="00C47E8F"/>
    <w:rsid w:val="00C54CC8"/>
    <w:rsid w:val="00C54D12"/>
    <w:rsid w:val="00C57BC4"/>
    <w:rsid w:val="00C60915"/>
    <w:rsid w:val="00C62E84"/>
    <w:rsid w:val="00C64457"/>
    <w:rsid w:val="00C64E27"/>
    <w:rsid w:val="00C7138A"/>
    <w:rsid w:val="00C7417A"/>
    <w:rsid w:val="00C74F59"/>
    <w:rsid w:val="00C767FF"/>
    <w:rsid w:val="00C81E10"/>
    <w:rsid w:val="00C85374"/>
    <w:rsid w:val="00C85A9B"/>
    <w:rsid w:val="00C8603E"/>
    <w:rsid w:val="00C91877"/>
    <w:rsid w:val="00C924F1"/>
    <w:rsid w:val="00C93804"/>
    <w:rsid w:val="00C95BAB"/>
    <w:rsid w:val="00C964B8"/>
    <w:rsid w:val="00C97011"/>
    <w:rsid w:val="00CA28F2"/>
    <w:rsid w:val="00CA76A0"/>
    <w:rsid w:val="00CB08B2"/>
    <w:rsid w:val="00CB1021"/>
    <w:rsid w:val="00CB3841"/>
    <w:rsid w:val="00CB3B6B"/>
    <w:rsid w:val="00CC25E6"/>
    <w:rsid w:val="00CC38AC"/>
    <w:rsid w:val="00CC3E46"/>
    <w:rsid w:val="00CC4210"/>
    <w:rsid w:val="00CC5D73"/>
    <w:rsid w:val="00CC7273"/>
    <w:rsid w:val="00CC7310"/>
    <w:rsid w:val="00CC7B25"/>
    <w:rsid w:val="00CD4AF7"/>
    <w:rsid w:val="00CD4C1C"/>
    <w:rsid w:val="00CD5473"/>
    <w:rsid w:val="00CD6024"/>
    <w:rsid w:val="00CD738B"/>
    <w:rsid w:val="00CD7C1C"/>
    <w:rsid w:val="00CD7CA4"/>
    <w:rsid w:val="00CE0D4E"/>
    <w:rsid w:val="00CE3517"/>
    <w:rsid w:val="00CE3C0C"/>
    <w:rsid w:val="00CE61DA"/>
    <w:rsid w:val="00CE78A2"/>
    <w:rsid w:val="00CE79AB"/>
    <w:rsid w:val="00CF0B8E"/>
    <w:rsid w:val="00CF21D0"/>
    <w:rsid w:val="00CF449E"/>
    <w:rsid w:val="00CF5357"/>
    <w:rsid w:val="00D01670"/>
    <w:rsid w:val="00D01CB8"/>
    <w:rsid w:val="00D048AC"/>
    <w:rsid w:val="00D05C26"/>
    <w:rsid w:val="00D062AC"/>
    <w:rsid w:val="00D10C48"/>
    <w:rsid w:val="00D120EF"/>
    <w:rsid w:val="00D152E7"/>
    <w:rsid w:val="00D156A3"/>
    <w:rsid w:val="00D20381"/>
    <w:rsid w:val="00D218D0"/>
    <w:rsid w:val="00D21F91"/>
    <w:rsid w:val="00D30EDF"/>
    <w:rsid w:val="00D33027"/>
    <w:rsid w:val="00D33D65"/>
    <w:rsid w:val="00D34065"/>
    <w:rsid w:val="00D36B9B"/>
    <w:rsid w:val="00D36DC6"/>
    <w:rsid w:val="00D3796C"/>
    <w:rsid w:val="00D413AD"/>
    <w:rsid w:val="00D42C57"/>
    <w:rsid w:val="00D44360"/>
    <w:rsid w:val="00D45306"/>
    <w:rsid w:val="00D45878"/>
    <w:rsid w:val="00D46178"/>
    <w:rsid w:val="00D50981"/>
    <w:rsid w:val="00D53948"/>
    <w:rsid w:val="00D5416C"/>
    <w:rsid w:val="00D549B9"/>
    <w:rsid w:val="00D557EE"/>
    <w:rsid w:val="00D56058"/>
    <w:rsid w:val="00D56CD5"/>
    <w:rsid w:val="00D571F6"/>
    <w:rsid w:val="00D578FF"/>
    <w:rsid w:val="00D57F4B"/>
    <w:rsid w:val="00D61179"/>
    <w:rsid w:val="00D62224"/>
    <w:rsid w:val="00D63D0E"/>
    <w:rsid w:val="00D656AD"/>
    <w:rsid w:val="00D67A13"/>
    <w:rsid w:val="00D70EE2"/>
    <w:rsid w:val="00D73135"/>
    <w:rsid w:val="00D73E5E"/>
    <w:rsid w:val="00D76A01"/>
    <w:rsid w:val="00D76E91"/>
    <w:rsid w:val="00D77AA1"/>
    <w:rsid w:val="00D77E54"/>
    <w:rsid w:val="00D80264"/>
    <w:rsid w:val="00D819D9"/>
    <w:rsid w:val="00D830AD"/>
    <w:rsid w:val="00D831F2"/>
    <w:rsid w:val="00D849AA"/>
    <w:rsid w:val="00D85804"/>
    <w:rsid w:val="00D86434"/>
    <w:rsid w:val="00D872D1"/>
    <w:rsid w:val="00D9187B"/>
    <w:rsid w:val="00D93BA2"/>
    <w:rsid w:val="00D950BA"/>
    <w:rsid w:val="00DA5515"/>
    <w:rsid w:val="00DA6122"/>
    <w:rsid w:val="00DB3B95"/>
    <w:rsid w:val="00DB4809"/>
    <w:rsid w:val="00DB4BDE"/>
    <w:rsid w:val="00DB5E8F"/>
    <w:rsid w:val="00DB61B8"/>
    <w:rsid w:val="00DB733C"/>
    <w:rsid w:val="00DB779A"/>
    <w:rsid w:val="00DC012C"/>
    <w:rsid w:val="00DC3E99"/>
    <w:rsid w:val="00DC7C3E"/>
    <w:rsid w:val="00DD3FF2"/>
    <w:rsid w:val="00DD64EE"/>
    <w:rsid w:val="00DD7FA1"/>
    <w:rsid w:val="00DE0A1C"/>
    <w:rsid w:val="00DE30E0"/>
    <w:rsid w:val="00DE6BC1"/>
    <w:rsid w:val="00DE7C85"/>
    <w:rsid w:val="00DF04DA"/>
    <w:rsid w:val="00DF06E8"/>
    <w:rsid w:val="00DF6D5F"/>
    <w:rsid w:val="00DF724A"/>
    <w:rsid w:val="00DF735F"/>
    <w:rsid w:val="00E02765"/>
    <w:rsid w:val="00E033C3"/>
    <w:rsid w:val="00E038C3"/>
    <w:rsid w:val="00E06D47"/>
    <w:rsid w:val="00E07416"/>
    <w:rsid w:val="00E11C60"/>
    <w:rsid w:val="00E13544"/>
    <w:rsid w:val="00E1386E"/>
    <w:rsid w:val="00E14AA0"/>
    <w:rsid w:val="00E16F59"/>
    <w:rsid w:val="00E22BC2"/>
    <w:rsid w:val="00E22BCE"/>
    <w:rsid w:val="00E24AAF"/>
    <w:rsid w:val="00E258D8"/>
    <w:rsid w:val="00E30718"/>
    <w:rsid w:val="00E31391"/>
    <w:rsid w:val="00E3179D"/>
    <w:rsid w:val="00E326FF"/>
    <w:rsid w:val="00E3467E"/>
    <w:rsid w:val="00E34B8E"/>
    <w:rsid w:val="00E361B0"/>
    <w:rsid w:val="00E41563"/>
    <w:rsid w:val="00E415C9"/>
    <w:rsid w:val="00E46262"/>
    <w:rsid w:val="00E516B0"/>
    <w:rsid w:val="00E51BB1"/>
    <w:rsid w:val="00E54BA8"/>
    <w:rsid w:val="00E54D7F"/>
    <w:rsid w:val="00E55705"/>
    <w:rsid w:val="00E574A1"/>
    <w:rsid w:val="00E6275C"/>
    <w:rsid w:val="00E62DB8"/>
    <w:rsid w:val="00E63010"/>
    <w:rsid w:val="00E63399"/>
    <w:rsid w:val="00E66893"/>
    <w:rsid w:val="00E66BA7"/>
    <w:rsid w:val="00E677EF"/>
    <w:rsid w:val="00E6790C"/>
    <w:rsid w:val="00E70BB6"/>
    <w:rsid w:val="00E7159B"/>
    <w:rsid w:val="00E75F07"/>
    <w:rsid w:val="00E859DF"/>
    <w:rsid w:val="00E85A8B"/>
    <w:rsid w:val="00E87041"/>
    <w:rsid w:val="00E912A5"/>
    <w:rsid w:val="00E916E4"/>
    <w:rsid w:val="00E94218"/>
    <w:rsid w:val="00E95201"/>
    <w:rsid w:val="00E96304"/>
    <w:rsid w:val="00EA1807"/>
    <w:rsid w:val="00EA251B"/>
    <w:rsid w:val="00EA31AA"/>
    <w:rsid w:val="00EA4947"/>
    <w:rsid w:val="00EC0C41"/>
    <w:rsid w:val="00EC11F0"/>
    <w:rsid w:val="00EC1594"/>
    <w:rsid w:val="00EC1C8C"/>
    <w:rsid w:val="00EC365B"/>
    <w:rsid w:val="00EC5AD1"/>
    <w:rsid w:val="00ED161F"/>
    <w:rsid w:val="00ED2521"/>
    <w:rsid w:val="00ED2F67"/>
    <w:rsid w:val="00ED2FB9"/>
    <w:rsid w:val="00ED36B7"/>
    <w:rsid w:val="00ED7637"/>
    <w:rsid w:val="00EE013F"/>
    <w:rsid w:val="00EE0C7D"/>
    <w:rsid w:val="00EE122D"/>
    <w:rsid w:val="00EE456B"/>
    <w:rsid w:val="00EE5DE6"/>
    <w:rsid w:val="00EE6267"/>
    <w:rsid w:val="00EE6613"/>
    <w:rsid w:val="00EE6988"/>
    <w:rsid w:val="00EF2A23"/>
    <w:rsid w:val="00EF35BF"/>
    <w:rsid w:val="00EF381C"/>
    <w:rsid w:val="00EF47A4"/>
    <w:rsid w:val="00EF685F"/>
    <w:rsid w:val="00F00755"/>
    <w:rsid w:val="00F00C37"/>
    <w:rsid w:val="00F034AC"/>
    <w:rsid w:val="00F04275"/>
    <w:rsid w:val="00F1590F"/>
    <w:rsid w:val="00F160D2"/>
    <w:rsid w:val="00F27395"/>
    <w:rsid w:val="00F31CFB"/>
    <w:rsid w:val="00F339A4"/>
    <w:rsid w:val="00F33C22"/>
    <w:rsid w:val="00F42177"/>
    <w:rsid w:val="00F42DCD"/>
    <w:rsid w:val="00F4484F"/>
    <w:rsid w:val="00F45638"/>
    <w:rsid w:val="00F4748D"/>
    <w:rsid w:val="00F50E9C"/>
    <w:rsid w:val="00F51116"/>
    <w:rsid w:val="00F5117A"/>
    <w:rsid w:val="00F51FA3"/>
    <w:rsid w:val="00F52F33"/>
    <w:rsid w:val="00F53841"/>
    <w:rsid w:val="00F53B21"/>
    <w:rsid w:val="00F60ACD"/>
    <w:rsid w:val="00F612B3"/>
    <w:rsid w:val="00F650BC"/>
    <w:rsid w:val="00F653FF"/>
    <w:rsid w:val="00F66078"/>
    <w:rsid w:val="00F67EF6"/>
    <w:rsid w:val="00F7064A"/>
    <w:rsid w:val="00F7198E"/>
    <w:rsid w:val="00F7311F"/>
    <w:rsid w:val="00F747AD"/>
    <w:rsid w:val="00F8260F"/>
    <w:rsid w:val="00F83279"/>
    <w:rsid w:val="00F87F11"/>
    <w:rsid w:val="00F90B2E"/>
    <w:rsid w:val="00F91302"/>
    <w:rsid w:val="00F942CA"/>
    <w:rsid w:val="00F9452C"/>
    <w:rsid w:val="00F9689B"/>
    <w:rsid w:val="00F97395"/>
    <w:rsid w:val="00F97508"/>
    <w:rsid w:val="00FA0160"/>
    <w:rsid w:val="00FA3503"/>
    <w:rsid w:val="00FA590B"/>
    <w:rsid w:val="00FA5C42"/>
    <w:rsid w:val="00FA68AB"/>
    <w:rsid w:val="00FB021F"/>
    <w:rsid w:val="00FB0A9F"/>
    <w:rsid w:val="00FB2C5B"/>
    <w:rsid w:val="00FB33E0"/>
    <w:rsid w:val="00FB52EB"/>
    <w:rsid w:val="00FB7206"/>
    <w:rsid w:val="00FB7367"/>
    <w:rsid w:val="00FB77F3"/>
    <w:rsid w:val="00FC1D72"/>
    <w:rsid w:val="00FC309B"/>
    <w:rsid w:val="00FC62C4"/>
    <w:rsid w:val="00FD17AA"/>
    <w:rsid w:val="00FE0C92"/>
    <w:rsid w:val="00FE0D29"/>
    <w:rsid w:val="00FE35E0"/>
    <w:rsid w:val="00FE4173"/>
    <w:rsid w:val="00FE4DD2"/>
    <w:rsid w:val="00FE5577"/>
    <w:rsid w:val="00FE78A3"/>
    <w:rsid w:val="00FF2A56"/>
    <w:rsid w:val="00FF3133"/>
    <w:rsid w:val="00FF34CA"/>
    <w:rsid w:val="00FF39DE"/>
    <w:rsid w:val="00FF3AA8"/>
    <w:rsid w:val="00FF5E0F"/>
    <w:rsid w:val="00FF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0465"/>
    <o:shapelayout v:ext="edit">
      <o:idmap v:ext="edit" data="1"/>
    </o:shapelayout>
  </w:shapeDefaults>
  <w:decimalSymbol w:val="."/>
  <w:listSeparator w:val=","/>
  <w14:docId w14:val="533EF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77"/>
  </w:style>
  <w:style w:type="paragraph" w:styleId="Heading1">
    <w:name w:val="heading 1"/>
    <w:aliases w:val="Cover title white"/>
    <w:basedOn w:val="Normal"/>
    <w:next w:val="Normal"/>
    <w:link w:val="Heading1Char"/>
    <w:uiPriority w:val="9"/>
    <w:qFormat/>
    <w:rsid w:val="00F4217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3415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0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aliases w:val="Title 2"/>
    <w:basedOn w:val="Normal"/>
    <w:next w:val="Normal"/>
    <w:link w:val="Heading3Char"/>
    <w:uiPriority w:val="9"/>
    <w:semiHidden/>
    <w:unhideWhenUsed/>
    <w:qFormat/>
    <w:rsid w:val="00F421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02B4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D4C52" w:themeColor="accent5" w:themeShade="BF"/>
      <w:sz w:val="25"/>
      <w:szCs w:val="25"/>
    </w:rPr>
  </w:style>
  <w:style w:type="paragraph" w:styleId="Heading5">
    <w:name w:val="heading 5"/>
    <w:aliases w:val="Cover subtitle white"/>
    <w:basedOn w:val="Normal"/>
    <w:next w:val="Normal"/>
    <w:link w:val="Heading5Char"/>
    <w:uiPriority w:val="9"/>
    <w:semiHidden/>
    <w:unhideWhenUsed/>
    <w:qFormat/>
    <w:rsid w:val="00F421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4490E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B1C2C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72B3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4490E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B1C2C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uiPriority w:val="9"/>
    <w:rsid w:val="00F42177"/>
    <w:rPr>
      <w:rFonts w:asciiTheme="majorHAnsi" w:eastAsiaTheme="majorEastAsia" w:hAnsiTheme="majorHAnsi" w:cstheme="majorBidi"/>
      <w:color w:val="234156" w:themeColor="accent1" w:themeShade="BF"/>
      <w:sz w:val="30"/>
      <w:szCs w:val="30"/>
    </w:rPr>
  </w:style>
  <w:style w:type="paragraph" w:customStyle="1" w:styleId="Numberedtilelevel1">
    <w:name w:val="Numbered tile level 1"/>
    <w:basedOn w:val="Titlelevel1"/>
    <w:link w:val="Numberedtilelevel1Char"/>
    <w:qFormat/>
    <w:rsid w:val="00482FB6"/>
  </w:style>
  <w:style w:type="character" w:customStyle="1" w:styleId="Heading2Char">
    <w:name w:val="Heading 2 Char"/>
    <w:basedOn w:val="DefaultParagraphFont"/>
    <w:link w:val="Heading2"/>
    <w:uiPriority w:val="9"/>
    <w:semiHidden/>
    <w:rsid w:val="00940030"/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Numberedtitlelevel2">
    <w:name w:val="Numbered title level 2"/>
    <w:basedOn w:val="Titlelevel2"/>
    <w:next w:val="body"/>
    <w:rsid w:val="00482FB6"/>
    <w:pPr>
      <w:numPr>
        <w:ilvl w:val="1"/>
        <w:numId w:val="6"/>
      </w:numPr>
    </w:pPr>
  </w:style>
  <w:style w:type="paragraph" w:customStyle="1" w:styleId="Titlelevel2">
    <w:name w:val="Title level 2"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F42177"/>
    <w:rPr>
      <w:rFonts w:asciiTheme="majorHAnsi" w:eastAsiaTheme="majorEastAsia" w:hAnsiTheme="majorHAnsi" w:cstheme="majorBidi"/>
      <w:color w:val="102B4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77"/>
    <w:rPr>
      <w:rFonts w:asciiTheme="majorHAnsi" w:eastAsiaTheme="majorEastAsia" w:hAnsiTheme="majorHAnsi" w:cstheme="majorBidi"/>
      <w:i/>
      <w:iCs/>
      <w:color w:val="3D4C52" w:themeColor="accent5" w:themeShade="BF"/>
      <w:sz w:val="25"/>
      <w:szCs w:val="25"/>
    </w:rPr>
  </w:style>
  <w:style w:type="character" w:customStyle="1" w:styleId="Heading5Char">
    <w:name w:val="Heading 5 Char"/>
    <w:aliases w:val="Cover subtitle white Char"/>
    <w:basedOn w:val="DefaultParagraphFont"/>
    <w:link w:val="Heading5"/>
    <w:uiPriority w:val="9"/>
    <w:semiHidden/>
    <w:rsid w:val="00F42177"/>
    <w:rPr>
      <w:rFonts w:asciiTheme="majorHAnsi" w:eastAsiaTheme="majorEastAsia" w:hAnsiTheme="majorHAnsi" w:cstheme="majorBidi"/>
      <w:i/>
      <w:iCs/>
      <w:color w:val="84490E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77"/>
    <w:rPr>
      <w:rFonts w:asciiTheme="majorHAnsi" w:eastAsiaTheme="majorEastAsia" w:hAnsiTheme="majorHAnsi" w:cstheme="majorBidi"/>
      <w:i/>
      <w:iCs/>
      <w:color w:val="0B1C2C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77"/>
    <w:rPr>
      <w:rFonts w:asciiTheme="majorHAnsi" w:eastAsiaTheme="majorEastAsia" w:hAnsiTheme="majorHAnsi" w:cstheme="majorBidi"/>
      <w:color w:val="172B3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77"/>
    <w:rPr>
      <w:rFonts w:asciiTheme="majorHAnsi" w:eastAsiaTheme="majorEastAsia" w:hAnsiTheme="majorHAnsi" w:cstheme="majorBidi"/>
      <w:color w:val="84490E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77"/>
    <w:rPr>
      <w:rFonts w:asciiTheme="majorHAnsi" w:eastAsiaTheme="majorEastAsia" w:hAnsiTheme="majorHAnsi" w:cstheme="majorBidi"/>
      <w:color w:val="0B1C2C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rsid w:val="00813BAC"/>
    <w:pPr>
      <w:spacing w:after="80"/>
    </w:pPr>
    <w:rPr>
      <w:rFonts w:ascii="Calibri" w:eastAsia="Times New Roman" w:hAnsi="Calibri" w:cs="Times New Roman"/>
      <w:b/>
      <w:color w:val="000000"/>
    </w:rPr>
  </w:style>
  <w:style w:type="paragraph" w:customStyle="1" w:styleId="Tabledata">
    <w:name w:val="Table data"/>
    <w:basedOn w:val="body"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lang w:eastAsia="en-GB"/>
    </w:rPr>
  </w:style>
  <w:style w:type="paragraph" w:customStyle="1" w:styleId="List1">
    <w:name w:val="List1"/>
    <w:autoRedefine/>
    <w:rsid w:val="008F3908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aliases w:val="Tabla CUADROS"/>
    <w:basedOn w:val="TableProfessional"/>
    <w:uiPriority w:val="59"/>
    <w:rsid w:val="00A14332"/>
    <w:rPr>
      <w:sz w:val="20"/>
      <w:szCs w:val="20"/>
      <w:lang w:val="en-IE"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rsid w:val="007A0054"/>
    <w:pPr>
      <w:numPr>
        <w:numId w:val="5"/>
      </w:numPr>
      <w:spacing w:before="240" w:after="120"/>
      <w:contextualSpacing/>
    </w:pPr>
  </w:style>
  <w:style w:type="paragraph" w:customStyle="1" w:styleId="Titlelevel1">
    <w:name w:val="Title level 1"/>
    <w:link w:val="Titlelevel1Char"/>
    <w:autoRedefine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eastAsia="en-GB"/>
    </w:rPr>
  </w:style>
  <w:style w:type="table" w:customStyle="1" w:styleId="EBAtable">
    <w:name w:val="EBA table"/>
    <w:basedOn w:val="TableNormal"/>
    <w:uiPriority w:val="99"/>
    <w:rsid w:val="002434B0"/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rsid w:val="001C5BC2"/>
    <w:pPr>
      <w:numPr>
        <w:numId w:val="2"/>
      </w:numPr>
    </w:pPr>
  </w:style>
  <w:style w:type="paragraph" w:styleId="TOC1">
    <w:name w:val="toc 1"/>
    <w:autoRedefine/>
    <w:uiPriority w:val="39"/>
    <w:rsid w:val="001F4C02"/>
    <w:pPr>
      <w:tabs>
        <w:tab w:val="right" w:pos="8771"/>
      </w:tabs>
      <w:spacing w:before="120" w:after="120"/>
      <w:ind w:left="426" w:hanging="426"/>
      <w:outlineLvl w:val="0"/>
    </w:pPr>
    <w:rPr>
      <w:b/>
      <w:bCs/>
      <w:noProof/>
      <w:color w:val="2F5773" w:themeColor="text2"/>
    </w:rPr>
  </w:style>
  <w:style w:type="paragraph" w:styleId="TOC2">
    <w:name w:val="toc 2"/>
    <w:next w:val="Normal"/>
    <w:autoRedefine/>
    <w:uiPriority w:val="39"/>
    <w:rsid w:val="00C41927"/>
    <w:pPr>
      <w:tabs>
        <w:tab w:val="left" w:pos="529"/>
        <w:tab w:val="right" w:pos="8771"/>
      </w:tabs>
      <w:spacing w:before="80" w:after="8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63B0A"/>
    <w:pPr>
      <w:tabs>
        <w:tab w:val="right" w:pos="8771"/>
      </w:tabs>
      <w:ind w:left="567"/>
    </w:p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</w:style>
  <w:style w:type="paragraph" w:customStyle="1" w:styleId="bullet2">
    <w:name w:val="bullet 2"/>
    <w:basedOn w:val="body"/>
    <w:rsid w:val="001C5BC2"/>
    <w:pPr>
      <w:numPr>
        <w:numId w:val="1"/>
      </w:numPr>
    </w:pPr>
  </w:style>
  <w:style w:type="paragraph" w:customStyle="1" w:styleId="Numberedtitlelevel3">
    <w:name w:val="Numbered title level 3"/>
    <w:basedOn w:val="Titlelevel3"/>
    <w:next w:val="body"/>
    <w:rsid w:val="008F3908"/>
    <w:pPr>
      <w:numPr>
        <w:ilvl w:val="2"/>
        <w:numId w:val="6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Borders>
        <w:top w:val="single" w:sz="8" w:space="0" w:color="2F5773" w:themeColor="accent1"/>
        <w:bottom w:val="single" w:sz="8" w:space="0" w:color="2F57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rsid w:val="00172007"/>
  </w:style>
  <w:style w:type="paragraph" w:customStyle="1" w:styleId="Numberedtitlelevel4">
    <w:name w:val="Numbered title level 4"/>
    <w:basedOn w:val="Titlelevel4"/>
    <w:rsid w:val="005D400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421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3415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177"/>
    <w:rPr>
      <w:rFonts w:asciiTheme="majorHAnsi" w:eastAsiaTheme="majorEastAsia" w:hAnsiTheme="majorHAnsi" w:cstheme="majorBidi"/>
      <w:color w:val="234156" w:themeColor="accent1" w:themeShade="BF"/>
      <w:spacing w:val="-10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rsid w:val="00172007"/>
    <w:pPr>
      <w:spacing w:before="1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421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42177"/>
    <w:rPr>
      <w:rFonts w:asciiTheme="majorHAnsi" w:eastAsiaTheme="majorEastAsia" w:hAnsiTheme="majorHAnsi" w:cstheme="majorBidi"/>
    </w:rPr>
  </w:style>
  <w:style w:type="character" w:styleId="BookTitle">
    <w:name w:val="Book Title"/>
    <w:basedOn w:val="DefaultParagraphFont"/>
    <w:uiPriority w:val="33"/>
    <w:qFormat/>
    <w:rsid w:val="00F42177"/>
    <w:rPr>
      <w:b/>
      <w:bCs/>
      <w:smallCaps/>
    </w:rPr>
  </w:style>
  <w:style w:type="character" w:customStyle="1" w:styleId="Highlighttext">
    <w:name w:val="Highlight text"/>
    <w:basedOn w:val="DefaultParagraphFont"/>
    <w:uiPriority w:val="1"/>
    <w:semiHidden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rsid w:val="00455E0E"/>
    <w:rPr>
      <w:bCs/>
      <w:lang w:eastAsia="en-GB"/>
    </w:rPr>
  </w:style>
  <w:style w:type="paragraph" w:styleId="ListBullet">
    <w:name w:val="List Bullet"/>
    <w:basedOn w:val="Normal"/>
    <w:semiHidden/>
    <w:rsid w:val="00A304D0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rsid w:val="00E22BCE"/>
    <w:pPr>
      <w:numPr>
        <w:numId w:val="7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customStyle="1" w:styleId="Default">
    <w:name w:val="Default"/>
    <w:rsid w:val="000C7FD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42177"/>
    <w:pPr>
      <w:outlineLvl w:val="9"/>
    </w:pPr>
  </w:style>
  <w:style w:type="character" w:customStyle="1" w:styleId="Marker">
    <w:name w:val="Marker"/>
    <w:rsid w:val="00B43E07"/>
    <w:rPr>
      <w:color w:val="0000FF"/>
      <w:shd w:val="clear" w:color="auto" w:fill="auto"/>
    </w:rPr>
  </w:style>
  <w:style w:type="character" w:customStyle="1" w:styleId="Marker2">
    <w:name w:val="Marker2"/>
    <w:rsid w:val="00B43E07"/>
    <w:rPr>
      <w:color w:val="FF0000"/>
      <w:shd w:val="clear" w:color="auto" w:fill="auto"/>
    </w:rPr>
  </w:style>
  <w:style w:type="paragraph" w:customStyle="1" w:styleId="Annexetitre">
    <w:name w:val="Annexe titre"/>
    <w:basedOn w:val="Normal"/>
    <w:next w:val="Normal"/>
    <w:rsid w:val="00B43E07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Fait"/>
    <w:rsid w:val="00B43E07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idrant">
    <w:name w:val="Considérant"/>
    <w:basedOn w:val="Normal"/>
    <w:rsid w:val="00B43E07"/>
    <w:pPr>
      <w:numPr>
        <w:numId w:val="9"/>
      </w:num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atedadoption">
    <w:name w:val="Date d'adoption"/>
    <w:basedOn w:val="Normal"/>
    <w:next w:val="Titreobjet"/>
    <w:rsid w:val="00B43E07"/>
    <w:pPr>
      <w:spacing w:before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Fait">
    <w:name w:val="Fait à"/>
    <w:basedOn w:val="Normal"/>
    <w:next w:val="Institutionquisigne"/>
    <w:rsid w:val="00B43E07"/>
    <w:pPr>
      <w:keepNext/>
      <w:spacing w:before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Formuledadoption">
    <w:name w:val="Formule d'adoption"/>
    <w:basedOn w:val="Normal"/>
    <w:next w:val="Titrearticle"/>
    <w:rsid w:val="00B43E07"/>
    <w:pPr>
      <w:keepNext/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B43E07"/>
    <w:pPr>
      <w:keepNext/>
      <w:tabs>
        <w:tab w:val="left" w:pos="4252"/>
      </w:tabs>
      <w:spacing w:before="720"/>
      <w:jc w:val="both"/>
    </w:pPr>
    <w:rPr>
      <w:rFonts w:ascii="Times New Roman" w:eastAsia="Times New Roman" w:hAnsi="Times New Roman" w:cs="Times New Roman"/>
      <w:i/>
      <w:sz w:val="24"/>
    </w:rPr>
  </w:style>
  <w:style w:type="paragraph" w:customStyle="1" w:styleId="Personnequisigne">
    <w:name w:val="Personne qui signe"/>
    <w:basedOn w:val="Normal"/>
    <w:next w:val="Institutionquisigne"/>
    <w:rsid w:val="00B43E07"/>
    <w:pPr>
      <w:tabs>
        <w:tab w:val="left" w:pos="4252"/>
      </w:tabs>
    </w:pPr>
    <w:rPr>
      <w:rFonts w:ascii="Times New Roman" w:eastAsia="Times New Roman" w:hAnsi="Times New Roman" w:cs="Times New Roman"/>
      <w:i/>
      <w:sz w:val="24"/>
    </w:rPr>
  </w:style>
  <w:style w:type="paragraph" w:customStyle="1" w:styleId="Titrearticle">
    <w:name w:val="Titre article"/>
    <w:basedOn w:val="Normal"/>
    <w:next w:val="Normal"/>
    <w:rsid w:val="00B43E07"/>
    <w:pPr>
      <w:keepNext/>
      <w:spacing w:before="360" w:after="120"/>
      <w:jc w:val="center"/>
    </w:pPr>
    <w:rPr>
      <w:rFonts w:ascii="Times New Roman" w:eastAsia="Times New Roman" w:hAnsi="Times New Roman" w:cs="Times New Roman"/>
      <w:i/>
      <w:sz w:val="24"/>
    </w:rPr>
  </w:style>
  <w:style w:type="paragraph" w:customStyle="1" w:styleId="Titreobjet">
    <w:name w:val="Titre objet"/>
    <w:basedOn w:val="Normal"/>
    <w:next w:val="Normal"/>
    <w:rsid w:val="00B43E07"/>
    <w:pPr>
      <w:spacing w:before="360" w:after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B43E07"/>
    <w:pPr>
      <w:spacing w:before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Pagedecouverture">
    <w:name w:val="Page de couverture"/>
    <w:basedOn w:val="Normal"/>
    <w:next w:val="Normal"/>
    <w:rsid w:val="00B43E07"/>
    <w:p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agit">
    <w:name w:val="Institution qui agit"/>
    <w:basedOn w:val="Normal"/>
    <w:next w:val="Normal"/>
    <w:rsid w:val="00B43E07"/>
    <w:pPr>
      <w:keepNext/>
      <w:spacing w:before="60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F12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1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9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42177"/>
    <w:pPr>
      <w:spacing w:line="240" w:lineRule="auto"/>
    </w:pPr>
    <w:rPr>
      <w:b/>
      <w:bCs/>
      <w:smallCaps/>
      <w:color w:val="2F5773" w:themeColor="accent1"/>
      <w:spacing w:val="6"/>
    </w:rPr>
  </w:style>
  <w:style w:type="paragraph" w:customStyle="1" w:styleId="Point1letter">
    <w:name w:val="Point 1 (letter)"/>
    <w:basedOn w:val="Normal"/>
    <w:rsid w:val="003956D6"/>
    <w:pPr>
      <w:widowControl w:val="0"/>
      <w:tabs>
        <w:tab w:val="left" w:pos="709"/>
      </w:tabs>
      <w:adjustRightInd w:val="0"/>
      <w:spacing w:before="120" w:after="1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Point2number">
    <w:name w:val="Point 2 (number)"/>
    <w:basedOn w:val="Normal"/>
    <w:rsid w:val="003956D6"/>
    <w:pPr>
      <w:widowControl w:val="0"/>
      <w:adjustRightInd w:val="0"/>
      <w:spacing w:after="240"/>
      <w:ind w:left="1418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M1">
    <w:name w:val="CM1"/>
    <w:basedOn w:val="Default"/>
    <w:next w:val="Default"/>
    <w:uiPriority w:val="99"/>
    <w:rsid w:val="00597146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97146"/>
    <w:rPr>
      <w:rFonts w:ascii="EUAlbertina" w:eastAsiaTheme="minorEastAsia" w:hAnsi="EUAlbertina" w:cstheme="minorBidi"/>
      <w:color w:val="auto"/>
    </w:rPr>
  </w:style>
  <w:style w:type="table" w:customStyle="1" w:styleId="Grilledetableauclaire1">
    <w:name w:val="Grille de tableau claire1"/>
    <w:basedOn w:val="TableNormal"/>
    <w:uiPriority w:val="40"/>
    <w:rsid w:val="00A760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int0number">
    <w:name w:val="Point 0 (number)"/>
    <w:basedOn w:val="Normal"/>
    <w:rsid w:val="00A76095"/>
    <w:pPr>
      <w:spacing w:before="120" w:after="120"/>
      <w:ind w:left="72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1number">
    <w:name w:val="Point 1 (number)"/>
    <w:basedOn w:val="Normal"/>
    <w:rsid w:val="00A76095"/>
    <w:pPr>
      <w:spacing w:before="120" w:after="120"/>
      <w:ind w:left="216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3number">
    <w:name w:val="Point 3 (number)"/>
    <w:basedOn w:val="Normal"/>
    <w:rsid w:val="00A76095"/>
    <w:pPr>
      <w:spacing w:before="120" w:after="120"/>
      <w:ind w:left="5040" w:hanging="360"/>
      <w:jc w:val="both"/>
    </w:pPr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42177"/>
    <w:rPr>
      <w:b/>
      <w:bCs/>
    </w:rPr>
  </w:style>
  <w:style w:type="character" w:styleId="Emphasis">
    <w:name w:val="Emphasis"/>
    <w:basedOn w:val="DefaultParagraphFont"/>
    <w:uiPriority w:val="20"/>
    <w:qFormat/>
    <w:rsid w:val="00F42177"/>
    <w:rPr>
      <w:i/>
      <w:iCs/>
    </w:rPr>
  </w:style>
  <w:style w:type="paragraph" w:styleId="NoSpacing">
    <w:name w:val="No Spacing"/>
    <w:uiPriority w:val="1"/>
    <w:qFormat/>
    <w:rsid w:val="00F421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17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1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7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2F577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77"/>
    <w:rPr>
      <w:rFonts w:asciiTheme="majorHAnsi" w:eastAsiaTheme="majorEastAsia" w:hAnsiTheme="majorHAnsi" w:cstheme="majorBidi"/>
      <w:color w:val="2F5773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421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2177"/>
    <w:rPr>
      <w:b w:val="0"/>
      <w:bCs w:val="0"/>
      <w:i/>
      <w:iCs/>
      <w:color w:val="2F5773" w:themeColor="accent1"/>
    </w:rPr>
  </w:style>
  <w:style w:type="character" w:styleId="SubtleReference">
    <w:name w:val="Subtle Reference"/>
    <w:basedOn w:val="DefaultParagraphFont"/>
    <w:uiPriority w:val="31"/>
    <w:qFormat/>
    <w:rsid w:val="00F421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2177"/>
    <w:rPr>
      <w:b/>
      <w:bCs/>
      <w:smallCaps/>
      <w:color w:val="2F5773" w:themeColor="accent1"/>
      <w:spacing w:val="5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B62DC9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character" w:customStyle="1" w:styleId="FormatvorlageInstructionsTabelleText">
    <w:name w:val="Formatvorlage Instructions Tabelle Text"/>
    <w:uiPriority w:val="99"/>
    <w:qFormat/>
    <w:rsid w:val="00807127"/>
    <w:rPr>
      <w:rFonts w:ascii="Verdana" w:hAnsi="Verdana" w:cs="Times New Roman"/>
      <w:bCs/>
      <w:sz w:val="20"/>
      <w:u w:val="none"/>
    </w:rPr>
  </w:style>
  <w:style w:type="character" w:customStyle="1" w:styleId="InstructionsTextChar">
    <w:name w:val="Instructions Text Char"/>
    <w:link w:val="InstructionsText"/>
    <w:locked/>
    <w:rsid w:val="00B62DC9"/>
    <w:rPr>
      <w:rFonts w:ascii="Times New Roman" w:eastAsia="Times New Roman" w:hAnsi="Times New Roman" w:cs="Times New Roman"/>
      <w:noProof/>
      <w:sz w:val="24"/>
      <w:szCs w:val="24"/>
      <w:lang w:val="mt-MT" w:eastAsia="de-DE"/>
    </w:rPr>
  </w:style>
  <w:style w:type="paragraph" w:styleId="Revision">
    <w:name w:val="Revision"/>
    <w:hidden/>
    <w:uiPriority w:val="99"/>
    <w:semiHidden/>
    <w:rsid w:val="00510C0E"/>
    <w:pPr>
      <w:spacing w:after="0" w:line="240" w:lineRule="auto"/>
    </w:pPr>
  </w:style>
  <w:style w:type="paragraph" w:customStyle="1" w:styleId="Heading">
    <w:name w:val="Heading"/>
    <w:basedOn w:val="Numberedtilelevel1"/>
    <w:link w:val="HeadingChar"/>
    <w:qFormat/>
    <w:rsid w:val="001F4C02"/>
    <w:pPr>
      <w:ind w:left="709" w:hanging="709"/>
    </w:pPr>
    <w:rPr>
      <w:rFonts w:ascii="Times New Roman" w:hAnsi="Times New Roman" w:cs="Times New Roman"/>
      <w:sz w:val="24"/>
      <w:szCs w:val="24"/>
    </w:rPr>
  </w:style>
  <w:style w:type="character" w:customStyle="1" w:styleId="Titlelevel1Char">
    <w:name w:val="Title level 1 Char"/>
    <w:basedOn w:val="DefaultParagraphFont"/>
    <w:link w:val="Titlelevel1"/>
    <w:rsid w:val="00FD17AA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Numberedtilelevel1Char">
    <w:name w:val="Numbered tile level 1 Char"/>
    <w:basedOn w:val="Titlelevel1Char"/>
    <w:link w:val="Numberedtilelevel1"/>
    <w:rsid w:val="00FD17AA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HeadingChar">
    <w:name w:val="Heading Char"/>
    <w:basedOn w:val="Numberedtilelevel1Char"/>
    <w:link w:val="Heading"/>
    <w:rsid w:val="001F4C02"/>
    <w:rPr>
      <w:rFonts w:ascii="Times New Roman" w:eastAsiaTheme="majorEastAsia" w:hAnsi="Times New Roman" w:cs="Times New Roman"/>
      <w:color w:val="2F5773" w:themeColor="text2"/>
      <w:spacing w:val="5"/>
      <w:kern w:val="28"/>
      <w:sz w:val="24"/>
      <w:szCs w:val="24"/>
    </w:rPr>
  </w:style>
  <w:style w:type="paragraph" w:customStyle="1" w:styleId="Instructionsberschrift2">
    <w:name w:val="Instructions Überschrift 2"/>
    <w:basedOn w:val="Heading2"/>
    <w:rsid w:val="0065594A"/>
    <w:pPr>
      <w:keepLines w:val="0"/>
      <w:numPr>
        <w:numId w:val="14"/>
      </w:numPr>
      <w:spacing w:before="240" w:after="240"/>
      <w:jc w:val="both"/>
    </w:pPr>
    <w:rPr>
      <w:rFonts w:ascii="Verdana" w:eastAsia="Arial" w:hAnsi="Verdana" w:cs="Arial"/>
      <w:sz w:val="20"/>
      <w:szCs w:val="24"/>
      <w:u w:val="single"/>
      <w:lang w:eastAsia="x-none"/>
    </w:rPr>
  </w:style>
  <w:style w:type="paragraph" w:customStyle="1" w:styleId="InstructionsText2">
    <w:name w:val="Instructions Text 2"/>
    <w:basedOn w:val="InstructionsText"/>
    <w:qFormat/>
    <w:rsid w:val="0065594A"/>
    <w:pPr>
      <w:spacing w:after="240"/>
    </w:pPr>
  </w:style>
  <w:style w:type="character" w:customStyle="1" w:styleId="InstructionsTabelleberschrift">
    <w:name w:val="Instructions Tabelle Überschrift"/>
    <w:qFormat/>
    <w:rsid w:val="00A47BCD"/>
    <w:rPr>
      <w:rFonts w:ascii="Verdana" w:hAnsi="Verdana" w:cs="Times New Roman"/>
      <w:b/>
      <w:bCs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5F79D-63F7-42D0-8F31-2808AF242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6954</Words>
  <Characters>51741</Characters>
  <Application>Microsoft Office Word</Application>
  <DocSecurity>0</DocSecurity>
  <Lines>1077</Lines>
  <Paragraphs>548</Paragraphs>
  <ScaleCrop>false</ScaleCrop>
  <Company/>
  <LinksUpToDate>false</LinksUpToDate>
  <CharactersWithSpaces>58147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2024-04-05T10:29:00Z</dcterms:created>
  <dcterms:modified xsi:type="dcterms:W3CDTF">2024-05-08T13:31:00Z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2024-03-04T17:54:16Z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91b58fde-dfad-47dc-b1e2-20839b75e6a2</vt:lpwstr>
  </property>
  <property fmtid="{D5CDD505-2E9C-101B-9397-08002B2CF9AE}" pid="8" name="MSIP_Label_6bd9ddd1-4d20-43f6-abfa-fc3c07406f94_ContentBits">
    <vt:lpwstr>0</vt:lpwstr>
  </property>
</Properties>
</file>