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LV</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IV PIELIKUMS</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INFORMĀCIJAS ATKLĀŠANA PAR MINIMUMA PRASĪBU PAŠU KAPITĀLAM UN ATBILSTĪGAJĀM SAISTĪBĀM – NORĀDĪJUMI</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Vispārīgie norādījumi. Struktūra un pieņemtā prakse</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Struktūra</w:t>
      </w:r>
      <w:bookmarkEnd w:id="10"/>
      <w:bookmarkEnd w:id="11"/>
      <w:bookmarkEnd w:id="12"/>
    </w:p>
    <w:p w14:paraId="038BA668" w14:textId="1D5FE25B" w:rsidR="0065594A" w:rsidRPr="0008623B" w:rsidRDefault="0065594A" w:rsidP="00B62DC9">
      <w:pPr>
        <w:pStyle w:val="InstructionsText2"/>
        <w:numPr>
          <w:ilvl w:val="0"/>
          <w:numId w:val="12"/>
        </w:numPr>
      </w:pPr>
      <w:r>
        <w:t xml:space="preserve">Šo satvaru informācijas atklāšanai par </w:t>
      </w:r>
      <w:r>
        <w:rPr>
          <w:i/>
          <w:iCs/>
        </w:rPr>
        <w:t>MREL</w:t>
      </w:r>
      <w:r>
        <w:t xml:space="preserve"> un </w:t>
      </w:r>
      <w:r>
        <w:rPr>
          <w:i/>
          <w:iCs/>
        </w:rPr>
        <w:t>TLAC</w:t>
      </w:r>
      <w:r>
        <w:t xml:space="preserve"> veido trīs veidņu grupas:</w:t>
      </w:r>
    </w:p>
    <w:p w14:paraId="160EDC16" w14:textId="77777777" w:rsidR="00AB77FD" w:rsidRPr="0008623B" w:rsidRDefault="00AB77FD" w:rsidP="00B62DC9">
      <w:pPr>
        <w:pStyle w:val="InstructionsText2"/>
        <w:numPr>
          <w:ilvl w:val="1"/>
          <w:numId w:val="15"/>
        </w:numPr>
      </w:pPr>
      <w:r>
        <w:t xml:space="preserve">noregulējuma grupu un noregulējuma vienību </w:t>
      </w:r>
      <w:r>
        <w:rPr>
          <w:i/>
          <w:iCs/>
        </w:rPr>
        <w:t>MREL</w:t>
      </w:r>
      <w:r>
        <w:t xml:space="preserve"> un </w:t>
      </w:r>
      <w:r>
        <w:rPr>
          <w:i/>
          <w:iCs/>
        </w:rPr>
        <w:t>TLAC</w:t>
      </w:r>
      <w:r>
        <w:t>;</w:t>
      </w:r>
    </w:p>
    <w:p w14:paraId="531DF249" w14:textId="0719D053" w:rsidR="00AB77FD" w:rsidRPr="0008623B" w:rsidRDefault="00AB77FD" w:rsidP="00B62DC9">
      <w:pPr>
        <w:pStyle w:val="InstructionsText2"/>
        <w:numPr>
          <w:ilvl w:val="1"/>
          <w:numId w:val="15"/>
        </w:numPr>
      </w:pPr>
      <w:r>
        <w:t xml:space="preserve">vienību, kas nav noregulējuma vienības, un ārpussavienības globālu sistēmiski nozīmīgu iestāžu (G-SNI) svarīgu meitasuzņēmumu </w:t>
      </w:r>
      <w:r>
        <w:rPr>
          <w:i/>
          <w:iCs/>
        </w:rPr>
        <w:t>MREL</w:t>
      </w:r>
      <w:r>
        <w:t xml:space="preserve"> un </w:t>
      </w:r>
      <w:r>
        <w:rPr>
          <w:i/>
          <w:iCs/>
        </w:rPr>
        <w:t>TLAC</w:t>
      </w:r>
      <w:r>
        <w:t>;</w:t>
      </w:r>
    </w:p>
    <w:p w14:paraId="3EE4CEDD" w14:textId="5B2484DA" w:rsidR="00AB77FD" w:rsidRPr="0008623B" w:rsidRDefault="00AB77FD" w:rsidP="00B62DC9">
      <w:pPr>
        <w:pStyle w:val="InstructionsText2"/>
        <w:numPr>
          <w:ilvl w:val="1"/>
          <w:numId w:val="15"/>
        </w:numPr>
      </w:pPr>
      <w:r>
        <w:t>emitentvienību kreditoru prioritāte.</w:t>
      </w:r>
    </w:p>
    <w:p w14:paraId="1ED5F5C4" w14:textId="551A7AA0" w:rsidR="0065594A" w:rsidRPr="0008623B" w:rsidRDefault="0065594A" w:rsidP="00B62DC9">
      <w:pPr>
        <w:pStyle w:val="InstructionsText2"/>
        <w:numPr>
          <w:ilvl w:val="0"/>
          <w:numId w:val="12"/>
        </w:numPr>
      </w:pPr>
      <w:r>
        <w:t>Attiecībā uz katru veidni ir sniegtas atsauces uz tiesību aktiem. Šajā pielikumā ir iekļauta sīkāka informācija par vispārīgākiem pārskatu sniegšanas aspektiem attiecībā uz katru veidņu kopu un norādījumi par konkrētām pozīcijām.</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Saīsinājumi</w:t>
      </w:r>
      <w:bookmarkEnd w:id="18"/>
    </w:p>
    <w:p w14:paraId="7F56C9B4" w14:textId="1EA8178A" w:rsidR="0065594A" w:rsidRPr="0008623B" w:rsidRDefault="0065594A" w:rsidP="00B62DC9">
      <w:pPr>
        <w:pStyle w:val="InstructionsText2"/>
        <w:numPr>
          <w:ilvl w:val="0"/>
          <w:numId w:val="12"/>
        </w:numPr>
      </w:pPr>
      <w:r>
        <w:t>Šīs regulas pielikumos piemēro šādus saīsinājumus:</w:t>
      </w:r>
    </w:p>
    <w:p w14:paraId="7AA24AF3" w14:textId="4E2F4B2C" w:rsidR="0065594A" w:rsidRPr="0008623B" w:rsidRDefault="00B96861" w:rsidP="00B62DC9">
      <w:pPr>
        <w:pStyle w:val="InstructionsText2"/>
        <w:numPr>
          <w:ilvl w:val="0"/>
          <w:numId w:val="31"/>
        </w:numPr>
      </w:pPr>
      <w:r>
        <w:t xml:space="preserve"> “MREL” attiecas uz minimuma prasību pašu kapitālam un atbilstīgajām saistībām saskaņā ar Direktīvas 2014/59/ES 45. pantu;</w:t>
      </w:r>
    </w:p>
    <w:p w14:paraId="3F223F84" w14:textId="14E43992" w:rsidR="0065594A" w:rsidRPr="0008623B" w:rsidRDefault="0065594A" w:rsidP="00B62DC9">
      <w:pPr>
        <w:pStyle w:val="InstructionsText2"/>
        <w:numPr>
          <w:ilvl w:val="0"/>
          <w:numId w:val="31"/>
        </w:numPr>
      </w:pPr>
      <w:r>
        <w:t>“TLAC” attiecas uz prasību pašu kapitālam un atbilstīgajām saistībām G-SNI saskaņā ar Regulas (ES) Nr. 575/2013 92.a pantu;</w:t>
      </w:r>
    </w:p>
    <w:p w14:paraId="1FEB92E2" w14:textId="1715F9BB" w:rsidR="0065594A" w:rsidRPr="0008623B" w:rsidRDefault="0065594A" w:rsidP="00B62DC9">
      <w:pPr>
        <w:pStyle w:val="InstructionsText2"/>
        <w:numPr>
          <w:ilvl w:val="0"/>
          <w:numId w:val="31"/>
        </w:numPr>
      </w:pPr>
      <w:r>
        <w:t>“iekšējā TLAC” attiecas uz prasību pašu kapitālam un atbilstīgajām saistībām ārpussavienības G-SNI saskaņā ar Regulas (ES) Nr. 575/2013 92.b pantu;</w:t>
      </w:r>
    </w:p>
    <w:p w14:paraId="41F598D3" w14:textId="411A41F7" w:rsidR="0097126E" w:rsidRPr="0008623B" w:rsidRDefault="0097126E" w:rsidP="008C3496">
      <w:pPr>
        <w:pStyle w:val="InstructionsText2"/>
        <w:numPr>
          <w:ilvl w:val="0"/>
          <w:numId w:val="31"/>
        </w:numPr>
      </w:pPr>
      <w:r>
        <w:t xml:space="preserve">“iekšējā MREL” attiecas uz </w:t>
      </w:r>
      <w:r w:rsidRPr="008C3496">
        <w:t>MREL</w:t>
      </w:r>
      <w:r>
        <w:t xml:space="preserve">, ko piemēro vienībām, kas pašas nav noregulējuma vienības saskaņā ar Direktīvas 2014/59/ES 45.f pantu.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i/>
          <w:iCs/>
          <w:color w:val="auto"/>
          <w:sz w:val="24"/>
        </w:rPr>
        <w:t>EU KM</w:t>
      </w:r>
      <w:r>
        <w:rPr>
          <w:rFonts w:ascii="Times New Roman" w:hAnsi="Times New Roman"/>
          <w:color w:val="auto"/>
          <w:sz w:val="24"/>
        </w:rPr>
        <w:t xml:space="preserve">2 Galvenie rādītāji – </w:t>
      </w:r>
      <w:r>
        <w:rPr>
          <w:rFonts w:ascii="Times New Roman" w:hAnsi="Times New Roman"/>
          <w:i/>
          <w:iCs/>
          <w:color w:val="auto"/>
          <w:sz w:val="24"/>
        </w:rPr>
        <w:t>MREL</w:t>
      </w:r>
      <w:r>
        <w:rPr>
          <w:rFonts w:ascii="Times New Roman" w:hAnsi="Times New Roman"/>
          <w:color w:val="auto"/>
          <w:sz w:val="24"/>
        </w:rPr>
        <w:t xml:space="preserve"> un attiecīgā gadījumā G-SNI prasība pašu kapitālam un atbilstīgajām saistībām</w:t>
      </w:r>
      <w:bookmarkEnd w:id="23"/>
      <w:bookmarkEnd w:id="24"/>
    </w:p>
    <w:p w14:paraId="7C25FB3D" w14:textId="5B7ACB83" w:rsidR="001D5361" w:rsidRPr="0008623B" w:rsidRDefault="00CB1021" w:rsidP="00B62DC9">
      <w:pPr>
        <w:pStyle w:val="InstructionsText2"/>
        <w:numPr>
          <w:ilvl w:val="0"/>
          <w:numId w:val="12"/>
        </w:numPr>
      </w:pPr>
      <w:r>
        <w:t xml:space="preserve">Vienības veidnei pievienotajā aprakstā paskaidro jebkādu būtisku atšķirību starp atklātajām pašu kapitāla summām un saskaņā ar 9. SFPS pilnībā uzskaitīto summu noregulējuma grupas līmenī. Tās arī izskaidro jebkādu būtisku atšķirību starp </w:t>
      </w:r>
      <w:r>
        <w:lastRenderedPageBreak/>
        <w:t>saskaņā ar 9. SFPS pilnībā uzskaitīto summu noregulējuma grupas līmenī salīdzinājumā ar saskaņā ar 9. SFPS pilnībā uzskaitīto summu prudenciālās grupas līmenī.</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Slejas</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Atsauces uz tiesību aktu noteikumiem un norādījumi</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Šajā slejā vienības atklāj attiecīgo informāciju par </w:t>
            </w:r>
            <w:r>
              <w:rPr>
                <w:rFonts w:ascii="Times New Roman" w:hAnsi="Times New Roman"/>
                <w:i/>
                <w:iCs/>
                <w:color w:val="000000" w:themeColor="text1"/>
                <w:sz w:val="24"/>
              </w:rPr>
              <w:t>MREL</w:t>
            </w:r>
            <w:r>
              <w:rPr>
                <w:rFonts w:ascii="Times New Roman" w:hAnsi="Times New Roman"/>
                <w:color w:val="000000" w:themeColor="text1"/>
                <w:sz w:val="24"/>
              </w:rPr>
              <w:t xml:space="preserve"> saskaņā ar Direktīvas 2014/59/ES 45. un 45.e pantu.</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Vienības atklāj vērtību informācijas atklāšanas perioda beigās.</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līdz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Vienības, kas ir G-SNI, uz kurām attiecas TLAC prasība saskaņā ar Regulas (ES) Nr. 575/2013 92.a pantu, šajās slejās atklāj attiecīgo informāciju par minēto prasību.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Informācijas atklāšanas periodi T, T-1, T-2, T-3 un T-4 ir ceturkšņa periodi. Vienības atklāj datumus, kas atbilst informācijas atklāšanas periodiem. Vienības, kas atklāj šo informāciju reizi ceturksnī, sniedz datus par periodiem T, T-1, T-2, T-3 un T-4; vienības, kas atklāj šo informāciju reizi pusgadā, sniedz datus par periodiem T, T-2 un T-4; un vienības, kas atklāj šo informāciju reizi gadā, sniedz datus par periodiem T un T-4.</w:t>
            </w:r>
          </w:p>
        </w:tc>
      </w:tr>
    </w:tbl>
    <w:p w14:paraId="33309394" w14:textId="77777777" w:rsidR="009C13C2" w:rsidRPr="008C3496"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Rindas</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Atsauces uz tiesību aktu noteikumiem un norādījumi</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Pašu kapitāls un atbilstīgās saistības</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 xml:space="preserve">Vienāds ar vērtībām, kas atklātas informācijas atklāšanas veidnes </w:t>
            </w:r>
            <w:r>
              <w:rPr>
                <w:rFonts w:ascii="Times New Roman" w:hAnsi="Times New Roman"/>
                <w:i/>
                <w:iCs/>
                <w:color w:val="000000" w:themeColor="text1"/>
                <w:sz w:val="24"/>
              </w:rPr>
              <w:t>EU TLAC</w:t>
            </w:r>
            <w:r>
              <w:rPr>
                <w:rFonts w:ascii="Times New Roman" w:hAnsi="Times New Roman"/>
                <w:color w:val="000000" w:themeColor="text1"/>
                <w:sz w:val="24"/>
              </w:rPr>
              <w:t>1 22. rindā.</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i/>
                <w:iCs/>
                <w:color w:val="000000" w:themeColor="text1"/>
              </w:rPr>
              <w:t>EU</w:t>
            </w:r>
            <w:r>
              <w:rPr>
                <w:color w:val="000000" w:themeColor="text1"/>
              </w:rPr>
              <w:t>-1 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Pašu kapitāls un atbilstīgās saistības - tostarp pašu kapitāls un subordinētās saistības</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Vienāds ar vērtību, kas atklāta informācijas atklāšanas veidnes </w:t>
            </w:r>
            <w:r>
              <w:rPr>
                <w:rFonts w:ascii="Times New Roman" w:hAnsi="Times New Roman"/>
                <w:i/>
                <w:iCs/>
                <w:color w:val="000000" w:themeColor="text1"/>
                <w:sz w:val="24"/>
              </w:rPr>
              <w:t>EU TLAC</w:t>
            </w:r>
            <w:r>
              <w:rPr>
                <w:rFonts w:ascii="Times New Roman" w:hAnsi="Times New Roman"/>
                <w:color w:val="000000" w:themeColor="text1"/>
                <w:sz w:val="24"/>
              </w:rPr>
              <w:t xml:space="preserve">1 </w:t>
            </w:r>
            <w:r>
              <w:rPr>
                <w:rFonts w:ascii="Times New Roman" w:hAnsi="Times New Roman"/>
                <w:i/>
                <w:iCs/>
                <w:color w:val="000000" w:themeColor="text1"/>
                <w:sz w:val="24"/>
              </w:rPr>
              <w:t>EU</w:t>
            </w:r>
            <w:r>
              <w:rPr>
                <w:rFonts w:ascii="Times New Roman" w:hAnsi="Times New Roman"/>
                <w:color w:val="000000" w:themeColor="text1"/>
                <w:sz w:val="24"/>
              </w:rPr>
              <w:t>-22a. rindā.</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sz w:val="24"/>
              </w:rPr>
              <w:t xml:space="preserve">Pašu kapitāls, atbilstīgās saistības, </w:t>
            </w:r>
            <w:r>
              <w:rPr>
                <w:rStyle w:val="InstructionsTabelleberschrift"/>
                <w:rFonts w:ascii="Times New Roman" w:hAnsi="Times New Roman"/>
                <w:b w:val="0"/>
                <w:sz w:val="24"/>
                <w:u w:val="none"/>
              </w:rPr>
              <w:t>kas iekļautas</w:t>
            </w:r>
            <w:r>
              <w:rPr>
                <w:rStyle w:val="FormatvorlageInstructionsTabelleText"/>
                <w:rFonts w:ascii="Times New Roman" w:hAnsi="Times New Roman"/>
                <w:sz w:val="24"/>
              </w:rPr>
              <w:t xml:space="preserve"> pašu kapitāla un atbilstīgo saistību summā saskaņā ar Direktīvas 2014/59/ES 45.b pantu un kas ir subordinēti atbilstīgi instrumenti, kā definēts minētās direktīvas 2. panta 1. punkta 71.b) apakšpunktā, </w:t>
            </w:r>
            <w:proofErr w:type="spellStart"/>
            <w:r>
              <w:rPr>
                <w:rStyle w:val="FormatvorlageInstructionsTabelleText"/>
                <w:rFonts w:ascii="Times New Roman" w:hAnsi="Times New Roman"/>
                <w:sz w:val="24"/>
              </w:rPr>
              <w:t>un</w:t>
            </w:r>
            <w:r>
              <w:rPr>
                <w:rStyle w:val="InstructionsTabelleberschrift"/>
                <w:rFonts w:ascii="Times New Roman" w:hAnsi="Times New Roman"/>
                <w:b w:val="0"/>
                <w:sz w:val="24"/>
                <w:u w:val="none"/>
              </w:rPr>
              <w:t>saistības</w:t>
            </w:r>
            <w:proofErr w:type="spellEnd"/>
            <w:r>
              <w:rPr>
                <w:rStyle w:val="InstructionsTabelleberschrift"/>
                <w:rFonts w:ascii="Times New Roman" w:hAnsi="Times New Roman"/>
                <w:b w:val="0"/>
                <w:sz w:val="24"/>
                <w:u w:val="none"/>
              </w:rPr>
              <w:t>,</w:t>
            </w:r>
            <w:r>
              <w:rPr>
                <w:rStyle w:val="FormatvorlageInstructionsTabelleText"/>
                <w:rFonts w:ascii="Times New Roman" w:hAnsi="Times New Roman"/>
                <w:sz w:val="24"/>
              </w:rPr>
              <w:t xml:space="preserve">  kas iekļautas pašu kapitāla un atbilstīgo saistību summā saskaņā ar Direktīvas 2014/59/ES 45.b panta 3. punktu. Attiecībā uz instrumentiem, ko reglamentē trešās valsts tiesību akti, instrumentu šajā rindā iekļauj tikai tad, ja tas atbilst Direktīvas 2014/59/ES 55. pantā noteiktajām prasībām.</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Noregulējuma grupas kopējā riska darījumu vērtība (TREA)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Vienāda ar vērtību, kas atklāta informācijas atklāšanas veidnes </w:t>
            </w:r>
            <w:r>
              <w:rPr>
                <w:rFonts w:ascii="Times New Roman" w:hAnsi="Times New Roman"/>
                <w:i/>
                <w:iCs/>
                <w:color w:val="000000" w:themeColor="text1"/>
                <w:sz w:val="24"/>
              </w:rPr>
              <w:t>EU TLAC</w:t>
            </w:r>
            <w:r>
              <w:rPr>
                <w:rFonts w:ascii="Times New Roman" w:hAnsi="Times New Roman"/>
                <w:color w:val="000000" w:themeColor="text1"/>
                <w:sz w:val="24"/>
              </w:rPr>
              <w:t>1 23. rindā.</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lastRenderedPageBreak/>
              <w:t>Direktīvas 2014/59/ES 45. panta 2. punkta a) apakšpunkts un Regulas (ES) Nr. 575/2013 92. panta 3. punkts.</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lastRenderedPageBreak/>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Vienāds ar vērtībām, kas atklātas informācijas atklāšanas veidnes </w:t>
            </w:r>
            <w:r>
              <w:rPr>
                <w:rFonts w:ascii="Times New Roman" w:hAnsi="Times New Roman"/>
                <w:i/>
                <w:iCs/>
                <w:color w:val="000000" w:themeColor="text1"/>
                <w:sz w:val="24"/>
              </w:rPr>
              <w:t>EU TLAC</w:t>
            </w:r>
            <w:r>
              <w:rPr>
                <w:rFonts w:ascii="Times New Roman" w:hAnsi="Times New Roman"/>
                <w:color w:val="000000" w:themeColor="text1"/>
                <w:sz w:val="24"/>
              </w:rPr>
              <w:t xml:space="preserve">1 25. rindā.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Šīs rindas vajadzībām pašu kapitāla un atbilstīgo saistību summu, kas uzrādīta 1. rindā, izsaka kā procentuālo daļu no kopējās riska darījumu vērtības, kas aprēķināta saskaņā ar Regulas (ES) Nr. 575/2013 92. panta 3. punktu.</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i/>
                <w:iCs/>
                <w:color w:val="000000" w:themeColor="text1"/>
              </w:rPr>
              <w:t>EU</w:t>
            </w:r>
            <w:r>
              <w:rPr>
                <w:color w:val="000000" w:themeColor="text1"/>
              </w:rPr>
              <w:t>-3 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TREA</w:t>
            </w:r>
            <w:r>
              <w:rPr>
                <w:rFonts w:ascii="Times New Roman" w:hAnsi="Times New Roman"/>
                <w:b/>
                <w:color w:val="000000" w:themeColor="text1"/>
                <w:sz w:val="24"/>
              </w:rPr>
              <w:t xml:space="preserve"> - tostarp pašu kapitāls un subordinētās saistības</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Vienāds ar vērtību, kas atklāta informācijas atklāšanas veidnes </w:t>
            </w:r>
            <w:r>
              <w:rPr>
                <w:rFonts w:ascii="Times New Roman" w:hAnsi="Times New Roman"/>
                <w:i/>
                <w:iCs/>
                <w:color w:val="000000" w:themeColor="text1"/>
                <w:sz w:val="24"/>
              </w:rPr>
              <w:t>EU TLAC</w:t>
            </w:r>
            <w:r>
              <w:rPr>
                <w:rFonts w:ascii="Times New Roman" w:hAnsi="Times New Roman"/>
                <w:color w:val="000000" w:themeColor="text1"/>
                <w:sz w:val="24"/>
              </w:rPr>
              <w:t xml:space="preserve">1 </w:t>
            </w:r>
            <w:r>
              <w:rPr>
                <w:rFonts w:ascii="Times New Roman" w:hAnsi="Times New Roman"/>
                <w:i/>
                <w:iCs/>
                <w:color w:val="000000" w:themeColor="text1"/>
                <w:sz w:val="24"/>
              </w:rPr>
              <w:t>EU</w:t>
            </w:r>
            <w:r>
              <w:rPr>
                <w:rFonts w:ascii="Times New Roman" w:hAnsi="Times New Roman"/>
                <w:color w:val="000000" w:themeColor="text1"/>
                <w:sz w:val="24"/>
              </w:rPr>
              <w:t>-25 a. rindā.</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 xml:space="preserve">Šīs rindas vajadzībām pašu kapitāla un subordinēto atbilstīgo saistību summu, kas uzrādīta </w:t>
            </w:r>
            <w:r>
              <w:rPr>
                <w:iCs/>
                <w:color w:val="000000" w:themeColor="text1"/>
              </w:rPr>
              <w:t>EU</w:t>
            </w:r>
            <w:r>
              <w:rPr>
                <w:i w:val="0"/>
                <w:color w:val="000000" w:themeColor="text1"/>
              </w:rPr>
              <w:t>-1a. rindā, izsaka kā procentuālo daļu no kopējās riska darījumu vērtības, kas aprēķināta saskaņā ar Regulas (ES) Nr. 575/2013 92. panta 3. punktu.</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Noregulējuma grupas kopējās riska darījumu vērtības mērs (</w:t>
            </w:r>
            <w:r>
              <w:rPr>
                <w:rFonts w:ascii="Times New Roman" w:hAnsi="Times New Roman"/>
                <w:b/>
                <w:i/>
                <w:iCs/>
                <w:color w:val="000000" w:themeColor="text1"/>
                <w:sz w:val="24"/>
              </w:rPr>
              <w:t>TEM</w:t>
            </w:r>
            <w:r>
              <w:rPr>
                <w:rFonts w:ascii="Times New Roman" w:hAnsi="Times New Roman"/>
                <w:b/>
                <w:color w:val="000000" w:themeColor="text1"/>
                <w:sz w:val="24"/>
              </w:rPr>
              <w:t>)</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 xml:space="preserve">Vienāda ar vērtību, kas atklāta informācijas atklāšanas veidnes </w:t>
            </w:r>
            <w:r>
              <w:rPr>
                <w:i/>
                <w:iCs/>
                <w:color w:val="000000" w:themeColor="text1"/>
              </w:rPr>
              <w:t>EU TLAC</w:t>
            </w:r>
            <w:r>
              <w:rPr>
                <w:color w:val="000000" w:themeColor="text1"/>
              </w:rPr>
              <w:t>1 24. rindā.</w:t>
            </w:r>
          </w:p>
          <w:p w14:paraId="5BC2C1BD" w14:textId="4F7E9896" w:rsidR="00705FB0" w:rsidRPr="0008623B" w:rsidRDefault="003D0BF6" w:rsidP="00FB021F">
            <w:pPr>
              <w:pStyle w:val="Fait"/>
            </w:pPr>
            <w:r>
              <w:t>Direktīvas 2014/59/ES 45. panta 2. punkta b) apakšpunkts un Regulas (ES) Nr. 575/2013 429. panta 4. punkts un 429.a pants.</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Vienāda ar vērtību, kas atklāta informācijas atklāšanas veidnes </w:t>
            </w:r>
            <w:r>
              <w:rPr>
                <w:rFonts w:ascii="Times New Roman" w:hAnsi="Times New Roman"/>
                <w:i/>
                <w:iCs/>
                <w:color w:val="000000" w:themeColor="text1"/>
                <w:sz w:val="24"/>
              </w:rPr>
              <w:t>EU TLAC</w:t>
            </w:r>
            <w:r>
              <w:rPr>
                <w:rFonts w:ascii="Times New Roman" w:hAnsi="Times New Roman"/>
                <w:color w:val="000000" w:themeColor="text1"/>
                <w:sz w:val="24"/>
              </w:rPr>
              <w:t>1 26. rindā.</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Šīs rindas vajadzībām pašu kapitāla un atbilstīgo saistību summu, kas uzrādīta 1. rindā, izsaka kā procentuālo daļu no kopējās riska darījumu vērtības mēra, kas aprēķināts saskaņā ar Regulas (ES) Nr. 575/2013 429. panta 4. punktu un 429.a pantu.</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i/>
                <w:iCs/>
                <w:color w:val="000000" w:themeColor="text1"/>
              </w:rPr>
              <w:t>EU</w:t>
            </w:r>
            <w:r>
              <w:rPr>
                <w:color w:val="000000" w:themeColor="text1"/>
              </w:rPr>
              <w:t>-5 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TEM</w:t>
            </w:r>
            <w:r>
              <w:rPr>
                <w:rFonts w:ascii="Times New Roman" w:hAnsi="Times New Roman"/>
                <w:b/>
                <w:color w:val="000000" w:themeColor="text1"/>
                <w:sz w:val="24"/>
              </w:rPr>
              <w:t xml:space="preserve"> - tostarp pašu kapitāls un subordinētās saistības</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Vienāds ar vērtību, kas atklāta informācijas atklāšanas veidnes </w:t>
            </w:r>
            <w:r>
              <w:rPr>
                <w:rFonts w:ascii="Times New Roman" w:hAnsi="Times New Roman"/>
                <w:i/>
                <w:iCs/>
                <w:color w:val="000000" w:themeColor="text1"/>
                <w:sz w:val="24"/>
              </w:rPr>
              <w:t>EU TLAC</w:t>
            </w:r>
            <w:r>
              <w:rPr>
                <w:rFonts w:ascii="Times New Roman" w:hAnsi="Times New Roman"/>
                <w:color w:val="000000" w:themeColor="text1"/>
                <w:sz w:val="24"/>
              </w:rPr>
              <w:t xml:space="preserve">1 </w:t>
            </w:r>
            <w:r>
              <w:rPr>
                <w:rFonts w:ascii="Times New Roman" w:hAnsi="Times New Roman"/>
                <w:i/>
                <w:iCs/>
                <w:color w:val="000000" w:themeColor="text1"/>
                <w:sz w:val="24"/>
              </w:rPr>
              <w:t>EU</w:t>
            </w:r>
            <w:r>
              <w:rPr>
                <w:rFonts w:ascii="Times New Roman" w:hAnsi="Times New Roman"/>
                <w:color w:val="000000" w:themeColor="text1"/>
                <w:sz w:val="24"/>
              </w:rPr>
              <w:t>-26 a. rindā.</w:t>
            </w:r>
          </w:p>
          <w:p w14:paraId="4E14C375" w14:textId="17204913" w:rsidR="0037295D" w:rsidRPr="0008623B" w:rsidRDefault="00705FB0" w:rsidP="00FB021F">
            <w:pPr>
              <w:pStyle w:val="Fait"/>
              <w:spacing w:before="0"/>
              <w:rPr>
                <w:b/>
                <w:color w:val="000000" w:themeColor="text1"/>
                <w:szCs w:val="24"/>
              </w:rPr>
            </w:pPr>
            <w:r>
              <w:rPr>
                <w:color w:val="000000" w:themeColor="text1"/>
              </w:rPr>
              <w:t xml:space="preserve">Šīs rindas vajadzībām pašu kapitāla un subordinēto atbilstīgo saistību summu, kas uzrādīta </w:t>
            </w:r>
            <w:r>
              <w:rPr>
                <w:i/>
                <w:iCs/>
                <w:color w:val="000000" w:themeColor="text1"/>
              </w:rPr>
              <w:t>EU</w:t>
            </w:r>
            <w:r>
              <w:rPr>
                <w:color w:val="000000" w:themeColor="text1"/>
              </w:rPr>
              <w:t xml:space="preserve">-1a. rindā, izsaka kā procentuālo daļu no kopējās riska </w:t>
            </w:r>
            <w:r>
              <w:rPr>
                <w:color w:val="000000" w:themeColor="text1"/>
              </w:rPr>
              <w:lastRenderedPageBreak/>
              <w:t>darījumu vērtības mēra, kas aprēķināts saskaņā ar Regulas (ES) Nr. 575/2013 429. panta 4. punktu un 429.a pantu.</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Vai ir piemērojams Regulas (ES) Nr. 575/2013 72.b panta 4. punktā paredzētais subordinācijas atbrīvojums? (5 % atbrīvojums)</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Šo rindu atklāj tikai vienības, kurām piemēro pašu kapitāla un atbilstīgo saistību prasību G-SNI.</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Ja noregulējuma iestāde atļauj saistības uzskatīt par atbilstīgo saistību instrumentiem saskaņā ar Regulas (ES) Nr. 575/2013 72.b panta 4. punktu, pārskatu sniedzošā vienība norāda “jā”.</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Ja noregulējuma iestāde neļauj saistības uzskatīt par atbilstīgo saistību instrumentiem saskaņā ar Regulas (ES) Nr. 575/2013 72.b panta 4. punktu, noregulējuma grupa vai noregulējuma vienība norāda “nē”.</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Regulas (ES) Nr. 575/2013 72.b panta 3. un 4. punktā minētie atbrīvojumi ir savstarpēji izslēdzoši, šo rindu atstāj tukšu, ja pārskatu sniedzošā vienība ir aizpildījusi 6.b rindu.</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Atļauto nesubordinēto atbilstīgo saistību instrumentu kopsumma, ja tiek piemērota Regulas (ES) Nr. 575/2013 72.b panta 3. punktā noteiktā subordinācijas rīcības brīvība (ne vairāk kā 3,5 % atbrīvojums)</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Šo rindu atklāj tikai vienības, kurām piemēro G-SNI prasību pašu kapitālam un atbilstīgajām saistībām.</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 xml:space="preserve">Nesubordinēto atbilstīgo saistību instrumentu kopsumma, kuras noregulējuma iestāde ir ļāvusi uzskatīt par atbilstīgo saistību instrumentiem </w:t>
            </w:r>
            <w:r>
              <w:rPr>
                <w:rStyle w:val="FormatvorlageInstructionsTabelleText"/>
                <w:rFonts w:ascii="Times New Roman" w:hAnsi="Times New Roman"/>
                <w:i/>
                <w:iCs/>
                <w:sz w:val="24"/>
              </w:rPr>
              <w:t>TLAC</w:t>
            </w:r>
            <w:r>
              <w:rPr>
                <w:rStyle w:val="FormatvorlageInstructionsTabelleText"/>
                <w:rFonts w:ascii="Times New Roman" w:hAnsi="Times New Roman"/>
                <w:sz w:val="24"/>
              </w:rPr>
              <w:t xml:space="preserve"> vajadzībām saskaņā ar Regulas (ES) Nr. 575/2013 72.b panta 3. punktu.</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Regulas (ES) Nr. 575/2013 72.b panta 3. un 4. punktā minētie atbrīvojumi ir savstarpēji izslēdzoši, šo rindu atstāj tukšu, ja pārskatu sniedzošā vienība norāda “jā” 6.a rindā.</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Ja saskaņā ar Regulas (ES) Nr. 575/2013 72.b panta 3. punktu piemēro ierobežotu subordinācijas atbrīvojumu, emitētā finansējuma summu, kas ir līdzvērtīga izslēgtajām saistībām un atzīta 1. rindā, dala ar emitēto finansējumu, kas ir līdzvērtīgs izslēgtajām saistībām un kas tiktu atzīts 1. rindā, ja netiktu piemērota maksimālā robežvērtība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Šo rindu atklāj tikai vienības, kurām piemēro G-SNI prasību pašu kapitālam un atbilstīgajām saistībām.</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Šajā rindā noregulējuma vienības emitētā augstākas prioritātes parāda īpašnieki tiek informēti par neizslēgtā augstākas prioritātes parāda procentuālo </w:t>
            </w:r>
            <w:r>
              <w:rPr>
                <w:rFonts w:ascii="Times New Roman" w:hAnsi="Times New Roman"/>
                <w:color w:val="000000" w:themeColor="text1"/>
                <w:sz w:val="24"/>
              </w:rPr>
              <w:lastRenderedPageBreak/>
              <w:t>daļu, kas ir atzīta par atbilstīgu, lai attiecīgā gadījumā tie varētu piemērot Regulas (ES) Nr. 575/2013 72.e pantā noteikto atskaitījumu režīmu.</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Ja saskaņā ar Regulas (ES) Nr. 575/2013 72.b panta 3. punktu piemēro ierobežotu subordinācijas atbrīvojumu, vienības uzrāda:</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emitētā finansējuma summu, kas ir līdzvērtīga izslēgtajām saistībām, kā minēts Regulas (ES) Nr. 575/2013 72.a panta 2. punktā, un kas ir iekļauta 1. rindā norādītajā summā;</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dalot ar emitētā finansējuma summu, kas ir līdzvērtīga izslēgtajām saistībām, kā minēts Regulas (ES) Nr. 575/2013 72.a panta 2. punktā, un kas tiktu atzīta 1. rindā, ja netiktu piemērota maksimālā robežvērtība.</w:t>
            </w:r>
          </w:p>
        </w:tc>
      </w:tr>
      <w:tr w:rsidR="008B1AF1" w:rsidRPr="0008623B" w14:paraId="3397A407" w14:textId="77777777" w:rsidTr="00915305">
        <w:trPr>
          <w:trHeight w:val="316"/>
        </w:trPr>
        <w:tc>
          <w:tcPr>
            <w:tcW w:w="1384" w:type="dxa"/>
          </w:tcPr>
          <w:p w14:paraId="064B005C" w14:textId="65B49825" w:rsidR="008B1AF1" w:rsidRPr="008C3496"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Minimuma prasība pašu kapitālam un atbilstīgajām saistībām (</w:t>
            </w:r>
            <w:r>
              <w:rPr>
                <w:rFonts w:ascii="Times New Roman" w:hAnsi="Times New Roman"/>
                <w:b/>
                <w:i/>
                <w:iCs/>
                <w:color w:val="000000" w:themeColor="text1"/>
                <w:sz w:val="24"/>
              </w:rPr>
              <w:t>MREL</w:t>
            </w:r>
            <w:r>
              <w:rPr>
                <w:rFonts w:ascii="Times New Roman" w:hAnsi="Times New Roman"/>
                <w:b/>
                <w:color w:val="000000" w:themeColor="text1"/>
                <w:sz w:val="24"/>
              </w:rPr>
              <w:t>)</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i/>
                <w:iCs/>
                <w:sz w:val="24"/>
              </w:rPr>
              <w:t>EU</w:t>
            </w:r>
            <w:r>
              <w:rPr>
                <w:rFonts w:ascii="Times New Roman" w:hAnsi="Times New Roman"/>
                <w:sz w:val="24"/>
              </w:rPr>
              <w:t>-7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kas izteikta kā procentuālā daļa no TREA</w:t>
            </w:r>
          </w:p>
          <w:p w14:paraId="5D62407D" w14:textId="1D56CFCB" w:rsidR="006453C4" w:rsidRPr="0008623B" w:rsidRDefault="006453C4" w:rsidP="00D33D65">
            <w:pPr>
              <w:pStyle w:val="Fait"/>
            </w:pPr>
            <w:r>
              <w:rPr>
                <w:color w:val="000000" w:themeColor="text1"/>
              </w:rPr>
              <w:t>Vienības minimuma prasība pašu kapitālam un atbilstīgajām saistībām, ko noregulējuma iestāde noteikusi saskaņā ar Direktīvas 2014/59/ES 45.e pantu un kas izteikta kā procentuālā daļa no kopējās riska darījumu vērtības, kas aprēķināta saskaņā ar Regulas (ES) Nr. 575/2013 92. panta 3. punktu.</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i/>
                <w:iCs/>
                <w:sz w:val="24"/>
              </w:rPr>
              <w:t>EU</w:t>
            </w:r>
            <w:r>
              <w:rPr>
                <w:rFonts w:ascii="Times New Roman" w:hAnsi="Times New Roman"/>
                <w:sz w:val="24"/>
              </w:rPr>
              <w:t>-8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i/>
                <w:iCs/>
                <w:color w:val="000000" w:themeColor="text1"/>
              </w:rPr>
              <w:t>MREL</w:t>
            </w:r>
            <w:r>
              <w:rPr>
                <w:b/>
                <w:color w:val="000000" w:themeColor="text1"/>
              </w:rPr>
              <w:t xml:space="preserve">, kas izteikta kā procentuālā daļa no </w:t>
            </w:r>
            <w:r>
              <w:rPr>
                <w:b/>
                <w:i/>
                <w:iCs/>
                <w:color w:val="000000" w:themeColor="text1"/>
              </w:rPr>
              <w:t>TREA</w:t>
            </w:r>
            <w:r>
              <w:rPr>
                <w:b/>
                <w:color w:val="000000" w:themeColor="text1"/>
              </w:rPr>
              <w:t xml:space="preserve"> – tostarp, kas jāizpilda ar pašu kapitālu vai subordinētajām saistībām</w:t>
            </w:r>
          </w:p>
          <w:p w14:paraId="33EFDD9D" w14:textId="00E44973" w:rsidR="008B1AF1" w:rsidRPr="0008623B" w:rsidRDefault="00D819D9" w:rsidP="00D33D65">
            <w:pPr>
              <w:rPr>
                <w:color w:val="000000" w:themeColor="text1"/>
                <w:szCs w:val="24"/>
              </w:rPr>
            </w:pPr>
            <w:r>
              <w:rPr>
                <w:rStyle w:val="FormatvorlageInstructionsTabelleText"/>
                <w:rFonts w:ascii="Times New Roman" w:hAnsi="Times New Roman"/>
                <w:sz w:val="24"/>
              </w:rPr>
              <w:t xml:space="preserve">Attiecīgā gadījumā tā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daļa, ko saskaņā ar Direktīvas 2014/59/ES 45.b panta 4. līdz 8. punktu noregulējuma iestāde ir likusi izpildīt, izmantojot pašu kapitālu, subordinētos atbilstīgos instrumentus vai saistības, kā noteikts minētā panta 3. punktā,</w:t>
            </w:r>
            <w:r>
              <w:rPr>
                <w:rFonts w:ascii="Times New Roman" w:hAnsi="Times New Roman"/>
                <w:sz w:val="24"/>
              </w:rPr>
              <w:t xml:space="preserve"> kas izteikta kā procentuālā daļa no kopējās riska darījumu vērtības, kura aprēķināta saskaņā ar Regulas (ES) Nr. 575/2013 92. panta 3. punktu</w:t>
            </w:r>
            <w:r>
              <w:rPr>
                <w:rStyle w:val="FormatvorlageInstructionsTabelleText"/>
                <w:rFonts w:ascii="Times New Roman" w:hAnsi="Times New Roman"/>
                <w:sz w:val="24"/>
              </w:rPr>
              <w:t>.</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i/>
                <w:iCs/>
                <w:sz w:val="24"/>
              </w:rPr>
              <w:t>EU</w:t>
            </w:r>
            <w:r>
              <w:rPr>
                <w:rFonts w:ascii="Times New Roman" w:hAnsi="Times New Roman"/>
                <w:sz w:val="24"/>
              </w:rPr>
              <w:t>-9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i/>
                <w:iCs/>
                <w:color w:val="000000" w:themeColor="text1"/>
              </w:rPr>
              <w:t>MREL</w:t>
            </w:r>
            <w:r>
              <w:rPr>
                <w:b/>
                <w:color w:val="000000" w:themeColor="text1"/>
              </w:rPr>
              <w:t xml:space="preserve">, kas izteikta kā procentuālā daļa no </w:t>
            </w:r>
            <w:r>
              <w:rPr>
                <w:b/>
                <w:i/>
                <w:iCs/>
                <w:color w:val="000000" w:themeColor="text1"/>
              </w:rPr>
              <w:t>TEM</w:t>
            </w:r>
          </w:p>
          <w:p w14:paraId="7ABED549" w14:textId="5EF36813" w:rsidR="006453C4" w:rsidRPr="0008623B" w:rsidRDefault="006453C4" w:rsidP="00717DB0">
            <w:pPr>
              <w:pStyle w:val="Fait"/>
            </w:pPr>
            <w:r>
              <w:t>Pārskatu sniedzošās vienības minimuma prasība pašu kapitālam un atbilstīgajām saistībām, ko noregulējuma iestāde noteikusi saskaņā ar Direktīvas 2014/59/ES 45.e pantu un kas izteikta kā procentuālā daļa no kopējās riska darījumu vērtības mēra, kurš aprēķināts saskaņā ar Regulas (ES) Nr. 575/2013 429. panta 4. punktu un 429.a pantu.</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i/>
                <w:iCs/>
                <w:sz w:val="24"/>
              </w:rPr>
              <w:t>EU</w:t>
            </w:r>
            <w:r>
              <w:rPr>
                <w:rFonts w:ascii="Times New Roman" w:hAnsi="Times New Roman"/>
                <w:sz w:val="24"/>
              </w:rPr>
              <w:t>-10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i/>
                <w:iCs/>
                <w:color w:val="000000" w:themeColor="text1"/>
              </w:rPr>
              <w:t>MREL</w:t>
            </w:r>
            <w:r>
              <w:rPr>
                <w:b/>
                <w:color w:val="000000" w:themeColor="text1"/>
              </w:rPr>
              <w:t xml:space="preserve">, kas izteikta kā procentuālā daļa no </w:t>
            </w:r>
            <w:r>
              <w:rPr>
                <w:b/>
                <w:i/>
                <w:iCs/>
                <w:color w:val="000000" w:themeColor="text1"/>
              </w:rPr>
              <w:t>TEM</w:t>
            </w:r>
            <w:r>
              <w:rPr>
                <w:b/>
                <w:color w:val="000000" w:themeColor="text1"/>
              </w:rPr>
              <w:t xml:space="preserve"> – tostarp, kas jāizpilda ar pašu kapitālu vai subordinētajām saistībām</w:t>
            </w:r>
          </w:p>
          <w:p w14:paraId="366BA2A0" w14:textId="50E2609F" w:rsidR="008B1AF1" w:rsidRPr="0008623B" w:rsidRDefault="00D819D9" w:rsidP="00E1386E">
            <w:pPr>
              <w:rPr>
                <w:color w:val="000000" w:themeColor="text1"/>
                <w:szCs w:val="24"/>
              </w:rPr>
            </w:pPr>
            <w:r>
              <w:rPr>
                <w:rStyle w:val="FormatvorlageInstructionsTabelleText"/>
                <w:rFonts w:ascii="Times New Roman" w:hAnsi="Times New Roman"/>
                <w:sz w:val="24"/>
              </w:rPr>
              <w:t xml:space="preserve">Attiecīgā gadījumā tā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daļa, ko saskaņā ar Direktīvas 2014/59/ES 45.b panta 4. līdz 8. punktu noregulējuma iestāde ir likusi izpildīt, izmantojot pašu kapitālu, subordinētos atbilstīgos instrumentus vai saistības, kā noteikts minētā panta 3. punktā,</w:t>
            </w:r>
            <w:r>
              <w:rPr>
                <w:rFonts w:ascii="Times New Roman" w:hAnsi="Times New Roman"/>
                <w:sz w:val="24"/>
              </w:rPr>
              <w:t xml:space="preserve"> kas izteikta kā procentuālā daļa no kopējās riska darījumu vērtības mēra, ko aprēķina saskaņā ar Regulas (ES) Nr. 575/2013 429. panta 4. punktu un 429.a pantu</w:t>
            </w:r>
            <w:r>
              <w:rPr>
                <w:rStyle w:val="FormatvorlageInstructionsTabelleText"/>
                <w:rFonts w:ascii="Times New Roman" w:hAnsi="Times New Roman"/>
                <w:sz w:val="24"/>
              </w:rPr>
              <w:t>.</w:t>
            </w:r>
          </w:p>
        </w:tc>
      </w:tr>
    </w:tbl>
    <w:p w14:paraId="38CEC33F" w14:textId="77777777" w:rsidR="005673AC" w:rsidRPr="008C3496"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lastRenderedPageBreak/>
        <w:t>3.</w:t>
      </w:r>
      <w:r>
        <w:rPr>
          <w:rFonts w:ascii="Times New Roman" w:hAnsi="Times New Roman"/>
          <w:color w:val="auto"/>
          <w:sz w:val="24"/>
        </w:rPr>
        <w:tab/>
      </w:r>
      <w:bookmarkStart w:id="186" w:name="_Toc14770783"/>
      <w:bookmarkStart w:id="187" w:name="_Toc45266927"/>
      <w:r>
        <w:rPr>
          <w:rFonts w:ascii="Times New Roman" w:hAnsi="Times New Roman"/>
          <w:i/>
          <w:iCs/>
          <w:color w:val="auto"/>
          <w:sz w:val="24"/>
        </w:rPr>
        <w:t>EU TLAC</w:t>
      </w:r>
      <w:r>
        <w:rPr>
          <w:rFonts w:ascii="Times New Roman" w:hAnsi="Times New Roman"/>
          <w:color w:val="auto"/>
          <w:sz w:val="24"/>
        </w:rPr>
        <w:t xml:space="preserve"> 1: Sastāvs – </w:t>
      </w:r>
      <w:r>
        <w:rPr>
          <w:rFonts w:ascii="Times New Roman" w:hAnsi="Times New Roman"/>
          <w:i/>
          <w:iCs/>
          <w:color w:val="auto"/>
          <w:sz w:val="24"/>
        </w:rPr>
        <w:t>MREL</w:t>
      </w:r>
      <w:r>
        <w:rPr>
          <w:rFonts w:ascii="Times New Roman" w:hAnsi="Times New Roman"/>
          <w:color w:val="auto"/>
          <w:sz w:val="24"/>
        </w:rPr>
        <w:t xml:space="preserve"> un attiecīgā gadījumā G-SNI prasība pašu kapitālam un atbilstīgajām saistībām</w:t>
      </w:r>
      <w:bookmarkEnd w:id="186"/>
      <w:bookmarkEnd w:id="187"/>
    </w:p>
    <w:p w14:paraId="5FDEB8AD" w14:textId="17A1952C" w:rsidR="00021E4F" w:rsidRPr="0008623B" w:rsidRDefault="00021E4F" w:rsidP="00B62DC9">
      <w:pPr>
        <w:pStyle w:val="InstructionsText2"/>
        <w:numPr>
          <w:ilvl w:val="0"/>
          <w:numId w:val="12"/>
        </w:numPr>
      </w:pPr>
      <w:r>
        <w:t>Pašu kapitāla un atbilstīgo saistību pozīcija, kas saistīta ar noregulējuma grupu, ietver tikai kapitāla instrumentus un atbilstīgās saistības, ko emitējusi noregulējuma vienība un attiecīgā gadījumā, ievērojot Direktīvas 2014/59/ES 45.b panta 3. punktu vai Regulas (ES) Nr. 575/2013 88.a pantu, noregulējuma vienības meitasuzņēmumi, izslēdzot vienības ārpus noregulējuma grupas. Tāpat pašu kapitāla un atbilstīgo saistību pozīcijas pamatā ir kopējā riska darījumu vērtība (kas koriģēta, kā atļauts saskaņā ar Direktīvas 2014/59/ES 45.h panta 2. punktu) un kopējās riska darījumu vērtības mērs, kas aprēķināts noregulējuma grupas līmenī.</w:t>
      </w:r>
    </w:p>
    <w:p w14:paraId="31AA4E2B" w14:textId="5FF6ED9D" w:rsidR="00B00CC4" w:rsidRPr="0008623B" w:rsidRDefault="00021E4F" w:rsidP="00B62DC9">
      <w:pPr>
        <w:pStyle w:val="InstructionsText2"/>
        <w:numPr>
          <w:ilvl w:val="0"/>
          <w:numId w:val="12"/>
        </w:numPr>
      </w:pPr>
      <w:r>
        <w:t>Attiecībā uz regulatīvajām korekcijām vienības atklāj atskaitījumus no pašu kapitāla un atbilstīgajām saistībām kā negatīvus skaitļus, savukārt papildinājumus pašu kapitālam un atbilstīgajām saistībām kā pozitīvus skaitļus.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Slejas</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Atsauces uz tiesību aktu noteikumiem un norādījumi</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Šajā slejā vienības atklāj attiecīgo informāciju par </w:t>
            </w:r>
            <w:r>
              <w:rPr>
                <w:rFonts w:ascii="Times New Roman" w:hAnsi="Times New Roman"/>
                <w:i/>
                <w:iCs/>
                <w:color w:val="000000" w:themeColor="text1"/>
                <w:sz w:val="24"/>
              </w:rPr>
              <w:t>MREL</w:t>
            </w:r>
            <w:r>
              <w:rPr>
                <w:rFonts w:ascii="Times New Roman" w:hAnsi="Times New Roman"/>
                <w:color w:val="000000" w:themeColor="text1"/>
                <w:sz w:val="24"/>
              </w:rPr>
              <w:t xml:space="preserve"> saskaņā ar Direktīvas 2014/59/ES 45. un 45.e pantu.</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Vienības, kas ir G-SNI, uz kurām attiecas </w:t>
            </w:r>
            <w:r>
              <w:rPr>
                <w:rFonts w:ascii="Times New Roman" w:hAnsi="Times New Roman"/>
                <w:i/>
                <w:iCs/>
                <w:color w:val="000000" w:themeColor="text1"/>
                <w:sz w:val="24"/>
              </w:rPr>
              <w:t>TLAC</w:t>
            </w:r>
            <w:r>
              <w:rPr>
                <w:rFonts w:ascii="Times New Roman" w:hAnsi="Times New Roman"/>
                <w:color w:val="000000" w:themeColor="text1"/>
                <w:sz w:val="24"/>
              </w:rPr>
              <w:t xml:space="preserve"> prasība saskaņā ar Regulas (ES) Nr. 575/2013 92.a pantu, šajā slejā atklāj attiecīgo informāciju par minēto prasību.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 xml:space="preserve">Šo sleju aizpilda tikai vienības, uz kurām attiecas </w:t>
            </w:r>
            <w:r>
              <w:rPr>
                <w:rStyle w:val="FormatvorlageInstructionsTabelleText"/>
                <w:rFonts w:ascii="Times New Roman" w:hAnsi="Times New Roman"/>
                <w:i/>
                <w:iCs/>
                <w:sz w:val="24"/>
              </w:rPr>
              <w:t>TLAC</w:t>
            </w:r>
            <w:r>
              <w:rPr>
                <w:rStyle w:val="FormatvorlageInstructionsTabelleText"/>
                <w:rFonts w:ascii="Times New Roman" w:hAnsi="Times New Roman"/>
                <w:sz w:val="24"/>
              </w:rPr>
              <w:t xml:space="preserve"> prasība.</w:t>
            </w:r>
            <w:r>
              <w:t xml:space="preserve"> </w:t>
            </w:r>
          </w:p>
          <w:p w14:paraId="1B6D4BC4" w14:textId="410E4195" w:rsidR="00807127" w:rsidRPr="0008623B" w:rsidRDefault="00807127" w:rsidP="00B62DC9">
            <w:pPr>
              <w:pStyle w:val="InstructionsText"/>
            </w:pPr>
            <w:r>
              <w:t>Šī sleja atspoguļo starpību starp summām, kas piemērojamas saistībā ar Direktīvas 2014/59/ES 45. pantā noteikto prasību, un summām, kas piemērojamas saistībā ar Regulas (ES) Nr. 575/2013 92.a pantā noteikto prasību.</w:t>
            </w:r>
          </w:p>
        </w:tc>
      </w:tr>
    </w:tbl>
    <w:p w14:paraId="3AC1888A" w14:textId="77777777" w:rsidR="00807127" w:rsidRPr="008C3496"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Rinda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Atsauces uz tiesību aktu noteikumiem un norādījumi</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Pirmā līmeņa pamata kapitāls (</w:t>
            </w:r>
            <w:r>
              <w:rPr>
                <w:rFonts w:ascii="Times New Roman" w:hAnsi="Times New Roman"/>
                <w:b/>
                <w:i/>
                <w:iCs/>
                <w:color w:val="000000" w:themeColor="text1"/>
                <w:sz w:val="24"/>
              </w:rPr>
              <w:t>CET</w:t>
            </w:r>
            <w:r>
              <w:rPr>
                <w:rFonts w:ascii="Times New Roman" w:hAnsi="Times New Roman"/>
                <w:b/>
                <w:color w:val="000000" w:themeColor="text1"/>
                <w:sz w:val="24"/>
              </w:rPr>
              <w: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Noregulējuma grupas</w:t>
            </w:r>
            <w:r>
              <w:rPr>
                <w:rFonts w:ascii="Times New Roman" w:hAnsi="Times New Roman"/>
                <w:i/>
                <w:iCs/>
                <w:color w:val="000000" w:themeColor="text1"/>
                <w:sz w:val="24"/>
              </w:rPr>
              <w:t xml:space="preserve"> CET</w:t>
            </w:r>
            <w:r>
              <w:rPr>
                <w:rFonts w:ascii="Times New Roman" w:hAnsi="Times New Roman"/>
                <w:color w:val="000000" w:themeColor="text1"/>
                <w:sz w:val="24"/>
              </w:rPr>
              <w:t>1 kapitāls, kas aprēķināts saskaņā ar Regulas (ES) Nr. 575/2013 50. pantu.</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Pirmā līmeņa papildu kapitāls (</w:t>
            </w:r>
            <w:r>
              <w:rPr>
                <w:rFonts w:ascii="Times New Roman" w:hAnsi="Times New Roman"/>
                <w:b/>
                <w:i/>
                <w:iCs/>
                <w:color w:val="000000" w:themeColor="text1"/>
                <w:sz w:val="24"/>
              </w:rPr>
              <w:t>AT</w:t>
            </w:r>
            <w:r>
              <w:rPr>
                <w:rFonts w:ascii="Times New Roman" w:hAnsi="Times New Roman"/>
                <w:b/>
                <w:color w:val="000000" w:themeColor="text1"/>
                <w:sz w:val="24"/>
              </w:rPr>
              <w:t xml:space="preserve">1)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Noregulējuma grupas </w:t>
            </w:r>
            <w:r>
              <w:rPr>
                <w:rFonts w:ascii="Times New Roman" w:hAnsi="Times New Roman"/>
                <w:i/>
                <w:iCs/>
                <w:color w:val="000000" w:themeColor="text1"/>
                <w:sz w:val="24"/>
              </w:rPr>
              <w:t>AT</w:t>
            </w:r>
            <w:r>
              <w:rPr>
                <w:rFonts w:ascii="Times New Roman" w:hAnsi="Times New Roman"/>
                <w:color w:val="000000" w:themeColor="text1"/>
                <w:sz w:val="24"/>
              </w:rPr>
              <w:t>1 kapitāls, kas aprēķināts saskaņā ar Regulas (ES) Nr. 575/2013 61. pantu.</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MREL</w:t>
            </w:r>
            <w:r>
              <w:rPr>
                <w:rFonts w:ascii="Times New Roman" w:hAnsi="Times New Roman"/>
                <w:color w:val="000000" w:themeColor="text1"/>
                <w:sz w:val="24"/>
              </w:rPr>
              <w:t xml:space="preserve"> gadījumā instrumentus, ko reglamentē trešās valsts tiesību akti, šajā rindā iekļauj tikai tad, ja tie atbilst Direktīvas 2014/59/ES 55. pantā noteiktajām prasībām.</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Otrā līmeņa kapitāls (</w:t>
            </w:r>
            <w:r>
              <w:rPr>
                <w:rFonts w:ascii="Times New Roman" w:hAnsi="Times New Roman"/>
                <w:b/>
                <w:i/>
                <w:iCs/>
                <w:color w:val="000000" w:themeColor="text1"/>
                <w:sz w:val="24"/>
              </w:rPr>
              <w:t>T</w:t>
            </w:r>
            <w:r>
              <w:rPr>
                <w:rFonts w:ascii="Times New Roman" w:hAnsi="Times New Roman"/>
                <w:b/>
                <w:color w:val="000000" w:themeColor="text1"/>
                <w:sz w:val="24"/>
              </w:rPr>
              <w: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 xml:space="preserve">Noregulējuma grupas </w:t>
            </w:r>
            <w:r>
              <w:rPr>
                <w:rFonts w:ascii="Times New Roman" w:hAnsi="Times New Roman"/>
                <w:i/>
                <w:iCs/>
                <w:color w:val="000000" w:themeColor="text1"/>
                <w:sz w:val="24"/>
              </w:rPr>
              <w:t>T</w:t>
            </w:r>
            <w:r>
              <w:rPr>
                <w:rFonts w:ascii="Times New Roman" w:hAnsi="Times New Roman"/>
                <w:color w:val="000000" w:themeColor="text1"/>
                <w:sz w:val="24"/>
              </w:rPr>
              <w:t>2 kapitāls, kas aprēķināts saskaņā ar Regulas (ES) Nr. 575/2013 71. pantu.</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MREL</w:t>
            </w:r>
            <w:r>
              <w:rPr>
                <w:rFonts w:ascii="Times New Roman" w:hAnsi="Times New Roman"/>
                <w:color w:val="000000" w:themeColor="text1"/>
                <w:sz w:val="24"/>
              </w:rPr>
              <w:t xml:space="preserve"> gadījumā instrumentus, ko reglamentē trešās valsts tiesību akti, šajā rindā iekļauj tikai tad, ja tie atbilst Direktīvas 2014/59/ES 55. pantā noteiktajām prasībām.</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Pašu kapitāls Regulas (ES) Nr. 575/2013 92.a panta un Direktīvas 2014/59/ES 45. panta vajadzībām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Pašu kapitāls Regulas (ES) Nr. 575/2013 92.a panta un Direktīvas 2014/59/ES 45. panta vajadzībām, kas jāaprēķina kā 1. rinda plus 2. rinda plus 6. rinda.</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Atbilstīgo saistību instrumenti, ko tieši emitējusi noregulējuma vienība un kas ir subordinēti izslēgtajām saistībām (nav tiesību saglabāt iepriekš spēkā esošos nosacījumus)</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Atbilstīgās saistības, kas iekļautas</w:t>
            </w:r>
            <w:r>
              <w:rPr>
                <w:rStyle w:val="FormatvorlageInstructionsTabelleText"/>
                <w:rFonts w:ascii="Times New Roman" w:hAnsi="Times New Roman"/>
                <w:sz w:val="24"/>
              </w:rPr>
              <w:t xml:space="preserve"> pašu kapitāla un atbilstīgo saistību summā saskaņā ar Direktīvas 2014/59/ES 45.b pantu un kas ir subordinēti atbilstīgi instrumenti, kā definēts Direktīvas 2014/59/ES 2. panta 1. punkta 71.b apakšpunktā, un ko tieši emitē noregulējuma vienība.</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Attiecībā uz instrumentiem, ko reglamentē trešās valsts tiesību akti, instrumentu šajā rindā iekļauj tikai tad, ja tas atbilst Direktīvas 2014/59/ES 55. pantā noteiktajām prasībām.</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Atbilstīgās saistības, kas atbilst visām Regulas (ES) Nr. 575/2013 72.a līdz 72.d pantā noteiktajām prasībām, izslēdzot saistības, kuras atļauts uzskatīt par atbilstīgo saistību instrumentiem saskaņā ar minētās regulas 72.b panta 3. vai 4. punktu un kuras tieši emitē noregulējuma vienība.</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Šajā rindā neiekļauj nedz otrā līmeņa kapitāla instrumentu amortizēto daļu, ja atlikušais termiņš ir ilgāks par vienu gadu (Regulas (ES) Nr. 575/2013 72.a panta 1. punkta b) apakšpunkts), nedz atbilstīgās saistības, kurām piemērotas tiesības saglabāt iepriekš spēkā esošos nosacījumus saskaņā ar Regulas (ES) Nr. 575/2013 494.b pantu.</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-12 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Atbilstīgo saistību instrumenti, ko emitējušas citas vienības noregulējuma grupā un kas ir subordinēti izslēgtajām saistībām (nav tiesību saglabāt iepriekš spēkā esošos nosacījumus)</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Atbilstīgās saistības, kas iekļautas pašu kapitāla un atbilstīgo saistību summā saskaņā ar Direktīvas 2014/59/ES 45.b pantu un ko emitē meitasuzņēmumi, kas iekļautas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xml:space="preserve"> saskaņā ar minētās direktīvas 45.b panta 3. punktu.</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lastRenderedPageBreak/>
              <w:t>Attiecībā uz instrumentiem, ko reglamentē trešās valsts tiesību akti, instrumentu šajā rindā iekļauj tikai tad, ja tas atbilst Direktīvas 2014/59/ES 55. pantā noteiktajām prasībām.</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Atbilstīgās saistības, kas atbilst visām prasībām, kuras izklāstītas Regulas (ES) Nr. 575/2013 72.a līdz 72.d pantā, izņemot saistības, kuras atļauts uzskatīt par atbilstīgo saistību instrumentiem saskaņā ar minētās regulas 72.b panta 3. vai 4. punktu, kuras emitējuši meitasuzņēmumi un kuras atbilst iekļaušanai vienības konsolidētajos atbilstīgo saistību instrumentos saskaņā ar minētās Regulas (ES) Nr. 575/2013 88.a pantu.</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Šajā rindā neiekļauj nedz otrā līmeņa kapitāla instrumentu amortizēto daļu, ja atlikušais termiņš ir ilgāks par vienu gadu (Regulas (ES) Nr. 575/2013 72.a panta 1. punkta b) apakšpunkts), nedz atbilstīgās saistības, kurām piemērotas tiesības saglabāt iepriekš spēkā esošos nosacījumus saskaņā ar Regulas (ES) Nr. 575/2013 494.b pantu.</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lastRenderedPageBreak/>
              <w:t>EU</w:t>
            </w:r>
            <w:r>
              <w:rPr>
                <w:rFonts w:ascii="Times New Roman" w:hAnsi="Times New Roman"/>
                <w:color w:val="000000" w:themeColor="text1"/>
                <w:sz w:val="24"/>
              </w:rPr>
              <w:t>-12b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Atbilstīgo saistību instrumenti, kas ir subordinēti izslēgtajām saistībām, kuras emitētas pirms 2019. gada 27. jūnija (subordinēti, ir tiesības saglabāt iepriekš spēkā esošos nosacījumus)</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Atbilstīgās saistības, kas atbilst šādiem nosacījumiem:</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tās ir emitētas pirms 2019. gada 27. jūnija;</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InstructionsTabelleberschrift"/>
                <w:rFonts w:ascii="Times New Roman" w:hAnsi="Times New Roman"/>
                <w:b w:val="0"/>
                <w:sz w:val="24"/>
                <w:u w:val="none"/>
              </w:rPr>
              <w:t>tās ir</w:t>
            </w:r>
            <w:r>
              <w:rPr>
                <w:rStyle w:val="FormatvorlageInstructionsTabelleText"/>
                <w:rFonts w:ascii="Times New Roman" w:hAnsi="Times New Roman"/>
                <w:sz w:val="24"/>
              </w:rPr>
              <w:t xml:space="preserve"> subordinēti atbilstīgi instrumenti, kā definēts Direktīvas 2014/59/ES 71.b panta 2. punkta 1. apakšpunktā;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FormatvorlageInstructionsTabelleText"/>
                <w:rFonts w:ascii="Times New Roman" w:hAnsi="Times New Roman"/>
                <w:sz w:val="24"/>
              </w:rPr>
              <w:t>tās</w:t>
            </w:r>
            <w:r>
              <w:rPr>
                <w:rStyle w:val="InstructionsTabelleberschrift"/>
                <w:rFonts w:ascii="Times New Roman" w:hAnsi="Times New Roman"/>
                <w:b w:val="0"/>
                <w:sz w:val="24"/>
                <w:u w:val="none"/>
              </w:rPr>
              <w:t xml:space="preserve"> ir</w:t>
            </w:r>
            <w:r>
              <w:rPr>
                <w:rStyle w:val="FormatvorlageInstructionsTabelleText"/>
                <w:rFonts w:ascii="Times New Roman" w:hAnsi="Times New Roman"/>
                <w:sz w:val="24"/>
              </w:rPr>
              <w:t xml:space="preserve"> iekļautas pašu kapitālā un atbilstīgajās saistībās Regulas (ES) Nr. 575/2013 494.b panta 3. punkta rezultātā.</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Attiecībā uz instrumentiem, ko reglamentē trešās valsts tiesību akti, instrumentu šajā rindā iekļauj tikai tad, ja tas atbilst Direktīvas 2014/59/ES 55. pantā noteiktajām prasībām.</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Saistības, kas atbilst šādiem nosacījumiem:</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tās ir emitētas pirms 2019. gada 27. jūnija;</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tie atbilst Regulas (ES) Nr. 575/2013 72.b panta 2. punkta d) apakšpunktam;</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tās uzskatāmas par atbilstīgām saistībām Regulas (ES) Nr. 575/2013 494.b panta 3. punktā minēto tiesību saglabāt iepriekš spēkā esošos nosacījumus rezultātā.</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Otrā līmeņa kapitāla instrumenti, kuru atlikušais termiņš ir vismaz viens gads, ciktāl tie nav kvalificējami kā otrā līmeņa kapitāla posteņi</w:t>
            </w:r>
          </w:p>
          <w:p w14:paraId="6F3FB28E" w14:textId="6395E75A" w:rsidR="00334BA5" w:rsidRPr="004864F7" w:rsidRDefault="00334BA5" w:rsidP="00915305">
            <w:pPr>
              <w:rPr>
                <w:rFonts w:ascii="Times New Roman" w:hAnsi="Times New Roman" w:cs="Times New Roman"/>
                <w:noProof/>
                <w:sz w:val="24"/>
                <w:szCs w:val="24"/>
              </w:rPr>
            </w:pPr>
            <w:r w:rsidRPr="004864F7">
              <w:rPr>
                <w:rFonts w:ascii="Times New Roman" w:hAnsi="Times New Roman" w:cs="Times New Roman"/>
                <w:sz w:val="24"/>
                <w:szCs w:val="24"/>
              </w:rPr>
              <w:lastRenderedPageBreak/>
              <w:t>Otrā līmeņa kapitāla instrumentu amortizētā daļa, ja atlikušais termiņš ir ilgāks par vienu gadu (Regulas (ES) Nr. 575/2013 72.a panta 1. punkta b) apakšpunkts).</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Šajā rindā uzrāda tikai summu, kas nav atzīta pašu kapitālā, bet kas atbilst visiem Regulas (ES) Nr. 575/2013 72.b pantā noteiktajiem atbilstības kritērijiem.</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i/>
                <w:iCs/>
                <w:sz w:val="24"/>
              </w:rPr>
              <w:t>MREL</w:t>
            </w:r>
            <w:r>
              <w:rPr>
                <w:rStyle w:val="FormatvorlageInstructionsTabelleText"/>
                <w:rFonts w:ascii="Times New Roman" w:hAnsi="Times New Roman"/>
                <w:sz w:val="24"/>
              </w:rPr>
              <w:t xml:space="preserve"> gadījumā instrumentus, ko reglamentē trešās valsts tiesību akti, šajā rindā iekļauj tikai tad, ja tie atbilst Direktīvas 2014/59/ES 55. pantā noteiktajām prasībām.</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Atbilstīgās saistības, kas nav subordinētas izslēgtajām saistībām (nav tiesību saglabāt iepriekš spēkā esošos nosacījumus, pirms maksimālās robežvērtības piemērošanas)</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Saistības, kas atbilst Direktīvas 2014/59/ES 45.b pantā minētajiem nosacījumiem un kas nav pilnībā subordinētas prasījumiem, kuri izriet no izslēgtajām saistībām, kas minētas Regulas (ES) Nr. 575/2013 72.a panta 2. punktā.</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Attiecībā uz instrumentiem, ko reglamentē trešās valsts tiesību akti, instrumentu šajā rindā iekļauj tikai tad, ja tas atbilst Direktīvas 2014/59/ES 55. pantā noteiktajām prasībām.</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Atbilstīgās saistības, kas atbilst prasībām, kuras izklāstītas Regulas (ES) Nr. 575/2013 72.a līdz 72.d pantā,</w:t>
            </w:r>
            <w:r>
              <w:t xml:space="preserve"> </w:t>
            </w:r>
            <w:r>
              <w:rPr>
                <w:rStyle w:val="FormatvorlageInstructionsTabelleText"/>
                <w:rFonts w:ascii="Times New Roman" w:hAnsi="Times New Roman"/>
                <w:sz w:val="24"/>
              </w:rPr>
              <w:t>izņemot minētās regulas 72.b panta 2. punkta d) apakšpunktu, un kuras varētu atļaut uzskatīt par atbilstīgo saistību instrumentiem saskaņā ar minētās regulas 72.b panta 3. punktu, vai kuras atļauj uzskatīt par atbilstīgo saistību instrumentiem saskaņā ar minētās regulas 72.b panta 4. punktu.</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Ja piemēro Regulas (ES) Nr. 575/2013 72.b panta 3. punktu vai Regulas (ES) Nr. 575/2013 494. panta 2. punktu, šajā rindā uzrāda pilnu summu, nepiemērojot attiecīgi 3,5 % un 2,5 % maksimālo robežvērtību.</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Šajā rindā neiekļauj summas, kas ir atzīstamas pārejas posmā saskaņā ar Regulas (ES) Nr. 575/2013 494.b panta 3. punktu.</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-13 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Atbilstīgās saistības, kas nav subordinētas izslēgtajām saistībām un kas emitētas pirms 2019. gada 27. jūnija (pirms maksimālās robežvērtības piemērošanas)</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Atbilstīgās saistības, kas atbilst šādiem nosacījumiem:</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tās ir emitētas pirms 2019. gada 27. jūnija;</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tās atbilst Direktīvas 2014/59/ES 45.b pantā izklāstītajiem nosacījumiem un nav pilnībā subordinētas prasījumiem, kas izriet no izslēgtajām saistībām, kuras minētas Regulas (ES) Nr. 575/2013 72.a panta 2. punktā;</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tās uzskatāmas par atbilstīgām saistībām Regulas (ES) Nr. 575/2013 494.b panta 3. punktā minēto tiesību saglabāt iepriekš spēkā esošos nosacījumus rezultātā.</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Attiecībā uz instrumentiem, ko reglamentē trešās valsts tiesību akti, instrumentu šajā rindā iekļauj tikai tad, ja tas atbilst Direktīvas 2014/59/ES 55. pantā noteiktajām prasībām.</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Atbilstīgās saistības, kas atbilst šādiem nosacījumiem:</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tās ir emitētas pirms 2019. gada 27. jūnija;</w:t>
            </w:r>
          </w:p>
          <w:p w14:paraId="76F54B6E" w14:textId="0FE12834" w:rsidR="009B2422" w:rsidRPr="008C3496" w:rsidRDefault="009B2422" w:rsidP="00C4776A">
            <w:pPr>
              <w:pStyle w:val="ListParagraph"/>
              <w:numPr>
                <w:ilvl w:val="0"/>
                <w:numId w:val="16"/>
              </w:numPr>
              <w:rPr>
                <w:rFonts w:ascii="Times New Roman" w:hAnsi="Times New Roman"/>
                <w:color w:val="000000" w:themeColor="text1"/>
                <w:sz w:val="24"/>
              </w:rPr>
            </w:pPr>
            <w:r w:rsidRPr="008C3496">
              <w:rPr>
                <w:rFonts w:ascii="Times New Roman" w:hAnsi="Times New Roman"/>
                <w:color w:val="000000" w:themeColor="text1"/>
                <w:sz w:val="24"/>
              </w:rPr>
              <w:t>tās atbilst prasībām, kas izklāstītas Regulas (ES) Nr. 575/2013 72.a līdz 72.d pantā, izņemot minētās regulas 72.b panta 2. punkta d) apakšpunktu un tās varētu</w:t>
            </w:r>
            <w:r w:rsidRPr="008C3496">
              <w:rPr>
                <w:rFonts w:ascii="Times New Roman" w:hAnsi="Times New Roman"/>
                <w:bCs/>
                <w:color w:val="000000" w:themeColor="text1"/>
                <w:sz w:val="24"/>
              </w:rPr>
              <w:t xml:space="preserve"> atļaut uzskatīt par atbilstīgo saistību instrumentiem saskaņā ar minētās regulas 72.b panta 3. punktu, vai tās atļauj uzskatīt par atbilstīgo saistību instrumentiem saskaņā ar Regulas (ES) Nr. 575/2013 72.b panta 4. punktu;</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tās uzskatāmas par atbilstīgām saistībām Regulas (ES) Nr. 575/2013 494.b panta 3. punktā minēto tiesību saglabāt iepriekš spēkā esošos nosacījumus rezultātā.</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Ja piemēro Regulas (ES) Nr. 575/2013 72.b panta 3. punktu vai Regulas (ES) Nr. 575/2013 494. panta 2. punktu, šajā rindā uzrāda pilnu summu, nepiemērojot attiecīgi 3,5 % un 2,5 % maksimālo robežvērtību.</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Nesubordinēto atbilstīgo saistību instrumentu summa attiecīgā gadījumā pēc Regulas (ES) Nr. 575/2013 72.b panta 3. punkta piemērošanas</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Šī rinda ir vienāda ar 13. rindu un </w:t>
            </w:r>
            <w:r>
              <w:rPr>
                <w:rFonts w:ascii="Times New Roman" w:hAnsi="Times New Roman"/>
                <w:i/>
                <w:iCs/>
                <w:color w:val="000000" w:themeColor="text1"/>
                <w:sz w:val="24"/>
              </w:rPr>
              <w:t>EU</w:t>
            </w:r>
            <w:r>
              <w:rPr>
                <w:rFonts w:ascii="Times New Roman" w:hAnsi="Times New Roman"/>
                <w:color w:val="000000" w:themeColor="text1"/>
                <w:sz w:val="24"/>
              </w:rPr>
              <w:t>-13.a rindu.</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8C3496" w:rsidRDefault="003E4404" w:rsidP="008E71C3">
            <w:pPr>
              <w:rPr>
                <w:rFonts w:ascii="Times New Roman" w:hAnsi="Times New Roman"/>
                <w:color w:val="000000" w:themeColor="text1"/>
                <w:sz w:val="24"/>
              </w:rPr>
            </w:pPr>
            <w:r w:rsidRPr="008C3496">
              <w:rPr>
                <w:rFonts w:ascii="Times New Roman" w:hAnsi="Times New Roman"/>
                <w:color w:val="000000" w:themeColor="text1"/>
                <w:sz w:val="24"/>
              </w:rPr>
              <w:t>Ja piemēro Regulas (ES) Nr. 575/2013 72.b panta 3. punktu, šajā rindā norāda 13. un 13a. rindā atklāto summu kopsummu pēc tam, kad piemērots minētās regulas 72.b panta 3. punkts vai 494. panta 2. punkts.</w:t>
            </w:r>
            <w:r>
              <w:rPr>
                <w:rFonts w:ascii="Times New Roman" w:hAnsi="Times New Roman"/>
                <w:color w:val="000000" w:themeColor="text1"/>
                <w:sz w:val="24"/>
              </w:rPr>
              <w:t xml:space="preserve">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Ja nepiemēro Regulas (ES) Nr. 575/2013 72.b panta 3. punktu, bet vienība gūst labumu no Regulas (ES) Nr. 575/2013 72.b panta 4. punkta piemērošanas, šī rinda ir vienāda ar 13. rindu plus </w:t>
            </w:r>
            <w:r>
              <w:rPr>
                <w:rFonts w:ascii="Times New Roman" w:hAnsi="Times New Roman"/>
                <w:i/>
                <w:iCs/>
                <w:color w:val="000000" w:themeColor="text1"/>
                <w:sz w:val="24"/>
              </w:rPr>
              <w:t>EU</w:t>
            </w:r>
            <w:r>
              <w:rPr>
                <w:rFonts w:ascii="Times New Roman" w:hAnsi="Times New Roman"/>
                <w:color w:val="000000" w:themeColor="text1"/>
                <w:sz w:val="24"/>
              </w:rPr>
              <w:t>-13.a rindu.</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Atbilstīgo saistību posteņi pirms korekcijām</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 xml:space="preserve">Atbilstīgo saistību posteņi pirms korekcijām Jāaprēķina kā 12. rinda plus </w:t>
            </w:r>
            <w:r>
              <w:rPr>
                <w:rFonts w:ascii="Times New Roman" w:hAnsi="Times New Roman"/>
                <w:i/>
                <w:iCs/>
                <w:color w:val="000000" w:themeColor="text1"/>
                <w:sz w:val="24"/>
              </w:rPr>
              <w:t>EU</w:t>
            </w:r>
            <w:r>
              <w:rPr>
                <w:rFonts w:ascii="Times New Roman" w:hAnsi="Times New Roman"/>
                <w:color w:val="000000" w:themeColor="text1"/>
                <w:sz w:val="24"/>
              </w:rPr>
              <w:t xml:space="preserve">-12.a rinda, plus </w:t>
            </w:r>
            <w:r>
              <w:rPr>
                <w:rFonts w:ascii="Times New Roman" w:hAnsi="Times New Roman"/>
                <w:i/>
                <w:iCs/>
                <w:color w:val="000000" w:themeColor="text1"/>
                <w:sz w:val="24"/>
              </w:rPr>
              <w:t>EU</w:t>
            </w:r>
            <w:r>
              <w:rPr>
                <w:rFonts w:ascii="Times New Roman" w:hAnsi="Times New Roman"/>
                <w:color w:val="000000" w:themeColor="text1"/>
                <w:sz w:val="24"/>
              </w:rPr>
              <w:t xml:space="preserve">-12.b rinda, plus </w:t>
            </w:r>
            <w:r>
              <w:rPr>
                <w:rFonts w:ascii="Times New Roman" w:hAnsi="Times New Roman"/>
                <w:i/>
                <w:iCs/>
                <w:color w:val="000000" w:themeColor="text1"/>
                <w:sz w:val="24"/>
              </w:rPr>
              <w:t>EU</w:t>
            </w:r>
            <w:r>
              <w:rPr>
                <w:rFonts w:ascii="Times New Roman" w:hAnsi="Times New Roman"/>
                <w:color w:val="000000" w:themeColor="text1"/>
                <w:sz w:val="24"/>
              </w:rPr>
              <w:t>-12.c rinda, plus 14. rinda.</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lastRenderedPageBreak/>
              <w:t>EU</w:t>
            </w:r>
            <w:r>
              <w:rPr>
                <w:rFonts w:ascii="Times New Roman" w:hAnsi="Times New Roman"/>
                <w:color w:val="000000" w:themeColor="text1"/>
                <w:sz w:val="24"/>
              </w:rPr>
              <w:t>-17.a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Atbilstīgo saistību posteņi pirms korekcijām - tostarp subordinēto saistību posteņi</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Style w:val="InstructionsTabelleberschrift"/>
                <w:rFonts w:ascii="Times New Roman" w:hAnsi="Times New Roman"/>
                <w:b w:val="0"/>
                <w:sz w:val="24"/>
                <w:u w:val="none"/>
              </w:rPr>
              <w:t>Atbilstīgās saistības, kas iekļautas</w:t>
            </w:r>
            <w:r>
              <w:rPr>
                <w:rStyle w:val="FormatvorlageInstructionsTabelleText"/>
                <w:rFonts w:ascii="Times New Roman" w:hAnsi="Times New Roman"/>
                <w:sz w:val="24"/>
              </w:rPr>
              <w:t xml:space="preserve"> pašu kapitāla un atbilstīgo saistību summā saskaņā ar Direktīvas 2014/59/ES 45.b pantu un kas ir subordinēti atbilstīgi instrumenti, kā definēts minētās direktīvas 2. panta 1. punkta 71.b apakšpunktā, un saistības, ko emitējuši meitasuzņēmumi, kas iekļauti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xml:space="preserve"> saskaņā ar minētās direktīvas 45.b panta 3. punktu.</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Attiecībā uz instrumentiem, ko reglamentē trešās valsts tiesību akti, instrumentu šajā rindā iekļauj tikai tad, ja tas atbilst Direktīvas 2014/59/ES 55. pantā noteiktajām prasībām.</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Atbilstīgās saistības, kas atbilst visām prasībām, kuras izklāstītas Regulas (ES) Nr. 575/2013 72.a līdz 72.d pantā, izslēdzot saistības, kuras atļauts uzskatīt par atbilstīgo saistību instrumentiem saskaņā ar minētās regulas 72.b panta 3.  vai 4. punktu.</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Šajā rindā iekļauj subordinētās saistības, kas ir atbilstīgas iepriekš spēkā esošo tiesību saglabāšanas rezultātā saskaņā ar Regulas (ES) Nr. 575/2013 494.b pantu, un otrā līmeņa kapitāla instrumentu amortizēto daļu, ja atlikušais termiņš ir ilgāks par vienu gadu (Regulas (ES) Nr. 575/2013 72.a panta 1. punkta b) apakšpunkts).</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 xml:space="preserve">Jāaprēķina kā 12. rinda plus </w:t>
            </w:r>
            <w:r>
              <w:rPr>
                <w:rStyle w:val="FormatvorlageInstructionsTabelleText"/>
                <w:rFonts w:ascii="Times New Roman" w:hAnsi="Times New Roman"/>
                <w:i/>
                <w:iCs/>
                <w:sz w:val="24"/>
              </w:rPr>
              <w:t>EU</w:t>
            </w:r>
            <w:r>
              <w:rPr>
                <w:rStyle w:val="FormatvorlageInstructionsTabelleText"/>
                <w:rFonts w:ascii="Times New Roman" w:hAnsi="Times New Roman"/>
                <w:sz w:val="24"/>
              </w:rPr>
              <w:t xml:space="preserve">-12.a rinda, plus </w:t>
            </w:r>
            <w:r>
              <w:rPr>
                <w:rStyle w:val="FormatvorlageInstructionsTabelleText"/>
                <w:rFonts w:ascii="Times New Roman" w:hAnsi="Times New Roman"/>
                <w:i/>
                <w:iCs/>
                <w:sz w:val="24"/>
              </w:rPr>
              <w:t>EU</w:t>
            </w:r>
            <w:r>
              <w:rPr>
                <w:rStyle w:val="FormatvorlageInstructionsTabelleText"/>
                <w:rFonts w:ascii="Times New Roman" w:hAnsi="Times New Roman"/>
                <w:sz w:val="24"/>
              </w:rPr>
              <w:t xml:space="preserve">-12.b rinda, plus </w:t>
            </w:r>
            <w:r>
              <w:rPr>
                <w:rStyle w:val="FormatvorlageInstructionsTabelleText"/>
                <w:rFonts w:ascii="Times New Roman" w:hAnsi="Times New Roman"/>
                <w:i/>
                <w:iCs/>
                <w:sz w:val="24"/>
              </w:rPr>
              <w:t>EU</w:t>
            </w:r>
            <w:r>
              <w:rPr>
                <w:rStyle w:val="FormatvorlageInstructionsTabelleText"/>
                <w:rFonts w:ascii="Times New Roman" w:hAnsi="Times New Roman"/>
                <w:sz w:val="24"/>
              </w:rPr>
              <w:t>-12.c rinda.</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Pašu kapitāla un atbilstīgo saistību posteņi pirms korekcijām</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Pašu kapitāla un atbilstīgo saistību posteņi pirms korekcijām Jāaprēķina kā 11. rinda plus 17. rinda.</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(Riska darījumu atskaitīšana starp </w:t>
            </w:r>
            <w:r>
              <w:rPr>
                <w:rFonts w:ascii="Times New Roman" w:hAnsi="Times New Roman"/>
                <w:b/>
                <w:i/>
                <w:iCs/>
                <w:color w:val="000000" w:themeColor="text1"/>
                <w:sz w:val="24"/>
              </w:rPr>
              <w:t>MPE</w:t>
            </w:r>
            <w:r>
              <w:rPr>
                <w:rFonts w:ascii="Times New Roman" w:hAnsi="Times New Roman"/>
                <w:b/>
                <w:color w:val="000000" w:themeColor="text1"/>
                <w:sz w:val="24"/>
              </w:rPr>
              <w:t xml:space="preserve"> noregulējuma grupām)</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Negatīvā summa</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Atskaitījumi riska darījumiem starp </w:t>
            </w:r>
            <w:r>
              <w:rPr>
                <w:rFonts w:ascii="Times New Roman" w:hAnsi="Times New Roman"/>
                <w:i/>
                <w:iCs/>
                <w:color w:val="000000" w:themeColor="text1"/>
                <w:sz w:val="24"/>
              </w:rPr>
              <w:t>MPE</w:t>
            </w:r>
            <w:r>
              <w:rPr>
                <w:rFonts w:ascii="Times New Roman" w:hAnsi="Times New Roman"/>
                <w:color w:val="000000" w:themeColor="text1"/>
                <w:sz w:val="24"/>
              </w:rPr>
              <w:t xml:space="preserve"> G-SNI noregulējuma grupām, kas atbilst tiešai, netiešai vai sintētiskai līdzdalībai viena vai vairāku meitasuzņēmumu pašu kapitāla instrumentos vai atbilstīgo saistību instrumentos, kuri nepieder tai pašai noregulējuma grupai, pie kuras pieder noregulējuma vienība, saskaņā ar Regulas (ES) Nr. 575/2013 72.e panta 4. punktu.</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(Atskaitījumi no ieguldījumiem citos atbilstīgo saistību instrumentos)</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Negatīvā summa</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Atskaitījumi no ieguldījumiem citos atbilstīgo saistību instrumentos saskaņā ar Regulas (ES) Nr. 575/2013 72.e panta 1. līdz 3. punktu un 72.f līdz 72.j pantu. Summa, kas jāatskaita no atbilstīgo saistību posteņiem saskaņā ar Regulas (ES) Nr. 575/2013 Otrās daļas I sadaļas 5.a nodaļas 2. iedaļu.</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color w:val="000000" w:themeColor="text1"/>
                <w:sz w:val="24"/>
              </w:rPr>
              <w:t>MREL</w:t>
            </w:r>
            <w:r>
              <w:rPr>
                <w:rFonts w:ascii="Times New Roman" w:hAnsi="Times New Roman"/>
                <w:i/>
                <w:color w:val="000000" w:themeColor="text1"/>
                <w:sz w:val="24"/>
              </w:rPr>
              <w:t xml:space="preserve"> un </w:t>
            </w:r>
            <w:r>
              <w:rPr>
                <w:rFonts w:ascii="Times New Roman" w:hAnsi="Times New Roman"/>
                <w:color w:val="000000" w:themeColor="text1"/>
                <w:sz w:val="24"/>
              </w:rPr>
              <w:t>TLAC</w:t>
            </w:r>
            <w:r>
              <w:rPr>
                <w:rFonts w:ascii="Times New Roman" w:hAnsi="Times New Roman"/>
                <w:i/>
                <w:color w:val="000000" w:themeColor="text1"/>
                <w:sz w:val="24"/>
              </w:rPr>
              <w:t xml:space="preserve"> veidnes</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Šajā rindā iever arī summas, uz kurām attiecas atļauja atsaukt, dzēst, atmaksāt vai atpirkt pašu kapitāla instrumentus saskaņā ar Regulas (ES) Nr. 575/2013 78.a pantu, ciktāl vienība, kas atklāj informāciju, minēto summu vēl nav izmantojusi, lai atsauktu, dzēstu, atmaksātu vai atpirktu instrumentus.</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Pašu kapitāls un atbilstīgās saistības pēc korekcijām</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Pašu kapitāls un atbilstīgās saistības, kā definēts Regulas (ES) Nr. 575/2013 72.l pantā. Jāaprēķina kā 18. rinda plus 19. rinda, plus 20. rinda.</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 xml:space="preserve">Pašu kapitāla un atbilstīgo saistību summu, kas ieskaitīta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uzrāda kā:</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pašu kapitāla, kā noteikts Regulas (ES) Nr. 575/2013 4. panta 1. punkta 118) apakšpunktā un 72. pantā, un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atbilstīgo saistību, kā definēts Direktīvas 2014/59/ES 2. panta 1. punkta 71.a) apakšpunktā, summu.</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Attiecībā uz instrumentiem, ko reglamentē trešās valsts tiesību akti, instrumentu šajā rindā iekļauj tikai tad, ja tas atbilst Direktīvas 2014/59/ES 55. pantā noteiktajām prasībām.</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 xml:space="preserve">Pašu kapitāla un atbilstīgo saistību summa, kas ieskaitīta </w:t>
            </w:r>
            <w:r>
              <w:rPr>
                <w:rStyle w:val="FormatvorlageInstructionsTabelleText"/>
                <w:rFonts w:ascii="Times New Roman" w:hAnsi="Times New Roman"/>
                <w:i/>
                <w:iCs/>
                <w:sz w:val="24"/>
              </w:rPr>
              <w:t>TLAC</w:t>
            </w:r>
            <w:r>
              <w:rPr>
                <w:rStyle w:val="FormatvorlageInstructionsTabelleText"/>
                <w:rFonts w:ascii="Times New Roman" w:hAnsi="Times New Roman"/>
                <w:sz w:val="24"/>
              </w:rPr>
              <w:t>, ir summa, kas minēta Regulas (ES) Nr. 575/2013 72.l pantā, un to veido:</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pašu kapitāls, kā noteikts Regulas (ES) Nr. 575/2013 4. panta 1. punkta 118) apakšpunktā un 72. pantā, un</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atbilstīgās saistības, kā minēts Regulas (ES) Nr. 575/2013 72.k pantā.</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-22 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No kā pašu kapitāls un subordinētās saistības</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sz w:val="24"/>
              </w:rPr>
              <w:t xml:space="preserve">Pašu kapitāls un atbilstīgās saistības, </w:t>
            </w:r>
            <w:r>
              <w:rPr>
                <w:rStyle w:val="InstructionsTabelleberschrift"/>
                <w:rFonts w:ascii="Times New Roman" w:hAnsi="Times New Roman"/>
                <w:b w:val="0"/>
                <w:sz w:val="24"/>
                <w:u w:val="none"/>
              </w:rPr>
              <w:t>kas iekļautas</w:t>
            </w:r>
            <w:r>
              <w:rPr>
                <w:rFonts w:ascii="Times New Roman" w:hAnsi="Times New Roman"/>
                <w:sz w:val="24"/>
              </w:rPr>
              <w:t xml:space="preserve"> pašu kapitāla un atbilstīgo saistību summā saskaņā ar Direktīvas 2014/59/ES 45.b pantu un kas ir subordinēti atbilstīgi instrumenti, kā definēts minētās direktīvas 2. panta 1. punkta 71.b) apakšpunktā, un saistības,</w:t>
            </w:r>
            <w:r>
              <w:rPr>
                <w:rStyle w:val="FormatvorlageInstructionsTabelleText"/>
                <w:rFonts w:ascii="Times New Roman" w:hAnsi="Times New Roman"/>
                <w:sz w:val="24"/>
              </w:rPr>
              <w:t xml:space="preserve"> kas iekļautas pašu kapitāla un </w:t>
            </w:r>
            <w:r>
              <w:rPr>
                <w:rStyle w:val="FormatvorlageInstructionsTabelleText"/>
                <w:rFonts w:ascii="Times New Roman" w:hAnsi="Times New Roman"/>
                <w:sz w:val="24"/>
              </w:rPr>
              <w:lastRenderedPageBreak/>
              <w:t>atbilstīgo saistību summā saskaņā ar Direktīvas 2014/59/ES 45.b panta 3. punktu.</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Kopējā riska darījumu vērtība (</w:t>
            </w:r>
            <w:r>
              <w:rPr>
                <w:rFonts w:ascii="Times New Roman" w:hAnsi="Times New Roman"/>
                <w:b/>
                <w:i/>
                <w:iCs/>
                <w:color w:val="000000" w:themeColor="text1"/>
                <w:sz w:val="24"/>
              </w:rPr>
              <w:t>TREA</w:t>
            </w:r>
            <w:r>
              <w:rPr>
                <w:rFonts w:ascii="Times New Roman" w:hAnsi="Times New Roman"/>
                <w:b/>
                <w:color w:val="000000" w:themeColor="text1"/>
                <w:sz w:val="24"/>
              </w:rPr>
              <w:t>)</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Noregulējuma grupas kopējā riska darījumu vērtība saskaņā ar Regulas (ES) Nr. 575/2013 18. panta 1. punkta otro daļu.</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Šajā rindā atklātā kopējā riska darījumu vērtība ir kopējā riska darījumu vērtība, kas ir pamatā, lai nodrošinātu atbilstību attiecīgi Direktīvas 2014/59/ES 45. pantā vai Regulas (ES) Nr. 575/2013 92.a pantā noteiktajām prasībām.</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Kopējās riska darījumu vērtības mērs (</w:t>
            </w:r>
            <w:r>
              <w:rPr>
                <w:rFonts w:ascii="Times New Roman" w:hAnsi="Times New Roman"/>
                <w:b/>
                <w:i/>
                <w:iCs/>
                <w:color w:val="000000" w:themeColor="text1"/>
                <w:sz w:val="24"/>
              </w:rPr>
              <w:t>TEM</w:t>
            </w:r>
            <w:r>
              <w:rPr>
                <w:rFonts w:ascii="Times New Roman" w:hAnsi="Times New Roman"/>
                <w:b/>
                <w:color w:val="000000" w:themeColor="text1"/>
                <w:sz w:val="24"/>
              </w:rPr>
              <w:t>)</w:t>
            </w:r>
          </w:p>
          <w:p w14:paraId="778066F0" w14:textId="53FCCE7C" w:rsidR="00702377" w:rsidRPr="008C3496" w:rsidRDefault="00DB779A" w:rsidP="003D0BF6">
            <w:pPr>
              <w:rPr>
                <w:rStyle w:val="FormatvorlageInstructionsTabelleText"/>
                <w:rFonts w:ascii="Times New Roman" w:hAnsi="Times New Roman"/>
                <w:sz w:val="24"/>
              </w:rPr>
            </w:pPr>
            <w:r w:rsidRPr="008C3496">
              <w:rPr>
                <w:rStyle w:val="FormatvorlageInstructionsTabelleText"/>
                <w:rFonts w:ascii="Times New Roman" w:hAnsi="Times New Roman"/>
                <w:sz w:val="24"/>
              </w:rPr>
              <w:t>Atbilstoši Direktīvas 2014/59/ES 45. panta 2. punkta b) apakšpunktam kopējās riska darījumu vērtības mēru aprēķina saskaņā ar Regulas (ES) Nr. 575/2013 429. panta 4. punktu un 429.a pantu.</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Šajā rindā uzrādītais kopējās riska darījumu vērtības mērs ir kopējās riska darījumu vērtības mērs, kas ir pamats, lai nodrošinātu atbilstību attiecīgi Direktīvas 2014/59/ES 45. pantā vai Regulas (ES) Nr. 575/2013 92.a pantā noteiktajām prasībām.</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TREA</w:t>
            </w:r>
          </w:p>
          <w:p w14:paraId="7AB95F7A" w14:textId="6941F5F6" w:rsidR="00DB779A" w:rsidRPr="008C3496" w:rsidRDefault="00DB779A" w:rsidP="00DB779A">
            <w:pPr>
              <w:rPr>
                <w:rStyle w:val="FormatvorlageInstructionsTabelleText"/>
                <w:rFonts w:ascii="Times New Roman" w:hAnsi="Times New Roman"/>
                <w:sz w:val="24"/>
              </w:rPr>
            </w:pPr>
            <w:r w:rsidRPr="008C3496">
              <w:rPr>
                <w:rStyle w:val="FormatvorlageInstructionsTabelleText"/>
                <w:rFonts w:ascii="Times New Roman" w:hAnsi="Times New Roman"/>
                <w:sz w:val="24"/>
              </w:rPr>
              <w:t>Šīs rindas vajadzībām saskaņā ar Direktīvas 2014/59/ES 45. panta 2. punkta a) apakšpunktu un Regulas (ES) Nr. 575/2013 92.a pantu pašu kapitāla un atbilstīgo saistību summu, kas attiecīgi ieskaitīta MREL vai TLAC, izsaka kā procentuālo daļu no kopējās riska darījumu vērtības, kas aprēķināta saskaņā ar Regulas (ES) Nr. 575/2013 92. panta 3. punktu.</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Jāaprēķina, 22. rindu dalot ar 23. rindu.</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i/>
                <w:iCs/>
                <w:sz w:val="24"/>
              </w:rPr>
              <w:t>EU</w:t>
            </w:r>
            <w:r>
              <w:rPr>
                <w:rFonts w:ascii="Times New Roman" w:hAnsi="Times New Roman"/>
                <w:sz w:val="24"/>
              </w:rPr>
              <w:t>-25 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No kā pašu kapitāls un subordinētās saistības</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Šīs rindas vajadzībām pašu kapitāla un subordinēto atbilstīgo saistību summu, kas ieskaitīta </w:t>
            </w:r>
            <w:r>
              <w:rPr>
                <w:rFonts w:ascii="Times New Roman" w:hAnsi="Times New Roman"/>
                <w:i/>
                <w:iCs/>
                <w:color w:val="000000" w:themeColor="text1"/>
                <w:sz w:val="24"/>
              </w:rPr>
              <w:t>MREL</w:t>
            </w:r>
            <w:r>
              <w:rPr>
                <w:rFonts w:ascii="Times New Roman" w:hAnsi="Times New Roman"/>
                <w:color w:val="000000" w:themeColor="text1"/>
                <w:sz w:val="24"/>
              </w:rPr>
              <w:t>, izsaka kā procentuālo daļu no kopējās riska darījumu vērtības, kas aprēķināta saskaņā ar Regulas (ES) Nr. 575/2013 92. panta 3. punktu.</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Jāaprēķina, 22a. rindu dalot ar 23. rindu.</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TEM</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Šīs rindas vajadzībām saskaņā ar Direktīvas 2014/59/ES 45. panta 2. punkta b) apakšpunktu un Regulas (ES) Nr. 575/2013 92.a pantu pašu kapitāla un atbilstīgo saistību summu, kas attiecīgi ieskaitīta </w:t>
            </w:r>
            <w:r>
              <w:rPr>
                <w:rFonts w:ascii="Times New Roman" w:hAnsi="Times New Roman"/>
                <w:i/>
                <w:iCs/>
                <w:color w:val="000000" w:themeColor="text1"/>
                <w:sz w:val="24"/>
              </w:rPr>
              <w:t>MREL</w:t>
            </w:r>
            <w:r>
              <w:rPr>
                <w:rFonts w:ascii="Times New Roman" w:hAnsi="Times New Roman"/>
                <w:color w:val="000000" w:themeColor="text1"/>
                <w:sz w:val="24"/>
              </w:rPr>
              <w:t xml:space="preserve"> vai </w:t>
            </w:r>
            <w:r>
              <w:rPr>
                <w:rFonts w:ascii="Times New Roman" w:hAnsi="Times New Roman"/>
                <w:i/>
                <w:iCs/>
                <w:color w:val="000000" w:themeColor="text1"/>
                <w:sz w:val="24"/>
              </w:rPr>
              <w:t>TLAC</w:t>
            </w:r>
            <w:r>
              <w:rPr>
                <w:rFonts w:ascii="Times New Roman" w:hAnsi="Times New Roman"/>
                <w:color w:val="000000" w:themeColor="text1"/>
                <w:sz w:val="24"/>
              </w:rPr>
              <w:t>, izsaka kā procentuālo daļu no kopējās riska darījumu vērtības mēra, kas aprēķināts saskaņā ar Regulas (ES) Nr. 575/2013 429. panta 4. punktu un 429.a pantu.</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Jāaprēķina, 22. rindu dalot ar 24. rindu.</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i/>
                <w:iCs/>
                <w:sz w:val="24"/>
              </w:rPr>
              <w:lastRenderedPageBreak/>
              <w:t>EU</w:t>
            </w:r>
            <w:r>
              <w:rPr>
                <w:rFonts w:ascii="Times New Roman" w:hAnsi="Times New Roman"/>
                <w:sz w:val="24"/>
              </w:rPr>
              <w:t>-26 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No kā pašu kapitāls un subordinētās saistības</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Šīs rindas vajadzībām pašu kapitāla un subordinēto atbilstīgo saistību summu, kas ieskaitīta </w:t>
            </w:r>
            <w:r>
              <w:rPr>
                <w:rFonts w:ascii="Times New Roman" w:hAnsi="Times New Roman"/>
                <w:i/>
                <w:iCs/>
                <w:color w:val="000000" w:themeColor="text1"/>
                <w:sz w:val="24"/>
              </w:rPr>
              <w:t>MREL</w:t>
            </w:r>
            <w:r>
              <w:rPr>
                <w:rFonts w:ascii="Times New Roman" w:hAnsi="Times New Roman"/>
                <w:color w:val="000000" w:themeColor="text1"/>
                <w:sz w:val="24"/>
              </w:rPr>
              <w:t>, izsaka kā procentuālo daļu no kopējās riska darījumu vērtības mēra, kas aprēķināts saskaņā ar Regulas (ES) Nr. 575/2013 429. panta 4. punktu un 429.a pantu.</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Jāaprēķina, 22a. rindu dalot ar 24. rindu.</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i/>
                <w:iCs/>
                <w:color w:val="000000" w:themeColor="text1"/>
                <w:sz w:val="24"/>
              </w:rPr>
              <w:t>CET</w:t>
            </w:r>
            <w:r>
              <w:rPr>
                <w:rFonts w:ascii="Times New Roman" w:hAnsi="Times New Roman"/>
                <w:b/>
                <w:color w:val="000000" w:themeColor="text1"/>
                <w:sz w:val="24"/>
              </w:rPr>
              <w:t xml:space="preserve">1 (kā procentuālā daļa no </w:t>
            </w:r>
            <w:r>
              <w:rPr>
                <w:rFonts w:ascii="Times New Roman" w:hAnsi="Times New Roman"/>
                <w:b/>
                <w:i/>
                <w:iCs/>
                <w:color w:val="000000" w:themeColor="text1"/>
                <w:sz w:val="24"/>
              </w:rPr>
              <w:t>TREA</w:t>
            </w:r>
            <w:r>
              <w:rPr>
                <w:rFonts w:ascii="Times New Roman" w:hAnsi="Times New Roman"/>
                <w:b/>
                <w:color w:val="000000" w:themeColor="text1"/>
                <w:sz w:val="24"/>
              </w:rPr>
              <w:t>), kas pieejams pēc noregulējuma grupas prasību izpildes</w:t>
            </w:r>
          </w:p>
          <w:p w14:paraId="0227909F" w14:textId="1CB6809D" w:rsidR="00A47BCD" w:rsidRPr="0008623B" w:rsidRDefault="00A47BCD" w:rsidP="00B62DC9">
            <w:pPr>
              <w:pStyle w:val="InstructionsText"/>
              <w:rPr>
                <w:rFonts w:eastAsiaTheme="minorEastAsia"/>
              </w:rPr>
            </w:pPr>
            <w:r>
              <w:rPr>
                <w:i/>
                <w:iCs/>
              </w:rPr>
              <w:t>CET</w:t>
            </w:r>
            <w:r>
              <w:t>1 summa kā procentuālā daļa no kopējās riska darījumu vērtības, kas vienāda ar nulli vai ir pozitīva, pieejama pēc tam, kad ir izpildītas visas Direktīvas 2013/36/ES 141.a panta a), b) un c) punktā minētās prasības, un augstākā no šādām vērtībām:</w:t>
            </w:r>
          </w:p>
          <w:p w14:paraId="42E3D4EA" w14:textId="2070C8C0" w:rsidR="00A47BCD" w:rsidRPr="0008623B" w:rsidRDefault="00A47BCD" w:rsidP="00B62DC9">
            <w:pPr>
              <w:pStyle w:val="InstructionsText"/>
              <w:rPr>
                <w:rFonts w:eastAsiaTheme="minorEastAsia"/>
              </w:rPr>
            </w:pPr>
            <w:r>
              <w:t xml:space="preserve">a) attiecīgā gadījumā Regulas (ES) Nr. 575/2013 92.a pantā noteiktā G-SNI prasība pašu kapitālam un atbilstīgajām saistībām, ja tā aprēķināta saskaņā ar minētā panta 1. punkta a) apakšpunktu, un </w:t>
            </w:r>
          </w:p>
          <w:p w14:paraId="396BF4D8" w14:textId="21D22CB1" w:rsidR="00A47BCD" w:rsidRPr="0008623B" w:rsidRDefault="00A47BCD" w:rsidP="00B62DC9">
            <w:pPr>
              <w:pStyle w:val="InstructionsText"/>
              <w:rPr>
                <w:rFonts w:eastAsiaTheme="minorEastAsia"/>
              </w:rPr>
            </w:pPr>
            <w:r>
              <w:t>b) minimuma prasība pašu kapitālam un atbilstīgajām saistībām, kas noteikta Direktīvas 2014/59/ES 45. pantā, ja to aprēķina saskaņā ar minētā panta 2. punkta a) apakšpunktu.</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 xml:space="preserve">Atklātais skaitlis ir identisks gan </w:t>
            </w:r>
            <w:r>
              <w:rPr>
                <w:i/>
                <w:iCs/>
              </w:rPr>
              <w:t>MREL</w:t>
            </w:r>
            <w:r>
              <w:t xml:space="preserve">, gan </w:t>
            </w:r>
            <w:r>
              <w:rPr>
                <w:i/>
                <w:iCs/>
              </w:rPr>
              <w:t>TLAC</w:t>
            </w:r>
            <w:r>
              <w:t xml:space="preserve"> slejās.</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Tajā ņem vērā pārejas noteikumu ietekmi uz pašu kapitālu un atbilstīgajām saistībām, kopējo riska darījumu vērtību un pašām prasībām. Neņem vērā ne norādes par papildu pašu kapitālu, kā minēts Direktīvas 2013/36/ES 104.b pantā, ne minētās direktīvas 128. panta pirmās daļas 6) punktā minēto apvienoto rezervju prasību.</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Iestādes specifisko apvienoto rezervju prasība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Direktīvas 2013/36/ES 128. panta pirmās daļas 6) punktā definētā iestādes specifisko apvienoto rezervju prasība, kas izteikta kā procentuālā daļa no kopējās riska darījumu vērtības un kas piemērojama noregulējuma grupai saskaņā ar minētā panta pirmās daļas 6) punktu.</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Iestādes specifisko apvienoto rezervju prasība — tostarp kapitāla saglabāšanas rezervju prasība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Iestādes specifisko apvienoto rezervju summa (izteikta kā procentuālā daļa no kopējās riska darījumu vērtības), kas attiecas uz kapitāla saglabāšanas rezervju prasību.</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Iestādes specifisko apvienoto rezervju prasība - tostarp </w:t>
            </w:r>
            <w:proofErr w:type="spellStart"/>
            <w:r>
              <w:rPr>
                <w:rFonts w:ascii="Times New Roman" w:hAnsi="Times New Roman"/>
                <w:b/>
                <w:color w:val="000000" w:themeColor="text1"/>
                <w:sz w:val="24"/>
              </w:rPr>
              <w:t>pretciklisko</w:t>
            </w:r>
            <w:proofErr w:type="spellEnd"/>
            <w:r>
              <w:rPr>
                <w:rFonts w:ascii="Times New Roman" w:hAnsi="Times New Roman"/>
                <w:b/>
                <w:color w:val="000000" w:themeColor="text1"/>
                <w:sz w:val="24"/>
              </w:rPr>
              <w:t xml:space="preserve"> kapitāla rezervju prasība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 xml:space="preserve">Iestādes specifisko apvienoto rezervju summa (izteikta kā procentuālā daļa no kopējās riska darījumu vērtības), kas attiecas uz </w:t>
            </w:r>
            <w:proofErr w:type="spellStart"/>
            <w:r>
              <w:rPr>
                <w:rFonts w:ascii="Times New Roman" w:hAnsi="Times New Roman"/>
                <w:sz w:val="24"/>
              </w:rPr>
              <w:t>pretciklisko</w:t>
            </w:r>
            <w:proofErr w:type="spellEnd"/>
            <w:r>
              <w:rPr>
                <w:rFonts w:ascii="Times New Roman" w:hAnsi="Times New Roman"/>
                <w:sz w:val="24"/>
              </w:rPr>
              <w:t xml:space="preserve"> kapitāla rezervju prasību.</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Iestādes specifisko apvienoto rezervju prasība - tostarp sistēmiskā riska rezervju prasība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Iestādes specifisko apvienoto rezervju summa (izteikta kā procentuālā daļa no kopējās riska darījumu vērtības), kas attiecas uz sistēmiskā riska rezervju prasību.</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i/>
                <w:iCs/>
                <w:sz w:val="24"/>
              </w:rPr>
              <w:t>EU</w:t>
            </w:r>
            <w:r>
              <w:rPr>
                <w:rFonts w:ascii="Times New Roman" w:hAnsi="Times New Roman"/>
                <w:sz w:val="24"/>
              </w:rPr>
              <w:t>-31 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Iestādes specifisko apvienoto rezervju prasība - tostarp globālo sistēmiski nozīmīgo iestāžu (G-SNI) vai citu sistēmiski nozīmīgo iestāžu (C-SNI) rezerves</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Iestādes specifisko apvienoto rezervju summa (izteikta kā procentuālā daļa no kopējās riska darījumu vērtības), kas attiecas uz G-SNI vai C-SNI rezervju prasību.</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i/>
                <w:iCs/>
                <w:sz w:val="24"/>
              </w:rPr>
              <w:t>EU</w:t>
            </w:r>
            <w:r>
              <w:rPr>
                <w:rFonts w:ascii="Times New Roman" w:hAnsi="Times New Roman"/>
                <w:sz w:val="24"/>
              </w:rPr>
              <w:t>-32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Izslēgto saistību, kas minētas Regulas (ES) Nr. 575/2013 72.a panta 2. punktā, kopsumma</w:t>
            </w:r>
          </w:p>
        </w:tc>
      </w:tr>
    </w:tbl>
    <w:p w14:paraId="79FEC8BB" w14:textId="2A1A82F0" w:rsidR="005C7641" w:rsidRPr="008C3496"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r>
      <w:r>
        <w:rPr>
          <w:rFonts w:ascii="Times New Roman" w:hAnsi="Times New Roman"/>
          <w:i/>
          <w:iCs/>
          <w:color w:val="auto"/>
          <w:sz w:val="24"/>
        </w:rPr>
        <w:t>EU ILAC</w:t>
      </w:r>
      <w:r>
        <w:rPr>
          <w:rFonts w:ascii="Times New Roman" w:hAnsi="Times New Roman"/>
          <w:color w:val="auto"/>
          <w:sz w:val="24"/>
        </w:rPr>
        <w:t xml:space="preserve">: Iekšējā </w:t>
      </w:r>
      <w:r w:rsidRPr="008C3496">
        <w:rPr>
          <w:rFonts w:ascii="Times New Roman" w:hAnsi="Times New Roman" w:cs="Times New Roman"/>
          <w:color w:val="auto"/>
          <w:sz w:val="24"/>
          <w:szCs w:val="24"/>
        </w:rPr>
        <w:t xml:space="preserve">zaudējumu absorbcijas spēja: iekšējā </w:t>
      </w:r>
      <w:r w:rsidRPr="008C3496">
        <w:rPr>
          <w:rFonts w:ascii="Times New Roman" w:hAnsi="Times New Roman" w:cs="Times New Roman"/>
          <w:i/>
          <w:iCs/>
          <w:color w:val="auto"/>
          <w:sz w:val="24"/>
          <w:szCs w:val="24"/>
        </w:rPr>
        <w:t>MREL</w:t>
      </w:r>
      <w:r w:rsidRPr="008C3496">
        <w:rPr>
          <w:rFonts w:ascii="Times New Roman" w:hAnsi="Times New Roman" w:cs="Times New Roman"/>
          <w:color w:val="auto"/>
          <w:sz w:val="24"/>
          <w:szCs w:val="24"/>
        </w:rPr>
        <w:t xml:space="preserve"> un attiecīgā gadījumā prasība pašu kapitālam un atbilstīgajām saistībām attiecībā uz </w:t>
      </w:r>
      <w:proofErr w:type="spellStart"/>
      <w:r w:rsidRPr="008C3496">
        <w:rPr>
          <w:rFonts w:ascii="Times New Roman" w:hAnsi="Times New Roman" w:cs="Times New Roman"/>
          <w:color w:val="auto"/>
          <w:sz w:val="24"/>
          <w:szCs w:val="24"/>
        </w:rPr>
        <w:t>ārpussavienības</w:t>
      </w:r>
      <w:proofErr w:type="spellEnd"/>
      <w:r w:rsidRPr="008C3496">
        <w:rPr>
          <w:rFonts w:ascii="Times New Roman" w:hAnsi="Times New Roman" w:cs="Times New Roman"/>
          <w:color w:val="auto"/>
          <w:sz w:val="24"/>
          <w:szCs w:val="24"/>
        </w:rPr>
        <w:t xml:space="preserve"> G-SNI</w:t>
      </w:r>
      <w:bookmarkStart w:id="208" w:name="_Toc14770785"/>
      <w:bookmarkEnd w:id="206"/>
      <w:bookmarkEnd w:id="208"/>
      <w:r w:rsidRPr="008C3496">
        <w:rPr>
          <w:rFonts w:ascii="Times New Roman" w:hAnsi="Times New Roman" w:cs="Times New Roman"/>
          <w:color w:val="auto"/>
          <w:sz w:val="24"/>
          <w:szCs w:val="24"/>
        </w:rPr>
        <w:t xml:space="preserve"> (iekšējā </w:t>
      </w:r>
      <w:r w:rsidRPr="008C3496">
        <w:rPr>
          <w:rFonts w:ascii="Times New Roman" w:hAnsi="Times New Roman" w:cs="Times New Roman"/>
          <w:i/>
          <w:iCs/>
          <w:color w:val="auto"/>
          <w:sz w:val="24"/>
          <w:szCs w:val="24"/>
        </w:rPr>
        <w:t>TLAC</w:t>
      </w:r>
      <w:r w:rsidRPr="008C3496">
        <w:rPr>
          <w:rFonts w:ascii="Times New Roman" w:hAnsi="Times New Roman" w:cs="Times New Roman"/>
          <w:color w:val="auto"/>
          <w:sz w:val="24"/>
          <w:szCs w:val="24"/>
        </w:rPr>
        <w:t>)</w:t>
      </w:r>
      <w:bookmarkEnd w:id="207"/>
    </w:p>
    <w:p w14:paraId="4B755467" w14:textId="5E1539C5" w:rsidR="00413CCD" w:rsidRPr="0008623B" w:rsidRDefault="00413CCD" w:rsidP="00B62DC9">
      <w:pPr>
        <w:pStyle w:val="InstructionsText2"/>
        <w:numPr>
          <w:ilvl w:val="0"/>
          <w:numId w:val="12"/>
        </w:numPr>
      </w:pPr>
      <w:r>
        <w:t xml:space="preserve">Šajā veidnē tiek atklāta informācija par to vienību pašu kapitālu un atbilstīgajām saistībām, kas pašas nav noregulējuma vienības Direktīvas 2014/59/ES 45.f pantā noteiktās pašu kapitāla un atbilstīgo saistību prasības (iekšējā </w:t>
      </w:r>
      <w:r>
        <w:rPr>
          <w:i/>
          <w:iCs/>
        </w:rPr>
        <w:t>MREL</w:t>
      </w:r>
      <w:r>
        <w:t xml:space="preserve">) vajadzībām, kā arī prasības pašu kapitālam un atbilstīgajām saistībām attiecībā uz ārpussavienības G-SNI, ko piemēro trešās valsts G-SNI būtiskiem meitasuzņēmumiem, kā noteikts Regulas (ES) Nr. 575/2013 92.b pantā (iekšējā </w:t>
      </w:r>
      <w:r>
        <w:rPr>
          <w:i/>
          <w:iCs/>
        </w:rPr>
        <w:t>TLAC</w:t>
      </w:r>
      <w: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Slejas</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Atsauces uz tiesību aktu noteikumiem un norādījumi</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Šajā slejā vienības atklāj attiecīgo informāciju par iekšējo </w:t>
            </w:r>
            <w:r>
              <w:rPr>
                <w:rFonts w:ascii="Times New Roman" w:hAnsi="Times New Roman"/>
                <w:i/>
                <w:iCs/>
                <w:color w:val="000000" w:themeColor="text1"/>
                <w:sz w:val="24"/>
              </w:rPr>
              <w:t>MREL</w:t>
            </w:r>
            <w:r>
              <w:rPr>
                <w:rFonts w:ascii="Times New Roman" w:hAnsi="Times New Roman"/>
                <w:color w:val="000000" w:themeColor="text1"/>
                <w:sz w:val="24"/>
              </w:rPr>
              <w:t xml:space="preserve"> saskaņā ar Direktīvas 2014/59/ES 45. un 45.f pantu.</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Vienības, kas ir </w:t>
            </w:r>
            <w:proofErr w:type="spellStart"/>
            <w:r>
              <w:rPr>
                <w:rFonts w:ascii="Times New Roman" w:hAnsi="Times New Roman"/>
                <w:color w:val="000000" w:themeColor="text1"/>
                <w:sz w:val="24"/>
              </w:rPr>
              <w:t>ārpussavienības</w:t>
            </w:r>
            <w:proofErr w:type="spellEnd"/>
            <w:r>
              <w:rPr>
                <w:rFonts w:ascii="Times New Roman" w:hAnsi="Times New Roman"/>
                <w:color w:val="000000" w:themeColor="text1"/>
                <w:sz w:val="24"/>
              </w:rPr>
              <w:t xml:space="preserve"> G-SNI svarīgi meitasuzņēmumi saskaņā ar Regulas (ES) Nr. 575/2013 92.b pantu, šajā slejā atklāj attiecīgo informāciju par iekšējo TLAC saskaņā ar Regulas (ES) Nr. 575/2013 92.b pantu.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4864F7" w:rsidRDefault="00560736" w:rsidP="00BF6482">
            <w:pPr>
              <w:autoSpaceDE w:val="0"/>
              <w:autoSpaceDN w:val="0"/>
              <w:adjustRightInd w:val="0"/>
              <w:spacing w:before="120" w:after="120"/>
              <w:rPr>
                <w:rFonts w:ascii="Times New Roman" w:hAnsi="Times New Roman" w:cs="Times New Roman"/>
                <w:noProof/>
                <w:sz w:val="24"/>
                <w:szCs w:val="24"/>
              </w:rPr>
            </w:pPr>
            <w:r w:rsidRPr="004864F7">
              <w:rPr>
                <w:rFonts w:ascii="Times New Roman" w:hAnsi="Times New Roman" w:cs="Times New Roman"/>
                <w:sz w:val="24"/>
              </w:rPr>
              <w:t>Kvalitatīvā informācija, kas saistīta ar piemērojamo prasību un piemērošanas līmeni.</w:t>
            </w:r>
          </w:p>
        </w:tc>
      </w:tr>
    </w:tbl>
    <w:p w14:paraId="11222185" w14:textId="77777777" w:rsidR="00FF6326" w:rsidRPr="008C3496"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8C3496"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Rinda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Atsauces uz tiesību aktu noteikumiem un norādījumi</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i/>
                <w:iCs/>
                <w:sz w:val="24"/>
              </w:rPr>
              <w:t>EU</w:t>
            </w:r>
            <w:r>
              <w:rPr>
                <w:rFonts w:ascii="Times New Roman" w:hAnsi="Times New Roman"/>
                <w:sz w:val="24"/>
              </w:rPr>
              <w:t>-1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Vai vienībai piemēro ārpus ES esošu G-SNI pašu kapitāla un atbilstīgo saistību prasību? (Jā/Nē)</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Tas, vai vienībai piemēro iekšēju </w:t>
            </w:r>
            <w:r>
              <w:rPr>
                <w:rFonts w:ascii="Times New Roman" w:hAnsi="Times New Roman"/>
                <w:i/>
                <w:iCs/>
                <w:color w:val="000000" w:themeColor="text1"/>
                <w:sz w:val="24"/>
              </w:rPr>
              <w:t>TLAC</w:t>
            </w:r>
            <w:r>
              <w:rPr>
                <w:rFonts w:ascii="Times New Roman" w:hAnsi="Times New Roman"/>
                <w:color w:val="000000" w:themeColor="text1"/>
                <w:sz w:val="24"/>
              </w:rPr>
              <w:t xml:space="preserve"> prasību saskaņā ar Regulas (ES) Nr. 575/2013 92.b pantu.</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i/>
                <w:iCs/>
                <w:sz w:val="24"/>
              </w:rPr>
              <w:t>EU</w:t>
            </w:r>
            <w:r>
              <w:rPr>
                <w:rFonts w:ascii="Times New Roman" w:hAnsi="Times New Roman"/>
                <w:sz w:val="24"/>
              </w:rPr>
              <w:t>-2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Ja </w:t>
            </w:r>
            <w:r>
              <w:rPr>
                <w:rFonts w:ascii="Times New Roman" w:hAnsi="Times New Roman"/>
                <w:b/>
                <w:i/>
                <w:iCs/>
                <w:color w:val="000000" w:themeColor="text1"/>
                <w:sz w:val="24"/>
              </w:rPr>
              <w:t>EU</w:t>
            </w:r>
            <w:r>
              <w:rPr>
                <w:rFonts w:ascii="Times New Roman" w:hAnsi="Times New Roman"/>
                <w:b/>
                <w:color w:val="000000" w:themeColor="text1"/>
                <w:sz w:val="24"/>
              </w:rPr>
              <w:t>-1 norādīta atbilde “Jā”, vai šī prasība ir piemērojama konsolidētā vai individuālā līmenī? (K/I)</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Tas, vai vienībai konsolidētā vai individuālā līmenī piemēro iekšēju </w:t>
            </w:r>
            <w:r>
              <w:rPr>
                <w:rFonts w:ascii="Times New Roman" w:hAnsi="Times New Roman"/>
                <w:i/>
                <w:iCs/>
                <w:color w:val="000000" w:themeColor="text1"/>
                <w:sz w:val="24"/>
              </w:rPr>
              <w:t>TLAC</w:t>
            </w:r>
            <w:r>
              <w:rPr>
                <w:rFonts w:ascii="Times New Roman" w:hAnsi="Times New Roman"/>
                <w:color w:val="000000" w:themeColor="text1"/>
                <w:sz w:val="24"/>
              </w:rPr>
              <w:t xml:space="preserve"> prasību saskaņā ar Regulas (ES) Nr. 575/2013 18. pantu.</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Ja prasība ir konsolidētā līmenī, visu šo veidni aizpilda konsolidētā līmenī. Visos citos gadījumos šo veidni aizpilda individuālā līmenī.</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i/>
                <w:iCs/>
                <w:sz w:val="24"/>
              </w:rPr>
              <w:t>EU</w:t>
            </w:r>
            <w:r>
              <w:rPr>
                <w:rFonts w:ascii="Times New Roman" w:hAnsi="Times New Roman"/>
                <w:sz w:val="24"/>
              </w:rPr>
              <w:t>-2a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Vai vienībai piemēro iekšēju </w:t>
            </w:r>
            <w:r>
              <w:rPr>
                <w:rFonts w:ascii="Times New Roman" w:hAnsi="Times New Roman"/>
                <w:b/>
                <w:i/>
                <w:iCs/>
                <w:color w:val="000000" w:themeColor="text1"/>
                <w:sz w:val="24"/>
              </w:rPr>
              <w:t>MREL</w:t>
            </w:r>
            <w:r>
              <w:rPr>
                <w:rFonts w:ascii="Times New Roman" w:hAnsi="Times New Roman"/>
                <w:b/>
                <w:color w:val="000000" w:themeColor="text1"/>
                <w:sz w:val="24"/>
              </w:rPr>
              <w:t>? (Jā/Nē)</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Tas, vai vienībai piemēro </w:t>
            </w:r>
            <w:r>
              <w:rPr>
                <w:rFonts w:ascii="Times New Roman" w:hAnsi="Times New Roman"/>
                <w:i/>
                <w:iCs/>
                <w:color w:val="000000" w:themeColor="text1"/>
                <w:sz w:val="24"/>
              </w:rPr>
              <w:t>MREL</w:t>
            </w:r>
            <w:r>
              <w:rPr>
                <w:rFonts w:ascii="Times New Roman" w:hAnsi="Times New Roman"/>
                <w:color w:val="000000" w:themeColor="text1"/>
                <w:sz w:val="24"/>
              </w:rPr>
              <w:t xml:space="preserve"> saskaņā ar Direktīvas 2014/59/ES 45. pantu un 45.f pantu.</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i/>
                <w:iCs/>
                <w:sz w:val="24"/>
              </w:rPr>
              <w:t>EU</w:t>
            </w:r>
            <w:r>
              <w:rPr>
                <w:rFonts w:ascii="Times New Roman" w:hAnsi="Times New Roman"/>
                <w:sz w:val="24"/>
              </w:rPr>
              <w:t>-2b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Ja </w:t>
            </w:r>
            <w:r>
              <w:rPr>
                <w:rFonts w:ascii="Times New Roman" w:hAnsi="Times New Roman"/>
                <w:b/>
                <w:i/>
                <w:iCs/>
                <w:color w:val="000000" w:themeColor="text1"/>
                <w:sz w:val="24"/>
              </w:rPr>
              <w:t>EU</w:t>
            </w:r>
            <w:r>
              <w:rPr>
                <w:rFonts w:ascii="Times New Roman" w:hAnsi="Times New Roman"/>
                <w:b/>
                <w:color w:val="000000" w:themeColor="text1"/>
                <w:sz w:val="24"/>
              </w:rPr>
              <w:t>-2a norādīta atbilde “Jā”, vai šī prasība ir piemērojama konsolidētā vai individuālā līmenī? (K/I)</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Tas, vai vienībai konsolidētā vai individuālā līmenī piemēro iekšēju </w:t>
            </w:r>
            <w:r>
              <w:rPr>
                <w:rFonts w:ascii="Times New Roman" w:hAnsi="Times New Roman"/>
                <w:i/>
                <w:iCs/>
                <w:color w:val="000000" w:themeColor="text1"/>
                <w:sz w:val="24"/>
              </w:rPr>
              <w:t>MREL</w:t>
            </w:r>
            <w:r>
              <w:rPr>
                <w:rFonts w:ascii="Times New Roman" w:hAnsi="Times New Roman"/>
                <w:color w:val="000000" w:themeColor="text1"/>
                <w:sz w:val="24"/>
              </w:rPr>
              <w:t>.</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Ja prasība ir konsolidētā līmenī, visu šo veidni aizpilda konsolidētā līmenī. Visos citos gadījumos šo veidni aizpilda individuālā līmenī.</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i/>
                <w:iCs/>
                <w:sz w:val="24"/>
              </w:rPr>
              <w:t>EU</w:t>
            </w:r>
            <w:r>
              <w:rPr>
                <w:rFonts w:ascii="Times New Roman" w:hAnsi="Times New Roman"/>
                <w:sz w:val="24"/>
              </w:rPr>
              <w:t>-3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Pirmā līmeņa pamata kapitāls (</w:t>
            </w:r>
            <w:r>
              <w:rPr>
                <w:rFonts w:ascii="Times New Roman" w:hAnsi="Times New Roman"/>
                <w:b/>
                <w:i/>
                <w:iCs/>
                <w:color w:val="000000" w:themeColor="text1"/>
                <w:sz w:val="24"/>
              </w:rPr>
              <w:t>CET</w:t>
            </w:r>
            <w:r>
              <w:rPr>
                <w:rFonts w:ascii="Times New Roman" w:hAnsi="Times New Roman"/>
                <w:b/>
                <w:color w:val="000000" w:themeColor="text1"/>
                <w:sz w:val="24"/>
              </w:rPr>
              <w: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Regulas (ES) Nr. 575/2013 50. pants</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CET</w:t>
            </w:r>
            <w:r>
              <w:rPr>
                <w:rFonts w:ascii="Times New Roman" w:hAnsi="Times New Roman"/>
                <w:color w:val="000000" w:themeColor="text1"/>
                <w:sz w:val="24"/>
              </w:rPr>
              <w:t>1 kapitāls attiecīgā gadījumā individuālā vai konsolidētā līmenī saskaņā ar Regulas (ES) Nr. 575/2013 50. pantu.</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i/>
                <w:iCs/>
                <w:sz w:val="24"/>
              </w:rPr>
              <w:t>EU</w:t>
            </w:r>
            <w:r>
              <w:rPr>
                <w:rFonts w:ascii="Times New Roman" w:hAnsi="Times New Roman"/>
                <w:sz w:val="24"/>
              </w:rPr>
              <w:t>-4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Atbilstīgs pirmā līmeņa papildu kapitāls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Regulas (ES) Nr. 575/2013 61. pants</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sz w:val="24"/>
              </w:rPr>
              <w:t xml:space="preserve">Pirmā līmeņa papildu kapitāla instrumentus </w:t>
            </w:r>
            <w:r>
              <w:rPr>
                <w:rStyle w:val="FormatvorlageInstructionsTabelleText"/>
                <w:rFonts w:ascii="Times New Roman" w:hAnsi="Times New Roman"/>
                <w:sz w:val="24"/>
              </w:rPr>
              <w:t>ņem vērā tikai tad, ja tie atbilst kritērijiem, kas noteikti Regulas (ES)</w:t>
            </w:r>
            <w:r>
              <w:rPr>
                <w:rFonts w:ascii="Times New Roman" w:hAnsi="Times New Roman"/>
                <w:sz w:val="24"/>
              </w:rPr>
              <w:t xml:space="preserve"> Nr. 575/2013 92.b pantā un Direktīvas 2014/59/ES 45.f panta 2. punkta b) apakšpunkta ii) punktā.</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sidRPr="008C3496">
              <w:rPr>
                <w:rStyle w:val="FormatvorlageInstructionsTabelleText"/>
                <w:rFonts w:ascii="Times New Roman" w:hAnsi="Times New Roman"/>
                <w:sz w:val="24"/>
                <w:szCs w:val="24"/>
              </w:rPr>
              <w:t xml:space="preserve">Iekšējās </w:t>
            </w:r>
            <w:r w:rsidRPr="008C3496">
              <w:rPr>
                <w:rStyle w:val="FormatvorlageInstructionsTabelleText"/>
                <w:rFonts w:ascii="Times New Roman" w:hAnsi="Times New Roman"/>
                <w:i/>
                <w:iCs/>
                <w:sz w:val="24"/>
                <w:szCs w:val="24"/>
              </w:rPr>
              <w:t>MREL</w:t>
            </w:r>
            <w:r w:rsidRPr="008C3496">
              <w:rPr>
                <w:rStyle w:val="FormatvorlageInstructionsTabelleText"/>
                <w:rFonts w:ascii="Times New Roman" w:hAnsi="Times New Roman"/>
                <w:sz w:val="24"/>
                <w:szCs w:val="24"/>
              </w:rPr>
              <w:t xml:space="preserve"> gadījumā Direktīvas 2014/59/ES 89. panta 2. punkta ceturtajā daļā minētos instrumentus iekļauj, ja ir piemērojams minētais punkts. Instrumentus, ko reglamentē trešās valsts tiesību akti, iekļauj tikai tad, ja tie atbilst Direktīvas 2014/59/ES 55. pantā noteiktajām</w:t>
            </w:r>
            <w:r>
              <w:rPr>
                <w:rStyle w:val="FormatvorlageInstructionsTabelleText"/>
                <w:rFonts w:ascii="Times New Roman" w:hAnsi="Times New Roman"/>
                <w:sz w:val="24"/>
              </w:rPr>
              <w:t xml:space="preserve"> prasībām.</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lastRenderedPageBreak/>
              <w:t>EU</w:t>
            </w:r>
            <w:r>
              <w:rPr>
                <w:rFonts w:ascii="Times New Roman" w:hAnsi="Times New Roman"/>
                <w:color w:val="000000" w:themeColor="text1"/>
                <w:sz w:val="24"/>
              </w:rPr>
              <w:t>-5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Atbilstīgs otrā līmeņa kapitāls</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Regulas (ES) Nr. 575/2013 71. pants </w:t>
            </w:r>
          </w:p>
          <w:p w14:paraId="3807E78A" w14:textId="1358321A" w:rsidR="005D18F8" w:rsidRPr="008C3496" w:rsidRDefault="002924A2" w:rsidP="00282ED2">
            <w:pPr>
              <w:rPr>
                <w:rFonts w:ascii="Times New Roman" w:hAnsi="Times New Roman" w:cs="Times New Roman"/>
                <w:noProof/>
                <w:color w:val="000000" w:themeColor="text1"/>
                <w:sz w:val="24"/>
                <w:szCs w:val="24"/>
              </w:rPr>
            </w:pPr>
            <w:r w:rsidRPr="008C3496">
              <w:rPr>
                <w:rFonts w:ascii="Times New Roman" w:hAnsi="Times New Roman" w:cs="Times New Roman"/>
                <w:sz w:val="24"/>
                <w:szCs w:val="24"/>
              </w:rPr>
              <w:t xml:space="preserve">Otrā līmeņa papildu kapitāla instrumentus </w:t>
            </w:r>
            <w:r w:rsidRPr="008C3496">
              <w:rPr>
                <w:rStyle w:val="FormatvorlageInstructionsTabelleText"/>
                <w:rFonts w:ascii="Times New Roman" w:hAnsi="Times New Roman"/>
                <w:sz w:val="24"/>
                <w:szCs w:val="24"/>
              </w:rPr>
              <w:t>ņem vērā tikai tad, ja tie atbilst kritērijiem, kas noteikti Regulas (ES)</w:t>
            </w:r>
            <w:r w:rsidRPr="008C3496">
              <w:rPr>
                <w:rFonts w:ascii="Times New Roman" w:hAnsi="Times New Roman" w:cs="Times New Roman"/>
                <w:sz w:val="24"/>
                <w:szCs w:val="24"/>
              </w:rPr>
              <w:t xml:space="preserve"> Nr. 575/2013 92.b pantā un Direktīvas 2014/59/ES 45.f panta 2. punkta b) apakšpunkta ii) punktā.</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Pr>
              <w:t xml:space="preserve">Iekšējās </w:t>
            </w:r>
            <w:r>
              <w:rPr>
                <w:rStyle w:val="FormatvorlageInstructionsTabelleText"/>
                <w:i/>
                <w:iCs/>
              </w:rPr>
              <w:t>MREL</w:t>
            </w:r>
            <w:r>
              <w:rPr>
                <w:rStyle w:val="FormatvorlageInstructionsTabelleText"/>
              </w:rPr>
              <w:t xml:space="preserve"> gadījumā Direktīvas 2014/59/ES 89. panta 2. punkta ceturtajā daļā minētos instrumentus iekļauj, ja ir piemērojams minētais punkts.</w:t>
            </w:r>
            <w:r>
              <w:rPr>
                <w:rStyle w:val="FormatvorlageInstructionsTabelleText"/>
                <w:rFonts w:ascii="Times New Roman" w:hAnsi="Times New Roman"/>
                <w:sz w:val="24"/>
              </w:rPr>
              <w:t xml:space="preserve"> Instrumentus, ko reglamentē trešās valsts tiesību akti, iekļauj tikai tad, ja tie atbilst Direktīvas 2014/59/ES 55. pantā noteiktajām prasībām.</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Atbilstīgs pašu kapitāls</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i/>
                <w:iCs/>
                <w:sz w:val="24"/>
              </w:rPr>
              <w:t>CET</w:t>
            </w:r>
            <w:r>
              <w:rPr>
                <w:rStyle w:val="FormatvorlageInstructionsTabelleText"/>
                <w:rFonts w:ascii="Times New Roman" w:hAnsi="Times New Roman"/>
                <w:sz w:val="24"/>
              </w:rPr>
              <w:t>1 kapitāla, atbilstīga pirmā līmeņa papildu kapitāla un atbilstīga otrā līmeņa kapitāla summa.</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Atbilstīgās saistības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 xml:space="preserve">Iekšējā </w:t>
            </w:r>
            <w:r>
              <w:rPr>
                <w:rFonts w:ascii="Times New Roman" w:hAnsi="Times New Roman"/>
                <w:color w:val="000000" w:themeColor="text1"/>
                <w:sz w:val="24"/>
              </w:rPr>
              <w:t>MREL</w:t>
            </w:r>
          </w:p>
          <w:p w14:paraId="17E7EEB4" w14:textId="3FD297AB" w:rsidR="00F42DCD" w:rsidRPr="008C3496" w:rsidRDefault="00CC7310" w:rsidP="00F42DCD">
            <w:pPr>
              <w:rPr>
                <w:rFonts w:ascii="Times New Roman" w:hAnsi="Times New Roman" w:cs="Times New Roman"/>
                <w:noProof/>
                <w:color w:val="000000" w:themeColor="text1"/>
                <w:sz w:val="24"/>
                <w:szCs w:val="24"/>
              </w:rPr>
            </w:pPr>
            <w:r w:rsidRPr="008C3496">
              <w:rPr>
                <w:rFonts w:ascii="Times New Roman" w:hAnsi="Times New Roman" w:cs="Times New Roman"/>
                <w:sz w:val="24"/>
                <w:szCs w:val="24"/>
              </w:rPr>
              <w:t xml:space="preserve">Atbilstīgās saistības, kas atbilst Direktīvas 2014/59/ES 45.f panta 2. punktā izklāstītajiem nosacījumiem, </w:t>
            </w:r>
            <w:r w:rsidRPr="008C3496">
              <w:rPr>
                <w:rStyle w:val="InstructionsTabelleberschrift"/>
                <w:rFonts w:ascii="Times New Roman" w:hAnsi="Times New Roman"/>
                <w:b w:val="0"/>
                <w:sz w:val="24"/>
                <w:szCs w:val="24"/>
                <w:u w:val="none"/>
              </w:rPr>
              <w:t>attiecīgā gadījumā ņemot vērā arī minētās direktīvas 89. panta 2. punkta</w:t>
            </w:r>
            <w:r w:rsidRPr="008C3496">
              <w:rPr>
                <w:rFonts w:ascii="Times New Roman" w:hAnsi="Times New Roman" w:cs="Times New Roman"/>
                <w:sz w:val="24"/>
                <w:szCs w:val="24"/>
              </w:rPr>
              <w:t xml:space="preserve"> </w:t>
            </w:r>
            <w:r w:rsidRPr="008C3496">
              <w:rPr>
                <w:rStyle w:val="FormatvorlageInstructionsTabelleText"/>
                <w:rFonts w:ascii="Times New Roman" w:hAnsi="Times New Roman"/>
                <w:sz w:val="24"/>
                <w:szCs w:val="24"/>
              </w:rPr>
              <w:t>ceturto daļu.</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Attiecībā uz instrumentiem, ko reglamentē trešās valsts tiesību akti, instrumentu šajā rindā iekļauj tikai tad, ja tas atbilst Direktīvas 2014/59/ES 55. pantā noteiktajām prasībām.</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Style w:val="FormatvorlageInstructionsTabelleText"/>
                <w:rFonts w:ascii="Times New Roman" w:hAnsi="Times New Roman"/>
                <w:sz w:val="24"/>
              </w:rPr>
              <w:t xml:space="preserve">Ja meitasuzņēmuma noregulējuma iestāde atļauj vienībai izpildīt iekšējo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xml:space="preserve"> ar garantijām, šajā rindā iekļauj arī garantiju summu, ko sniedz noregulējuma vienība un kas atbilst visiem Direktīvas 2014/59/ES 45.f panta 5. punkta </w:t>
            </w:r>
            <w:proofErr w:type="spellStart"/>
            <w:r>
              <w:rPr>
                <w:rStyle w:val="FormatvorlageInstructionsTabelleText"/>
                <w:rFonts w:ascii="Times New Roman" w:hAnsi="Times New Roman"/>
                <w:sz w:val="24"/>
              </w:rPr>
              <w:t>nosacījumiem.</w:t>
            </w:r>
            <w:r>
              <w:rPr>
                <w:rFonts w:ascii="Times New Roman" w:hAnsi="Times New Roman"/>
                <w:i/>
                <w:iCs/>
                <w:sz w:val="24"/>
              </w:rPr>
              <w:t>Iekšējā</w:t>
            </w:r>
            <w:proofErr w:type="spellEnd"/>
            <w:r>
              <w:rPr>
                <w:rFonts w:ascii="Times New Roman" w:hAnsi="Times New Roman"/>
                <w:i/>
                <w:iCs/>
                <w:sz w:val="24"/>
              </w:rPr>
              <w:t xml:space="preserve"> </w:t>
            </w:r>
            <w:r>
              <w:rPr>
                <w:rFonts w:ascii="Times New Roman" w:hAnsi="Times New Roman"/>
                <w:sz w:val="24"/>
              </w:rPr>
              <w:t>TLAC</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Atbilstīgo saistību summu aprēķina saskaņā ar Regulas (ES) Nr. 575/2013 72.k pantu, ja šīs saistības atbilst minētās regulas 92.b panta 2. punktā izklāstītajiem nosacījumiem.</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Atbilstīgās saistības - tostarp atļautās garantijas</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 xml:space="preserve">Ja meitasuzņēmuma noregulējuma iestāde atļauj vienībai izpildīt iekšējo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xml:space="preserve"> ar garantijām, garantiju summa, ko sniedz noregulējuma vienība un kas atbilst visiem Direktīvas 2014/59/ES 45.f panta 5. punkta nosacījumiem.</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(Korekcijas)</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Negatīvā summa</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Šajā rindā atklāj informāciju par šādām korekcijām:</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lastRenderedPageBreak/>
              <w:t>Līdzdalības pašu kapitāla instrumentos un atbilstīgo saistību instrumentos, kas jāatskaita saskaņā ar Regulas (ES) Nr. 575/2013 72.e panta 5. punktu vai Direktīvas 2014/59/ES 45.c panta 2.a punkta piekto daļu</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Summas, uz kurām attiecas iepriekšēja atļauja atsaukt, dzēst, atmaksāt vai atpirkt pašu kapitāla instrumentus saskaņā ar Regulas (ES) Nr. 575/2013 78.a pantu, ciktāl pārskata sniedzēja vienība minēto summu vēl nav izmantojusi, lai atsauktu, dzēstu, atmaksātu vai atpirktu instrumentus (“iepriekšējas atļaujas neizmantotās summas”).</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lastRenderedPageBreak/>
              <w:t>EU</w:t>
            </w:r>
            <w:r>
              <w:rPr>
                <w:rFonts w:ascii="Times New Roman" w:hAnsi="Times New Roman"/>
                <w:color w:val="000000" w:themeColor="text1"/>
                <w:sz w:val="24"/>
              </w:rPr>
              <w:t>-9b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Pašu kapitāla un atbilstīgo saistību posteņi pēc korekcijām</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 xml:space="preserve">Iekšējā </w:t>
            </w:r>
            <w:r>
              <w:rPr>
                <w:rStyle w:val="FormatvorlageInstructionsTabelleText"/>
                <w:rFonts w:ascii="Times New Roman" w:hAnsi="Times New Roman"/>
                <w:sz w:val="24"/>
              </w:rPr>
              <w:t>MREL</w:t>
            </w:r>
          </w:p>
          <w:p w14:paraId="4FED8305" w14:textId="534AF772" w:rsidR="00547B2E" w:rsidRPr="0008623B" w:rsidRDefault="00F42DCD" w:rsidP="00F42DCD">
            <w:pPr>
              <w:rPr>
                <w:rStyle w:val="InstructionsTabelleberschrift"/>
                <w:rFonts w:ascii="Times New Roman" w:hAnsi="Times New Roman"/>
                <w:b w:val="0"/>
                <w:sz w:val="24"/>
                <w:u w:val="none"/>
              </w:rPr>
            </w:pPr>
            <w:r w:rsidRPr="008C3496">
              <w:rPr>
                <w:rStyle w:val="FormatvorlageInstructionsTabelleText"/>
                <w:rFonts w:ascii="Times New Roman" w:hAnsi="Times New Roman"/>
                <w:sz w:val="24"/>
                <w:szCs w:val="24"/>
              </w:rPr>
              <w:t xml:space="preserve">Atbilstīga pašu kapitāla un atbilstīgo saistību summa, neieskaitot korekcijas, kas ieskaitīta iekšējā </w:t>
            </w:r>
            <w:r w:rsidRPr="008C3496">
              <w:rPr>
                <w:rStyle w:val="FormatvorlageInstructionsTabelleText"/>
                <w:rFonts w:ascii="Times New Roman" w:hAnsi="Times New Roman"/>
                <w:i/>
                <w:iCs/>
                <w:sz w:val="24"/>
                <w:szCs w:val="24"/>
              </w:rPr>
              <w:t>MREL</w:t>
            </w:r>
            <w:r w:rsidRPr="008C3496">
              <w:rPr>
                <w:rStyle w:val="FormatvorlageInstructionsTabelleText"/>
                <w:rFonts w:ascii="Times New Roman" w:hAnsi="Times New Roman"/>
                <w:sz w:val="24"/>
                <w:szCs w:val="24"/>
              </w:rPr>
              <w:t>, kā izklāstīts Direktīvas 2014/59/ES</w:t>
            </w:r>
            <w:r w:rsidRPr="008C3496">
              <w:rPr>
                <w:rStyle w:val="InstructionsTabelleberschrift"/>
                <w:rFonts w:ascii="Times New Roman" w:hAnsi="Times New Roman"/>
                <w:b w:val="0"/>
                <w:sz w:val="24"/>
                <w:szCs w:val="24"/>
                <w:u w:val="none"/>
              </w:rPr>
              <w:t xml:space="preserve"> 45.f panta 2. punktā, attiecīgā gadījumā ņemot vērā arī minētās direktīvas</w:t>
            </w:r>
            <w:r w:rsidRPr="008C3496">
              <w:rPr>
                <w:rFonts w:ascii="Times New Roman" w:hAnsi="Times New Roman" w:cs="Times New Roman"/>
                <w:sz w:val="24"/>
                <w:szCs w:val="24"/>
              </w:rPr>
              <w:t xml:space="preserve"> 89. panta 2. punkta ceturto daļu.</w:t>
            </w:r>
            <w:r w:rsidRPr="008C3496">
              <w:rPr>
                <w:rStyle w:val="InstructionsTabelleberschrift"/>
                <w:rFonts w:ascii="Times New Roman" w:hAnsi="Times New Roman"/>
                <w:b w:val="0"/>
                <w:sz w:val="24"/>
                <w:szCs w:val="24"/>
                <w:u w:val="none"/>
              </w:rPr>
              <w:t xml:space="preserve"> Attiecībā uz instrumentiem, ko reglamentē trešās valsts tiesību akti, instrumentu šajā rindā iekļauj tikai tad, ja tas atbilst Direktīvas 2014/59/ES</w:t>
            </w:r>
            <w:r>
              <w:rPr>
                <w:rStyle w:val="InstructionsTabelleberschrift"/>
                <w:rFonts w:ascii="Times New Roman" w:hAnsi="Times New Roman"/>
                <w:b w:val="0"/>
                <w:sz w:val="24"/>
                <w:u w:val="none"/>
              </w:rPr>
              <w:t xml:space="preserve"> 55. pantā noteiktajām prasībām.</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 xml:space="preserve">Jāaprēķina kā </w:t>
            </w:r>
            <w:r>
              <w:rPr>
                <w:rFonts w:ascii="Times New Roman" w:hAnsi="Times New Roman"/>
                <w:i/>
                <w:iCs/>
                <w:color w:val="000000" w:themeColor="text1"/>
                <w:sz w:val="24"/>
              </w:rPr>
              <w:t>EU</w:t>
            </w:r>
            <w:r>
              <w:rPr>
                <w:rFonts w:ascii="Times New Roman" w:hAnsi="Times New Roman"/>
                <w:color w:val="000000" w:themeColor="text1"/>
                <w:sz w:val="24"/>
              </w:rPr>
              <w:t xml:space="preserve">-6. rinda plus </w:t>
            </w:r>
            <w:r>
              <w:rPr>
                <w:rFonts w:ascii="Times New Roman" w:hAnsi="Times New Roman"/>
                <w:i/>
                <w:iCs/>
                <w:color w:val="000000" w:themeColor="text1"/>
                <w:sz w:val="24"/>
              </w:rPr>
              <w:t>EU</w:t>
            </w:r>
            <w:r>
              <w:rPr>
                <w:rFonts w:ascii="Times New Roman" w:hAnsi="Times New Roman"/>
                <w:color w:val="000000" w:themeColor="text1"/>
                <w:sz w:val="24"/>
              </w:rPr>
              <w:t xml:space="preserve">-7. rinda, plus </w:t>
            </w:r>
            <w:r>
              <w:rPr>
                <w:rFonts w:ascii="Times New Roman" w:hAnsi="Times New Roman"/>
                <w:i/>
                <w:iCs/>
                <w:color w:val="000000" w:themeColor="text1"/>
                <w:sz w:val="24"/>
              </w:rPr>
              <w:t>EU</w:t>
            </w:r>
            <w:r>
              <w:rPr>
                <w:rFonts w:ascii="Times New Roman" w:hAnsi="Times New Roman"/>
                <w:color w:val="000000" w:themeColor="text1"/>
                <w:sz w:val="24"/>
              </w:rPr>
              <w:t>-9a. rinda.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 xml:space="preserve">Iekšējā </w:t>
            </w:r>
            <w:r>
              <w:rPr>
                <w:rStyle w:val="FormatvorlageInstructionsTabelleText"/>
                <w:rFonts w:ascii="Times New Roman" w:hAnsi="Times New Roman"/>
                <w:sz w:val="24"/>
              </w:rPr>
              <w:t>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Atbilstīgs pašu kapitāls un atbilstīgās saistības, kas ieskaitītas prasībā pašu kapitālam un atbilstīgajām saistībām attiecībā uz </w:t>
            </w:r>
            <w:proofErr w:type="spellStart"/>
            <w:r>
              <w:rPr>
                <w:rStyle w:val="FormatvorlageInstructionsTabelleText"/>
                <w:rFonts w:ascii="Times New Roman" w:hAnsi="Times New Roman"/>
                <w:sz w:val="24"/>
              </w:rPr>
              <w:t>ārpussavienības</w:t>
            </w:r>
            <w:proofErr w:type="spellEnd"/>
            <w:r>
              <w:rPr>
                <w:rStyle w:val="FormatvorlageInstructionsTabelleText"/>
                <w:rFonts w:ascii="Times New Roman" w:hAnsi="Times New Roman"/>
                <w:sz w:val="24"/>
              </w:rPr>
              <w:t xml:space="preserve"> G-SNI, kā noteikts Regulas (ES) Nr. 575/2013 92.b panta 2. punktā.</w:t>
            </w:r>
            <w:r>
              <w:rPr>
                <w:rFonts w:ascii="Times New Roman" w:hAnsi="Times New Roman"/>
                <w:color w:val="000000" w:themeColor="text1"/>
                <w:sz w:val="24"/>
              </w:rPr>
              <w:t xml:space="preserve"> Jāaprēķina kā </w:t>
            </w:r>
            <w:r>
              <w:rPr>
                <w:rFonts w:ascii="Times New Roman" w:hAnsi="Times New Roman"/>
                <w:i/>
                <w:iCs/>
                <w:color w:val="000000" w:themeColor="text1"/>
                <w:sz w:val="24"/>
              </w:rPr>
              <w:t>EU</w:t>
            </w:r>
            <w:r>
              <w:rPr>
                <w:rFonts w:ascii="Times New Roman" w:hAnsi="Times New Roman"/>
                <w:color w:val="000000" w:themeColor="text1"/>
                <w:sz w:val="24"/>
              </w:rPr>
              <w:t xml:space="preserve">-6. rinda plus </w:t>
            </w:r>
            <w:r>
              <w:rPr>
                <w:rFonts w:ascii="Times New Roman" w:hAnsi="Times New Roman"/>
                <w:i/>
                <w:iCs/>
                <w:color w:val="000000" w:themeColor="text1"/>
                <w:sz w:val="24"/>
              </w:rPr>
              <w:t>EU</w:t>
            </w:r>
            <w:r>
              <w:rPr>
                <w:rFonts w:ascii="Times New Roman" w:hAnsi="Times New Roman"/>
                <w:color w:val="000000" w:themeColor="text1"/>
                <w:sz w:val="24"/>
              </w:rPr>
              <w:t>-7. rinda.</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Kopējā riska darījumu vērtība (</w:t>
            </w:r>
            <w:r>
              <w:rPr>
                <w:rFonts w:ascii="Times New Roman" w:hAnsi="Times New Roman"/>
                <w:b/>
                <w:i/>
                <w:iCs/>
                <w:color w:val="000000" w:themeColor="text1"/>
                <w:sz w:val="24"/>
              </w:rPr>
              <w:t>TREA</w:t>
            </w:r>
            <w:r>
              <w:rPr>
                <w:rFonts w:ascii="Times New Roman" w:hAnsi="Times New Roman"/>
                <w:b/>
                <w:color w:val="000000" w:themeColor="text1"/>
                <w:sz w:val="24"/>
              </w:rPr>
              <w:t>)</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Atsevišķas vienības vai konsolidētās grupas kopējā riska darījumu vērtība tādā līmenī, kurā attiecīgā gadījumā prasības ir noteiktas saskaņā ar Regulas (ES) Nr. 575/2013 18. panta 1. punkta otro daļu.</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Šajā rindā uzrādītā kopējā riska darījumu vērtība ir kopējā riska darījumu vērtība, kas ir pamats, lai nodrošinātu atbilstību attiecīgi Direktīvas 2014/59/ES 45. pantā vai Regulas (ES) Nr. 575/2013 92.b pantā noteiktajām prasībām.</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Kopējās riska darījumu vērtības mērs (</w:t>
            </w:r>
            <w:r>
              <w:rPr>
                <w:rFonts w:ascii="Times New Roman" w:hAnsi="Times New Roman"/>
                <w:b/>
                <w:i/>
                <w:iCs/>
                <w:color w:val="000000" w:themeColor="text1"/>
                <w:sz w:val="24"/>
              </w:rPr>
              <w:t>TEM</w:t>
            </w:r>
            <w:r>
              <w:rPr>
                <w:rFonts w:ascii="Times New Roman" w:hAnsi="Times New Roman"/>
                <w:b/>
                <w:color w:val="000000" w:themeColor="text1"/>
                <w:sz w:val="24"/>
              </w:rPr>
              <w:t>)</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Atsevišķas vienības vai konsolidētās grupas kopējās riska darījumu vērtības mērs (sviras rādītāja saucējs) tādā līmenī, kurā attiecīgā gadījumā prasības ir noteiktas saskaņā ar Regulas (ES) Nr. 575/2013 429. panta 4. punktu un 429.a pantu.</w:t>
            </w:r>
          </w:p>
          <w:p w14:paraId="2DB81445" w14:textId="64886997" w:rsidR="008149F0" w:rsidRPr="008C3496" w:rsidRDefault="008149F0" w:rsidP="00B7091D">
            <w:pPr>
              <w:rPr>
                <w:rFonts w:ascii="Times New Roman" w:hAnsi="Times New Roman" w:cs="Times New Roman"/>
                <w:b/>
                <w:noProof/>
                <w:color w:val="000000" w:themeColor="text1"/>
                <w:sz w:val="24"/>
                <w:szCs w:val="24"/>
              </w:rPr>
            </w:pPr>
            <w:r w:rsidRPr="008C3496">
              <w:rPr>
                <w:rStyle w:val="FormatvorlageInstructionsTabelleText"/>
                <w:rFonts w:ascii="Times New Roman" w:hAnsi="Times New Roman"/>
                <w:sz w:val="24"/>
                <w:szCs w:val="24"/>
              </w:rPr>
              <w:lastRenderedPageBreak/>
              <w:t>Šajā rindā uzrādītais kopējās riska darījumu vērtības mērs ir kopējās riska darījumu vērtības mērs, kas ir pamats, lai nodrošinātu atbilstību attiecīgi Direktīvas 2014/59/ES 45. pantā vai Regulas (ES) Nr. 575/2013 92.a pantā noteiktajām prasībām.</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lastRenderedPageBreak/>
              <w:t>EU</w:t>
            </w:r>
            <w:r>
              <w:rPr>
                <w:rFonts w:ascii="Times New Roman" w:hAnsi="Times New Roman"/>
                <w:color w:val="000000" w:themeColor="text1"/>
                <w:sz w:val="24"/>
              </w:rPr>
              <w:t>-12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TREA</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Pašu kapitāla un atbilstīgo saistību attiecība kā procentuālā daļa no kopējās riska darījumu vērtības.</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Jāaprēķina, </w:t>
            </w:r>
            <w:r>
              <w:rPr>
                <w:rFonts w:ascii="Times New Roman" w:hAnsi="Times New Roman"/>
                <w:i/>
                <w:iCs/>
                <w:color w:val="000000" w:themeColor="text1"/>
                <w:sz w:val="24"/>
              </w:rPr>
              <w:t>EU</w:t>
            </w:r>
            <w:r>
              <w:rPr>
                <w:rFonts w:ascii="Times New Roman" w:hAnsi="Times New Roman"/>
                <w:color w:val="000000" w:themeColor="text1"/>
                <w:sz w:val="24"/>
              </w:rPr>
              <w:t xml:space="preserve">-9b. rindu dalot ar </w:t>
            </w:r>
            <w:r>
              <w:rPr>
                <w:rFonts w:ascii="Times New Roman" w:hAnsi="Times New Roman"/>
                <w:i/>
                <w:iCs/>
                <w:color w:val="000000" w:themeColor="text1"/>
                <w:sz w:val="24"/>
              </w:rPr>
              <w:t>EU</w:t>
            </w:r>
            <w:r>
              <w:rPr>
                <w:rFonts w:ascii="Times New Roman" w:hAnsi="Times New Roman"/>
                <w:color w:val="000000" w:themeColor="text1"/>
                <w:sz w:val="24"/>
              </w:rPr>
              <w:t>-10. rindu.</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TREA</w:t>
            </w:r>
            <w:r>
              <w:rPr>
                <w:rFonts w:ascii="Times New Roman" w:hAnsi="Times New Roman"/>
                <w:b/>
                <w:color w:val="000000" w:themeColor="text1"/>
                <w:sz w:val="24"/>
              </w:rPr>
              <w:t xml:space="preserve"> - tostarp atļautās garantijas</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Ja meitasuzņēmuma noregulējuma iestāde atļauj vienībai izpildīt iekšējo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xml:space="preserve"> ar garantijām, garantiju summa, ko sniedz</w:t>
            </w:r>
            <w:r>
              <w:rPr>
                <w:rFonts w:ascii="Times New Roman" w:hAnsi="Times New Roman"/>
                <w:sz w:val="24"/>
              </w:rPr>
              <w:t xml:space="preserve"> noregulējuma vienība un kas atbilst Direktīvas 2014/59/ES 45.f panta 5. punktā izklāstītajiem nosacījumiem, kā procentuālā daļa no kopējās riska darījumu vērtības.</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Jāaprēķina, </w:t>
            </w:r>
            <w:r>
              <w:rPr>
                <w:rFonts w:ascii="Times New Roman" w:hAnsi="Times New Roman"/>
                <w:i/>
                <w:iCs/>
                <w:color w:val="000000" w:themeColor="text1"/>
                <w:sz w:val="24"/>
              </w:rPr>
              <w:t>EU</w:t>
            </w:r>
            <w:r>
              <w:rPr>
                <w:rFonts w:ascii="Times New Roman" w:hAnsi="Times New Roman"/>
                <w:color w:val="000000" w:themeColor="text1"/>
                <w:sz w:val="24"/>
              </w:rPr>
              <w:t xml:space="preserve">-8. rindu dalot ar </w:t>
            </w:r>
            <w:r>
              <w:rPr>
                <w:rFonts w:ascii="Times New Roman" w:hAnsi="Times New Roman"/>
                <w:i/>
                <w:iCs/>
                <w:color w:val="000000" w:themeColor="text1"/>
                <w:sz w:val="24"/>
              </w:rPr>
              <w:t>EU</w:t>
            </w:r>
            <w:r>
              <w:rPr>
                <w:rFonts w:ascii="Times New Roman" w:hAnsi="Times New Roman"/>
                <w:color w:val="000000" w:themeColor="text1"/>
                <w:sz w:val="24"/>
              </w:rPr>
              <w:t>-10. rindu.</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TEM</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Pašu kapitāla un atbilstīgo saistību attiecība kā procentuālā daļa no kopējās riska darījumu vērtības mēra.</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Jāaprēķina, </w:t>
            </w:r>
            <w:r>
              <w:rPr>
                <w:rFonts w:ascii="Times New Roman" w:hAnsi="Times New Roman"/>
                <w:i/>
                <w:iCs/>
                <w:color w:val="000000" w:themeColor="text1"/>
                <w:sz w:val="24"/>
              </w:rPr>
              <w:t>EU</w:t>
            </w:r>
            <w:r>
              <w:rPr>
                <w:rFonts w:ascii="Times New Roman" w:hAnsi="Times New Roman"/>
                <w:color w:val="000000" w:themeColor="text1"/>
                <w:sz w:val="24"/>
              </w:rPr>
              <w:t xml:space="preserve">-9b. rindu dalot ar </w:t>
            </w:r>
            <w:r>
              <w:rPr>
                <w:rFonts w:ascii="Times New Roman" w:hAnsi="Times New Roman"/>
                <w:i/>
                <w:iCs/>
                <w:color w:val="000000" w:themeColor="text1"/>
                <w:sz w:val="24"/>
              </w:rPr>
              <w:t>EU</w:t>
            </w:r>
            <w:r>
              <w:rPr>
                <w:rFonts w:ascii="Times New Roman" w:hAnsi="Times New Roman"/>
                <w:color w:val="000000" w:themeColor="text1"/>
                <w:sz w:val="24"/>
              </w:rPr>
              <w:t>-11. rindu.</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Pašu kapitāls un atbilstīgās saistības kā procentuālā daļa no </w:t>
            </w:r>
            <w:r>
              <w:rPr>
                <w:rFonts w:ascii="Times New Roman" w:hAnsi="Times New Roman"/>
                <w:b/>
                <w:i/>
                <w:iCs/>
                <w:color w:val="000000" w:themeColor="text1"/>
                <w:sz w:val="24"/>
              </w:rPr>
              <w:t>TEM</w:t>
            </w:r>
            <w:r>
              <w:rPr>
                <w:rFonts w:ascii="Times New Roman" w:hAnsi="Times New Roman"/>
                <w:b/>
                <w:color w:val="000000" w:themeColor="text1"/>
                <w:sz w:val="24"/>
              </w:rPr>
              <w:t xml:space="preserve"> - tostarp atļautās garantijas</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Ja meitasuzņēmuma noregulējuma iestāde atļauj vienībai izpildīt iekšējo </w:t>
            </w:r>
            <w:r>
              <w:rPr>
                <w:rStyle w:val="FormatvorlageInstructionsTabelleText"/>
                <w:rFonts w:ascii="Times New Roman" w:hAnsi="Times New Roman"/>
                <w:i/>
                <w:iCs/>
                <w:sz w:val="24"/>
              </w:rPr>
              <w:t>MREL</w:t>
            </w:r>
            <w:r>
              <w:rPr>
                <w:rStyle w:val="FormatvorlageInstructionsTabelleText"/>
                <w:rFonts w:ascii="Times New Roman" w:hAnsi="Times New Roman"/>
                <w:sz w:val="24"/>
              </w:rPr>
              <w:t xml:space="preserve"> ar garantijām, garantiju summa,</w:t>
            </w:r>
            <w:r>
              <w:rPr>
                <w:rFonts w:ascii="Times New Roman" w:hAnsi="Times New Roman"/>
                <w:sz w:val="24"/>
              </w:rPr>
              <w:t xml:space="preserve"> ko sniedz noregulējuma vienība un kas atbilst Direktīvas 2014/59/ES 45.f panta 5. punktā izklāstītajiem nosacījumiem, kā procentuālā daļa no kopējās riska darījumu vērtības mēra.</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Jāaprēķina, </w:t>
            </w:r>
            <w:r>
              <w:rPr>
                <w:rFonts w:ascii="Times New Roman" w:hAnsi="Times New Roman"/>
                <w:i/>
                <w:iCs/>
                <w:color w:val="000000" w:themeColor="text1"/>
                <w:sz w:val="24"/>
              </w:rPr>
              <w:t>EU</w:t>
            </w:r>
            <w:r>
              <w:rPr>
                <w:rFonts w:ascii="Times New Roman" w:hAnsi="Times New Roman"/>
                <w:color w:val="000000" w:themeColor="text1"/>
                <w:sz w:val="24"/>
              </w:rPr>
              <w:t xml:space="preserve">-8. rindu dalot ar </w:t>
            </w:r>
            <w:r>
              <w:rPr>
                <w:rFonts w:ascii="Times New Roman" w:hAnsi="Times New Roman"/>
                <w:i/>
                <w:iCs/>
                <w:color w:val="000000" w:themeColor="text1"/>
                <w:sz w:val="24"/>
              </w:rPr>
              <w:t>EU</w:t>
            </w:r>
            <w:r>
              <w:rPr>
                <w:rFonts w:ascii="Times New Roman" w:hAnsi="Times New Roman"/>
                <w:color w:val="000000" w:themeColor="text1"/>
                <w:sz w:val="24"/>
              </w:rPr>
              <w:t>-11. rindu.</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i/>
                <w:iCs/>
                <w:color w:val="000000" w:themeColor="text1"/>
                <w:sz w:val="24"/>
              </w:rPr>
              <w:t>CET</w:t>
            </w:r>
            <w:r>
              <w:rPr>
                <w:rFonts w:ascii="Times New Roman" w:hAnsi="Times New Roman"/>
                <w:b/>
                <w:color w:val="000000" w:themeColor="text1"/>
                <w:sz w:val="24"/>
              </w:rPr>
              <w:t xml:space="preserve">1 (kā procentuālā daļa no </w:t>
            </w:r>
            <w:r>
              <w:rPr>
                <w:rFonts w:ascii="Times New Roman" w:hAnsi="Times New Roman"/>
                <w:b/>
                <w:i/>
                <w:iCs/>
                <w:color w:val="000000" w:themeColor="text1"/>
                <w:sz w:val="24"/>
              </w:rPr>
              <w:t>TREA</w:t>
            </w:r>
            <w:r>
              <w:rPr>
                <w:rFonts w:ascii="Times New Roman" w:hAnsi="Times New Roman"/>
                <w:b/>
                <w:color w:val="000000" w:themeColor="text1"/>
                <w:sz w:val="24"/>
              </w:rPr>
              <w:t>), kas pieejams pēc vienības prasību izpildes</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CET</w:t>
            </w:r>
            <w:r>
              <w:rPr>
                <w:rFonts w:ascii="Times New Roman" w:hAnsi="Times New Roman"/>
                <w:color w:val="000000" w:themeColor="text1"/>
                <w:sz w:val="24"/>
              </w:rPr>
              <w:t>1 summa, kas vienāda ar nulli vai ir pozitīva, pieejama pēc tam, kad ir izpildītas visas Direktīvas 2013/36/ES 141.a panta a), b) un c) punktā minētās prasības, un augstākā no šādām vērtībām:</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attiecīgā gadījumā </w:t>
            </w:r>
            <w:proofErr w:type="spellStart"/>
            <w:r>
              <w:rPr>
                <w:rFonts w:ascii="Times New Roman" w:hAnsi="Times New Roman"/>
                <w:color w:val="000000" w:themeColor="text1"/>
                <w:sz w:val="24"/>
              </w:rPr>
              <w:t>ārpussavienības</w:t>
            </w:r>
            <w:proofErr w:type="spellEnd"/>
            <w:r>
              <w:rPr>
                <w:rFonts w:ascii="Times New Roman" w:hAnsi="Times New Roman"/>
                <w:color w:val="000000" w:themeColor="text1"/>
                <w:sz w:val="24"/>
              </w:rPr>
              <w:t xml:space="preserve"> G-SNI prasība pašu kapitālam un atbilstīgajām saistībām saskaņā ar Regulas (ES) Nr. 575/2013 92.b pantu, ja tā aprēķināta saskaņā ar Regulas (ES) Nr. 575/2013 92.b panta 1. punktu kā 90 % no minētās regulas 92.a panta 1. punkta a) apakšpunktā noteiktās prasības, un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b) minimuma prasība pašu kapitālam un atbilstīgajām saistībām saskaņā ar Direktīvas 2014/59/ES 45.f pantu, ja to aprēķina saskaņā ar minētās direktīvas 45. panta 2. punkta a) apakšpunktu.</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Atklātais skaitlis ir identisks gan </w:t>
            </w:r>
            <w:r>
              <w:rPr>
                <w:rFonts w:ascii="Times New Roman" w:hAnsi="Times New Roman"/>
                <w:i/>
                <w:iCs/>
                <w:color w:val="000000" w:themeColor="text1"/>
                <w:sz w:val="24"/>
              </w:rPr>
              <w:t>MREL</w:t>
            </w:r>
            <w:r>
              <w:rPr>
                <w:rFonts w:ascii="Times New Roman" w:hAnsi="Times New Roman"/>
                <w:color w:val="000000" w:themeColor="text1"/>
                <w:sz w:val="24"/>
              </w:rPr>
              <w:t xml:space="preserve">, gan </w:t>
            </w:r>
            <w:r>
              <w:rPr>
                <w:rFonts w:ascii="Times New Roman" w:hAnsi="Times New Roman"/>
                <w:i/>
                <w:iCs/>
                <w:color w:val="000000" w:themeColor="text1"/>
                <w:sz w:val="24"/>
              </w:rPr>
              <w:t>TLAC</w:t>
            </w:r>
            <w:r>
              <w:rPr>
                <w:rFonts w:ascii="Times New Roman" w:hAnsi="Times New Roman"/>
                <w:color w:val="000000" w:themeColor="text1"/>
                <w:sz w:val="24"/>
              </w:rPr>
              <w:t xml:space="preserve"> slejās.</w:t>
            </w:r>
          </w:p>
          <w:p w14:paraId="6C9387A7" w14:textId="461089FB" w:rsidR="000C5255" w:rsidRPr="0008623B" w:rsidRDefault="00A47BCD" w:rsidP="00AA0676">
            <w:pPr>
              <w:rPr>
                <w:b/>
                <w:noProof/>
              </w:rPr>
            </w:pPr>
            <w:r>
              <w:rPr>
                <w:rFonts w:ascii="Times New Roman" w:hAnsi="Times New Roman"/>
                <w:color w:val="000000" w:themeColor="text1"/>
                <w:sz w:val="24"/>
              </w:rPr>
              <w:t>Tajā ņem vērā pārejas noteikumu ietekmi uz pašu kapitālu un atbilstīgajām saistībām, kopējo riska darījumu vērtību un pašām prasībām. Neņem vērā ne norādes par papildu pašu kapitālu, kā minēts Direktīvas 2013/36/ES 104.b pantā, ne minētās direktīvas 128. panta pirmās daļas 6) punktā minēto apvienoto rezervju prasību.</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lastRenderedPageBreak/>
              <w:t>EU</w:t>
            </w:r>
            <w:r>
              <w:rPr>
                <w:rFonts w:ascii="Times New Roman" w:hAnsi="Times New Roman"/>
                <w:color w:val="000000" w:themeColor="text1"/>
                <w:sz w:val="24"/>
              </w:rPr>
              <w:t>-17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Iestādes specifisko apvienoto rezervju prasība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Direktīvas 2013/36/ES 128. panta pirmās daļas 6) punktā definētā iestādes specifisko apvienoto rezervju prasība, kas izteikta kā procentuālā daļa no kopējās riska darījumu vērtības un kas piemērojama vienībai saskaņā ar Direktīvas 2013/36/ES 128. panta pirmās daļas 6) punktu.</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Prasība kas izteikta kā procentuālā daļa no </w:t>
            </w:r>
            <w:r>
              <w:rPr>
                <w:rFonts w:ascii="Times New Roman" w:hAnsi="Times New Roman"/>
                <w:b/>
                <w:i/>
                <w:iCs/>
                <w:color w:val="000000" w:themeColor="text1"/>
                <w:sz w:val="24"/>
              </w:rPr>
              <w:t>TREA</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 xml:space="preserve">Iekšējā </w:t>
            </w:r>
            <w:r>
              <w:rPr>
                <w:rFonts w:ascii="Times New Roman" w:hAnsi="Times New Roman"/>
                <w:sz w:val="24"/>
              </w:rPr>
              <w:t>MREL</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Prasība pašu kapitālam un atbilstīgajām saistībām, kas piemērojama vienībai saskaņā ar Direktīvas 2014/59/ES 45.f pantu un kas izteikta kā procentuālā daļa no kopējās riska darījumu vērtības (attiecīgā gadījumā individuālā vai konsolidētā līmenī)</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 xml:space="preserve">Iekšējā </w:t>
            </w:r>
            <w:r>
              <w:rPr>
                <w:rFonts w:ascii="Times New Roman" w:hAnsi="Times New Roman"/>
                <w:sz w:val="24"/>
              </w:rPr>
              <w:t>TLAC</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Prasība, kas noteikta Regulas (ES) Nr. 575/2013 92.b pantā un kas izteikta kā procentuālā daļa no kopējās riska darījumu vērtības (attiecīgā gadījumā individuālā vai konsolidētā līmenī).</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Prasība kas izteikta kā procentuālā daļa no </w:t>
            </w:r>
            <w:r>
              <w:rPr>
                <w:rFonts w:ascii="Times New Roman" w:hAnsi="Times New Roman"/>
                <w:b/>
                <w:i/>
                <w:iCs/>
                <w:color w:val="000000" w:themeColor="text1"/>
                <w:sz w:val="24"/>
              </w:rPr>
              <w:t>TREA</w:t>
            </w:r>
            <w:r>
              <w:rPr>
                <w:rFonts w:ascii="Times New Roman" w:hAnsi="Times New Roman"/>
                <w:b/>
                <w:color w:val="000000" w:themeColor="text1"/>
                <w:sz w:val="24"/>
              </w:rPr>
              <w:t xml:space="preserve"> - tostarp daļa no prasības, ko var izpildīt ar garantiju</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Attiecīgā gadījumā pašu kapitāla un atbilstīgo saistību daļa, kas izteikta kā procentuālā daļa no kopējās riska darījumu vērtības, kuru var izpildīt ar garantiju, ko noregulējuma vienība sniedz saskaņā ar Direktīvas saskaņā ar Direktīvas 2014/59/ES 45.f panta 5. punktu.</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t>EU</w:t>
            </w:r>
            <w:r>
              <w:rPr>
                <w:rFonts w:ascii="Times New Roman" w:hAnsi="Times New Roman"/>
                <w:color w:val="000000" w:themeColor="text1"/>
                <w:sz w:val="24"/>
              </w:rPr>
              <w:t>-20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Prasība kas izteikta kā procentuālā daļa no </w:t>
            </w:r>
            <w:r>
              <w:rPr>
                <w:rFonts w:ascii="Times New Roman" w:hAnsi="Times New Roman"/>
                <w:b/>
                <w:i/>
                <w:iCs/>
                <w:color w:val="000000" w:themeColor="text1"/>
                <w:sz w:val="24"/>
              </w:rPr>
              <w:t>TEM</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 xml:space="preserve">Iekšējā </w:t>
            </w:r>
            <w:r>
              <w:rPr>
                <w:rFonts w:ascii="Times New Roman" w:hAnsi="Times New Roman"/>
                <w:sz w:val="24"/>
              </w:rPr>
              <w:t>MREL</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 xml:space="preserve">Prasība pašu kapitālam un atbilstīgajām saistībām, kas piemērojama vienībai saskaņā ar Direktīvas 2014/59/ES 45.f pantu un kas izteikta kā procentuālā daļa no kopējās riska darījumu vērtības mēra (attiecīgā gadījumā individuālā vai konsolidētā ES </w:t>
            </w:r>
            <w:proofErr w:type="spellStart"/>
            <w:r>
              <w:rPr>
                <w:rFonts w:ascii="Times New Roman" w:hAnsi="Times New Roman"/>
                <w:sz w:val="24"/>
              </w:rPr>
              <w:t>mātesuzņēmuma</w:t>
            </w:r>
            <w:proofErr w:type="spellEnd"/>
            <w:r>
              <w:rPr>
                <w:rFonts w:ascii="Times New Roman" w:hAnsi="Times New Roman"/>
                <w:sz w:val="24"/>
              </w:rPr>
              <w:t xml:space="preserve"> līmenī)</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lastRenderedPageBreak/>
              <w:t xml:space="preserve">Iekšējā </w:t>
            </w:r>
            <w:r>
              <w:rPr>
                <w:rFonts w:ascii="Times New Roman" w:hAnsi="Times New Roman"/>
                <w:sz w:val="24"/>
              </w:rPr>
              <w:t>TLAC</w:t>
            </w:r>
            <w:r>
              <w:rPr>
                <w:rFonts w:ascii="Times New Roman" w:hAnsi="Times New Roman"/>
                <w:i/>
                <w:sz w:val="24"/>
              </w:rPr>
              <w:t xml:space="preserve">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Prasība, kas noteikta Regulas (ES) Nr. 575/2013 92.b pantā un kas izteikta kā procentuālā daļa no kopējās riska darījumu vērtības mēra (attiecīgā gadījumā individuālā vai konsolidētā līmenī).</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i/>
                <w:iCs/>
                <w:color w:val="000000" w:themeColor="text1"/>
                <w:sz w:val="24"/>
              </w:rPr>
              <w:lastRenderedPageBreak/>
              <w:t>EU</w:t>
            </w:r>
            <w:r>
              <w:rPr>
                <w:rFonts w:ascii="Times New Roman" w:hAnsi="Times New Roman"/>
                <w:color w:val="000000" w:themeColor="text1"/>
                <w:sz w:val="24"/>
              </w:rPr>
              <w:t>-21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Prasība kas izteikta kā procentuālā daļa no </w:t>
            </w:r>
            <w:r>
              <w:rPr>
                <w:rFonts w:ascii="Times New Roman" w:hAnsi="Times New Roman"/>
                <w:b/>
                <w:i/>
                <w:iCs/>
                <w:color w:val="000000" w:themeColor="text1"/>
                <w:sz w:val="24"/>
              </w:rPr>
              <w:t>TEM</w:t>
            </w:r>
            <w:r>
              <w:rPr>
                <w:rFonts w:ascii="Times New Roman" w:hAnsi="Times New Roman"/>
                <w:b/>
                <w:color w:val="000000" w:themeColor="text1"/>
                <w:sz w:val="24"/>
              </w:rPr>
              <w:t xml:space="preserve"> – tostarp daļa no prasības, ko var izpildīt ar garantiju</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Attiecīgā gadījumā pašu kapitāla un atbilstīgo saistību daļa, kas izteikta kā procentuālā daļa no kopējās riska darījumu vērtības mēra, kuru var izpildīt ar garantiju, ko noregulējuma vienība sniedz saskaņā ar Direktīvas saskaņā ar Direktīvas 2014/59/ES 45.f panta 5. punktu.</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i/>
                <w:iCs/>
                <w:sz w:val="24"/>
              </w:rPr>
              <w:t>EU</w:t>
            </w:r>
            <w:r>
              <w:rPr>
                <w:rFonts w:ascii="Times New Roman" w:hAnsi="Times New Roman"/>
                <w:sz w:val="24"/>
              </w:rPr>
              <w:t>-22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Izslēgto saistību, kas minētas Regulas (ES) Nr. 575/2013 72.a panta 2. punktā, kopsumma</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r>
      <w:r>
        <w:rPr>
          <w:rFonts w:ascii="Times New Roman" w:hAnsi="Times New Roman"/>
          <w:i/>
          <w:iCs/>
          <w:color w:val="auto"/>
          <w:sz w:val="24"/>
        </w:rPr>
        <w:t>EU TLAC</w:t>
      </w:r>
      <w:r>
        <w:rPr>
          <w:rFonts w:ascii="Times New Roman" w:hAnsi="Times New Roman"/>
          <w:color w:val="auto"/>
          <w:sz w:val="24"/>
        </w:rPr>
        <w:t xml:space="preserve">2: </w:t>
      </w:r>
      <w:r w:rsidRPr="008C3496">
        <w:rPr>
          <w:rFonts w:ascii="Times New Roman" w:hAnsi="Times New Roman" w:cs="Times New Roman"/>
          <w:color w:val="auto"/>
          <w:sz w:val="24"/>
          <w:szCs w:val="24"/>
        </w:rPr>
        <w:t>Kreditoru prioritāte - vienības, kas pašas nav noregulējuma vienības</w:t>
      </w:r>
      <w:bookmarkEnd w:id="230"/>
      <w:bookmarkEnd w:id="231"/>
      <w:bookmarkEnd w:id="232"/>
    </w:p>
    <w:p w14:paraId="7A03C7D5" w14:textId="52B10ED1" w:rsidR="00EE122D" w:rsidRPr="0008623B" w:rsidRDefault="00EE122D" w:rsidP="00B62DC9">
      <w:pPr>
        <w:pStyle w:val="InstructionsText2"/>
        <w:numPr>
          <w:ilvl w:val="0"/>
          <w:numId w:val="12"/>
        </w:numPr>
      </w:pPr>
      <w:r>
        <w:t xml:space="preserve">Veidnē </w:t>
      </w:r>
      <w:r>
        <w:rPr>
          <w:i/>
          <w:iCs/>
        </w:rPr>
        <w:t>EU TLAC</w:t>
      </w:r>
      <w:r>
        <w:t>2 iekļauto informāciju atklāj atsevišķās vienības līmenī.</w:t>
      </w:r>
    </w:p>
    <w:p w14:paraId="37B5040A" w14:textId="241394B6" w:rsidR="00D76A01" w:rsidRPr="0008623B" w:rsidRDefault="00D76A01" w:rsidP="00B62DC9">
      <w:pPr>
        <w:pStyle w:val="InstructionsText2"/>
        <w:numPr>
          <w:ilvl w:val="0"/>
          <w:numId w:val="12"/>
        </w:numPr>
      </w:pPr>
      <w:r>
        <w:t xml:space="preserve">Veidne </w:t>
      </w:r>
      <w:r>
        <w:rPr>
          <w:i/>
          <w:iCs/>
        </w:rPr>
        <w:t>EU TLAC</w:t>
      </w:r>
      <w:r>
        <w:t xml:space="preserve">2 pastāv divās versijās – </w:t>
      </w:r>
      <w:r>
        <w:rPr>
          <w:i/>
          <w:iCs/>
        </w:rPr>
        <w:t>EU TLAC</w:t>
      </w:r>
      <w:r>
        <w:t xml:space="preserve">2a un </w:t>
      </w:r>
      <w:r>
        <w:rPr>
          <w:i/>
          <w:iCs/>
        </w:rPr>
        <w:t>EU TLAC</w:t>
      </w:r>
      <w:r>
        <w:t xml:space="preserve">2b. </w:t>
      </w:r>
      <w:r>
        <w:rPr>
          <w:i/>
          <w:iCs/>
        </w:rPr>
        <w:t>TLAC</w:t>
      </w:r>
      <w:r>
        <w:t xml:space="preserve">2a aptver visu finansējumu, kas ir līdzvērtīgs vai zemākas prioritātes attiecībā uz </w:t>
      </w:r>
      <w:r>
        <w:rPr>
          <w:i/>
          <w:iCs/>
        </w:rPr>
        <w:t>MREL</w:t>
      </w:r>
      <w:r>
        <w:t xml:space="preserve"> atbilstīgiem instrumentiem, tostarp pašu kapitālu un citiem kapitāla instrumentiem. </w:t>
      </w:r>
      <w:r>
        <w:rPr>
          <w:i/>
          <w:iCs/>
        </w:rPr>
        <w:t>EU TLAC</w:t>
      </w:r>
      <w:r>
        <w:t>2b aptver tikai pašu kapitālu un saistības, kas ir atbilstīgas, lai izpildītu Direktīvas 2014/59/ES 45. pantā noteikto prasību saskaņā ar minētās direktīvas 45.f pantu.</w:t>
      </w:r>
    </w:p>
    <w:p w14:paraId="51E3EFB7" w14:textId="5F05BD0B" w:rsidR="00410769" w:rsidRPr="0008623B" w:rsidRDefault="00410769" w:rsidP="00B62DC9">
      <w:pPr>
        <w:pStyle w:val="InstructionsText2"/>
        <w:numPr>
          <w:ilvl w:val="0"/>
          <w:numId w:val="12"/>
        </w:numPr>
      </w:pPr>
      <w:r>
        <w:t xml:space="preserve">Saskaņā ar šīs regulas 13. panta 2. punktu vienības, uz kurām neattiecas pienākums izpildīt Regulas (ES) Nr. 575/2013 92.b panta prasību, bet uz kurām saskaņā ar Direktīvas 2014/59/ES 45.f pantu attiecas pienākums izpildīt minētās direktīvas 45. panta prasību, var izvēlēties, vai tās izmanto </w:t>
      </w:r>
      <w:r>
        <w:rPr>
          <w:i/>
          <w:iCs/>
        </w:rPr>
        <w:t>EU TLAC</w:t>
      </w:r>
      <w:r>
        <w:t xml:space="preserve">2a vai </w:t>
      </w:r>
      <w:r>
        <w:rPr>
          <w:i/>
          <w:iCs/>
        </w:rPr>
        <w:t>EU TLAC</w:t>
      </w:r>
      <w:r>
        <w:t>2b, lai izpildītu Direktīvas 2014/59/ES 45.i panta 3. punkta b) apakšpunktā noteikto informācijas atklāšanas prasību.</w:t>
      </w:r>
    </w:p>
    <w:p w14:paraId="0E950EC5" w14:textId="2D041687" w:rsidR="00510C0E" w:rsidRPr="0008623B" w:rsidRDefault="0071460A" w:rsidP="00B62DC9">
      <w:pPr>
        <w:pStyle w:val="InstructionsText2"/>
        <w:numPr>
          <w:ilvl w:val="0"/>
          <w:numId w:val="12"/>
        </w:numPr>
      </w:pPr>
      <w:r>
        <w:t>No Direktīvas 2014/59/ES 45.i panta 3. punkta piemērošanas dienas emitentvienības TLAC2a veidnē atklāj informāciju par saistībām, kas potenciāli ir atbilstīgas iekšējās MREL un iekšējās TLAC prasību izpildei. Pirms minētā datuma emitentvienības atklāj informāciju par saistībām, kas ir potenciāli atbilstīgas iekšējās TLAC prasības izpildei.</w:t>
      </w:r>
    </w:p>
    <w:p w14:paraId="6CD2E5E7" w14:textId="10E10F4A" w:rsidR="00134FA4" w:rsidRPr="0008623B" w:rsidRDefault="00134FA4" w:rsidP="00B62DC9">
      <w:pPr>
        <w:pStyle w:val="InstructionsText2"/>
        <w:numPr>
          <w:ilvl w:val="0"/>
          <w:numId w:val="12"/>
        </w:numPr>
      </w:pPr>
      <w:r>
        <w:t>Nesamaksātās summas, kas minētas rindās, ir jāsadala maksātnespējas pakāpēs, pamatojoties uz emitentvienības maksātnespējas tiesību aktiem, neatkarīgi no instrumentu reglamentējošiem tiesību aktiem.</w:t>
      </w:r>
    </w:p>
    <w:p w14:paraId="0B0B9A5D" w14:textId="25143FFC" w:rsidR="00134FA4" w:rsidRPr="0008623B" w:rsidRDefault="00522875" w:rsidP="00B62DC9">
      <w:pPr>
        <w:pStyle w:val="InstructionsText2"/>
        <w:numPr>
          <w:ilvl w:val="0"/>
          <w:numId w:val="12"/>
        </w:numPr>
      </w:pPr>
      <w:r>
        <w:t>Maksātnespējas pakāpes ir tās, par kurām kompetentā noregulējuma iestāde paziņojusi saskaņā ar standartizēto izklāstu, kas norādīts šīs regulas 8. pantā.</w:t>
      </w:r>
    </w:p>
    <w:p w14:paraId="572D872C" w14:textId="35C5457F" w:rsidR="00134FA4" w:rsidRPr="0008623B" w:rsidRDefault="00134FA4" w:rsidP="00B62DC9">
      <w:pPr>
        <w:pStyle w:val="InstructionsText2"/>
        <w:numPr>
          <w:ilvl w:val="0"/>
          <w:numId w:val="12"/>
        </w:numPr>
      </w:pPr>
      <w:r>
        <w:lastRenderedPageBreak/>
        <w:t xml:space="preserve">Pakāpes norāda, sākot no viszemākās prioritātes līdz pat augstākajai prioritātei. Līdz brīdim, kad tiek atklāta informācija par visaugstākās prioritātes potenciāli atbilstīgajiem instrumentiem, ir jāpievieno slejas par pakāpēm. </w:t>
      </w:r>
    </w:p>
    <w:p w14:paraId="451EEEC0" w14:textId="6C07DCB8" w:rsidR="00134FA4" w:rsidRPr="0008623B" w:rsidRDefault="00134FA4" w:rsidP="00B62DC9">
      <w:pPr>
        <w:pStyle w:val="InstructionsText2"/>
        <w:numPr>
          <w:ilvl w:val="0"/>
          <w:numId w:val="12"/>
        </w:numPr>
      </w:pPr>
      <w:r>
        <w:t>Summa, kas attiecināma uz katru pakāpi, ir sīkāk sadalīta summās, kas pieder noregulējuma vienībai, tostarp summas, kas noregulējuma vienībai attiecīgā gadījumā pieder tieši vai netieši ar vienību starpniecību visā īpašumtiesību ķēdē; un attiecīgā gadījumā citas summas, kas nepieder noregulējuma vienībai. Katras rindas kopējo summu ieraksta katras rindas pēdējā slejā.</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Rindas</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Atsauces uz tiesību aktu noteikumiem un norādījumi</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Tukša kopa </w:t>
            </w:r>
            <w:r>
              <w:rPr>
                <w:rFonts w:ascii="Times New Roman" w:hAnsi="Times New Roman"/>
                <w:b/>
                <w:i/>
                <w:iCs/>
                <w:color w:val="000000" w:themeColor="text1"/>
                <w:sz w:val="24"/>
              </w:rPr>
              <w:t>EU</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Maksātnespējas pakāpju apraksts (brīvs teksts)</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Maksātnespējas pakāpju skaits (n) kreditoru hierarhijā būs atkarīgs no </w:t>
            </w:r>
            <w:proofErr w:type="spellStart"/>
            <w:r>
              <w:rPr>
                <w:color w:val="000000" w:themeColor="text1"/>
              </w:rPr>
              <w:t>emitentvienības</w:t>
            </w:r>
            <w:proofErr w:type="spellEnd"/>
            <w:r>
              <w:rPr>
                <w:color w:val="000000" w:themeColor="text1"/>
              </w:rPr>
              <w:t xml:space="preserve"> saistību kopuma. Aprakstā būtu jāiekļauj to prasījumu veidu precizējums, kuri ir maksātnespējas pakāpē (piemēram, </w:t>
            </w:r>
            <w:r>
              <w:rPr>
                <w:i/>
                <w:iCs/>
                <w:color w:val="000000" w:themeColor="text1"/>
              </w:rPr>
              <w:t>CET</w:t>
            </w:r>
            <w:r>
              <w:rPr>
                <w:color w:val="000000" w:themeColor="text1"/>
              </w:rPr>
              <w:t xml:space="preserve">1, </w:t>
            </w:r>
            <w:r>
              <w:rPr>
                <w:i/>
                <w:iCs/>
                <w:color w:val="000000" w:themeColor="text1"/>
              </w:rPr>
              <w:t>T</w:t>
            </w:r>
            <w:r>
              <w:rPr>
                <w:color w:val="000000" w:themeColor="text1"/>
              </w:rPr>
              <w:t xml:space="preserve">2 instrumenti). </w:t>
            </w:r>
          </w:p>
          <w:p w14:paraId="22A60804" w14:textId="5BBC2F70" w:rsidR="000C3B9F" w:rsidRPr="0008623B" w:rsidRDefault="000C3B9F" w:rsidP="00331959">
            <w:pPr>
              <w:pStyle w:val="Applicationdirecte"/>
              <w:spacing w:before="120"/>
              <w:rPr>
                <w:b/>
                <w:color w:val="000000" w:themeColor="text1"/>
                <w:szCs w:val="24"/>
              </w:rPr>
            </w:pPr>
            <w:r>
              <w:t>Ir viena sleja par katru maksātnespējas pakāpi, ja summu pilnībā tur noregulējuma vienība, tostarp summas, kas noregulējuma vienībai attiecīgā gadījumā pieder tieši vai netieši ar vienību starpniecību visā īpašumtiesību ķēdē, un otra sleja, kurā daļu no summas katrā pakāpē tur arī īpašnieki, kas nav noregulējuma vienība.</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Saistības un pašu kapitāls</w:t>
            </w:r>
          </w:p>
          <w:p w14:paraId="4216384F" w14:textId="0D31DC4A" w:rsidR="000C3B9F" w:rsidRPr="0008623B" w:rsidRDefault="00BB21F0" w:rsidP="00AA4A01">
            <w:pPr>
              <w:pStyle w:val="Applicationdirecte"/>
              <w:spacing w:before="120"/>
              <w:rPr>
                <w:color w:val="000000" w:themeColor="text1"/>
              </w:rPr>
            </w:pPr>
            <w:r>
              <w:rPr>
                <w:color w:val="000000" w:themeColor="text1"/>
              </w:rPr>
              <w:t>Pašu kapitāla, atbilstīgo saistību un saistību, kas ir zemākas vai līdzvērtīgas pašu kapitālam vai atbilstīgajām saistībām, summa.</w:t>
            </w:r>
          </w:p>
          <w:p w14:paraId="1B0E819E" w14:textId="77777777" w:rsidR="00BB21F0" w:rsidRPr="0008623B" w:rsidRDefault="00BB21F0" w:rsidP="00AA4A01">
            <w:pPr>
              <w:pStyle w:val="Applicationdirecte"/>
              <w:spacing w:before="120"/>
              <w:rPr>
                <w:color w:val="000000" w:themeColor="text1"/>
              </w:rPr>
            </w:pPr>
            <w:r>
              <w:rPr>
                <w:color w:val="000000" w:themeColor="text1"/>
              </w:rPr>
              <w:t xml:space="preserve">Tas ietver arī no iekšējās </w:t>
            </w:r>
            <w:proofErr w:type="spellStart"/>
            <w:r>
              <w:rPr>
                <w:color w:val="000000" w:themeColor="text1"/>
              </w:rPr>
              <w:t>rekapitalizācijas</w:t>
            </w:r>
            <w:proofErr w:type="spellEnd"/>
            <w:r>
              <w:rPr>
                <w:color w:val="000000" w:themeColor="text1"/>
              </w:rPr>
              <w:t xml:space="preserve"> izslēgtās saistības</w:t>
            </w:r>
          </w:p>
          <w:p w14:paraId="5A7B82DD" w14:textId="368405A5" w:rsidR="008907A6" w:rsidRPr="0008623B" w:rsidRDefault="00410769" w:rsidP="005F391D">
            <w:pPr>
              <w:pStyle w:val="Fait"/>
            </w:pPr>
            <w:r>
              <w:t xml:space="preserve">Šī rinda nav piemērojama veidnē </w:t>
            </w:r>
            <w:r>
              <w:rPr>
                <w:i/>
                <w:iCs/>
              </w:rPr>
              <w:t>EU TLAC</w:t>
            </w:r>
            <w:r>
              <w:t>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Saistības un pašu kapitāls - no kā izslēgtās saistības</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To saistību sadalījums, kas izslēgtas saskaņā ar Regulas (ES) Nr. 575/2013 72.a panta 2 punktu vai Direktīvas 2014/59/ES 44. panta 2. punktu un attiecīgā gadījumā Direktīvas 2014/59/ES 44. panta 3. punktu.</w:t>
            </w:r>
          </w:p>
          <w:p w14:paraId="182D9647" w14:textId="5AEB0362" w:rsidR="008907A6" w:rsidRPr="0008623B" w:rsidRDefault="00410769" w:rsidP="005F391D">
            <w:pPr>
              <w:pStyle w:val="Applicationdirecte"/>
              <w:spacing w:before="120"/>
            </w:pPr>
            <w:r>
              <w:t xml:space="preserve">Šī rinda nav piemērojama veidnē </w:t>
            </w:r>
            <w:r>
              <w:rPr>
                <w:i/>
                <w:iCs/>
              </w:rPr>
              <w:t>EU TLAC</w:t>
            </w:r>
            <w:r>
              <w:t>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Saistības un pašu kapitāls mīnus izslēgtās saistības</w:t>
            </w:r>
          </w:p>
          <w:p w14:paraId="359D335B" w14:textId="3554B9D3" w:rsidR="008907A6" w:rsidRPr="0008623B" w:rsidRDefault="00367DF1" w:rsidP="005F391D">
            <w:pPr>
              <w:pStyle w:val="Fait"/>
            </w:pPr>
            <w:r>
              <w:rPr>
                <w:color w:val="000000" w:themeColor="text1"/>
              </w:rPr>
              <w:t>Saistības un pašu kapitāls, no kā atskaitītas izslēgtās saistības</w:t>
            </w:r>
          </w:p>
          <w:p w14:paraId="52590AAA" w14:textId="18E701D2" w:rsidR="000C3B9F" w:rsidRPr="0008623B" w:rsidRDefault="00410769" w:rsidP="008907A6">
            <w:pPr>
              <w:pStyle w:val="Applicationdirecte"/>
              <w:spacing w:before="120"/>
              <w:rPr>
                <w:color w:val="000000" w:themeColor="text1"/>
                <w:szCs w:val="24"/>
              </w:rPr>
            </w:pPr>
            <w:r>
              <w:t xml:space="preserve">Šī rinda nav piemērojama veidnē </w:t>
            </w:r>
            <w:r>
              <w:rPr>
                <w:i/>
                <w:iCs/>
              </w:rPr>
              <w:t>EU TLAC</w:t>
            </w:r>
            <w:r>
              <w:t>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lastRenderedPageBreak/>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 xml:space="preserve">Saistību un pašu kapitāla apakškopa mīnus izslēgtās saistības, kas ir pašu kapitāls un atbilstīgās saistības iekšējās </w:t>
            </w:r>
            <w:r>
              <w:rPr>
                <w:rFonts w:ascii="Times New Roman" w:hAnsi="Times New Roman"/>
                <w:b/>
                <w:i/>
                <w:iCs/>
                <w:color w:val="000000" w:themeColor="text1"/>
                <w:sz w:val="24"/>
              </w:rPr>
              <w:t>MREL</w:t>
            </w:r>
            <w:r>
              <w:rPr>
                <w:rFonts w:ascii="Times New Roman" w:hAnsi="Times New Roman"/>
                <w:b/>
                <w:color w:val="000000" w:themeColor="text1"/>
                <w:sz w:val="24"/>
              </w:rPr>
              <w:t xml:space="preserve">/iekšējās </w:t>
            </w:r>
            <w:r>
              <w:rPr>
                <w:rFonts w:ascii="Times New Roman" w:hAnsi="Times New Roman"/>
                <w:b/>
                <w:i/>
                <w:iCs/>
                <w:color w:val="000000" w:themeColor="text1"/>
                <w:sz w:val="24"/>
              </w:rPr>
              <w:t>TLAC</w:t>
            </w:r>
            <w:r>
              <w:rPr>
                <w:rFonts w:ascii="Times New Roman" w:hAnsi="Times New Roman"/>
                <w:b/>
                <w:color w:val="000000" w:themeColor="text1"/>
                <w:sz w:val="24"/>
              </w:rPr>
              <w:t xml:space="preserve"> vajadzībām</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Pašu kapitāla un atbilstīgo saistību attiecīgi iekšējās </w:t>
            </w:r>
            <w:r>
              <w:rPr>
                <w:rFonts w:ascii="Times New Roman" w:hAnsi="Times New Roman"/>
                <w:i/>
                <w:iCs/>
                <w:color w:val="000000" w:themeColor="text1"/>
                <w:sz w:val="24"/>
              </w:rPr>
              <w:t>MREL</w:t>
            </w:r>
            <w:r>
              <w:rPr>
                <w:rFonts w:ascii="Times New Roman" w:hAnsi="Times New Roman"/>
                <w:color w:val="000000" w:themeColor="text1"/>
                <w:sz w:val="24"/>
              </w:rPr>
              <w:t xml:space="preserve"> vajadzībām vai iekšējās </w:t>
            </w:r>
            <w:r>
              <w:rPr>
                <w:rFonts w:ascii="Times New Roman" w:hAnsi="Times New Roman"/>
                <w:i/>
                <w:iCs/>
                <w:color w:val="000000" w:themeColor="text1"/>
                <w:sz w:val="24"/>
              </w:rPr>
              <w:t>TLAC</w:t>
            </w:r>
            <w:r>
              <w:rPr>
                <w:rFonts w:ascii="Times New Roman" w:hAnsi="Times New Roman"/>
                <w:color w:val="000000" w:themeColor="text1"/>
                <w:sz w:val="24"/>
              </w:rPr>
              <w:t xml:space="preserve"> vajadzībām summas sadalījums, saskaņā ar 11. punktu.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No kā atlikušais termiņš ≥ 1 gads &lt; 2 gadi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6. rindas apakšgrupa ar attiecīgo atlikušo termiņu.</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atlikušais termiņš ≥ 2 gads &lt; 5 gadi</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6. rindas apakšgrupa ar attiecīgo atlikušo termiņu.</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atlikušais termiņš ≥ 5 gadi &lt; 10 gadi</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6. rindas apakšgrupa ar attiecīgo atlikušo termiņu.</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atlikušais termiņš ≥ 10 gadi, izņemot beztermiņa vērtspapīrus</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6. rindas apakšgrupa ar attiecīgo atlikušo termiņu.</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beztermiņa vērtspapīri</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6. rindas apakšgrupa ar beztermiņa vērtspapīriem.</w:t>
            </w:r>
          </w:p>
        </w:tc>
      </w:tr>
    </w:tbl>
    <w:p w14:paraId="4FDBE82C" w14:textId="77777777" w:rsidR="00134FA4" w:rsidRPr="008C3496"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r>
      <w:r>
        <w:rPr>
          <w:rFonts w:ascii="Times New Roman" w:hAnsi="Times New Roman"/>
          <w:i/>
          <w:iCs/>
          <w:color w:val="auto"/>
          <w:sz w:val="24"/>
        </w:rPr>
        <w:t>EU TLAC</w:t>
      </w:r>
      <w:r>
        <w:rPr>
          <w:rFonts w:ascii="Times New Roman" w:hAnsi="Times New Roman"/>
          <w:color w:val="auto"/>
          <w:sz w:val="24"/>
        </w:rPr>
        <w:t xml:space="preserve">3: </w:t>
      </w:r>
      <w:r w:rsidRPr="008C3496">
        <w:rPr>
          <w:rFonts w:ascii="Times New Roman" w:hAnsi="Times New Roman" w:cs="Times New Roman"/>
          <w:color w:val="auto"/>
          <w:sz w:val="24"/>
          <w:szCs w:val="24"/>
        </w:rPr>
        <w:t>Kreditoru prioritāte – noregulējuma</w:t>
      </w:r>
      <w:bookmarkEnd w:id="233"/>
      <w:bookmarkEnd w:id="234"/>
      <w:r w:rsidRPr="008C3496">
        <w:rPr>
          <w:rFonts w:ascii="Times New Roman" w:hAnsi="Times New Roman" w:cs="Times New Roman"/>
          <w:color w:val="auto"/>
          <w:sz w:val="24"/>
          <w:szCs w:val="24"/>
        </w:rPr>
        <w:t xml:space="preserve"> vienība</w:t>
      </w:r>
      <w:bookmarkEnd w:id="235"/>
    </w:p>
    <w:p w14:paraId="578097FF" w14:textId="1EA4E7A0" w:rsidR="00EE122D" w:rsidRPr="0008623B" w:rsidRDefault="00EE122D" w:rsidP="00B62DC9">
      <w:pPr>
        <w:pStyle w:val="InstructionsText2"/>
        <w:numPr>
          <w:ilvl w:val="0"/>
          <w:numId w:val="12"/>
        </w:numPr>
      </w:pPr>
      <w:r>
        <w:t>Veidnē EU TLAC3 iekļauto informāciju atklāj atsevišķās vienības līmenī.</w:t>
      </w:r>
    </w:p>
    <w:p w14:paraId="0EB7EFE1" w14:textId="7A32417C" w:rsidR="00410769" w:rsidRPr="0008623B" w:rsidRDefault="00410769" w:rsidP="00B62DC9">
      <w:pPr>
        <w:pStyle w:val="InstructionsText2"/>
        <w:numPr>
          <w:ilvl w:val="0"/>
          <w:numId w:val="12"/>
        </w:numPr>
      </w:pPr>
      <w:r>
        <w:t xml:space="preserve">Veidne EU TLAC3 pastāv divās versijās – EU TLAC3a un EU TLAC3b. </w:t>
      </w:r>
      <w:r>
        <w:rPr>
          <w:i/>
          <w:iCs/>
        </w:rPr>
        <w:t>EU TLAC</w:t>
      </w:r>
      <w:r>
        <w:t xml:space="preserve">3a aptver visu finansējumu, kas ir līdzvērtīgs vai zemākas prioritātes attiecībā uz instrumentiem, kuri ir potenciāli atbilstīgi </w:t>
      </w:r>
      <w:r>
        <w:rPr>
          <w:i/>
          <w:iCs/>
        </w:rPr>
        <w:t>MREL</w:t>
      </w:r>
      <w:r>
        <w:t xml:space="preserve">, tostarp pašu kapitālu un citiem kapitāla instrumentiem. Summas, kas ir neatbilstīgas tikai subordinācijas prasību dēļ, pilnībā iekļauj rindā, kas atbilst attiecīgajai maksātnespējas pakāpei, t. i., nepiemērojot maksimālās robežvērtības. </w:t>
      </w:r>
      <w:r>
        <w:rPr>
          <w:i/>
          <w:iCs/>
        </w:rPr>
        <w:t>EU TLAC</w:t>
      </w:r>
      <w:r>
        <w:t>3b aptver tikai pašu kapitālu un saistības, kas ir atbilstīgas, lai izpildītu Direktīvas 2014/59/ES 45. pantā noteikto prasību saskaņā ar minētās direktīvas 45.e pantu.</w:t>
      </w:r>
    </w:p>
    <w:p w14:paraId="417A390B" w14:textId="2D84B100" w:rsidR="00410769" w:rsidRPr="0008623B" w:rsidRDefault="00410769" w:rsidP="00B62DC9">
      <w:pPr>
        <w:pStyle w:val="InstructionsText2"/>
        <w:numPr>
          <w:ilvl w:val="0"/>
          <w:numId w:val="12"/>
        </w:numPr>
      </w:pPr>
      <w:r>
        <w:t xml:space="preserve">Saskaņā ar šīs regulas 14. panta 2. punktu vienības, uz kurām neattiecas pienākums izpildīt Regulas (ES) Nr. 575/2013 92.a panta prasību, bet uz kurām saskaņā ar Direktīvas 2014/59/ES 45.e pantu attiecas pienākums izpildīt minētās direktīvas 45. panta prasību, var izvēlēties, vai tās izmanto </w:t>
      </w:r>
      <w:r>
        <w:rPr>
          <w:i/>
          <w:iCs/>
        </w:rPr>
        <w:t>EU TLAC</w:t>
      </w:r>
      <w:r>
        <w:t xml:space="preserve">3a vai </w:t>
      </w:r>
      <w:r>
        <w:rPr>
          <w:i/>
          <w:iCs/>
        </w:rPr>
        <w:t>EU TLAC</w:t>
      </w:r>
      <w:r>
        <w:t>3b, lai izpildītu Direktīvas 2014/59/ES 45.i panta 3. punkta b) apakšpunktā noteikto informācijas atklāšanas prasību.</w:t>
      </w:r>
    </w:p>
    <w:p w14:paraId="7914D4A7" w14:textId="50C29BF6" w:rsidR="005F391D" w:rsidRPr="0008623B" w:rsidRDefault="005F391D" w:rsidP="00B62DC9">
      <w:pPr>
        <w:pStyle w:val="InstructionsText2"/>
        <w:numPr>
          <w:ilvl w:val="0"/>
          <w:numId w:val="12"/>
        </w:numPr>
      </w:pPr>
      <w:r>
        <w:t xml:space="preserve">No Direktīvas 2014/59/ES 45.i panta 3. punkta piemērošanas dienas emitentvienības veidnē </w:t>
      </w:r>
      <w:r>
        <w:rPr>
          <w:i/>
          <w:iCs/>
        </w:rPr>
        <w:t>EU TLAC</w:t>
      </w:r>
      <w:r>
        <w:t xml:space="preserve">3a atklāj informāciju par saistībām, kas ir </w:t>
      </w:r>
      <w:r>
        <w:lastRenderedPageBreak/>
        <w:t xml:space="preserve">potenciāli atbilstīgas </w:t>
      </w:r>
      <w:r>
        <w:rPr>
          <w:i/>
          <w:iCs/>
        </w:rPr>
        <w:t>MREL</w:t>
      </w:r>
      <w:r>
        <w:t xml:space="preserve"> un </w:t>
      </w:r>
      <w:r>
        <w:rPr>
          <w:i/>
          <w:iCs/>
        </w:rPr>
        <w:t>TLAC</w:t>
      </w:r>
      <w:r>
        <w:t xml:space="preserve"> prasību izpildei. Pirms minētā datuma emitentvienības atklāj informāciju par saistībām, kas ir potenciāli atbilstīgas iekšējās </w:t>
      </w:r>
      <w:r>
        <w:rPr>
          <w:i/>
          <w:iCs/>
        </w:rPr>
        <w:t>TLAC</w:t>
      </w:r>
      <w:r>
        <w:t xml:space="preserve"> prasības izpildei.</w:t>
      </w:r>
    </w:p>
    <w:p w14:paraId="0643F6F9" w14:textId="54E61B56" w:rsidR="005F391D" w:rsidRPr="0008623B" w:rsidRDefault="00134FA4" w:rsidP="00B62DC9">
      <w:pPr>
        <w:pStyle w:val="InstructionsText2"/>
        <w:numPr>
          <w:ilvl w:val="0"/>
          <w:numId w:val="12"/>
        </w:numPr>
      </w:pPr>
      <w:r>
        <w:t>Nesamaksātās summas, kas minētas 2.–10. rindā, ir jāsadala maksātnespējas pakāpēs, pamatojoties uz emitentvienības maksātnespējas tiesību aktiem, neatkarīgi no instrumentu reglamentējošiem tiesību aktiem.</w:t>
      </w:r>
    </w:p>
    <w:p w14:paraId="2ED9C4B9" w14:textId="752032A7" w:rsidR="005F391D" w:rsidRPr="0008623B" w:rsidRDefault="00EA31AA" w:rsidP="00B62DC9">
      <w:pPr>
        <w:pStyle w:val="InstructionsText2"/>
        <w:numPr>
          <w:ilvl w:val="0"/>
          <w:numId w:val="12"/>
        </w:numPr>
      </w:pPr>
      <w:r>
        <w:t>Maksātnespējas pakāpes ir tās, par kurām kompetentā noregulējuma iestāde paziņojusi saskaņā ar standartizēto izklāstu, kas norādīts attiecīgajā ziņošanas veidnē.</w:t>
      </w:r>
    </w:p>
    <w:p w14:paraId="098D1362" w14:textId="424912A1" w:rsidR="003D2D85" w:rsidRPr="0008623B" w:rsidRDefault="00134FA4" w:rsidP="00B62DC9">
      <w:pPr>
        <w:pStyle w:val="InstructionsText2"/>
        <w:numPr>
          <w:ilvl w:val="0"/>
          <w:numId w:val="12"/>
        </w:numPr>
      </w:pPr>
      <w:r>
        <w:t>Pakāpes norāda, sākot no viszemākās prioritātes līdz pat augstākajai prioritātei. Līdz brīdim, kad tiek atklāta informācija par visaugstākās prioritātes potenciāli atbilstīgajiem instrumentiem, ir jāpievieno slejas par pakāpēm.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Rindas</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Atsauces uz tiesību aktu noteikumiem un norādījumi</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Maksātnespējas pakāpju apraksts (brīvs teksts)</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 xml:space="preserve">Maksātnespējas pakāpju skaits (n) kreditoru hierarhijā būs atkarīgs no vienības saistību kopuma. Katrai maksātnespējas pakāpei ir viena sleja. Aprakstā būtu jāiekļauj to prasījumu veidu precizējums, kuri ir maksātnespējas pakāpē (piemēram, </w:t>
            </w:r>
            <w:r>
              <w:rPr>
                <w:i/>
                <w:iCs/>
                <w:color w:val="000000" w:themeColor="text1"/>
              </w:rPr>
              <w:t>CET</w:t>
            </w:r>
            <w:r>
              <w:rPr>
                <w:color w:val="000000" w:themeColor="text1"/>
              </w:rPr>
              <w:t xml:space="preserve">1, </w:t>
            </w:r>
            <w:r>
              <w:rPr>
                <w:i/>
                <w:iCs/>
                <w:color w:val="000000" w:themeColor="text1"/>
              </w:rPr>
              <w:t>T</w:t>
            </w:r>
            <w:r>
              <w:rPr>
                <w:color w:val="000000" w:themeColor="text1"/>
              </w:rPr>
              <w:t>2 instrumenti).</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Saistības un pašu kapitāls</w:t>
            </w:r>
          </w:p>
          <w:p w14:paraId="6CEB4608" w14:textId="77777777" w:rsidR="003D2D85" w:rsidRPr="0008623B" w:rsidRDefault="003D2D85" w:rsidP="003D2D85">
            <w:pPr>
              <w:pStyle w:val="Applicationdirecte"/>
              <w:spacing w:before="120"/>
              <w:rPr>
                <w:color w:val="000000" w:themeColor="text1"/>
              </w:rPr>
            </w:pPr>
            <w:r>
              <w:rPr>
                <w:color w:val="000000" w:themeColor="text1"/>
              </w:rPr>
              <w:t>Pašu kapitāla, atbilstīgo saistību un saistību, kas ir zemākas vai līdzvērtīgas pašu kapitālam vai atbilstīgajām saistībām, summa.</w:t>
            </w:r>
          </w:p>
          <w:p w14:paraId="7ABCDC8B" w14:textId="193792D4" w:rsidR="00585921" w:rsidRPr="0008623B" w:rsidRDefault="003D2D85" w:rsidP="00E13544">
            <w:pPr>
              <w:pStyle w:val="Applicationdirecte"/>
              <w:spacing w:before="120"/>
              <w:rPr>
                <w:color w:val="000000" w:themeColor="text1"/>
              </w:rPr>
            </w:pPr>
            <w:r>
              <w:rPr>
                <w:color w:val="000000" w:themeColor="text1"/>
              </w:rPr>
              <w:t xml:space="preserve">Tas ietver arī no iekšējās </w:t>
            </w:r>
            <w:proofErr w:type="spellStart"/>
            <w:r>
              <w:rPr>
                <w:color w:val="000000" w:themeColor="text1"/>
              </w:rPr>
              <w:t>rekapitalizācijas</w:t>
            </w:r>
            <w:proofErr w:type="spellEnd"/>
            <w:r>
              <w:rPr>
                <w:color w:val="000000" w:themeColor="text1"/>
              </w:rPr>
              <w:t xml:space="preserve"> izslēgtās saistības</w:t>
            </w:r>
            <w:r>
              <w:t xml:space="preserve"> </w:t>
            </w:r>
          </w:p>
          <w:p w14:paraId="3B3981A4" w14:textId="543E66EA" w:rsidR="003D2D85" w:rsidRPr="0008623B" w:rsidRDefault="008348B0" w:rsidP="00640F37">
            <w:pPr>
              <w:pStyle w:val="Fait"/>
            </w:pPr>
            <w:r>
              <w:t xml:space="preserve">Šī rinda nav piemērojama veidnē </w:t>
            </w:r>
            <w:r>
              <w:rPr>
                <w:i/>
                <w:iCs/>
              </w:rPr>
              <w:t>EU TLAC</w:t>
            </w:r>
            <w:r>
              <w:t>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Saistības un pašu kapitāls - no kā izslēgtās saistības</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To saistību sadalījums, kas izslēgtas saskaņā ar Regulas (ES) Nr. 575/2013 72.a panta 2 punktu vai Direktīvas 2014/59/ES 44. panta 2. punktu un attiecīgā gadījumā minētās direktīvas 44. panta 3. punktu.</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Šī rinda nav piemērojama veidnē </w:t>
            </w:r>
            <w:r>
              <w:rPr>
                <w:rFonts w:ascii="Times New Roman" w:hAnsi="Times New Roman"/>
                <w:i/>
                <w:iCs/>
                <w:color w:val="000000" w:themeColor="text1"/>
                <w:sz w:val="24"/>
              </w:rPr>
              <w:t>EU TLAC</w:t>
            </w:r>
            <w:r>
              <w:rPr>
                <w:rFonts w:ascii="Times New Roman" w:hAnsi="Times New Roman"/>
                <w:color w:val="000000" w:themeColor="text1"/>
                <w:sz w:val="24"/>
              </w:rPr>
              <w:t>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Saistības un pašu kapitāls mīnus izslēgtās saistības</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Saistības un pašu kapitāls, no kā atskaitītas izslēgtās saistības</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Šī rinda nav piemērojama veidnē </w:t>
            </w:r>
            <w:r>
              <w:rPr>
                <w:rFonts w:ascii="Times New Roman" w:hAnsi="Times New Roman"/>
                <w:i/>
                <w:iCs/>
                <w:color w:val="000000" w:themeColor="text1"/>
                <w:sz w:val="24"/>
              </w:rPr>
              <w:t>EU TLAC</w:t>
            </w:r>
            <w:r>
              <w:rPr>
                <w:rFonts w:ascii="Times New Roman" w:hAnsi="Times New Roman"/>
                <w:color w:val="000000" w:themeColor="text1"/>
                <w:sz w:val="24"/>
              </w:rPr>
              <w:t>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 xml:space="preserve">Saistību un pašu kapitāla apakškopa mīnus izslēgtās saistības, kas ir pašu kapitāls un saistības, kuras potenciāli ir atbilstīgas, lai izpildītu </w:t>
            </w:r>
            <w:r>
              <w:rPr>
                <w:rFonts w:ascii="Times New Roman" w:hAnsi="Times New Roman"/>
                <w:b/>
                <w:i/>
                <w:iCs/>
                <w:color w:val="000000" w:themeColor="text1"/>
                <w:sz w:val="24"/>
              </w:rPr>
              <w:t>MREL</w:t>
            </w:r>
            <w:r>
              <w:rPr>
                <w:rFonts w:ascii="Times New Roman" w:hAnsi="Times New Roman"/>
                <w:b/>
                <w:color w:val="000000" w:themeColor="text1"/>
                <w:sz w:val="24"/>
              </w:rPr>
              <w:t>/</w:t>
            </w:r>
            <w:r>
              <w:rPr>
                <w:rFonts w:ascii="Times New Roman" w:hAnsi="Times New Roman"/>
                <w:b/>
                <w:i/>
                <w:iCs/>
                <w:color w:val="000000" w:themeColor="text1"/>
                <w:sz w:val="24"/>
              </w:rPr>
              <w:t>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lastRenderedPageBreak/>
              <w:t xml:space="preserve">Pašu kapitāla un saistību, kas ir atbilstīgas attiecīgi </w:t>
            </w:r>
            <w:r>
              <w:rPr>
                <w:rFonts w:ascii="Times New Roman" w:hAnsi="Times New Roman"/>
                <w:i/>
                <w:iCs/>
                <w:color w:val="000000" w:themeColor="text1"/>
                <w:sz w:val="24"/>
              </w:rPr>
              <w:t>MREL</w:t>
            </w:r>
            <w:r>
              <w:rPr>
                <w:rFonts w:ascii="Times New Roman" w:hAnsi="Times New Roman"/>
                <w:color w:val="000000" w:themeColor="text1"/>
                <w:sz w:val="24"/>
              </w:rPr>
              <w:t xml:space="preserve"> vajadzībām vai ir atbilstīgas </w:t>
            </w:r>
            <w:r>
              <w:rPr>
                <w:rFonts w:ascii="Times New Roman" w:hAnsi="Times New Roman"/>
                <w:i/>
                <w:iCs/>
                <w:color w:val="000000" w:themeColor="text1"/>
                <w:sz w:val="24"/>
              </w:rPr>
              <w:t>TLAC</w:t>
            </w:r>
            <w:r>
              <w:rPr>
                <w:rFonts w:ascii="Times New Roman" w:hAnsi="Times New Roman"/>
                <w:color w:val="000000" w:themeColor="text1"/>
                <w:sz w:val="24"/>
              </w:rPr>
              <w:t xml:space="preserve"> vajadzībām, summas sadalījums, saskaņā ar 19. punktu, nepiemērojot maksimālās robežvērtības nesubordinēto saistību atzīšanai.</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No kā atlikušais termiņš ≥ 1 gads &lt; 2 gadi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5. rindas apakšgrupa ar attiecīgo atlikušo termiņu.</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atlikušais termiņš ≥ 2 gads &lt; 5 gadi</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5. rindas apakšgrupa ar attiecīgo atlikušo termiņu.</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atlikušais termiņš ≥ 5 gadi &lt; 10 gadi</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5. rindas apakšgrupa ar attiecīgo atlikušo termiņu.</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atlikušais termiņš ≥ 10 gadi, izņemot beztermiņa vērtspapīrus</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5. rindas apakšgrupa ar attiecīgo atlikušo termiņu.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No kā beztermiņa vērtspapīri</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5. rindas apakšgrupa ar beztermiņa vērtspapīriem.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w:t>
        </w:r>
        <w:r w:rsidR="00290A9D">
          <w:t>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I oficiālai lietošana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I oficiālai lietošanai"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EBI oficiālai lietošanai</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I oficiālai lietošana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EBI oficiālai lietošanai"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EBI oficiālai lietošanai</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64F7"/>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3496"/>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lv-LV"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8122</Words>
  <Characters>43047</Characters>
  <Application>Microsoft Office Word</Application>
  <DocSecurity>0</DocSecurity>
  <Lines>978</Lines>
  <Paragraphs>556</Paragraphs>
  <ScaleCrop>false</ScaleCrop>
  <Company/>
  <LinksUpToDate>false</LinksUpToDate>
  <CharactersWithSpaces>50613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2024-04-29T08:23:00Z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