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5038" w14:textId="40D10931" w:rsidR="00676354" w:rsidRPr="0001617D" w:rsidRDefault="00676354" w:rsidP="0099485B">
      <w:pPr>
        <w:jc w:val="center"/>
        <w:rPr>
          <w:b/>
          <w:sz w:val="24"/>
          <w:u w:val="single"/>
          <w:rFonts w:ascii="Times New Roman" w:hAnsi="Times New Roman"/>
        </w:rPr>
      </w:pPr>
      <w:bookmarkStart w:id="0" w:name="_Toc298787969"/>
      <w:bookmarkStart w:id="1" w:name="_Toc298788158"/>
      <w:bookmarkStart w:id="2" w:name="_Toc298788641"/>
      <w:bookmarkStart w:id="3" w:name="_Toc305686691"/>
      <w:bookmarkStart w:id="4" w:name="_Toc306350093"/>
      <w:bookmarkStart w:id="5" w:name="_Toc306350113"/>
      <w:bookmarkStart w:id="6" w:name="_Toc331517265"/>
      <w:bookmarkStart w:id="7" w:name="_Toc245891774"/>
      <w:bookmarkStart w:id="8" w:name="_Toc238803087"/>
      <w:bookmarkStart w:id="9" w:name="_Toc238803888"/>
      <w:r>
        <w:rPr>
          <w:b/>
          <w:sz w:val="24"/>
          <w:u w:val="single"/>
          <w:rFonts w:ascii="Times New Roman" w:hAnsi="Times New Roman"/>
        </w:rPr>
        <w:t xml:space="preserve">LT</w:t>
      </w:r>
    </w:p>
    <w:p w14:paraId="39DA4C9C" w14:textId="5F2E6493" w:rsidR="00385DE1" w:rsidRPr="0001617D" w:rsidRDefault="00385DE1" w:rsidP="0099485B">
      <w:pPr>
        <w:jc w:val="center"/>
        <w:rPr>
          <w:b/>
          <w:sz w:val="24"/>
          <w:u w:val="single"/>
          <w:rFonts w:ascii="Times New Roman" w:hAnsi="Times New Roman"/>
        </w:rPr>
      </w:pPr>
      <w:r>
        <w:rPr>
          <w:b/>
          <w:sz w:val="24"/>
          <w:u w:val="single"/>
          <w:rFonts w:ascii="Times New Roman" w:hAnsi="Times New Roman"/>
        </w:rPr>
        <w:t xml:space="preserve">IV PRIEDAS</w:t>
      </w:r>
    </w:p>
    <w:p w14:paraId="66B07866" w14:textId="77777777" w:rsidR="00385DE1" w:rsidRPr="0001617D" w:rsidRDefault="00385DE1" w:rsidP="0099485B">
      <w:pPr>
        <w:jc w:val="center"/>
        <w:rPr>
          <w:rFonts w:ascii="Times New Roman" w:hAnsi="Times New Roman"/>
          <w:b/>
          <w:sz w:val="24"/>
          <w:lang w:val="en-IE"/>
        </w:rPr>
      </w:pPr>
    </w:p>
    <w:p w14:paraId="1D3B5C40" w14:textId="50B78FAF" w:rsidR="0001617D" w:rsidRPr="0001617D" w:rsidRDefault="0001617D" w:rsidP="0001617D">
      <w:pPr>
        <w:spacing w:before="120" w:after="120" w:line="240" w:lineRule="auto"/>
        <w:jc w:val="center"/>
        <w:rPr>
          <w:b/>
          <w:sz w:val="24"/>
          <w:szCs w:val="24"/>
          <w:rFonts w:ascii="Times New Roman" w:eastAsia="Times New Roman" w:hAnsi="Times New Roman" w:cs="Times New Roman"/>
        </w:rPr>
      </w:pPr>
      <w:r>
        <w:rPr>
          <w:b/>
          <w:sz w:val="24"/>
          <w:rFonts w:ascii="Times New Roman" w:hAnsi="Times New Roman"/>
        </w:rPr>
        <w:t xml:space="preserve">INFORMACIJOS APIE MINIMALŲ NUOSAVŲ LĖŠŲ IR TINKAMŲ ĮSIPAREIGOJIMŲ REIKALAVIMĄ ATSKLEIDIMAS. NURODYMAI</w:t>
      </w:r>
    </w:p>
    <w:p w14:paraId="7E4782B7" w14:textId="77777777" w:rsidR="00940030" w:rsidRPr="0008623B" w:rsidRDefault="00940030" w:rsidP="00940030">
      <w:pPr>
        <w:rPr>
          <w:lang w:val="en-GB"/>
        </w:rPr>
      </w:pPr>
    </w:p>
    <w:p w14:paraId="6E12AAF5" w14:textId="3E457CEA" w:rsidR="00940030"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r>
        <w:rPr>
          <w:color w:val="auto"/>
          <w:sz w:val="24"/>
          <w:rFonts w:ascii="Times New Roman" w:hAnsi="Times New Roman"/>
        </w:rPr>
        <w:t xml:space="preserve">1.</w:t>
      </w:r>
      <w:r>
        <w:rPr>
          <w:color w:val="auto"/>
          <w:sz w:val="24"/>
          <w:rFonts w:ascii="Times New Roman" w:hAnsi="Times New Roman"/>
        </w:rPr>
        <w:tab/>
      </w:r>
      <w:r>
        <w:rPr>
          <w:color w:val="auto"/>
          <w:sz w:val="24"/>
          <w:rFonts w:ascii="Times New Roman" w:hAnsi="Times New Roman"/>
        </w:rPr>
        <w:t xml:space="preserve">Bendrieji nurodymai.</w:t>
      </w:r>
      <w:r>
        <w:rPr>
          <w:color w:val="auto"/>
          <w:sz w:val="24"/>
          <w:rFonts w:ascii="Times New Roman" w:hAnsi="Times New Roman"/>
        </w:rPr>
        <w:t xml:space="preserve"> </w:t>
      </w:r>
      <w:r>
        <w:rPr>
          <w:color w:val="auto"/>
          <w:sz w:val="24"/>
          <w:rFonts w:ascii="Times New Roman" w:hAnsi="Times New Roman"/>
        </w:rPr>
        <w:t xml:space="preserve">Struktūra ir tvarka</w:t>
      </w:r>
    </w:p>
    <w:p w14:paraId="6CFEBC53" w14:textId="59A6818A" w:rsidR="0065594A" w:rsidRPr="0008623B" w:rsidRDefault="0065594A" w:rsidP="002A5117">
      <w:pPr>
        <w:pStyle w:val="Numberedtilelevel1"/>
        <w:keepNext/>
        <w:pBdr>
          <w:bottom w:val="none" w:sz="0" w:space="0" w:color="auto"/>
        </w:pBdr>
        <w:spacing w:before="240" w:after="240" w:line="240" w:lineRule="auto"/>
        <w:ind w:left="792" w:hanging="432"/>
        <w:jc w:val="both"/>
        <w:outlineLvl w:val="1"/>
        <w:rPr>
          <w:color w:val="auto"/>
          <w:spacing w:val="0"/>
          <w:kern w:val="0"/>
          <w:sz w:val="24"/>
          <w:szCs w:val="24"/>
          <w:rFonts w:ascii="Times New Roman" w:eastAsia="Arial" w:hAnsi="Times New Roman" w:cs="Times New Roman"/>
        </w:rPr>
      </w:pPr>
      <w:bookmarkStart w:id="10" w:name="_Toc360188319"/>
      <w:bookmarkStart w:id="11" w:name="_Toc473560867"/>
      <w:bookmarkStart w:id="12" w:name="_Toc15294522"/>
      <w:bookmarkStart w:id="13" w:name="_Toc264038399"/>
      <w:bookmarkStart w:id="14" w:name="_Toc294018834"/>
      <w:r>
        <w:rPr>
          <w:color w:val="auto"/>
          <w:sz w:val="24"/>
          <w:rFonts w:ascii="Times New Roman" w:hAnsi="Times New Roman"/>
        </w:rPr>
        <w:t xml:space="preserve">1.1.</w:t>
      </w:r>
      <w:r>
        <w:rPr>
          <w:color w:val="auto"/>
          <w:sz w:val="24"/>
          <w:rFonts w:ascii="Times New Roman" w:hAnsi="Times New Roman"/>
        </w:rPr>
        <w:tab/>
      </w:r>
      <w:r>
        <w:rPr>
          <w:color w:val="auto"/>
          <w:sz w:val="24"/>
          <w:rFonts w:ascii="Times New Roman" w:hAnsi="Times New Roman"/>
        </w:rPr>
        <w:t xml:space="preserve">Struktūra</w:t>
      </w:r>
      <w:bookmarkEnd w:id="10"/>
      <w:bookmarkEnd w:id="11"/>
      <w:bookmarkEnd w:id="12"/>
    </w:p>
    <w:p w14:paraId="038BA668" w14:textId="1D5FE25B" w:rsidR="0065594A" w:rsidRPr="0008623B" w:rsidRDefault="0065594A" w:rsidP="00B62DC9">
      <w:pPr>
        <w:pStyle w:val="InstructionsText2"/>
        <w:numPr>
          <w:ilvl w:val="0"/>
          <w:numId w:val="12"/>
        </w:numPr>
      </w:pPr>
      <w:r>
        <w:t xml:space="preserve">Šią informacijos apie MREL ir TLAC atskleidimo sistemą sudaro trys formų grupės:</w:t>
      </w:r>
    </w:p>
    <w:p w14:paraId="160EDC16" w14:textId="77777777" w:rsidR="00AB77FD" w:rsidRPr="0008623B" w:rsidRDefault="00AB77FD" w:rsidP="00B62DC9">
      <w:pPr>
        <w:pStyle w:val="InstructionsText2"/>
        <w:numPr>
          <w:ilvl w:val="1"/>
          <w:numId w:val="15"/>
        </w:numPr>
      </w:pPr>
      <w:r>
        <w:t xml:space="preserve">pertvarkytinų grupių ir pertvarkytinų subjektų MREL ir TLAC;</w:t>
      </w:r>
    </w:p>
    <w:p w14:paraId="531DF249" w14:textId="0719D053" w:rsidR="00AB77FD" w:rsidRPr="0008623B" w:rsidRDefault="00AB77FD" w:rsidP="00B62DC9">
      <w:pPr>
        <w:pStyle w:val="InstructionsText2"/>
        <w:numPr>
          <w:ilvl w:val="1"/>
          <w:numId w:val="15"/>
        </w:numPr>
      </w:pPr>
      <w:r>
        <w:t xml:space="preserve">nepertvarkytinų subjektų ir ne ES pasaulinės sisteminės svarbos įstaigų (G-SII) reikšmingų patronuojamųjų įmonių MREL ir TLAC;</w:t>
      </w:r>
    </w:p>
    <w:p w14:paraId="3EE4CEDD" w14:textId="5B2484DA" w:rsidR="00AB77FD" w:rsidRPr="0008623B" w:rsidRDefault="00AB77FD" w:rsidP="00B62DC9">
      <w:pPr>
        <w:pStyle w:val="InstructionsText2"/>
        <w:numPr>
          <w:ilvl w:val="1"/>
          <w:numId w:val="15"/>
        </w:numPr>
      </w:pPr>
      <w:r>
        <w:t xml:space="preserve">emitentams taikomas kreditorių eiliškumas.</w:t>
      </w:r>
    </w:p>
    <w:p w14:paraId="1ED5F5C4" w14:textId="551A7AA0" w:rsidR="0065594A" w:rsidRPr="0008623B" w:rsidRDefault="0065594A" w:rsidP="00B62DC9">
      <w:pPr>
        <w:pStyle w:val="InstructionsText2"/>
        <w:numPr>
          <w:ilvl w:val="0"/>
          <w:numId w:val="12"/>
        </w:numPr>
      </w:pPr>
      <w:r>
        <w:t xml:space="preserve">Kiekvienai formai pateikiamos nuorodos į teisės aktus.</w:t>
      </w:r>
      <w:r>
        <w:t xml:space="preserve"> </w:t>
      </w:r>
      <w:r>
        <w:t xml:space="preserve">Išsamesnė informacija apie bendresnius ataskaitų teikimo pagal kiekvieną formų rinkinį aspektus ir nurodymai dėl konkrečių pozicijų yra pateikti šiame priede.</w:t>
      </w:r>
    </w:p>
    <w:p w14:paraId="13B7702A" w14:textId="70815289" w:rsidR="0065594A" w:rsidRPr="0008623B" w:rsidRDefault="002A5117" w:rsidP="002A5117">
      <w:pPr>
        <w:pStyle w:val="Numberedtilelevel1"/>
        <w:keepNext/>
        <w:pBdr>
          <w:bottom w:val="none" w:sz="0" w:space="0" w:color="auto"/>
        </w:pBdr>
        <w:spacing w:before="240" w:after="240" w:line="240" w:lineRule="auto"/>
        <w:ind w:left="792" w:hanging="432"/>
        <w:jc w:val="both"/>
        <w:outlineLvl w:val="1"/>
        <w:rPr>
          <w:color w:val="auto"/>
          <w:spacing w:val="0"/>
          <w:kern w:val="0"/>
          <w:sz w:val="24"/>
          <w:szCs w:val="24"/>
          <w:rFonts w:ascii="Times New Roman" w:eastAsia="Arial" w:hAnsi="Times New Roman" w:cs="Times New Roman"/>
        </w:rPr>
      </w:pPr>
      <w:bookmarkStart w:id="15" w:name="_Toc360188320"/>
      <w:bookmarkStart w:id="16" w:name="_Toc473560868"/>
      <w:bookmarkStart w:id="17" w:name="_Toc15294523"/>
      <w:r>
        <w:rPr>
          <w:color w:val="auto"/>
          <w:sz w:val="24"/>
          <w:rFonts w:ascii="Times New Roman" w:hAnsi="Times New Roman"/>
        </w:rPr>
        <w:t xml:space="preserve">1.</w:t>
      </w:r>
      <w:bookmarkStart w:id="18" w:name="_Toc15294525"/>
      <w:bookmarkEnd w:id="13"/>
      <w:bookmarkEnd w:id="14"/>
      <w:bookmarkEnd w:id="15"/>
      <w:bookmarkEnd w:id="16"/>
      <w:bookmarkEnd w:id="17"/>
      <w:r>
        <w:rPr>
          <w:color w:val="auto"/>
          <w:sz w:val="24"/>
          <w:rFonts w:ascii="Times New Roman" w:hAnsi="Times New Roman"/>
        </w:rPr>
        <w:t xml:space="preserve">2</w:t>
      </w:r>
      <w:r>
        <w:rPr>
          <w:color w:val="auto"/>
          <w:sz w:val="24"/>
          <w:rFonts w:ascii="Times New Roman" w:hAnsi="Times New Roman"/>
        </w:rPr>
        <w:tab/>
      </w:r>
      <w:r>
        <w:rPr>
          <w:color w:val="auto"/>
          <w:sz w:val="24"/>
          <w:rFonts w:ascii="Times New Roman" w:hAnsi="Times New Roman"/>
        </w:rPr>
        <w:t xml:space="preserve">Santrumpos</w:t>
      </w:r>
      <w:bookmarkEnd w:id="18"/>
    </w:p>
    <w:p w14:paraId="7F56C9B4" w14:textId="1EA8178A" w:rsidR="0065594A" w:rsidRPr="0008623B" w:rsidRDefault="0065594A" w:rsidP="00B62DC9">
      <w:pPr>
        <w:pStyle w:val="InstructionsText2"/>
        <w:numPr>
          <w:ilvl w:val="0"/>
          <w:numId w:val="12"/>
        </w:numPr>
      </w:pPr>
      <w:r>
        <w:t xml:space="preserve">Šio reglamento prieduose vartojamos šios santrumpos:</w:t>
      </w:r>
    </w:p>
    <w:p w14:paraId="7AA24AF3" w14:textId="4E2F4B2C" w:rsidR="0065594A" w:rsidRPr="0008623B" w:rsidRDefault="00B96861" w:rsidP="00B62DC9">
      <w:pPr>
        <w:pStyle w:val="InstructionsText2"/>
        <w:numPr>
          <w:ilvl w:val="0"/>
          <w:numId w:val="31"/>
        </w:numPr>
      </w:pPr>
      <w:r>
        <w:t xml:space="preserve"> </w:t>
      </w:r>
      <w:r>
        <w:t xml:space="preserve">MREL – minimalus nuosavų lėšų ir tinkamų įsipareigojimų reikalavimas pagal Direktyvos 2014/59/ES 45 straipsnį;</w:t>
      </w:r>
    </w:p>
    <w:p w14:paraId="3F223F84" w14:textId="14E43992" w:rsidR="0065594A" w:rsidRPr="0008623B" w:rsidRDefault="0065594A" w:rsidP="00B62DC9">
      <w:pPr>
        <w:pStyle w:val="InstructionsText2"/>
        <w:numPr>
          <w:ilvl w:val="0"/>
          <w:numId w:val="31"/>
        </w:numPr>
      </w:pPr>
      <w:r>
        <w:t xml:space="preserve">TLAC – G-SII nuosavų lėšų ir tinkamų įsipareigojimų reikalavimas pagal Reglamento (ES) Nr. 575/2013 92a straipsnį;</w:t>
      </w:r>
    </w:p>
    <w:p w14:paraId="1FEB92E2" w14:textId="1715F9BB" w:rsidR="0065594A" w:rsidRPr="0008623B" w:rsidRDefault="0065594A" w:rsidP="00B62DC9">
      <w:pPr>
        <w:pStyle w:val="InstructionsText2"/>
        <w:numPr>
          <w:ilvl w:val="0"/>
          <w:numId w:val="31"/>
        </w:numPr>
      </w:pPr>
      <w:r>
        <w:t xml:space="preserve">vidinis TLAC – ne ES G-SII nuosavų lėšų ir tinkamų įsipareigojimų reikalavimas pagal Reglamento (ES) Nr. 575/2013 92b straipsnį;</w:t>
      </w:r>
    </w:p>
    <w:p w14:paraId="41F598D3" w14:textId="411A41F7" w:rsidR="0097126E" w:rsidRPr="0008623B" w:rsidRDefault="0097126E" w:rsidP="0073688E">
      <w:pPr>
        <w:pStyle w:val="ListParagraph"/>
        <w:numPr>
          <w:ilvl w:val="0"/>
          <w:numId w:val="31"/>
        </w:numPr>
      </w:pPr>
      <w:r>
        <w:rPr>
          <w:sz w:val="24"/>
          <w:rFonts w:ascii="Times New Roman" w:hAnsi="Times New Roman"/>
        </w:rPr>
        <w:t xml:space="preserve">vidinis MREL – MREL, taikomas subjektams, kurie patys nėra pertvarkytini subjektai, pagal Direktyvos 2014/59/ES 45f straipsnį.</w:t>
      </w:r>
      <w:r>
        <w:rPr>
          <w:sz w:val="24"/>
          <w:rFonts w:ascii="Times New Roman" w:hAnsi="Times New Roman"/>
        </w:rPr>
        <w:t xml:space="preserve"> </w:t>
      </w:r>
    </w:p>
    <w:p w14:paraId="0BC0B9FF" w14:textId="6844CE8C" w:rsidR="00B43E07"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bookmarkStart w:id="19" w:name="_Toc264033192"/>
      <w:bookmarkEnd w:id="19"/>
      <w:r>
        <w:rPr>
          <w:color w:val="auto"/>
          <w:sz w:val="24"/>
          <w:rFonts w:ascii="Times New Roman" w:hAnsi="Times New Roman"/>
        </w:rPr>
        <w:t xml:space="preserve">2.</w:t>
      </w:r>
      <w:r>
        <w:rPr>
          <w:color w:val="auto"/>
          <w:sz w:val="24"/>
          <w:rFonts w:ascii="Times New Roman" w:hAnsi="Times New Roman"/>
        </w:rPr>
        <w:tab/>
      </w:r>
      <w:bookmarkStart w:id="20" w:name="_Toc45266923"/>
      <w:bookmarkStart w:id="21" w:name="_Toc45266924"/>
      <w:bookmarkStart w:id="22" w:name="_Toc45266925"/>
      <w:bookmarkStart w:id="23" w:name="_Toc14770635"/>
      <w:bookmarkStart w:id="24" w:name="_Toc45266926"/>
      <w:bookmarkEnd w:id="20"/>
      <w:bookmarkEnd w:id="21"/>
      <w:bookmarkEnd w:id="22"/>
      <w:r>
        <w:rPr>
          <w:color w:val="auto"/>
          <w:sz w:val="24"/>
          <w:rFonts w:ascii="Times New Roman" w:hAnsi="Times New Roman"/>
        </w:rPr>
        <w:t xml:space="preserve">EU KM2.</w:t>
      </w:r>
      <w:r>
        <w:rPr>
          <w:color w:val="auto"/>
          <w:sz w:val="24"/>
          <w:rFonts w:ascii="Times New Roman" w:hAnsi="Times New Roman"/>
        </w:rPr>
        <w:t xml:space="preserve"> </w:t>
      </w:r>
      <w:r>
        <w:rPr>
          <w:color w:val="auto"/>
          <w:sz w:val="24"/>
          <w:rFonts w:ascii="Times New Roman" w:hAnsi="Times New Roman"/>
        </w:rPr>
        <w:t xml:space="preserve">Pagrindiniai parametrai. MREL ir, jei taikytina, G-SII nuosavų lėšų ir tinkamų įsipareigojimų reikalavimas</w:t>
      </w:r>
      <w:bookmarkEnd w:id="23"/>
      <w:bookmarkEnd w:id="24"/>
    </w:p>
    <w:p w14:paraId="7C25FB3D" w14:textId="5B7ACB83" w:rsidR="001D5361" w:rsidRPr="0008623B" w:rsidRDefault="00CB1021" w:rsidP="00B62DC9">
      <w:pPr>
        <w:pStyle w:val="InstructionsText2"/>
        <w:numPr>
          <w:ilvl w:val="0"/>
          <w:numId w:val="12"/>
        </w:numPr>
      </w:pPr>
      <w:r>
        <w:t xml:space="preserve">Prie formos pridedamose aiškinamosiose pastabose subjektai paaiškina bet kuriuos reikšmingus skirtumus tarp atskleistos informacijos apie nuosavų lėšų sumas ir 9-ojo TFAS visuminės sumos pertvarkytinos grupės lygmeniu.</w:t>
      </w:r>
      <w:r>
        <w:t xml:space="preserve"> </w:t>
      </w:r>
      <w:r>
        <w:t xml:space="preserve">Jie taip pat paaiškina bet kokį reikšmingą skirtumą tarp 9-ojo TFAS visuminės sumos pertvarkytinos grupės lygmeniu, palyginti su 9-ojo TFAS visumine suma prudenciniu grupės lygmeniu.</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534A9C03" w14:textId="77777777" w:rsidTr="00915305">
        <w:trPr>
          <w:trHeight w:val="238"/>
        </w:trPr>
        <w:tc>
          <w:tcPr>
            <w:tcW w:w="1384" w:type="dxa"/>
            <w:shd w:val="clear" w:color="auto" w:fill="D9D9D9" w:themeFill="background1" w:themeFillShade="D9"/>
          </w:tcPr>
          <w:p w14:paraId="44B24714" w14:textId="77777777" w:rsidR="006D4640" w:rsidRPr="0008623B" w:rsidRDefault="006D4640" w:rsidP="00915305">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Skiltys</w:t>
            </w:r>
          </w:p>
        </w:tc>
        <w:tc>
          <w:tcPr>
            <w:tcW w:w="7655" w:type="dxa"/>
            <w:shd w:val="clear" w:color="auto" w:fill="D9D9D9" w:themeFill="background1" w:themeFillShade="D9"/>
          </w:tcPr>
          <w:p w14:paraId="065DB08C" w14:textId="663D1380" w:rsidR="006D4640" w:rsidRPr="0008623B" w:rsidRDefault="00E46262" w:rsidP="00915305">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Nuorodos į teisės aktus ir nurodymai</w:t>
            </w:r>
          </w:p>
        </w:tc>
      </w:tr>
      <w:tr w:rsidR="00BB516B" w:rsidRPr="0008623B" w14:paraId="5E930C2C" w14:textId="77777777" w:rsidTr="00807127">
        <w:trPr>
          <w:trHeight w:val="637"/>
        </w:trPr>
        <w:tc>
          <w:tcPr>
            <w:tcW w:w="1384" w:type="dxa"/>
          </w:tcPr>
          <w:p w14:paraId="3149647C" w14:textId="54230E4A" w:rsidR="00BB516B" w:rsidRPr="0008623B" w:rsidDel="00DE6BC1" w:rsidRDefault="00BB516B" w:rsidP="003F5FDC">
            <w:pPr>
              <w:pStyle w:val="Applicationdirecte"/>
              <w:spacing w:before="120"/>
              <w:rPr>
                <w:color w:val="000000" w:themeColor="text1"/>
                <w:szCs w:val="24"/>
              </w:rPr>
            </w:pPr>
            <w:r>
              <w:rPr>
                <w:color w:val="000000" w:themeColor="text1"/>
              </w:rPr>
              <w:t xml:space="preserve">a</w:t>
            </w:r>
          </w:p>
        </w:tc>
        <w:tc>
          <w:tcPr>
            <w:tcW w:w="7655" w:type="dxa"/>
          </w:tcPr>
          <w:p w14:paraId="67A0C6A1" w14:textId="614E3ECA" w:rsidR="00BB516B" w:rsidRPr="0008623B" w:rsidRDefault="008C2E99" w:rsidP="00807127">
            <w:pPr>
              <w:autoSpaceDE w:val="0"/>
              <w:autoSpaceDN w:val="0"/>
              <w:adjustRightInd w:val="0"/>
              <w:spacing w:before="120" w:after="120"/>
              <w:rPr>
                <w:color w:val="000000" w:themeColor="text1"/>
                <w:sz w:val="24"/>
                <w:szCs w:val="24"/>
                <w:rFonts w:ascii="Times New Roman" w:hAnsi="Times New Roman" w:cs="Times New Roman"/>
              </w:rPr>
            </w:pPr>
            <w:r>
              <w:rPr>
                <w:color w:val="000000" w:themeColor="text1"/>
                <w:sz w:val="24"/>
                <w:rFonts w:ascii="Times New Roman" w:hAnsi="Times New Roman"/>
              </w:rPr>
              <w:t xml:space="preserve">Šioje skiltyje subjektai atskleidžia svarbią informaciją apie MREL pagal Direktyvos 2014/59/ES 45 ir 45e straipsnius.</w:t>
            </w:r>
          </w:p>
          <w:p w14:paraId="430CD6A3" w14:textId="4273F292" w:rsidR="00BB516B" w:rsidRPr="0008623B" w:rsidRDefault="008C2E99" w:rsidP="008C2E99">
            <w:pPr>
              <w:autoSpaceDE w:val="0"/>
              <w:autoSpaceDN w:val="0"/>
              <w:adjustRightInd w:val="0"/>
              <w:spacing w:before="120" w:after="120"/>
              <w:rPr>
                <w:color w:val="000000" w:themeColor="text1"/>
                <w:sz w:val="24"/>
                <w:szCs w:val="24"/>
                <w:rFonts w:ascii="Times New Roman" w:hAnsi="Times New Roman" w:cs="Times New Roman"/>
              </w:rPr>
            </w:pPr>
            <w:r>
              <w:rPr>
                <w:color w:val="000000" w:themeColor="text1"/>
                <w:sz w:val="24"/>
                <w:rFonts w:ascii="Times New Roman" w:hAnsi="Times New Roman"/>
              </w:rPr>
              <w:t xml:space="preserve">Subjektai atskleidžia vertę informacijos atskleidimo laikotarpio pabaigoje.</w:t>
            </w:r>
          </w:p>
        </w:tc>
      </w:tr>
      <w:tr w:rsidR="00DE6BC1" w:rsidRPr="0008623B" w14:paraId="7B5301DE" w14:textId="77777777" w:rsidTr="00915305">
        <w:trPr>
          <w:trHeight w:val="637"/>
        </w:trPr>
        <w:tc>
          <w:tcPr>
            <w:tcW w:w="1384" w:type="dxa"/>
          </w:tcPr>
          <w:p w14:paraId="6F6942E8" w14:textId="11CBC8E4" w:rsidR="00DE6BC1" w:rsidRPr="0008623B" w:rsidDel="00DE6BC1" w:rsidRDefault="00B96861" w:rsidP="00BB516B">
            <w:pPr>
              <w:pStyle w:val="Applicationdirecte"/>
              <w:spacing w:before="120"/>
              <w:rPr>
                <w:color w:val="000000" w:themeColor="text1"/>
                <w:szCs w:val="24"/>
              </w:rPr>
            </w:pPr>
            <w:r>
              <w:rPr>
                <w:color w:val="000000" w:themeColor="text1"/>
              </w:rPr>
              <w:t xml:space="preserve">b–f</w:t>
            </w:r>
          </w:p>
        </w:tc>
        <w:tc>
          <w:tcPr>
            <w:tcW w:w="7655" w:type="dxa"/>
          </w:tcPr>
          <w:p w14:paraId="330BD29E" w14:textId="441C1E3B" w:rsidR="00DE6BC1" w:rsidRPr="0008623B" w:rsidRDefault="008C2E99" w:rsidP="00DE6BC1">
            <w:pPr>
              <w:autoSpaceDE w:val="0"/>
              <w:autoSpaceDN w:val="0"/>
              <w:adjustRightInd w:val="0"/>
              <w:spacing w:before="120" w:after="120"/>
              <w:rPr>
                <w:color w:val="000000" w:themeColor="text1"/>
                <w:sz w:val="24"/>
                <w:szCs w:val="24"/>
                <w:rFonts w:ascii="Times New Roman" w:hAnsi="Times New Roman" w:cs="Times New Roman"/>
              </w:rPr>
            </w:pPr>
            <w:r>
              <w:rPr>
                <w:color w:val="000000" w:themeColor="text1"/>
                <w:sz w:val="24"/>
                <w:rFonts w:ascii="Times New Roman" w:hAnsi="Times New Roman"/>
              </w:rPr>
              <w:t xml:space="preserve">Subjektai, kurie yra G-SII, kuriems taikomas TLAC reikalavimas pagal Reglamento (ES) Nr. 575/2013 92a straipsnį, šiose skiltyse atskleidžia svarbią informaciją apie tą reikalavimą.</w:t>
            </w:r>
            <w:r>
              <w:rPr>
                <w:color w:val="000000" w:themeColor="text1"/>
                <w:sz w:val="24"/>
                <w:rFonts w:ascii="Times New Roman" w:hAnsi="Times New Roman"/>
              </w:rPr>
              <w:t xml:space="preserve"> </w:t>
            </w:r>
          </w:p>
          <w:p w14:paraId="34389FB0" w14:textId="7C26C455" w:rsidR="00DE6BC1" w:rsidRPr="0008623B" w:rsidRDefault="00DE6BC1" w:rsidP="00401EDD">
            <w:pPr>
              <w:autoSpaceDE w:val="0"/>
              <w:autoSpaceDN w:val="0"/>
              <w:adjustRightInd w:val="0"/>
              <w:spacing w:before="120" w:after="120"/>
              <w:rPr>
                <w:b/>
                <w:color w:val="000000" w:themeColor="text1"/>
                <w:sz w:val="24"/>
                <w:szCs w:val="24"/>
                <w:rFonts w:ascii="Times New Roman" w:hAnsi="Times New Roman" w:cs="Times New Roman"/>
              </w:rPr>
            </w:pPr>
            <w:r>
              <w:rPr>
                <w:sz w:val="24"/>
                <w:rFonts w:ascii="Times New Roman" w:hAnsi="Times New Roman"/>
              </w:rPr>
              <w:t xml:space="preserve">T, T−1, T−2, T−3 ir T−4 informacijos atskleidimo laikotarpiai atitinka metų ketvirčius.</w:t>
            </w:r>
            <w:r>
              <w:rPr>
                <w:sz w:val="24"/>
                <w:rFonts w:ascii="Times New Roman" w:hAnsi="Times New Roman"/>
              </w:rPr>
              <w:t xml:space="preserve"> </w:t>
            </w:r>
            <w:r>
              <w:rPr>
                <w:sz w:val="24"/>
                <w:rFonts w:ascii="Times New Roman" w:hAnsi="Times New Roman"/>
              </w:rPr>
              <w:t xml:space="preserve">Subjektai nurodo informacijos atskleidimo laikotarpius atitinkančias datas.</w:t>
            </w:r>
            <w:r>
              <w:rPr>
                <w:sz w:val="24"/>
                <w:rFonts w:ascii="Times New Roman" w:hAnsi="Times New Roman"/>
              </w:rPr>
              <w:t xml:space="preserve"> </w:t>
            </w:r>
            <w:r>
              <w:rPr>
                <w:sz w:val="24"/>
                <w:rFonts w:ascii="Times New Roman" w:hAnsi="Times New Roman"/>
              </w:rPr>
              <w:t xml:space="preserve">Šią informaciją kas ketvirtį atskleidžiantys subjektai pateikia T, T−1, T−2, T−3 ir T−4 laikotarpių duomenis;</w:t>
            </w:r>
            <w:r>
              <w:rPr>
                <w:sz w:val="24"/>
                <w:rFonts w:ascii="Times New Roman" w:hAnsi="Times New Roman"/>
              </w:rPr>
              <w:t xml:space="preserve"> </w:t>
            </w:r>
            <w:r>
              <w:rPr>
                <w:sz w:val="24"/>
                <w:rFonts w:ascii="Times New Roman" w:hAnsi="Times New Roman"/>
              </w:rPr>
              <w:t xml:space="preserve">šią informaciją kas pusmetį atskleidžiantys subjektai pateikia T, T−2, ir T−4 laikotarpių duomenis;</w:t>
            </w:r>
            <w:r>
              <w:rPr>
                <w:sz w:val="24"/>
                <w:rFonts w:ascii="Times New Roman" w:hAnsi="Times New Roman"/>
              </w:rPr>
              <w:t xml:space="preserve"> </w:t>
            </w:r>
            <w:r>
              <w:rPr>
                <w:sz w:val="24"/>
                <w:rFonts w:ascii="Times New Roman" w:hAnsi="Times New Roman"/>
              </w:rPr>
              <w:t xml:space="preserve">šią informaciją kasmet atskleidžiantys subjektai pateikia T ir T−4 laikotarpių duomenis.</w:t>
            </w:r>
          </w:p>
        </w:tc>
      </w:tr>
    </w:tbl>
    <w:p w14:paraId="33309394" w14:textId="77777777" w:rsidR="009C13C2" w:rsidRPr="0008623B" w:rsidRDefault="009C13C2" w:rsidP="006D4640">
      <w:pPr>
        <w:rPr>
          <w:rFonts w:ascii="Times New Roman" w:hAnsi="Times New Roman" w:cs="Times New Roman"/>
          <w:noProof/>
          <w:color w:val="000000" w:themeColor="text1"/>
          <w:sz w:val="24"/>
          <w:szCs w:val="24"/>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65A77E60" w14:textId="77777777" w:rsidTr="00915305">
        <w:trPr>
          <w:trHeight w:val="238"/>
        </w:trPr>
        <w:tc>
          <w:tcPr>
            <w:tcW w:w="1384" w:type="dxa"/>
            <w:shd w:val="clear" w:color="auto" w:fill="D9D9D9" w:themeFill="background1" w:themeFillShade="D9"/>
          </w:tcPr>
          <w:p w14:paraId="2C46BBB5" w14:textId="77777777" w:rsidR="006D4640" w:rsidRPr="0008623B" w:rsidRDefault="006D4640" w:rsidP="00915305">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Eilutės</w:t>
            </w:r>
          </w:p>
        </w:tc>
        <w:tc>
          <w:tcPr>
            <w:tcW w:w="7655" w:type="dxa"/>
            <w:shd w:val="clear" w:color="auto" w:fill="D9D9D9" w:themeFill="background1" w:themeFillShade="D9"/>
          </w:tcPr>
          <w:p w14:paraId="309BD783" w14:textId="35573839" w:rsidR="006D4640" w:rsidRPr="0008623B" w:rsidRDefault="00E46262" w:rsidP="00915305">
            <w:pPr>
              <w:autoSpaceDE w:val="0"/>
              <w:autoSpaceDN w:val="0"/>
              <w:adjustRightInd w:val="0"/>
              <w:rPr>
                <w:color w:val="000000" w:themeColor="text1"/>
                <w:sz w:val="24"/>
                <w:szCs w:val="24"/>
                <w:rFonts w:ascii="Times New Roman" w:hAnsi="Times New Roman" w:cs="Times New Roman"/>
              </w:rPr>
            </w:pPr>
            <w:r>
              <w:rPr>
                <w:b/>
                <w:color w:val="000000" w:themeColor="text1"/>
                <w:sz w:val="24"/>
                <w:rFonts w:ascii="Times New Roman" w:hAnsi="Times New Roman"/>
              </w:rPr>
              <w:t xml:space="preserve">Nuorodos į teisės aktus ir nurodymai</w:t>
            </w:r>
          </w:p>
        </w:tc>
      </w:tr>
      <w:tr w:rsidR="00DF735F" w:rsidRPr="0008623B" w14:paraId="3E6E8E5C" w14:textId="77777777" w:rsidTr="005D18F8">
        <w:trPr>
          <w:trHeight w:val="1014"/>
        </w:trPr>
        <w:tc>
          <w:tcPr>
            <w:tcW w:w="1384" w:type="dxa"/>
          </w:tcPr>
          <w:p w14:paraId="2671D250" w14:textId="2BE97FB7" w:rsidR="00DF735F" w:rsidRPr="0008623B" w:rsidRDefault="00150101" w:rsidP="005D18F8">
            <w:pPr>
              <w:pStyle w:val="Applicationdirecte"/>
              <w:spacing w:before="120"/>
              <w:rPr>
                <w:color w:val="000000" w:themeColor="text1"/>
                <w:szCs w:val="24"/>
              </w:rPr>
            </w:pPr>
            <w:r>
              <w:rPr>
                <w:color w:val="000000" w:themeColor="text1"/>
              </w:rPr>
              <w:t xml:space="preserve">1</w:t>
            </w:r>
          </w:p>
        </w:tc>
        <w:tc>
          <w:tcPr>
            <w:tcW w:w="7655" w:type="dxa"/>
          </w:tcPr>
          <w:p w14:paraId="779E1D4D" w14:textId="3D6D105C" w:rsidR="00DF735F" w:rsidRPr="0008623B" w:rsidRDefault="00DF735F" w:rsidP="005D18F8">
            <w:pPr>
              <w:pStyle w:val="Applicationdirecte"/>
              <w:spacing w:before="120"/>
              <w:rPr>
                <w:b/>
                <w:color w:val="000000" w:themeColor="text1"/>
                <w:szCs w:val="24"/>
              </w:rPr>
            </w:pPr>
            <w:r>
              <w:rPr>
                <w:b/>
                <w:color w:val="000000" w:themeColor="text1"/>
              </w:rPr>
              <w:t xml:space="preserve">Nuosavos lėšos ir tinkami įsipareigojimai</w:t>
            </w:r>
          </w:p>
          <w:p w14:paraId="0A140E20" w14:textId="2DF06A7B" w:rsidR="00DF735F" w:rsidRPr="0008623B" w:rsidRDefault="00DF735F" w:rsidP="00812B3B">
            <w:pPr>
              <w:spacing w:before="120" w:after="120" w:line="240" w:lineRule="auto"/>
              <w:jc w:val="both"/>
              <w:rPr>
                <w:bCs/>
                <w:sz w:val="24"/>
                <w:rFonts w:ascii="Times New Roman" w:hAnsi="Times New Roman" w:cs="Times New Roman"/>
              </w:rPr>
            </w:pPr>
            <w:r>
              <w:rPr>
                <w:color w:val="000000" w:themeColor="text1"/>
                <w:sz w:val="24"/>
                <w:rFonts w:ascii="Times New Roman" w:hAnsi="Times New Roman"/>
              </w:rPr>
              <w:t xml:space="preserve">Lygūs informacijos atskleidimo formos EU TLAC1 22 eilutėje atskleistoms vertėms.</w:t>
            </w:r>
          </w:p>
        </w:tc>
      </w:tr>
      <w:tr w:rsidR="00962389" w:rsidRPr="0008623B" w14:paraId="3461B86E" w14:textId="77777777" w:rsidTr="00915305">
        <w:trPr>
          <w:trHeight w:val="1014"/>
        </w:trPr>
        <w:tc>
          <w:tcPr>
            <w:tcW w:w="1384" w:type="dxa"/>
          </w:tcPr>
          <w:p w14:paraId="47F71FA9" w14:textId="52988882" w:rsidR="00962389" w:rsidRPr="0008623B" w:rsidDel="00150101" w:rsidRDefault="00962389" w:rsidP="005B765F">
            <w:pPr>
              <w:pStyle w:val="Applicationdirecte"/>
              <w:spacing w:before="120"/>
              <w:rPr>
                <w:color w:val="000000" w:themeColor="text1"/>
                <w:szCs w:val="24"/>
              </w:rPr>
            </w:pPr>
            <w:r>
              <w:rPr>
                <w:color w:val="000000" w:themeColor="text1"/>
              </w:rPr>
              <w:t xml:space="preserve">EU-1a</w:t>
            </w:r>
          </w:p>
        </w:tc>
        <w:tc>
          <w:tcPr>
            <w:tcW w:w="7655" w:type="dxa"/>
          </w:tcPr>
          <w:p w14:paraId="3D396CEE" w14:textId="278C4C7F" w:rsidR="00962389" w:rsidRPr="0008623B" w:rsidRDefault="00962389" w:rsidP="00962389">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Nuosavos lėšos ir tinkami įsipareigojimai. Iš jų nuosavos lėšos ir subordinuotieji įsipareigojimai</w:t>
            </w:r>
          </w:p>
          <w:p w14:paraId="729B564A" w14:textId="00537292" w:rsidR="00AF2AB2" w:rsidRPr="0008623B" w:rsidRDefault="00AF2AB2" w:rsidP="00962389">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Lygūs informacijos atskleidimo formos EU TLAC1 EU-22a eilutėje atskleistai vertei.</w:t>
            </w:r>
          </w:p>
          <w:p w14:paraId="6E8661C5" w14:textId="06556E77" w:rsidR="00AF2AB2" w:rsidRPr="0008623B" w:rsidRDefault="00AF2AB2" w:rsidP="00B96861">
            <w:pPr>
              <w:rPr>
                <w:b/>
                <w:color w:val="000000" w:themeColor="text1"/>
                <w:sz w:val="24"/>
                <w:szCs w:val="24"/>
                <w:rFonts w:ascii="Times New Roman" w:hAnsi="Times New Roman" w:cs="Times New Roman"/>
              </w:rPr>
            </w:pPr>
            <w:r>
              <w:rPr>
                <w:sz w:val="24"/>
                <w:color w:val="000000" w:themeColor="text1"/>
                <w:rFonts w:ascii="Times New Roman" w:hAnsi="Times New Roman"/>
              </w:rPr>
              <w:t xml:space="preserve">Nuosavos lėšos, tinkami įsipareigojimai,</w:t>
            </w:r>
            <w:r>
              <w:rPr>
                <w:sz w:val="24"/>
                <w:rFonts w:ascii="Times New Roman" w:hAnsi="Times New Roman"/>
              </w:rPr>
              <w:t xml:space="preserve"> </w:t>
            </w:r>
            <w:r>
              <w:rPr>
                <w:sz w:val="24"/>
                <w:rStyle w:val="InstructionsTabelleberschrift"/>
                <w:b w:val="0"/>
                <w:u w:val="none"/>
                <w:rFonts w:ascii="Times New Roman" w:hAnsi="Times New Roman"/>
              </w:rPr>
              <w:t xml:space="preserve">įtraukti į</w:t>
            </w:r>
            <w:r>
              <w:rPr>
                <w:sz w:val="24"/>
                <w:rFonts w:ascii="Times New Roman" w:hAnsi="Times New Roman"/>
              </w:rPr>
              <w:t xml:space="preserve"> </w:t>
            </w:r>
            <w:r>
              <w:rPr>
                <w:sz w:val="24"/>
                <w:rStyle w:val="FormatvorlageInstructionsTabelleText"/>
                <w:rFonts w:ascii="Times New Roman" w:hAnsi="Times New Roman"/>
              </w:rPr>
              <w:t xml:space="preserve">nuosavų lėšų ir tinkamų įsipareigojimų sumą pagal Direktyvos 2014/59/ES 45b straipsnį, kurie yra subordinuotosios tinkamos priemonės, apibrėžtos tos direktyvos 2 straipsnio 1 dalies 71b punkte, ir</w:t>
            </w:r>
            <w:r>
              <w:rPr>
                <w:sz w:val="24"/>
                <w:rFonts w:ascii="Times New Roman" w:hAnsi="Times New Roman"/>
              </w:rPr>
              <w:t xml:space="preserve"> </w:t>
            </w:r>
            <w:r>
              <w:rPr>
                <w:sz w:val="24"/>
                <w:rStyle w:val="InstructionsTabelleberschrift"/>
                <w:b w:val="0"/>
                <w:u w:val="none"/>
                <w:rFonts w:ascii="Times New Roman" w:hAnsi="Times New Roman"/>
              </w:rPr>
              <w:t xml:space="preserve">įsipareigojimai,</w:t>
            </w:r>
            <w:r>
              <w:rPr>
                <w:sz w:val="24"/>
                <w:rFonts w:ascii="Times New Roman" w:hAnsi="Times New Roman"/>
              </w:rPr>
              <w:t xml:space="preserve"> </w:t>
            </w:r>
            <w:r>
              <w:rPr>
                <w:sz w:val="24"/>
                <w:rStyle w:val="FormatvorlageInstructionsTabelleText"/>
                <w:rFonts w:ascii="Times New Roman" w:hAnsi="Times New Roman"/>
              </w:rPr>
              <w:t xml:space="preserve">įtraukti į nuosavų lėšų ir tinkamų įsipareigojimų sumą pagal Direktyvos 2014/59/ES 45b straipsnio 3 dalį.</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Tuo atveju, kai priemones reglamentuoja trečiosios valstybės teisė, į šią eilutę priemonė įtraukiama tik jeigu ji atitinka Direktyvos 2014/59/ES 55 straipsnyje nustatytus reikalavimus.</w:t>
            </w:r>
          </w:p>
        </w:tc>
      </w:tr>
      <w:tr w:rsidR="00026FC1" w:rsidRPr="0008623B" w14:paraId="7087FBBE" w14:textId="77777777" w:rsidTr="00915305">
        <w:trPr>
          <w:trHeight w:val="1014"/>
        </w:trPr>
        <w:tc>
          <w:tcPr>
            <w:tcW w:w="1384" w:type="dxa"/>
          </w:tcPr>
          <w:p w14:paraId="65A81525" w14:textId="01438D1E" w:rsidR="006D4640" w:rsidRPr="0008623B" w:rsidRDefault="00150101" w:rsidP="00915305">
            <w:pPr>
              <w:pStyle w:val="Applicationdirecte"/>
              <w:spacing w:before="120"/>
              <w:rPr>
                <w:color w:val="000000" w:themeColor="text1"/>
                <w:szCs w:val="24"/>
              </w:rPr>
            </w:pPr>
            <w:r>
              <w:rPr>
                <w:color w:val="000000" w:themeColor="text1"/>
              </w:rPr>
              <w:t xml:space="preserve">2</w:t>
            </w:r>
          </w:p>
        </w:tc>
        <w:tc>
          <w:tcPr>
            <w:tcW w:w="7655" w:type="dxa"/>
          </w:tcPr>
          <w:p w14:paraId="7C401856" w14:textId="7B8EEDE3" w:rsidR="006D4640" w:rsidRPr="0008623B" w:rsidRDefault="006D4640" w:rsidP="00915305">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Pertvarkytinos grupės bendra rizikos pozicijos suma (TREA)</w:t>
            </w:r>
            <w:r>
              <w:rPr>
                <w:b/>
                <w:color w:val="000000" w:themeColor="text1"/>
                <w:sz w:val="24"/>
                <w:rFonts w:ascii="Times New Roman" w:hAnsi="Times New Roman"/>
              </w:rPr>
              <w:t xml:space="preserve"> </w:t>
            </w:r>
          </w:p>
          <w:p w14:paraId="147C8558" w14:textId="2D445D5F" w:rsidR="006D4640" w:rsidRPr="0008623B" w:rsidRDefault="006D4640" w:rsidP="00936956">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Lygi informacijos atskleidimo formos EU TLAC1 23 eilutėje atskleistai vertei.</w:t>
            </w:r>
          </w:p>
          <w:p w14:paraId="10BE5322" w14:textId="167B6DDA" w:rsidR="00705FB0" w:rsidRPr="0008623B" w:rsidRDefault="003D0BF6" w:rsidP="00FB021F">
            <w:pPr>
              <w:autoSpaceDE w:val="0"/>
              <w:autoSpaceDN w:val="0"/>
              <w:adjustRightInd w:val="0"/>
              <w:spacing w:before="120" w:after="120"/>
              <w:jc w:val="both"/>
              <w:rPr>
                <w:bCs/>
                <w:sz w:val="24"/>
                <w:rFonts w:ascii="Times New Roman" w:hAnsi="Times New Roman" w:cs="Times New Roman"/>
              </w:rPr>
            </w:pPr>
            <w:r>
              <w:rPr>
                <w:rStyle w:val="FormatvorlageInstructionsTabelleText"/>
                <w:sz w:val="24"/>
                <w:rFonts w:ascii="Times New Roman" w:hAnsi="Times New Roman"/>
              </w:rPr>
              <w:t xml:space="preserve">Direktyvos 2014/59/ES 45 straipsnio 2 dalies a punktas, Reglamento (ES) Nr. 575/2013 92 straipsnio 3 dalis.</w:t>
            </w:r>
          </w:p>
        </w:tc>
      </w:tr>
      <w:tr w:rsidR="00DF735F" w:rsidRPr="0008623B" w14:paraId="36D02255" w14:textId="77777777" w:rsidTr="005D18F8">
        <w:trPr>
          <w:trHeight w:val="316"/>
        </w:trPr>
        <w:tc>
          <w:tcPr>
            <w:tcW w:w="1384" w:type="dxa"/>
          </w:tcPr>
          <w:p w14:paraId="24FC7113" w14:textId="5D3DECAC" w:rsidR="00DF735F" w:rsidRPr="0008623B" w:rsidRDefault="00150101" w:rsidP="005D18F8">
            <w:pPr>
              <w:autoSpaceDE w:val="0"/>
              <w:autoSpaceDN w:val="0"/>
              <w:adjustRightInd w:val="0"/>
              <w:rPr>
                <w:color w:val="000000" w:themeColor="text1"/>
                <w:sz w:val="24"/>
                <w:szCs w:val="24"/>
                <w:rFonts w:ascii="Times New Roman" w:eastAsia="Times New Roman" w:hAnsi="Times New Roman" w:cs="Times New Roman"/>
              </w:rPr>
            </w:pPr>
            <w:r>
              <w:rPr>
                <w:color w:val="000000" w:themeColor="text1"/>
                <w:sz w:val="24"/>
                <w:rFonts w:ascii="Times New Roman" w:hAnsi="Times New Roman"/>
              </w:rPr>
              <w:t xml:space="preserve">3</w:t>
            </w:r>
          </w:p>
        </w:tc>
        <w:tc>
          <w:tcPr>
            <w:tcW w:w="7655" w:type="dxa"/>
          </w:tcPr>
          <w:p w14:paraId="038AB6D4" w14:textId="14BCE5D0" w:rsidR="00DF735F" w:rsidRPr="0008623B" w:rsidRDefault="00DF735F" w:rsidP="005D18F8">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Nuosavos lėšos ir tinkami įsipareigojimai kaip TREA procentinė dalis</w:t>
            </w:r>
          </w:p>
          <w:p w14:paraId="7B949D15" w14:textId="2BA6D31F" w:rsidR="00DF735F" w:rsidRPr="0008623B" w:rsidRDefault="00DF735F" w:rsidP="005D18F8">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Lygūs informacijos atskleidimo formos EU TLAC1 25 eilutėje atskleistoms vertėms.</w:t>
            </w:r>
            <w:r>
              <w:rPr>
                <w:color w:val="000000" w:themeColor="text1"/>
                <w:sz w:val="24"/>
                <w:rFonts w:ascii="Times New Roman" w:hAnsi="Times New Roman"/>
              </w:rPr>
              <w:t xml:space="preserve"> </w:t>
            </w:r>
          </w:p>
          <w:p w14:paraId="0F5B2611" w14:textId="00BEB708" w:rsidR="00DF735F" w:rsidRPr="0008623B" w:rsidRDefault="00705FB0" w:rsidP="00DE7C85">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Šioje eilutėje nuosavų lėšų ir tinkamų įsipareigojimų suma, atskleista 1 eilutėje, išreiškiama bendros rizikos pozicijos sumos, apskaičiuotos pagal Reglamento (ES) Nr. 575/2013 92 straipsnio 3 dalį, procentine dalimi.</w:t>
            </w:r>
          </w:p>
        </w:tc>
      </w:tr>
      <w:tr w:rsidR="00000DE2" w:rsidRPr="0008623B" w14:paraId="57CCD1AB" w14:textId="77777777" w:rsidTr="00915305">
        <w:trPr>
          <w:trHeight w:val="1014"/>
        </w:trPr>
        <w:tc>
          <w:tcPr>
            <w:tcW w:w="1384" w:type="dxa"/>
          </w:tcPr>
          <w:p w14:paraId="3F2D9068" w14:textId="39D72622" w:rsidR="00000DE2" w:rsidRPr="0008623B" w:rsidDel="00150101" w:rsidRDefault="00000DE2" w:rsidP="00DB779A">
            <w:pPr>
              <w:pStyle w:val="Applicationdirecte"/>
              <w:spacing w:before="120"/>
              <w:rPr>
                <w:color w:val="000000" w:themeColor="text1"/>
                <w:szCs w:val="24"/>
              </w:rPr>
            </w:pPr>
            <w:r>
              <w:rPr>
                <w:color w:val="000000" w:themeColor="text1"/>
              </w:rPr>
              <w:t xml:space="preserve">EU-3a</w:t>
            </w:r>
          </w:p>
        </w:tc>
        <w:tc>
          <w:tcPr>
            <w:tcW w:w="7655" w:type="dxa"/>
          </w:tcPr>
          <w:p w14:paraId="44E29BD6" w14:textId="2EF98522" w:rsidR="00000DE2" w:rsidRPr="0008623B" w:rsidRDefault="00000DE2" w:rsidP="00000DE2">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Nuosavos lėšos ir tinkami įsipareigojimai kaip TREA procentinė dalis. Iš jų nuosavos lėšos ir subordinuotieji įsipareigojimai</w:t>
            </w:r>
          </w:p>
          <w:p w14:paraId="6CBFF6B4" w14:textId="23321C0B" w:rsidR="00000DE2" w:rsidRPr="0008623B" w:rsidRDefault="00000DE2" w:rsidP="00000DE2">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Lygūs informacijos atskleidimo formos EU TLAC1 EU-25a eilutėje atskleistai vertei.</w:t>
            </w:r>
          </w:p>
          <w:p w14:paraId="5209AA08" w14:textId="5CE53966" w:rsidR="00000DE2" w:rsidRPr="0008623B" w:rsidRDefault="00705FB0" w:rsidP="00AA4A01">
            <w:pPr>
              <w:pStyle w:val="Institutionquisigne"/>
              <w:spacing w:before="100" w:beforeAutospacing="1"/>
              <w:rPr>
                <w:b/>
                <w:i w:val="0"/>
                <w:color w:val="000000" w:themeColor="text1"/>
                <w:szCs w:val="24"/>
              </w:rPr>
            </w:pPr>
            <w:r>
              <w:rPr>
                <w:i w:val="0"/>
                <w:color w:val="000000" w:themeColor="text1"/>
              </w:rPr>
              <w:t xml:space="preserve">Šioje eilutėje nuosavų lėšų ir subordinuotųjų tinkamų įsipareigojimų suma, nurodyta EU-1a eilutėje, išreiškiama bendros rizikos pozicijos sumos, apskaičiuotos pagal Reglamento (ES) Nr. 575/2013 92 straipsnio 3 dalį, procentine dalimi.</w:t>
            </w:r>
          </w:p>
        </w:tc>
      </w:tr>
      <w:tr w:rsidR="00026FC1" w:rsidRPr="0008623B" w14:paraId="598F6093" w14:textId="77777777" w:rsidTr="00915305">
        <w:trPr>
          <w:trHeight w:val="1014"/>
        </w:trPr>
        <w:tc>
          <w:tcPr>
            <w:tcW w:w="1384" w:type="dxa"/>
          </w:tcPr>
          <w:p w14:paraId="2BD1914D" w14:textId="668E84BB" w:rsidR="00150101" w:rsidRPr="0008623B" w:rsidRDefault="00150101" w:rsidP="00150101">
            <w:pPr>
              <w:pStyle w:val="Applicationdirecte"/>
              <w:spacing w:before="120"/>
              <w:rPr>
                <w:color w:val="000000" w:themeColor="text1"/>
                <w:szCs w:val="24"/>
              </w:rPr>
            </w:pPr>
            <w:r>
              <w:rPr>
                <w:color w:val="000000" w:themeColor="text1"/>
              </w:rPr>
              <w:t xml:space="preserve">4</w:t>
            </w:r>
          </w:p>
        </w:tc>
        <w:tc>
          <w:tcPr>
            <w:tcW w:w="7655" w:type="dxa"/>
          </w:tcPr>
          <w:p w14:paraId="21BFF265" w14:textId="5070F7DC" w:rsidR="006D4640" w:rsidRPr="0008623B" w:rsidRDefault="00B409EF" w:rsidP="00915305">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Pertvarkytinos grupės bendras pozicijų matas (TEM)</w:t>
            </w:r>
          </w:p>
          <w:p w14:paraId="252377B7" w14:textId="103F2793" w:rsidR="006D4640" w:rsidRPr="0008623B" w:rsidRDefault="006D4640" w:rsidP="00936956">
            <w:pPr>
              <w:pStyle w:val="Applicationdirecte"/>
              <w:spacing w:before="120"/>
              <w:rPr>
                <w:color w:val="000000" w:themeColor="text1"/>
                <w:szCs w:val="24"/>
              </w:rPr>
            </w:pPr>
            <w:r>
              <w:rPr>
                <w:color w:val="000000" w:themeColor="text1"/>
              </w:rPr>
              <w:t xml:space="preserve">Lygus informacijos atskleidimo formos EU TLAC1 24 eilutėje atskleistai vertei.</w:t>
            </w:r>
          </w:p>
          <w:p w14:paraId="5BC2C1BD" w14:textId="4F7E9896" w:rsidR="00705FB0" w:rsidRPr="0008623B" w:rsidRDefault="003D0BF6" w:rsidP="00FB021F">
            <w:pPr>
              <w:pStyle w:val="Fait"/>
            </w:pPr>
            <w:r>
              <w:t xml:space="preserve">Direktyvos 2014/59/ES 45 straipsnio 2 dalies b punktas, Reglamento (ES) Nr. 575/2013 429 straipsnio 4 dalis ir 429a straipsnis.</w:t>
            </w:r>
          </w:p>
        </w:tc>
      </w:tr>
      <w:tr w:rsidR="00150101" w:rsidRPr="0008623B" w14:paraId="338EAA8B" w14:textId="77777777" w:rsidTr="005D18F8">
        <w:trPr>
          <w:trHeight w:val="316"/>
        </w:trPr>
        <w:tc>
          <w:tcPr>
            <w:tcW w:w="1384" w:type="dxa"/>
          </w:tcPr>
          <w:p w14:paraId="22D80E63" w14:textId="3B307FF1" w:rsidR="00150101" w:rsidRPr="0008623B" w:rsidRDefault="00150101" w:rsidP="005D18F8">
            <w:pPr>
              <w:autoSpaceDE w:val="0"/>
              <w:autoSpaceDN w:val="0"/>
              <w:adjustRightInd w:val="0"/>
              <w:rPr>
                <w:color w:val="000000" w:themeColor="text1"/>
                <w:sz w:val="24"/>
                <w:szCs w:val="24"/>
                <w:rFonts w:ascii="Times New Roman" w:eastAsia="Times New Roman" w:hAnsi="Times New Roman" w:cs="Times New Roman"/>
              </w:rPr>
            </w:pPr>
            <w:r>
              <w:rPr>
                <w:color w:val="000000" w:themeColor="text1"/>
                <w:sz w:val="24"/>
                <w:rFonts w:ascii="Times New Roman" w:hAnsi="Times New Roman"/>
              </w:rPr>
              <w:t xml:space="preserve">5</w:t>
            </w:r>
          </w:p>
        </w:tc>
        <w:tc>
          <w:tcPr>
            <w:tcW w:w="7655" w:type="dxa"/>
          </w:tcPr>
          <w:p w14:paraId="55ACA309" w14:textId="5203CF48" w:rsidR="00150101" w:rsidRPr="0008623B" w:rsidRDefault="00150101" w:rsidP="005D18F8">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Nuosavos lėšos ir tinkami įsipareigojimai kaip TEM procentinė dalis</w:t>
            </w:r>
          </w:p>
          <w:p w14:paraId="5AF77D83" w14:textId="1205FA3D" w:rsidR="00150101" w:rsidRPr="0008623B" w:rsidRDefault="00150101" w:rsidP="005D18F8">
            <w:pPr>
              <w:autoSpaceDE w:val="0"/>
              <w:autoSpaceDN w:val="0"/>
              <w:adjustRightInd w:val="0"/>
              <w:spacing w:before="120" w:after="120"/>
              <w:jc w:val="both"/>
              <w:rPr>
                <w:b/>
                <w:color w:val="000000" w:themeColor="text1"/>
                <w:sz w:val="24"/>
                <w:szCs w:val="24"/>
                <w:rFonts w:ascii="Times New Roman" w:hAnsi="Times New Roman" w:cs="Times New Roman"/>
              </w:rPr>
            </w:pPr>
            <w:r>
              <w:rPr>
                <w:color w:val="000000" w:themeColor="text1"/>
                <w:sz w:val="24"/>
                <w:rFonts w:ascii="Times New Roman" w:hAnsi="Times New Roman"/>
              </w:rPr>
              <w:t xml:space="preserve">Lygūs informacijos atskleidimo formos EU TLAC1 26 eilutėje atskleistai vertei.</w:t>
            </w:r>
          </w:p>
          <w:p w14:paraId="63970459" w14:textId="46B09F83" w:rsidR="00150101" w:rsidRPr="0008623B" w:rsidRDefault="00705FB0" w:rsidP="00FB021F">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Šioje eilutėje nuosavų lėšų ir tinkamų įsipareigojimų suma, nurodyta 1 eilutėje, išreiškiama bendro pozicijų mato, apskaičiuoto pagal Reglamento (ES) Nr. 575/2013 429 straipsnio 4 dalį ir 429a straipsnį, procentine dalimi.</w:t>
            </w:r>
          </w:p>
        </w:tc>
      </w:tr>
      <w:tr w:rsidR="0037295D" w:rsidRPr="0008623B" w14:paraId="0D9B4EED" w14:textId="77777777" w:rsidTr="00807127">
        <w:trPr>
          <w:trHeight w:val="1014"/>
        </w:trPr>
        <w:tc>
          <w:tcPr>
            <w:tcW w:w="1384" w:type="dxa"/>
          </w:tcPr>
          <w:p w14:paraId="59748E19" w14:textId="219DA8E1" w:rsidR="0037295D" w:rsidRPr="0008623B" w:rsidDel="00150101" w:rsidRDefault="00A3785C" w:rsidP="00807127">
            <w:pPr>
              <w:pStyle w:val="Applicationdirecte"/>
              <w:spacing w:before="120"/>
              <w:rPr>
                <w:color w:val="000000" w:themeColor="text1"/>
                <w:szCs w:val="24"/>
              </w:rPr>
            </w:pPr>
            <w:r>
              <w:rPr>
                <w:color w:val="000000" w:themeColor="text1"/>
              </w:rPr>
              <w:t xml:space="preserve">EU-5a</w:t>
            </w:r>
          </w:p>
        </w:tc>
        <w:tc>
          <w:tcPr>
            <w:tcW w:w="7655" w:type="dxa"/>
          </w:tcPr>
          <w:p w14:paraId="677C4852" w14:textId="7733E767" w:rsidR="0037295D" w:rsidRPr="0008623B" w:rsidRDefault="00A3785C" w:rsidP="00A3785C">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Nuosavos lėšos ir tinkami įsipareigojimai kaip TEM procentinė dalis. Iš jų nuosavos lėšos ir subordinuotieji įsipareigojimai</w:t>
            </w:r>
          </w:p>
          <w:p w14:paraId="25EF5991" w14:textId="1725162F" w:rsidR="0037295D" w:rsidRPr="0008623B" w:rsidRDefault="0037295D" w:rsidP="00807127">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Lygūs informacijos atskleidimo formos EU TLAC1 EU-26a eilutėje atskleistai vertei.</w:t>
            </w:r>
          </w:p>
          <w:p w14:paraId="4E14C375" w14:textId="17204913" w:rsidR="0037295D" w:rsidRPr="0008623B" w:rsidRDefault="00705FB0" w:rsidP="00FB021F">
            <w:pPr>
              <w:pStyle w:val="Fait"/>
              <w:spacing w:before="0"/>
              <w:rPr>
                <w:b/>
                <w:color w:val="000000" w:themeColor="text1"/>
                <w:szCs w:val="24"/>
              </w:rPr>
            </w:pPr>
            <w:r>
              <w:rPr>
                <w:color w:val="000000" w:themeColor="text1"/>
              </w:rPr>
              <w:t xml:space="preserve">Šioje eilutėje nuosavų lėšų ir subordinuotųjų tinkamų įsipareigojimų suma, nurodyta EU-1a eilutėje, išreiškiama bendro pozicijų mato, apskaičiuoto pagal Reglamento (ES) Nr. 575/2013 429 straipsnio 4 dalį ir 429a straipsnį, procentine dalimi.</w:t>
            </w:r>
          </w:p>
        </w:tc>
      </w:tr>
      <w:tr w:rsidR="0064224B" w:rsidRPr="0008623B" w14:paraId="4586DD47" w14:textId="77777777" w:rsidTr="00BB35EA">
        <w:trPr>
          <w:trHeight w:val="316"/>
        </w:trPr>
        <w:tc>
          <w:tcPr>
            <w:tcW w:w="1384" w:type="dxa"/>
          </w:tcPr>
          <w:p w14:paraId="641FAF10" w14:textId="4E1D75A0" w:rsidR="0064224B" w:rsidRPr="0008623B" w:rsidRDefault="0064224B" w:rsidP="00BB35EA">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6a</w:t>
            </w:r>
          </w:p>
        </w:tc>
        <w:tc>
          <w:tcPr>
            <w:tcW w:w="7655" w:type="dxa"/>
          </w:tcPr>
          <w:p w14:paraId="2E8BDE31" w14:textId="16D0165F" w:rsidR="0064224B" w:rsidRPr="0008623B" w:rsidRDefault="0064224B" w:rsidP="00BB35EA">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Ar taikoma Reglamento (ES) Nr. 575/2013 72b straipsnio 4 dalyje numatyta subordinavimo išimtis?</w:t>
            </w:r>
            <w:r>
              <w:rPr>
                <w:b/>
                <w:color w:val="000000" w:themeColor="text1"/>
                <w:sz w:val="24"/>
                <w:rFonts w:ascii="Times New Roman" w:hAnsi="Times New Roman"/>
              </w:rPr>
              <w:t xml:space="preserve"> </w:t>
            </w:r>
            <w:r>
              <w:rPr>
                <w:b/>
                <w:color w:val="000000" w:themeColor="text1"/>
                <w:sz w:val="24"/>
                <w:rFonts w:ascii="Times New Roman" w:hAnsi="Times New Roman"/>
              </w:rPr>
              <w:t xml:space="preserve">(5 % išimtis)</w:t>
            </w:r>
          </w:p>
          <w:p w14:paraId="46D7CE6C" w14:textId="47F6F9D3" w:rsidR="0064224B" w:rsidRPr="0008623B" w:rsidRDefault="0064224B" w:rsidP="00BB35EA">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Šios eilutės informaciją atskleidžia tik subjektai, kuriems taikomas G-SII nuosavų lėšų ir tinkamų įsipareigojimų reikalavimas.</w:t>
            </w:r>
          </w:p>
          <w:p w14:paraId="6016F028" w14:textId="34A18C3F" w:rsidR="0064224B" w:rsidRPr="0008623B" w:rsidRDefault="0064224B" w:rsidP="00BB35EA">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Jei pertvarkymo institucija leidžia įsipareigojimus priskirti prie tinkamų įsipareigojimų priemonių pagal Reglamento (ES) Nr. 575/2013 72b straipsnio 4 dalį, informaciją teikiantis subjektas nurodo „taip“.</w:t>
            </w:r>
          </w:p>
          <w:p w14:paraId="6B081016" w14:textId="4812518D" w:rsidR="0064224B" w:rsidRPr="0008623B" w:rsidRDefault="0064224B" w:rsidP="00BB35EA">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Jei pertvarkymo institucija neleidžia įsipareigojimų priskirti prie tinkamų įsipareigojimų priemonių pagal Reglamento (ES) Nr. 575/2013 72b straipsnio 4 dalį, pertvarkytina grupė arba pertvarkytinas subjektas nurodo „ne“.</w:t>
            </w:r>
          </w:p>
          <w:p w14:paraId="2F5E08DD" w14:textId="726ED396" w:rsidR="0064224B" w:rsidRPr="0008623B" w:rsidRDefault="0064224B" w:rsidP="00A70777">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Kadangi Reglamento (ES) Nr. 575/2013 72b straipsnio 3 ir 4 dalyse nurodytos išimtys tarpusavyje nesuderinamos, ši eilutė paliekama tuščia, jei informaciją teikiantis subjektas užpildė 6b eilutę.</w:t>
            </w:r>
          </w:p>
        </w:tc>
      </w:tr>
      <w:tr w:rsidR="008B1AF1" w:rsidRPr="0008623B" w14:paraId="03F999DF" w14:textId="77777777" w:rsidTr="00915305">
        <w:trPr>
          <w:trHeight w:val="316"/>
        </w:trPr>
        <w:tc>
          <w:tcPr>
            <w:tcW w:w="1384" w:type="dxa"/>
          </w:tcPr>
          <w:p w14:paraId="4B73F7B3" w14:textId="3C82303C" w:rsidR="008B1AF1" w:rsidRPr="0008623B" w:rsidRDefault="00FF2A56" w:rsidP="008B1AF1">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6b</w:t>
            </w:r>
          </w:p>
        </w:tc>
        <w:tc>
          <w:tcPr>
            <w:tcW w:w="7655" w:type="dxa"/>
          </w:tcPr>
          <w:p w14:paraId="41C2E586" w14:textId="6CC03437" w:rsidR="00BB35EA" w:rsidRPr="0008623B" w:rsidRDefault="00650183" w:rsidP="00705FB0">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Leidžiamų nesubordinuotųjų tinkamų įsipareigojimų priemonių bendra suma, jeigu taikoma subordinavimo diskrecija pagal Reglamento (ES) Nr. 575/2013 72b straipsnio 3 dalį (ne didesnė kaip 3,5 % išimtis)</w:t>
            </w:r>
          </w:p>
          <w:p w14:paraId="564101D0" w14:textId="5C7DA717" w:rsidR="00705FB0" w:rsidRPr="0008623B" w:rsidRDefault="00705FB0" w:rsidP="00705FB0">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Šios eilutės informaciją atskleidžia tik subjektai, kuriems taikomas G-SII nuosavų lėšų ir tinkamų įsipareigojimų reikalavimas.</w:t>
            </w:r>
          </w:p>
          <w:p w14:paraId="00AD85CC" w14:textId="318F6AC9" w:rsidR="002A5279" w:rsidRPr="0008623B" w:rsidRDefault="002A5279" w:rsidP="002A5279">
            <w:pPr>
              <w:rPr>
                <w:rStyle w:val="FormatvorlageInstructionsTabelleText"/>
                <w:sz w:val="24"/>
                <w:rFonts w:ascii="Times New Roman" w:hAnsi="Times New Roman"/>
              </w:rPr>
            </w:pPr>
            <w:r>
              <w:rPr>
                <w:rStyle w:val="FormatvorlageInstructionsTabelleText"/>
                <w:sz w:val="24"/>
                <w:rFonts w:ascii="Times New Roman" w:hAnsi="Times New Roman"/>
              </w:rPr>
              <w:t xml:space="preserve">Nesubordinuotųjų tinkamų įsipareigojimų priemonių bendra suma, kurią pertvarkymo institucija leido TLAC tikslais priskirti prie tinkamų įsipareigojimų priemonių pagal Reglamento (ES) Nr. 575/2013 72b straipsnio 3 dalį.</w:t>
            </w:r>
          </w:p>
          <w:p w14:paraId="24CA67B7" w14:textId="04F0B6BC" w:rsidR="008B1AF1" w:rsidRPr="0008623B" w:rsidRDefault="00705FB0" w:rsidP="00D45878">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Kadangi Reglamento (ES) Nr. 575/2013 72b straipsnio 3 ir 4 dalyse nurodytos išimtys tarpusavyje nesuderinamos, ši eilutė paliekama tuščia, jei subjektas 6a eilutėje nurodo „taip“.</w:t>
            </w:r>
          </w:p>
        </w:tc>
      </w:tr>
      <w:tr w:rsidR="008B1AF1" w:rsidRPr="0008623B" w14:paraId="2D64923D" w14:textId="77777777" w:rsidTr="00915305">
        <w:trPr>
          <w:trHeight w:val="316"/>
        </w:trPr>
        <w:tc>
          <w:tcPr>
            <w:tcW w:w="1384" w:type="dxa"/>
          </w:tcPr>
          <w:p w14:paraId="6C3622AD" w14:textId="140E60D3" w:rsidR="008B1AF1" w:rsidRPr="0008623B" w:rsidRDefault="00FF2A56" w:rsidP="008B1AF1">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6c</w:t>
            </w:r>
          </w:p>
        </w:tc>
        <w:tc>
          <w:tcPr>
            <w:tcW w:w="7655" w:type="dxa"/>
          </w:tcPr>
          <w:p w14:paraId="73DD47A6" w14:textId="24A022DC" w:rsidR="008B1AF1" w:rsidRPr="0008623B" w:rsidRDefault="008B1AF1" w:rsidP="008B1AF1">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Jeigu pagal Reglamento (ES) Nr. 575/2013 72b straipsnio 3 dalį taikoma apribota subordinavimo išimtis, suteikto finansavimo suma, kuri yra tokio pat prioriteto (</w:t>
            </w:r>
            <w:r>
              <w:rPr>
                <w:b/>
                <w:color w:val="000000" w:themeColor="text1"/>
                <w:sz w:val="24"/>
                <w:i/>
                <w:rFonts w:ascii="Times New Roman" w:hAnsi="Times New Roman"/>
              </w:rPr>
              <w:t xml:space="preserve">pari passu</w:t>
            </w:r>
            <w:r>
              <w:rPr>
                <w:b/>
                <w:color w:val="000000" w:themeColor="text1"/>
                <w:sz w:val="24"/>
                <w:rFonts w:ascii="Times New Roman" w:hAnsi="Times New Roman"/>
              </w:rPr>
              <w:t xml:space="preserve">) kaip neįtraukti įsipareigojimai ir yra pripažįstama 1 eilutėje, padalyta iš suteikto finansavimo sumos, kuri yra tokio pat prioriteto (</w:t>
            </w:r>
            <w:r>
              <w:rPr>
                <w:b/>
                <w:color w:val="000000" w:themeColor="text1"/>
                <w:sz w:val="24"/>
                <w:i/>
                <w:rFonts w:ascii="Times New Roman" w:hAnsi="Times New Roman"/>
              </w:rPr>
              <w:t xml:space="preserve">pari passu</w:t>
            </w:r>
            <w:r>
              <w:rPr>
                <w:b/>
                <w:color w:val="000000" w:themeColor="text1"/>
                <w:sz w:val="24"/>
                <w:rFonts w:ascii="Times New Roman" w:hAnsi="Times New Roman"/>
              </w:rPr>
              <w:t xml:space="preserve">) kaip neįtraukti įsipareigojimai ir kuri būtų pripažįstama 1 eilutėje, jei nebūtų taikoma viršutinė riba (%)</w:t>
            </w:r>
          </w:p>
          <w:p w14:paraId="02910CB6" w14:textId="36BCF0A1" w:rsidR="00CF21D0" w:rsidRPr="0008623B" w:rsidRDefault="00CF21D0" w:rsidP="00B654C4">
            <w:pPr>
              <w:autoSpaceDE w:val="0"/>
              <w:autoSpaceDN w:val="0"/>
              <w:adjustRightInd w:val="0"/>
              <w:spacing w:before="120" w:after="120"/>
              <w:jc w:val="both"/>
              <w:rPr>
                <w:color w:val="000000" w:themeColor="text1"/>
                <w:sz w:val="24"/>
                <w:szCs w:val="24"/>
                <w:rFonts w:ascii="Times New Roman" w:hAnsi="Times New Roman" w:cs="Times New Roman"/>
              </w:rPr>
            </w:pPr>
            <w:r>
              <w:rPr>
                <w:rStyle w:val="InstructionsTabelleberschrift"/>
                <w:b w:val="0"/>
                <w:sz w:val="24"/>
                <w:u w:val="none"/>
                <w:rFonts w:ascii="Times New Roman" w:hAnsi="Times New Roman"/>
              </w:rPr>
              <w:t xml:space="preserve">Šios eilutės informaciją atskleidžia tik subjektai, kuriems taikomas G-SII nuosavų lėšų ir tinkamų įsipareigojimų reikalavimas.</w:t>
            </w:r>
          </w:p>
          <w:p w14:paraId="27823EE1" w14:textId="65D1AB03" w:rsidR="008B1AF1" w:rsidRPr="0008623B" w:rsidRDefault="008B1AF1" w:rsidP="00B654C4">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Šioje eilutėje pertvarkytino subjekto išleistų pirmaeilės skolos turėtojams pranešama apie įtraukiamos pirmaeilės skolos, kuri laikoma tinkama, procentinę dalį, kad, kai taikytina, jie galėtų taikyti Reglamento (ES) Nr. 575/2013 72e straipsnyje nustatytą atskaitymų tvarką.</w:t>
            </w:r>
          </w:p>
          <w:p w14:paraId="69CB0A17" w14:textId="58CD2CDA" w:rsidR="00CF21D0" w:rsidRPr="0008623B" w:rsidRDefault="00F66078" w:rsidP="00B62DC9">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Jeigu taikoma Reglamento (ES) Nr. 575/2013 72b straipsnio 3 dalyje nustatyta apribota subordinavimo išimtis, subjektai nurodo:</w:t>
            </w:r>
          </w:p>
          <w:p w14:paraId="2D4EFCF5" w14:textId="674F215C" w:rsidR="00CF21D0" w:rsidRPr="0008623B" w:rsidRDefault="00F66078" w:rsidP="0073688E">
            <w:pPr>
              <w:spacing w:before="120" w:after="120" w:line="240" w:lineRule="auto"/>
              <w:jc w:val="both"/>
              <w:rPr>
                <w:rStyle w:val="InstructionsTabelleberschrift"/>
                <w:b w:val="0"/>
                <w:sz w:val="24"/>
                <w:szCs w:val="24"/>
                <w:u w:val="none"/>
                <w:rFonts w:ascii="Times New Roman" w:hAnsi="Times New Roman"/>
              </w:rPr>
            </w:pPr>
            <w:r>
              <w:rPr>
                <w:rStyle w:val="InstructionsTabelleberschrift"/>
                <w:b w:val="0"/>
                <w:sz w:val="24"/>
                <w:u w:val="none"/>
                <w:rFonts w:ascii="Times New Roman" w:hAnsi="Times New Roman"/>
              </w:rPr>
              <w:t xml:space="preserve">a) suteikto finansavimo sumą, kuri yra tokio pat prioriteto (</w:t>
            </w:r>
            <w:r>
              <w:rPr>
                <w:rStyle w:val="InstructionsTabelleberschrift"/>
                <w:b w:val="0"/>
                <w:sz w:val="24"/>
                <w:u w:val="none"/>
                <w:i/>
                <w:rFonts w:ascii="Times New Roman" w:hAnsi="Times New Roman"/>
              </w:rPr>
              <w:t xml:space="preserve">pari passu</w:t>
            </w:r>
            <w:r>
              <w:rPr>
                <w:rStyle w:val="InstructionsTabelleberschrift"/>
                <w:b w:val="0"/>
                <w:sz w:val="24"/>
                <w:u w:val="none"/>
                <w:rFonts w:ascii="Times New Roman" w:hAnsi="Times New Roman"/>
              </w:rPr>
              <w:t xml:space="preserve">) kaip neįtraukti įsipareigojimai, kaip nurodyta Reglamento (ES) Nr. 575/2013 72a straipsnio 2 dalyje, ir yra įtraukta į sumą, nurodytą 1 eilutėje,</w:t>
            </w:r>
          </w:p>
          <w:p w14:paraId="61EF1E26" w14:textId="12BB5640" w:rsidR="00CF21D0" w:rsidRPr="0008623B" w:rsidRDefault="00F66078" w:rsidP="0073688E">
            <w:pPr>
              <w:spacing w:before="120" w:after="120" w:line="240" w:lineRule="auto"/>
              <w:jc w:val="both"/>
              <w:rPr>
                <w:color w:val="000000" w:themeColor="text1"/>
                <w:sz w:val="24"/>
                <w:szCs w:val="24"/>
                <w:rFonts w:ascii="Times New Roman" w:hAnsi="Times New Roman" w:cs="Times New Roman"/>
              </w:rPr>
            </w:pPr>
            <w:r>
              <w:rPr>
                <w:rStyle w:val="InstructionsTabelleberschrift"/>
                <w:b w:val="0"/>
                <w:sz w:val="24"/>
                <w:u w:val="none"/>
                <w:rFonts w:ascii="Times New Roman" w:hAnsi="Times New Roman"/>
              </w:rPr>
              <w:t xml:space="preserve">b) padalytą iš suteikto finansavimo sumos, kuri yra tokio pat prioriteto (</w:t>
            </w:r>
            <w:r>
              <w:rPr>
                <w:rStyle w:val="InstructionsTabelleberschrift"/>
                <w:b w:val="0"/>
                <w:sz w:val="24"/>
                <w:u w:val="none"/>
                <w:i/>
                <w:rFonts w:ascii="Times New Roman" w:hAnsi="Times New Roman"/>
              </w:rPr>
              <w:t xml:space="preserve">pari passu</w:t>
            </w:r>
            <w:r>
              <w:rPr>
                <w:rStyle w:val="InstructionsTabelleberschrift"/>
                <w:b w:val="0"/>
                <w:sz w:val="24"/>
                <w:u w:val="none"/>
                <w:rFonts w:ascii="Times New Roman" w:hAnsi="Times New Roman"/>
              </w:rPr>
              <w:t xml:space="preserve">) kaip neįtraukti įsipareigojimai, kaip nurodyta Reglamento (ES) Nr. 575/2013 72a straipsnio 2 dalyje, ir kuri būtų pripažįstama pildant 1 eilutę, jeigu nebūtų taikyta viršutinė riba.</w:t>
            </w:r>
          </w:p>
        </w:tc>
      </w:tr>
      <w:tr w:rsidR="008B1AF1" w:rsidRPr="0008623B" w14:paraId="3397A407" w14:textId="77777777" w:rsidTr="00915305">
        <w:trPr>
          <w:trHeight w:val="316"/>
        </w:trPr>
        <w:tc>
          <w:tcPr>
            <w:tcW w:w="1384" w:type="dxa"/>
          </w:tcPr>
          <w:p w14:paraId="064B005C" w14:textId="65B49825" w:rsidR="008B1AF1" w:rsidRPr="0008623B" w:rsidDel="00CD7CA4" w:rsidRDefault="008B1AF1" w:rsidP="008B1AF1">
            <w:pPr>
              <w:autoSpaceDE w:val="0"/>
              <w:autoSpaceDN w:val="0"/>
              <w:adjustRightInd w:val="0"/>
              <w:rPr>
                <w:rFonts w:ascii="Times New Roman" w:hAnsi="Times New Roman" w:cs="Times New Roman"/>
                <w:color w:val="000000" w:themeColor="text1"/>
                <w:sz w:val="24"/>
                <w:szCs w:val="24"/>
                <w:lang w:val="en-GB"/>
              </w:rPr>
            </w:pPr>
          </w:p>
        </w:tc>
        <w:tc>
          <w:tcPr>
            <w:tcW w:w="7655" w:type="dxa"/>
          </w:tcPr>
          <w:p w14:paraId="065986DE" w14:textId="77777777" w:rsidR="008B1AF1" w:rsidRPr="0008623B" w:rsidRDefault="008B1AF1" w:rsidP="008B1AF1">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Minimalus nuosavų lėšų ir tinkamų įsipareigojimų reikalavimas (MREL)</w:t>
            </w:r>
          </w:p>
        </w:tc>
      </w:tr>
      <w:tr w:rsidR="008B1AF1" w:rsidRPr="0008623B" w14:paraId="1D50EF40" w14:textId="77777777" w:rsidTr="00915305">
        <w:trPr>
          <w:trHeight w:val="316"/>
        </w:trPr>
        <w:tc>
          <w:tcPr>
            <w:tcW w:w="1384" w:type="dxa"/>
          </w:tcPr>
          <w:p w14:paraId="5B7C6EEB" w14:textId="0DDF46DE" w:rsidR="008B1AF1" w:rsidRPr="0008623B" w:rsidRDefault="00FF2A56" w:rsidP="008B1AF1">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EU-7</w:t>
            </w:r>
          </w:p>
        </w:tc>
        <w:tc>
          <w:tcPr>
            <w:tcW w:w="7655" w:type="dxa"/>
          </w:tcPr>
          <w:p w14:paraId="4FB8070F" w14:textId="2E661595" w:rsidR="008B1AF1" w:rsidRPr="0008623B" w:rsidRDefault="008B1AF1" w:rsidP="008B1AF1">
            <w:pPr>
              <w:pStyle w:val="Applicationdirecte"/>
              <w:spacing w:before="120"/>
              <w:rPr>
                <w:b/>
                <w:color w:val="000000" w:themeColor="text1"/>
                <w:szCs w:val="24"/>
              </w:rPr>
            </w:pPr>
            <w:r>
              <w:rPr>
                <w:b/>
                <w:color w:val="000000" w:themeColor="text1"/>
              </w:rPr>
              <w:t xml:space="preserve">MREL, išreikštas TREA procentine dalimi</w:t>
            </w:r>
          </w:p>
          <w:p w14:paraId="5D62407D" w14:textId="1D56CFCB" w:rsidR="006453C4" w:rsidRPr="0008623B" w:rsidRDefault="006453C4" w:rsidP="00D33D65">
            <w:pPr>
              <w:pStyle w:val="Fait"/>
            </w:pPr>
            <w:r>
              <w:rPr>
                <w:color w:val="000000" w:themeColor="text1"/>
              </w:rPr>
              <w:t xml:space="preserve">Subjekto minimalus nuosavų lėšų ir tinkamų įsipareigojimų reikalavimas, pertvarkymo institucijos nustatytas pagal Direktyvos 2014/59/ES 45e straipsnį, išreikštas bendros rizikos pozicijos sumos, apskaičiuotos pagal Reglamento (ES) Nr. 575/2013 92 straipsnio 3 dalį, procentine dalimi.</w:t>
            </w:r>
          </w:p>
        </w:tc>
      </w:tr>
      <w:tr w:rsidR="008B1AF1" w:rsidRPr="0008623B" w14:paraId="1415A72E" w14:textId="77777777" w:rsidTr="00915305">
        <w:trPr>
          <w:trHeight w:val="316"/>
        </w:trPr>
        <w:tc>
          <w:tcPr>
            <w:tcW w:w="1384" w:type="dxa"/>
          </w:tcPr>
          <w:p w14:paraId="519FCFF9" w14:textId="293BA3A8" w:rsidR="008B1AF1" w:rsidRPr="0008623B" w:rsidRDefault="00FF2A56" w:rsidP="008B1AF1">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EU-8</w:t>
            </w:r>
          </w:p>
        </w:tc>
        <w:tc>
          <w:tcPr>
            <w:tcW w:w="7655" w:type="dxa"/>
          </w:tcPr>
          <w:p w14:paraId="7AFA5D84" w14:textId="75D8B263" w:rsidR="008B1AF1" w:rsidRPr="0008623B" w:rsidRDefault="00B80F7C" w:rsidP="008B1AF1">
            <w:pPr>
              <w:pStyle w:val="Applicationdirecte"/>
              <w:spacing w:before="0" w:after="0"/>
              <w:rPr>
                <w:b/>
                <w:color w:val="000000" w:themeColor="text1"/>
                <w:szCs w:val="24"/>
              </w:rPr>
            </w:pPr>
            <w:r>
              <w:rPr>
                <w:b/>
                <w:color w:val="000000" w:themeColor="text1"/>
              </w:rPr>
              <w:t xml:space="preserve">MREL, išreikštas TREA procentine dalimi. Iš jo: turi būti įvykdyta nuosavomis lėšomis arba subordinuotaisiais įsipareigojimais</w:t>
            </w:r>
          </w:p>
          <w:p w14:paraId="33EFDD9D" w14:textId="00E44973" w:rsidR="008B1AF1" w:rsidRPr="0008623B" w:rsidRDefault="00D819D9" w:rsidP="00D33D65">
            <w:pPr>
              <w:rPr>
                <w:color w:val="000000" w:themeColor="text1"/>
                <w:szCs w:val="24"/>
              </w:rPr>
            </w:pPr>
            <w:r>
              <w:rPr>
                <w:sz w:val="24"/>
                <w:rStyle w:val="FormatvorlageInstructionsTabelleText"/>
                <w:rFonts w:ascii="Times New Roman" w:hAnsi="Times New Roman"/>
              </w:rPr>
              <w:t xml:space="preserve">Kai taikytina, MREL dalis, kurią pagal Direktyvos 2014/59/ES 45b straipsnio 4–8 dalis pertvarkymo institucija reikalavo įvykdyti naudojant nuosavas lėšas, subordinuotąsias tinkamas priemones arba įsipareigojimus, kaip nurodyta to straipsnio 3 dalyje,</w:t>
            </w:r>
            <w:r>
              <w:rPr>
                <w:sz w:val="24"/>
                <w:rFonts w:ascii="Times New Roman" w:hAnsi="Times New Roman"/>
              </w:rPr>
              <w:t xml:space="preserve"> </w:t>
            </w:r>
            <w:r>
              <w:rPr>
                <w:sz w:val="24"/>
                <w:rStyle w:val="FormatvorlageInstructionsTabelleText"/>
                <w:rFonts w:ascii="Times New Roman" w:hAnsi="Times New Roman"/>
              </w:rPr>
              <w:t xml:space="preserve">išreikšta bendros rizikos pozicijos sumos, apskaičiuotos pagal Reglamento (ES) Nr. 575/2013 92 straipsnio 3 dalį, procentine dalimi</w:t>
            </w:r>
            <w:r>
              <w:rPr>
                <w:sz w:val="24"/>
                <w:rFonts w:ascii="Times New Roman" w:hAnsi="Times New Roman"/>
              </w:rPr>
              <w:t xml:space="preserve">.</w:t>
            </w:r>
          </w:p>
        </w:tc>
      </w:tr>
      <w:tr w:rsidR="008B1AF1" w:rsidRPr="0008623B" w14:paraId="060950C0" w14:textId="77777777" w:rsidTr="00915305">
        <w:trPr>
          <w:trHeight w:val="316"/>
        </w:trPr>
        <w:tc>
          <w:tcPr>
            <w:tcW w:w="1384" w:type="dxa"/>
          </w:tcPr>
          <w:p w14:paraId="1DBB4CB4" w14:textId="31361788" w:rsidR="008B1AF1" w:rsidRPr="0008623B" w:rsidRDefault="00FF2A56" w:rsidP="008B1AF1">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EU-9</w:t>
            </w:r>
          </w:p>
        </w:tc>
        <w:tc>
          <w:tcPr>
            <w:tcW w:w="7655" w:type="dxa"/>
          </w:tcPr>
          <w:p w14:paraId="357A69B0" w14:textId="07AF7072" w:rsidR="008B1AF1" w:rsidRPr="0008623B" w:rsidRDefault="008B1AF1" w:rsidP="008B1AF1">
            <w:pPr>
              <w:pStyle w:val="Applicationdirecte"/>
              <w:spacing w:before="120"/>
              <w:rPr>
                <w:b/>
                <w:color w:val="000000" w:themeColor="text1"/>
                <w:szCs w:val="24"/>
              </w:rPr>
            </w:pPr>
            <w:r>
              <w:rPr>
                <w:b/>
                <w:color w:val="000000" w:themeColor="text1"/>
              </w:rPr>
              <w:t xml:space="preserve">MREL, išreikštas TEM procentine dalimi</w:t>
            </w:r>
          </w:p>
          <w:p w14:paraId="7ABED549" w14:textId="5EF36813" w:rsidR="006453C4" w:rsidRPr="0008623B" w:rsidRDefault="006453C4" w:rsidP="00717DB0">
            <w:pPr>
              <w:pStyle w:val="Fait"/>
            </w:pPr>
            <w:r>
              <w:t xml:space="preserve">Informaciją teikiančio subjekto minimalus nuosavų lėšų ir tinkamų įsipareigojimų reikalavimas, pertvarkymo institucijos nustatytas pagal Direktyvos 2014/59/ES 45e straipsnį, išreikštas bendro pozicijų mato, apskaičiuoto pagal Reglamento (ES) Nr. 575/2013 429 straipsnio 4 dalį ir 429a straipsnį, procentine dalimi.</w:t>
            </w:r>
          </w:p>
        </w:tc>
      </w:tr>
      <w:tr w:rsidR="008B1AF1" w:rsidRPr="0008623B" w14:paraId="5A4A9503" w14:textId="77777777" w:rsidTr="00915305">
        <w:trPr>
          <w:trHeight w:val="316"/>
        </w:trPr>
        <w:tc>
          <w:tcPr>
            <w:tcW w:w="1384" w:type="dxa"/>
          </w:tcPr>
          <w:p w14:paraId="4E5C6AFC" w14:textId="2C522F9C" w:rsidR="008B1AF1" w:rsidRPr="0008623B" w:rsidRDefault="00FF2A56" w:rsidP="008B1AF1">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EU-10</w:t>
            </w:r>
          </w:p>
        </w:tc>
        <w:tc>
          <w:tcPr>
            <w:tcW w:w="7655" w:type="dxa"/>
          </w:tcPr>
          <w:p w14:paraId="4A8117E5" w14:textId="70796A0D" w:rsidR="008B1AF1" w:rsidRPr="0008623B" w:rsidRDefault="00B80F7C" w:rsidP="008B1AF1">
            <w:pPr>
              <w:pStyle w:val="Applicationdirecte"/>
              <w:spacing w:before="0" w:after="0"/>
              <w:rPr>
                <w:b/>
                <w:color w:val="000000" w:themeColor="text1"/>
                <w:szCs w:val="24"/>
              </w:rPr>
            </w:pPr>
            <w:r>
              <w:rPr>
                <w:b/>
                <w:color w:val="000000" w:themeColor="text1"/>
              </w:rPr>
              <w:t xml:space="preserve">MREL, išreikštas TEM procentine dalimi. Iš jo: turi būti įvykdyta nuosavomis lėšomis arba subordinuotaisiais įsipareigojimais</w:t>
            </w:r>
          </w:p>
          <w:p w14:paraId="366BA2A0" w14:textId="50E2609F" w:rsidR="008B1AF1" w:rsidRPr="0008623B" w:rsidRDefault="00D819D9" w:rsidP="00E1386E">
            <w:pPr>
              <w:rPr>
                <w:color w:val="000000" w:themeColor="text1"/>
                <w:szCs w:val="24"/>
              </w:rPr>
            </w:pPr>
            <w:r>
              <w:rPr>
                <w:sz w:val="24"/>
                <w:rStyle w:val="FormatvorlageInstructionsTabelleText"/>
                <w:rFonts w:ascii="Times New Roman" w:hAnsi="Times New Roman"/>
              </w:rPr>
              <w:t xml:space="preserve">Kai taikytina, MREL dalis, kurią pagal Direktyvos 2014/59/ES 45b straipsnio 4–8 dalis pertvarkymo institucija reikalavo įvykdyti naudojant nuosavas lėšas, subordinuotąsias tinkamas priemones arba įsipareigojimus, kaip nurodyta to straipsnio 3 dalyje,</w:t>
            </w:r>
            <w:r>
              <w:rPr>
                <w:sz w:val="24"/>
                <w:rFonts w:ascii="Times New Roman" w:hAnsi="Times New Roman"/>
              </w:rPr>
              <w:t xml:space="preserve"> </w:t>
            </w:r>
            <w:r>
              <w:rPr>
                <w:sz w:val="24"/>
                <w:rStyle w:val="FormatvorlageInstructionsTabelleText"/>
                <w:rFonts w:ascii="Times New Roman" w:hAnsi="Times New Roman"/>
              </w:rPr>
              <w:t xml:space="preserve">išreikšta bendro pozicijų mato, apskaičiuoto pagal Reglamento (ES) Nr. 575/2013 429 straipsnio 4 dalį ir 429a straipsnį, procentine dalimi</w:t>
            </w:r>
            <w:r>
              <w:rPr>
                <w:sz w:val="24"/>
                <w:rFonts w:ascii="Times New Roman" w:hAnsi="Times New Roman"/>
              </w:rPr>
              <w:t xml:space="preserve">.</w:t>
            </w:r>
          </w:p>
        </w:tc>
      </w:tr>
    </w:tbl>
    <w:p w14:paraId="38CEC33F" w14:textId="77777777" w:rsidR="005673AC" w:rsidRPr="0008623B" w:rsidRDefault="005673AC" w:rsidP="00E258D8">
      <w:pPr>
        <w:rPr>
          <w:rFonts w:ascii="Times New Roman" w:hAnsi="Times New Roman" w:cs="Times New Roman"/>
          <w:noProof/>
          <w:color w:val="000000" w:themeColor="text1"/>
          <w:sz w:val="24"/>
          <w:szCs w:val="24"/>
          <w:lang w:val="en-GB"/>
        </w:rPr>
      </w:pPr>
    </w:p>
    <w:p w14:paraId="62DE89D5" w14:textId="0B5C7ED4" w:rsidR="003956D6"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bookmarkStart w:id="25" w:name="_Toc14768967"/>
      <w:bookmarkStart w:id="26" w:name="_Toc14769241"/>
      <w:bookmarkStart w:id="27" w:name="_Toc14769635"/>
      <w:bookmarkStart w:id="28" w:name="_Toc14769788"/>
      <w:bookmarkStart w:id="29" w:name="_Toc14770058"/>
      <w:bookmarkStart w:id="30" w:name="_Toc14770328"/>
      <w:bookmarkStart w:id="31" w:name="_Toc14770481"/>
      <w:bookmarkStart w:id="32" w:name="_Toc14770636"/>
      <w:bookmarkStart w:id="33" w:name="_Toc14770791"/>
      <w:bookmarkStart w:id="34" w:name="_Toc14770948"/>
      <w:bookmarkStart w:id="35" w:name="_Toc14771489"/>
      <w:bookmarkStart w:id="36" w:name="_Toc14771607"/>
      <w:bookmarkStart w:id="37" w:name="_Toc15478323"/>
      <w:bookmarkStart w:id="38" w:name="_Toc14768968"/>
      <w:bookmarkStart w:id="39" w:name="_Toc14769242"/>
      <w:bookmarkStart w:id="40" w:name="_Toc14769636"/>
      <w:bookmarkStart w:id="41" w:name="_Toc14769789"/>
      <w:bookmarkStart w:id="42" w:name="_Toc14770059"/>
      <w:bookmarkStart w:id="43" w:name="_Toc14770329"/>
      <w:bookmarkStart w:id="44" w:name="_Toc14770482"/>
      <w:bookmarkStart w:id="45" w:name="_Toc14770637"/>
      <w:bookmarkStart w:id="46" w:name="_Toc14770792"/>
      <w:bookmarkStart w:id="47" w:name="_Toc14770949"/>
      <w:bookmarkStart w:id="48" w:name="_Toc14771608"/>
      <w:bookmarkStart w:id="49" w:name="_Toc14768969"/>
      <w:bookmarkStart w:id="50" w:name="_Toc14769243"/>
      <w:bookmarkStart w:id="51" w:name="_Toc14769637"/>
      <w:bookmarkStart w:id="52" w:name="_Toc14769790"/>
      <w:bookmarkStart w:id="53" w:name="_Toc14770060"/>
      <w:bookmarkStart w:id="54" w:name="_Toc14770330"/>
      <w:bookmarkStart w:id="55" w:name="_Toc14770483"/>
      <w:bookmarkStart w:id="56" w:name="_Toc14770638"/>
      <w:bookmarkStart w:id="57" w:name="_Toc14770793"/>
      <w:bookmarkStart w:id="58" w:name="_Toc14770950"/>
      <w:bookmarkStart w:id="59" w:name="_Toc14771491"/>
      <w:bookmarkStart w:id="60" w:name="_Toc14771609"/>
      <w:bookmarkStart w:id="61" w:name="_Toc15478325"/>
      <w:bookmarkStart w:id="62" w:name="_Toc14768970"/>
      <w:bookmarkStart w:id="63" w:name="_Toc14769244"/>
      <w:bookmarkStart w:id="64" w:name="_Toc14769638"/>
      <w:bookmarkStart w:id="65" w:name="_Toc14769791"/>
      <w:bookmarkStart w:id="66" w:name="_Toc14770061"/>
      <w:bookmarkStart w:id="67" w:name="_Toc14770331"/>
      <w:bookmarkStart w:id="68" w:name="_Toc14770484"/>
      <w:bookmarkStart w:id="69" w:name="_Toc14770639"/>
      <w:bookmarkStart w:id="70" w:name="_Toc14770794"/>
      <w:bookmarkStart w:id="71" w:name="_Toc14770951"/>
      <w:bookmarkStart w:id="72" w:name="_Toc14771610"/>
      <w:bookmarkStart w:id="73" w:name="_Toc14768971"/>
      <w:bookmarkStart w:id="74" w:name="_Toc14769245"/>
      <w:bookmarkStart w:id="75" w:name="_Toc14769639"/>
      <w:bookmarkStart w:id="76" w:name="_Toc14769792"/>
      <w:bookmarkStart w:id="77" w:name="_Toc14770062"/>
      <w:bookmarkStart w:id="78" w:name="_Toc14770332"/>
      <w:bookmarkStart w:id="79" w:name="_Toc14770485"/>
      <w:bookmarkStart w:id="80" w:name="_Toc14770640"/>
      <w:bookmarkStart w:id="81" w:name="_Toc14770795"/>
      <w:bookmarkStart w:id="82" w:name="_Toc14770952"/>
      <w:bookmarkStart w:id="83" w:name="_Toc14771493"/>
      <w:bookmarkStart w:id="84" w:name="_Toc14771611"/>
      <w:bookmarkStart w:id="85" w:name="_Toc15478327"/>
      <w:bookmarkStart w:id="86" w:name="_Toc14768986"/>
      <w:bookmarkStart w:id="87" w:name="_Toc14769260"/>
      <w:bookmarkStart w:id="88" w:name="_Toc14769654"/>
      <w:bookmarkStart w:id="89" w:name="_Toc14769807"/>
      <w:bookmarkStart w:id="90" w:name="_Toc14770077"/>
      <w:bookmarkStart w:id="91" w:name="_Toc14770347"/>
      <w:bookmarkStart w:id="92" w:name="_Toc14770500"/>
      <w:bookmarkStart w:id="93" w:name="_Toc14770655"/>
      <w:bookmarkStart w:id="94" w:name="_Toc14770810"/>
      <w:bookmarkStart w:id="95" w:name="_Toc14770967"/>
      <w:bookmarkStart w:id="96" w:name="_Toc14771504"/>
      <w:bookmarkStart w:id="97" w:name="_Toc14771626"/>
      <w:bookmarkStart w:id="98" w:name="_Toc15478338"/>
      <w:bookmarkStart w:id="99" w:name="_Toc14768987"/>
      <w:bookmarkStart w:id="100" w:name="_Toc14769261"/>
      <w:bookmarkStart w:id="101" w:name="_Toc14769655"/>
      <w:bookmarkStart w:id="102" w:name="_Toc14769808"/>
      <w:bookmarkStart w:id="103" w:name="_Toc14770078"/>
      <w:bookmarkStart w:id="104" w:name="_Toc14770348"/>
      <w:bookmarkStart w:id="105" w:name="_Toc14770501"/>
      <w:bookmarkStart w:id="106" w:name="_Toc14770656"/>
      <w:bookmarkStart w:id="107" w:name="_Toc14770811"/>
      <w:bookmarkStart w:id="108" w:name="_Toc14770968"/>
      <w:bookmarkStart w:id="109" w:name="_Toc14771627"/>
      <w:bookmarkStart w:id="110" w:name="_Toc14768988"/>
      <w:bookmarkStart w:id="111" w:name="_Toc14769262"/>
      <w:bookmarkStart w:id="112" w:name="_Toc14769656"/>
      <w:bookmarkStart w:id="113" w:name="_Toc14769809"/>
      <w:bookmarkStart w:id="114" w:name="_Toc14770079"/>
      <w:bookmarkStart w:id="115" w:name="_Toc14770349"/>
      <w:bookmarkStart w:id="116" w:name="_Toc14770502"/>
      <w:bookmarkStart w:id="117" w:name="_Toc14770657"/>
      <w:bookmarkStart w:id="118" w:name="_Toc14770812"/>
      <w:bookmarkStart w:id="119" w:name="_Toc14770969"/>
      <w:bookmarkStart w:id="120" w:name="_Toc14771506"/>
      <w:bookmarkStart w:id="121" w:name="_Toc14771628"/>
      <w:bookmarkStart w:id="122" w:name="_Toc15478340"/>
      <w:bookmarkStart w:id="123" w:name="_Toc14768989"/>
      <w:bookmarkStart w:id="124" w:name="_Toc14769263"/>
      <w:bookmarkStart w:id="125" w:name="_Toc14769657"/>
      <w:bookmarkStart w:id="126" w:name="_Toc14769810"/>
      <w:bookmarkStart w:id="127" w:name="_Toc14770080"/>
      <w:bookmarkStart w:id="128" w:name="_Toc14770350"/>
      <w:bookmarkStart w:id="129" w:name="_Toc14770503"/>
      <w:bookmarkStart w:id="130" w:name="_Toc14770658"/>
      <w:bookmarkStart w:id="131" w:name="_Toc14770813"/>
      <w:bookmarkStart w:id="132" w:name="_Toc14770970"/>
      <w:bookmarkStart w:id="133" w:name="_Toc14771629"/>
      <w:bookmarkStart w:id="134" w:name="_Toc14768990"/>
      <w:bookmarkStart w:id="135" w:name="_Toc14769264"/>
      <w:bookmarkStart w:id="136" w:name="_Toc14769658"/>
      <w:bookmarkStart w:id="137" w:name="_Toc14769811"/>
      <w:bookmarkStart w:id="138" w:name="_Toc14770081"/>
      <w:bookmarkStart w:id="139" w:name="_Toc14770351"/>
      <w:bookmarkStart w:id="140" w:name="_Toc14770504"/>
      <w:bookmarkStart w:id="141" w:name="_Toc14770659"/>
      <w:bookmarkStart w:id="142" w:name="_Toc14770814"/>
      <w:bookmarkStart w:id="143" w:name="_Toc14770971"/>
      <w:bookmarkStart w:id="144" w:name="_Toc14771508"/>
      <w:bookmarkStart w:id="145" w:name="_Toc14771630"/>
      <w:bookmarkStart w:id="146" w:name="_Toc15478342"/>
      <w:bookmarkStart w:id="147" w:name="_Toc14769016"/>
      <w:bookmarkStart w:id="148" w:name="_Toc14769290"/>
      <w:bookmarkStart w:id="149" w:name="_Toc14769684"/>
      <w:bookmarkStart w:id="150" w:name="_Toc14769837"/>
      <w:bookmarkStart w:id="151" w:name="_Toc14770107"/>
      <w:bookmarkStart w:id="152" w:name="_Toc14770377"/>
      <w:bookmarkStart w:id="153" w:name="_Toc14770530"/>
      <w:bookmarkStart w:id="154" w:name="_Toc14770685"/>
      <w:bookmarkStart w:id="155" w:name="_Toc14770840"/>
      <w:bookmarkStart w:id="156" w:name="_Toc14770997"/>
      <w:bookmarkStart w:id="157" w:name="_Toc14771527"/>
      <w:bookmarkStart w:id="158" w:name="_Toc14771656"/>
      <w:bookmarkStart w:id="159" w:name="_Toc15478361"/>
      <w:bookmarkStart w:id="160" w:name="_Toc14769060"/>
      <w:bookmarkStart w:id="161" w:name="_Toc14769334"/>
      <w:bookmarkStart w:id="162" w:name="_Toc14769728"/>
      <w:bookmarkStart w:id="163" w:name="_Toc14769881"/>
      <w:bookmarkStart w:id="164" w:name="_Toc14770151"/>
      <w:bookmarkStart w:id="165" w:name="_Toc14770421"/>
      <w:bookmarkStart w:id="166" w:name="_Toc14770574"/>
      <w:bookmarkStart w:id="167" w:name="_Toc14770729"/>
      <w:bookmarkStart w:id="168" w:name="_Toc14770884"/>
      <w:bookmarkStart w:id="169" w:name="_Toc14771041"/>
      <w:bookmarkStart w:id="170" w:name="_Toc14771559"/>
      <w:bookmarkStart w:id="171" w:name="_Toc14771700"/>
      <w:bookmarkStart w:id="172" w:name="_Toc15478393"/>
      <w:bookmarkStart w:id="173" w:name="_Toc14769113"/>
      <w:bookmarkStart w:id="174" w:name="_Toc14769387"/>
      <w:bookmarkStart w:id="175" w:name="_Toc14769781"/>
      <w:bookmarkStart w:id="176" w:name="_Toc14769934"/>
      <w:bookmarkStart w:id="177" w:name="_Toc14770204"/>
      <w:bookmarkStart w:id="178" w:name="_Toc14770474"/>
      <w:bookmarkStart w:id="179" w:name="_Toc14770627"/>
      <w:bookmarkStart w:id="180" w:name="_Toc14770782"/>
      <w:bookmarkStart w:id="181" w:name="_Toc14770937"/>
      <w:bookmarkStart w:id="182" w:name="_Toc14771094"/>
      <w:bookmarkStart w:id="183" w:name="_Toc14771600"/>
      <w:bookmarkStart w:id="184" w:name="_Toc14771753"/>
      <w:bookmarkStart w:id="185" w:name="_Toc1547843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color w:val="auto"/>
          <w:sz w:val="24"/>
          <w:rFonts w:ascii="Times New Roman" w:hAnsi="Times New Roman"/>
        </w:rPr>
        <w:t xml:space="preserve">3.</w:t>
      </w:r>
      <w:r>
        <w:rPr>
          <w:color w:val="auto"/>
          <w:sz w:val="24"/>
          <w:rFonts w:ascii="Times New Roman" w:hAnsi="Times New Roman"/>
        </w:rPr>
        <w:tab/>
      </w:r>
      <w:bookmarkStart w:id="186" w:name="_Toc14770783"/>
      <w:bookmarkStart w:id="187" w:name="_Toc45266927"/>
      <w:r>
        <w:rPr>
          <w:color w:val="auto"/>
          <w:sz w:val="24"/>
          <w:rFonts w:ascii="Times New Roman" w:hAnsi="Times New Roman"/>
        </w:rPr>
        <w:t xml:space="preserve">EU TLAC 1:</w:t>
      </w:r>
      <w:r>
        <w:rPr>
          <w:color w:val="auto"/>
          <w:sz w:val="24"/>
          <w:rFonts w:ascii="Times New Roman" w:hAnsi="Times New Roman"/>
        </w:rPr>
        <w:t xml:space="preserve"> </w:t>
      </w:r>
      <w:r>
        <w:rPr>
          <w:color w:val="auto"/>
          <w:sz w:val="24"/>
          <w:rFonts w:ascii="Times New Roman" w:hAnsi="Times New Roman"/>
        </w:rPr>
        <w:t xml:space="preserve">Sudėtis. MREL ir, jei taikytina, G-SII nuosavų lėšų ir tinkamų įsipareigojimų reikalavimas</w:t>
      </w:r>
      <w:bookmarkEnd w:id="186"/>
      <w:bookmarkEnd w:id="187"/>
    </w:p>
    <w:p w14:paraId="5FDEB8AD" w14:textId="17A1952C" w:rsidR="00021E4F" w:rsidRPr="0008623B" w:rsidRDefault="00021E4F" w:rsidP="00B62DC9">
      <w:pPr>
        <w:pStyle w:val="InstructionsText2"/>
        <w:numPr>
          <w:ilvl w:val="0"/>
          <w:numId w:val="12"/>
        </w:numPr>
      </w:pPr>
      <w:r>
        <w:t xml:space="preserve">Su pertvarkytina grupe susijusi nuosavų lėšų ir tinkamų įsipareigojimų pozicija apima tik kapitalo priemones ir tinkamus įsipareigojimus, išleistus pertvarkytino subjekto ir, jei laikomasi atitinkamai Direktyvos 2014/59/ES 45b straipsnio 3 dalies arba Reglamento (ES) Nr. 575/2013 88a straipsnio, pertvarkytino subjekto patronuojamųjų įmonių, išskyrus pertvarkytinai grupei nepriklausančius subjektus.</w:t>
      </w:r>
      <w:r>
        <w:t xml:space="preserve"> </w:t>
      </w:r>
      <w:r>
        <w:t xml:space="preserve">Panašiai nuosavų lėšų ir tinkamų įsipareigojimų pozicija grindžiama bendra rizikos pozicijos suma (pakoreguota, kaip leidžiama pagal Direktyvos 2014/59/ES 45h straipsnio 2 dalį) ir bendru pozicijų matu, apskaičiuotu pertvarkytinos grupės lygmeniu.</w:t>
      </w:r>
    </w:p>
    <w:p w14:paraId="31AA4E2B" w14:textId="5FF6ED9D" w:rsidR="00B00CC4" w:rsidRPr="0008623B" w:rsidRDefault="00021E4F" w:rsidP="00B62DC9">
      <w:pPr>
        <w:pStyle w:val="InstructionsText2"/>
        <w:numPr>
          <w:ilvl w:val="0"/>
          <w:numId w:val="12"/>
        </w:numPr>
      </w:pPr>
      <w:r>
        <w:t xml:space="preserve">Kiek tai susiję su teisės aktuose nustatytais koregavimais, subjektai atskleidžia atskaitymus iš nuosavų lėšų ir tinkamų įsipareigojimų kaip neigiamus skaičius, o nuosavų lėšų bei tinkamų įsipareigojimų įskaitymus kaip teigiamus skaičius.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807127" w:rsidRPr="0008623B" w14:paraId="326F196A" w14:textId="77777777" w:rsidTr="00807127">
        <w:trPr>
          <w:trHeight w:val="238"/>
        </w:trPr>
        <w:tc>
          <w:tcPr>
            <w:tcW w:w="1384" w:type="dxa"/>
            <w:shd w:val="clear" w:color="auto" w:fill="D9D9D9" w:themeFill="background1" w:themeFillShade="D9"/>
          </w:tcPr>
          <w:p w14:paraId="0D11A621" w14:textId="7182C6B7" w:rsidR="00807127" w:rsidRPr="0008623B" w:rsidRDefault="00807127" w:rsidP="00807127">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Skiltys</w:t>
            </w:r>
          </w:p>
        </w:tc>
        <w:tc>
          <w:tcPr>
            <w:tcW w:w="7655" w:type="dxa"/>
            <w:shd w:val="clear" w:color="auto" w:fill="D9D9D9" w:themeFill="background1" w:themeFillShade="D9"/>
          </w:tcPr>
          <w:p w14:paraId="791EECCB" w14:textId="195647A1" w:rsidR="00807127" w:rsidRPr="0008623B" w:rsidRDefault="00E46262" w:rsidP="00807127">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Nuorodos į teisės aktus ir nurodymai</w:t>
            </w:r>
          </w:p>
        </w:tc>
      </w:tr>
      <w:tr w:rsidR="00807127" w:rsidRPr="0008623B" w14:paraId="32E9685C" w14:textId="77777777" w:rsidTr="00807127">
        <w:trPr>
          <w:trHeight w:val="637"/>
        </w:trPr>
        <w:tc>
          <w:tcPr>
            <w:tcW w:w="1384" w:type="dxa"/>
          </w:tcPr>
          <w:p w14:paraId="6B2EC01C" w14:textId="6A4D6558" w:rsidR="00807127" w:rsidRPr="0008623B" w:rsidDel="00DE6BC1" w:rsidRDefault="00807127" w:rsidP="00EF47A4">
            <w:pPr>
              <w:pStyle w:val="Applicationdirecte"/>
              <w:spacing w:before="120"/>
              <w:jc w:val="center"/>
              <w:rPr>
                <w:color w:val="000000" w:themeColor="text1"/>
                <w:szCs w:val="24"/>
              </w:rPr>
            </w:pPr>
            <w:r>
              <w:rPr>
                <w:color w:val="000000" w:themeColor="text1"/>
              </w:rPr>
              <w:t xml:space="preserve">a</w:t>
            </w:r>
          </w:p>
        </w:tc>
        <w:tc>
          <w:tcPr>
            <w:tcW w:w="7655" w:type="dxa"/>
          </w:tcPr>
          <w:p w14:paraId="436FCBC7" w14:textId="60418D16" w:rsidR="00807127" w:rsidRPr="0008623B" w:rsidRDefault="008C2E99" w:rsidP="003C10CA">
            <w:pPr>
              <w:autoSpaceDE w:val="0"/>
              <w:autoSpaceDN w:val="0"/>
              <w:adjustRightInd w:val="0"/>
              <w:spacing w:before="120" w:after="120"/>
              <w:rPr>
                <w:color w:val="000000" w:themeColor="text1"/>
                <w:sz w:val="24"/>
                <w:szCs w:val="24"/>
                <w:rFonts w:ascii="Times New Roman" w:hAnsi="Times New Roman" w:cs="Times New Roman"/>
              </w:rPr>
            </w:pPr>
            <w:r>
              <w:rPr>
                <w:color w:val="000000" w:themeColor="text1"/>
                <w:sz w:val="24"/>
                <w:rFonts w:ascii="Times New Roman" w:hAnsi="Times New Roman"/>
              </w:rPr>
              <w:t xml:space="preserve">Šioje skiltyje subjektai atskleidžia svarbią informaciją apie MREL pagal Direktyvos 2014/59/ES 45 ir 45e straipsnius.</w:t>
            </w:r>
          </w:p>
        </w:tc>
      </w:tr>
      <w:tr w:rsidR="00807127" w:rsidRPr="0008623B" w14:paraId="462C6C09" w14:textId="77777777" w:rsidTr="00807127">
        <w:trPr>
          <w:trHeight w:val="637"/>
        </w:trPr>
        <w:tc>
          <w:tcPr>
            <w:tcW w:w="1384" w:type="dxa"/>
          </w:tcPr>
          <w:p w14:paraId="560866CC" w14:textId="77777777" w:rsidR="00807127" w:rsidRPr="0008623B" w:rsidDel="00DE6BC1" w:rsidRDefault="00807127" w:rsidP="00807127">
            <w:pPr>
              <w:pStyle w:val="Applicationdirecte"/>
              <w:spacing w:before="120"/>
              <w:jc w:val="center"/>
              <w:rPr>
                <w:color w:val="000000" w:themeColor="text1"/>
                <w:szCs w:val="24"/>
              </w:rPr>
            </w:pPr>
            <w:r>
              <w:rPr>
                <w:color w:val="000000" w:themeColor="text1"/>
              </w:rPr>
              <w:t xml:space="preserve">b</w:t>
            </w:r>
          </w:p>
        </w:tc>
        <w:tc>
          <w:tcPr>
            <w:tcW w:w="7655" w:type="dxa"/>
          </w:tcPr>
          <w:p w14:paraId="1B5C7CCC" w14:textId="65BA9065" w:rsidR="00807127" w:rsidRPr="0008623B" w:rsidRDefault="008C2E99" w:rsidP="00F60ACD">
            <w:pPr>
              <w:autoSpaceDE w:val="0"/>
              <w:autoSpaceDN w:val="0"/>
              <w:adjustRightInd w:val="0"/>
              <w:spacing w:before="120" w:after="120"/>
              <w:rPr>
                <w:b/>
                <w:color w:val="000000" w:themeColor="text1"/>
                <w:sz w:val="24"/>
                <w:szCs w:val="24"/>
                <w:rFonts w:ascii="Times New Roman" w:hAnsi="Times New Roman" w:cs="Times New Roman"/>
              </w:rPr>
            </w:pPr>
            <w:r>
              <w:rPr>
                <w:color w:val="000000" w:themeColor="text1"/>
                <w:sz w:val="24"/>
                <w:rFonts w:ascii="Times New Roman" w:hAnsi="Times New Roman"/>
              </w:rPr>
              <w:t xml:space="preserve">Subjektai, kurie yra G-SII, kuriems taikomas TLAC reikalavimas pagal Reglamento (ES) Nr. 575/2013 92a straipsnį, šioje skiltyje atskleidžia svarbią informaciją apie tą reikalavimą.</w:t>
            </w:r>
            <w:r>
              <w:rPr>
                <w:color w:val="000000" w:themeColor="text1"/>
                <w:sz w:val="24"/>
                <w:rFonts w:ascii="Times New Roman" w:hAnsi="Times New Roman"/>
              </w:rPr>
              <w:t xml:space="preserve"> </w:t>
            </w:r>
          </w:p>
        </w:tc>
      </w:tr>
      <w:tr w:rsidR="00807127" w:rsidRPr="0008623B" w14:paraId="4B0052CD" w14:textId="77777777" w:rsidTr="00807127">
        <w:trPr>
          <w:trHeight w:val="637"/>
        </w:trPr>
        <w:tc>
          <w:tcPr>
            <w:tcW w:w="1384" w:type="dxa"/>
          </w:tcPr>
          <w:p w14:paraId="3F556DCF" w14:textId="09520620" w:rsidR="00807127" w:rsidRPr="0008623B" w:rsidDel="00DE6BC1" w:rsidRDefault="00807127" w:rsidP="00EF47A4">
            <w:pPr>
              <w:pStyle w:val="Applicationdirecte"/>
              <w:spacing w:before="120"/>
              <w:jc w:val="center"/>
              <w:rPr>
                <w:color w:val="000000" w:themeColor="text1"/>
                <w:szCs w:val="24"/>
              </w:rPr>
            </w:pPr>
            <w:r>
              <w:rPr>
                <w:color w:val="000000" w:themeColor="text1"/>
              </w:rPr>
              <w:t xml:space="preserve">c</w:t>
            </w:r>
          </w:p>
        </w:tc>
        <w:tc>
          <w:tcPr>
            <w:tcW w:w="7655" w:type="dxa"/>
          </w:tcPr>
          <w:p w14:paraId="77906683" w14:textId="414268DB" w:rsidR="00807127" w:rsidRPr="0008623B" w:rsidRDefault="00807127" w:rsidP="00B62DC9">
            <w:pPr>
              <w:pStyle w:val="InstructionsText"/>
            </w:pPr>
            <w:r>
              <w:rPr>
                <w:rStyle w:val="FormatvorlageInstructionsTabelleText"/>
                <w:sz w:val="24"/>
                <w:rFonts w:ascii="Times New Roman" w:hAnsi="Times New Roman"/>
              </w:rPr>
              <w:t xml:space="preserve">Šią skiltį pildo tik subjektai, kuriems taikomas TLAC reikalavimas.</w:t>
            </w:r>
            <w:r>
              <w:t xml:space="preserve"> </w:t>
            </w:r>
          </w:p>
          <w:p w14:paraId="1B6D4BC4" w14:textId="410E4195" w:rsidR="00807127" w:rsidRPr="0008623B" w:rsidRDefault="00807127" w:rsidP="00B62DC9">
            <w:pPr>
              <w:pStyle w:val="InstructionsText"/>
            </w:pPr>
            <w:r>
              <w:t xml:space="preserve">Šioje skiltyje nurodomas sumų, taikytinų pagal Direktyvos 2014/59/ES 45 straipsnyje nustatytą reikalavimą, ir sumų, taikytinų pagal Reglamento (ES) Nr. 575/2013 92a straipsnio reikalavimą, skirtumas.</w:t>
            </w:r>
          </w:p>
        </w:tc>
      </w:tr>
    </w:tbl>
    <w:p w14:paraId="3AC1888A" w14:textId="77777777" w:rsidR="00807127" w:rsidRPr="0008623B" w:rsidRDefault="00807127" w:rsidP="00807127">
      <w:pPr>
        <w:jc w:val="both"/>
        <w:rPr>
          <w:rFonts w:ascii="Times New Roman" w:hAnsi="Times New Roman" w:cs="Times New Roman"/>
          <w:i/>
          <w:noProof/>
          <w:color w:val="000000" w:themeColor="text1"/>
          <w:sz w:val="24"/>
          <w:szCs w:val="24"/>
          <w:lang w:val="en-GB"/>
        </w:rPr>
      </w:pPr>
    </w:p>
    <w:tbl>
      <w:tblPr>
        <w:tblStyle w:val="TableGrid"/>
        <w:tblW w:w="0" w:type="auto"/>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030"/>
        <w:gridCol w:w="7736"/>
      </w:tblGrid>
      <w:tr w:rsidR="00026FC1" w:rsidRPr="0008623B" w14:paraId="6EA9B061" w14:textId="77777777" w:rsidTr="00E46262">
        <w:trPr>
          <w:cnfStyle w:val="100000000000" w:firstRow="1" w:lastRow="0" w:firstColumn="0" w:lastColumn="0" w:oddVBand="0" w:evenVBand="0" w:oddHBand="0" w:evenHBand="0" w:firstRowFirstColumn="0" w:firstRowLastColumn="0" w:lastRowFirstColumn="0" w:lastRowLastColumn="0"/>
        </w:trPr>
        <w:tc>
          <w:tcPr>
            <w:tcW w:w="1030" w:type="dxa"/>
            <w:tcBorders>
              <w:top w:val="single" w:sz="4" w:space="0" w:color="auto"/>
              <w:left w:val="single" w:sz="4" w:space="0" w:color="auto"/>
              <w:right w:val="single" w:sz="4" w:space="0" w:color="auto"/>
            </w:tcBorders>
            <w:shd w:val="clear" w:color="auto" w:fill="D9D9D9" w:themeFill="background1" w:themeFillShade="D9"/>
          </w:tcPr>
          <w:p w14:paraId="563BF1AA" w14:textId="77777777" w:rsidR="00021E4F" w:rsidRPr="0008623B" w:rsidRDefault="00021E4F" w:rsidP="0091530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Eilutė</w:t>
            </w:r>
            <w:r>
              <w:rPr>
                <w:b/>
                <w:color w:val="000000" w:themeColor="text1"/>
                <w:sz w:val="24"/>
                <w:rFonts w:ascii="Times New Roman" w:hAnsi="Times New Roman"/>
              </w:rPr>
              <w:t xml:space="preserve"> </w:t>
            </w:r>
          </w:p>
        </w:tc>
        <w:tc>
          <w:tcPr>
            <w:tcW w:w="7736" w:type="dxa"/>
            <w:tcBorders>
              <w:top w:val="single" w:sz="4" w:space="0" w:color="auto"/>
              <w:left w:val="single" w:sz="4" w:space="0" w:color="auto"/>
              <w:right w:val="single" w:sz="4" w:space="0" w:color="auto"/>
            </w:tcBorders>
            <w:shd w:val="clear" w:color="auto" w:fill="D9D9D9" w:themeFill="background1" w:themeFillShade="D9"/>
          </w:tcPr>
          <w:p w14:paraId="54B2E936" w14:textId="094D65BE" w:rsidR="00021E4F" w:rsidRPr="0008623B" w:rsidRDefault="00E46262" w:rsidP="0091530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Nuorodos į teisės aktus ir nurodymai</w:t>
            </w:r>
          </w:p>
        </w:tc>
      </w:tr>
      <w:tr w:rsidR="00026FC1" w:rsidRPr="0008623B" w14:paraId="614F9517" w14:textId="77777777" w:rsidTr="00E46262">
        <w:tc>
          <w:tcPr>
            <w:tcW w:w="1030" w:type="dxa"/>
          </w:tcPr>
          <w:p w14:paraId="7EE06B6D" w14:textId="77777777" w:rsidR="00021E4F" w:rsidRPr="0008623B" w:rsidRDefault="00021E4F"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w:t>
            </w:r>
          </w:p>
        </w:tc>
        <w:tc>
          <w:tcPr>
            <w:tcW w:w="7736" w:type="dxa"/>
          </w:tcPr>
          <w:p w14:paraId="709BFA1D" w14:textId="0A17EB42" w:rsidR="00021E4F" w:rsidRPr="0008623B" w:rsidRDefault="00021E4F" w:rsidP="0091530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Bendras 1 lygio nuosavas kapitalas (CET1)</w:t>
            </w:r>
          </w:p>
          <w:p w14:paraId="0C38277D" w14:textId="1D578338" w:rsidR="00021E4F" w:rsidRPr="0008623B" w:rsidRDefault="00021E4F" w:rsidP="0097126E">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Pertvarkytinos grupės CET1 kapitalas, apskaičiuotas pagal Reglamento (ES) Nr. 575/2013 50 straipsnį.</w:t>
            </w:r>
          </w:p>
        </w:tc>
      </w:tr>
      <w:tr w:rsidR="00026FC1" w:rsidRPr="0008623B" w14:paraId="0AC96626" w14:textId="77777777" w:rsidTr="00E46262">
        <w:tc>
          <w:tcPr>
            <w:tcW w:w="1030" w:type="dxa"/>
          </w:tcPr>
          <w:p w14:paraId="4517736A" w14:textId="77777777" w:rsidR="00021E4F" w:rsidRPr="0008623B" w:rsidRDefault="00021E4F"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2</w:t>
            </w:r>
          </w:p>
        </w:tc>
        <w:tc>
          <w:tcPr>
            <w:tcW w:w="7736" w:type="dxa"/>
          </w:tcPr>
          <w:p w14:paraId="2FB37E1A" w14:textId="007BDD23" w:rsidR="00021E4F" w:rsidRPr="0008623B" w:rsidRDefault="00021E4F"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Papildomas 1 lygio kapitalas (AT1)</w:t>
            </w:r>
            <w:r>
              <w:rPr>
                <w:b/>
                <w:color w:val="000000" w:themeColor="text1"/>
                <w:sz w:val="24"/>
                <w:rFonts w:ascii="Times New Roman" w:hAnsi="Times New Roman"/>
              </w:rPr>
              <w:t xml:space="preserve"> </w:t>
            </w:r>
          </w:p>
          <w:p w14:paraId="05B0D3DA" w14:textId="4151C42D" w:rsidR="00E94218" w:rsidRPr="0008623B" w:rsidRDefault="00021E4F">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Pertvarkytinos grupės AT1 kapitalas, apskaičiuotas pagal Reglamento (ES) Nr. 575/2013 61 straipsnį.</w:t>
            </w:r>
          </w:p>
          <w:p w14:paraId="66E56E67" w14:textId="5AF6C892" w:rsidR="00021E4F" w:rsidRPr="0008623B" w:rsidRDefault="00E94218" w:rsidP="00E9421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MREL atveju priemonės, kurias reglamentuoja trečiosios valstybės teisė, į šią eilutę įtraukiamos tik jeigu jos atitinka Direktyvos 2014/59/ES 55 straipsnyje nustatytus reikalavimus.</w:t>
            </w:r>
          </w:p>
        </w:tc>
      </w:tr>
      <w:tr w:rsidR="00026FC1" w:rsidRPr="0008623B" w14:paraId="2781CFBF" w14:textId="77777777" w:rsidTr="00E46262">
        <w:tc>
          <w:tcPr>
            <w:tcW w:w="1030" w:type="dxa"/>
          </w:tcPr>
          <w:p w14:paraId="6B607587" w14:textId="58DB8643" w:rsidR="00021E4F" w:rsidRPr="0008623B" w:rsidRDefault="00D571F6"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6</w:t>
            </w:r>
          </w:p>
        </w:tc>
        <w:tc>
          <w:tcPr>
            <w:tcW w:w="7736" w:type="dxa"/>
          </w:tcPr>
          <w:p w14:paraId="30A3A120" w14:textId="05F7C1CC" w:rsidR="00021E4F" w:rsidRPr="0008623B" w:rsidRDefault="00021E4F" w:rsidP="0091530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2 lygio kapitalas (T2)</w:t>
            </w:r>
          </w:p>
          <w:p w14:paraId="6F849BF3" w14:textId="3A19BC99" w:rsidR="00021E4F" w:rsidRPr="0008623B" w:rsidRDefault="00021E4F" w:rsidP="001F75A3">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Pertvarkytinos grupės 2 lygio kapitalas, apskaičiuotas pagal Reglamento (ES) Nr. 575/2013 71 straipsnį.</w:t>
            </w:r>
          </w:p>
          <w:p w14:paraId="2C50816C" w14:textId="487961E7" w:rsidR="00E94218" w:rsidRPr="0008623B" w:rsidRDefault="00E94218" w:rsidP="001F75A3">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MREL atveju priemonės, kurias reglamentuoja trečiosios valstybės teisė, į šią eilutę įtraukiamos tik jeigu jos atitinka Direktyvos 2014/59/ES 55 straipsnyje nustatytus reikalavimus.</w:t>
            </w:r>
          </w:p>
        </w:tc>
      </w:tr>
      <w:tr w:rsidR="00026FC1" w:rsidRPr="0008623B" w14:paraId="77060B4B" w14:textId="77777777" w:rsidTr="00E46262">
        <w:tc>
          <w:tcPr>
            <w:tcW w:w="1030" w:type="dxa"/>
          </w:tcPr>
          <w:p w14:paraId="62D73831" w14:textId="2A91E8D9" w:rsidR="00021E4F" w:rsidRPr="0008623B" w:rsidRDefault="00D571F6"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11</w:t>
            </w:r>
          </w:p>
        </w:tc>
        <w:tc>
          <w:tcPr>
            <w:tcW w:w="7736" w:type="dxa"/>
          </w:tcPr>
          <w:p w14:paraId="3A0853BF" w14:textId="73ADC517" w:rsidR="00021E4F" w:rsidRPr="0008623B" w:rsidRDefault="00021E4F"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Nuosavos lėšos Reglamento (ES) Nr. 575/2013 92a straipsnio ir Direktyvos 2014/59/ES 45 straipsnio tikslais</w:t>
            </w:r>
            <w:r>
              <w:rPr>
                <w:b/>
                <w:color w:val="000000" w:themeColor="text1"/>
                <w:sz w:val="24"/>
                <w:rFonts w:ascii="Times New Roman" w:hAnsi="Times New Roman"/>
              </w:rPr>
              <w:t xml:space="preserve"> </w:t>
            </w:r>
          </w:p>
          <w:p w14:paraId="61FB0BF1" w14:textId="6C6EEBF4" w:rsidR="00021E4F" w:rsidRPr="0008623B" w:rsidRDefault="00021E4F" w:rsidP="00503590">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Nuosavos lėšos Reglamento (ES) Nr. 575/2013 92a straipsnio ir Direktyvos 2014/59/ES 45 straipsnio tikslais apskaičiuojamos prie 1 eilutės vertės pridėjus 2 ir 6 eilučių vertes.</w:t>
            </w:r>
          </w:p>
        </w:tc>
      </w:tr>
      <w:tr w:rsidR="00026FC1" w:rsidRPr="0008623B" w14:paraId="5B3A8911" w14:textId="77777777" w:rsidTr="00E46262">
        <w:tc>
          <w:tcPr>
            <w:tcW w:w="1030" w:type="dxa"/>
          </w:tcPr>
          <w:p w14:paraId="3865D42E" w14:textId="14C5B714" w:rsidR="00021E4F" w:rsidRPr="0008623B" w:rsidRDefault="00D571F6"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12.</w:t>
            </w:r>
          </w:p>
        </w:tc>
        <w:tc>
          <w:tcPr>
            <w:tcW w:w="7736" w:type="dxa"/>
          </w:tcPr>
          <w:p w14:paraId="5BC74910" w14:textId="5B101009" w:rsidR="00BD6570" w:rsidRPr="0008623B" w:rsidRDefault="00021E4F" w:rsidP="00BD6570">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Pertvarkytino subjekto tiesiogiai išleistos tinkamų įsipareigojimų priemonės, subordinuotos neįtrauktų įsipareigojimų atžvilgiu (tęstinumo išlyga netaikoma)</w:t>
            </w:r>
          </w:p>
          <w:p w14:paraId="074ADC7C" w14:textId="77777777" w:rsidR="00BD6570" w:rsidRPr="0008623B" w:rsidRDefault="00BD6570" w:rsidP="00B62DC9">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MREL</w:t>
            </w:r>
          </w:p>
          <w:p w14:paraId="5DF92336" w14:textId="765EDF5B" w:rsidR="00BD6570" w:rsidRPr="0008623B" w:rsidRDefault="00BD6570" w:rsidP="00B62DC9">
            <w:pPr>
              <w:pStyle w:val="InstructionsText"/>
              <w:rPr>
                <w:rStyle w:val="FormatvorlageInstructionsTabelleText"/>
                <w:sz w:val="24"/>
                <w:rFonts w:ascii="Times New Roman" w:hAnsi="Times New Roman"/>
              </w:rPr>
            </w:pPr>
            <w:r>
              <w:rPr>
                <w:sz w:val="24"/>
                <w:rStyle w:val="InstructionsTabelleberschrift"/>
                <w:b w:val="0"/>
                <w:u w:val="none"/>
                <w:rFonts w:ascii="Times New Roman" w:hAnsi="Times New Roman"/>
              </w:rPr>
              <w:t xml:space="preserve">Tinkami įsipareigojimai,</w:t>
            </w:r>
            <w:r>
              <w:rPr>
                <w:sz w:val="24"/>
                <w:rStyle w:val="FormatvorlageInstructionsTabelleText"/>
                <w:rFonts w:ascii="Times New Roman" w:hAnsi="Times New Roman"/>
              </w:rPr>
              <w:t xml:space="preserve"> įtraukti į nuosavų lėšų ir tinkamų įsipareigojimų sumą pagal Direktyvos 2014/59/ES 45b straipsnį, kurie yra subordinuotosios tinkamos priemonės, apibrėžtos Direktyvos 2014/59/ES 2 straipsnio 1 dalies 71b punkte, ir kuriuos tiesiogiai išleido pertvarkytinas subjektas.</w:t>
            </w:r>
          </w:p>
          <w:p w14:paraId="26CA1F30" w14:textId="30AB9FAB" w:rsidR="00A97842" w:rsidRPr="0008623B" w:rsidRDefault="00A97842" w:rsidP="00B62DC9">
            <w:pPr>
              <w:pStyle w:val="InstructionsText"/>
              <w:rPr>
                <w:rStyle w:val="FormatvorlageInstructionsTabelleText"/>
                <w:i/>
                <w:sz w:val="24"/>
                <w:rFonts w:ascii="Times New Roman" w:hAnsi="Times New Roman"/>
              </w:rPr>
            </w:pPr>
            <w:r>
              <w:rPr>
                <w:rStyle w:val="FormatvorlageInstructionsTabelleText"/>
                <w:sz w:val="24"/>
                <w:rFonts w:ascii="Times New Roman" w:hAnsi="Times New Roman"/>
              </w:rPr>
              <w:t xml:space="preserve">Tuo atveju, kai priemones reglamentuoja trečiosios valstybės teisė, į šią eilutę priemonė įtraukiama tik jeigu ji atitinka Direktyvos 2014/59/ES 55 straipsnyje nustatytus reikalavimus.</w:t>
            </w:r>
          </w:p>
          <w:p w14:paraId="39C8C83A" w14:textId="77777777" w:rsidR="00BD6570" w:rsidRPr="0008623B" w:rsidRDefault="00BD6570" w:rsidP="00B62DC9">
            <w:pPr>
              <w:pStyle w:val="InstructionsText"/>
              <w:rPr>
                <w:rStyle w:val="FormatvorlageInstructionsTabelleText"/>
                <w:b/>
                <w:sz w:val="24"/>
                <w:rFonts w:ascii="Times New Roman" w:hAnsi="Times New Roman"/>
              </w:rPr>
            </w:pPr>
            <w:r>
              <w:rPr>
                <w:rStyle w:val="FormatvorlageInstructionsTabelleText"/>
                <w:i/>
                <w:sz w:val="24"/>
                <w:rFonts w:ascii="Times New Roman" w:hAnsi="Times New Roman"/>
              </w:rPr>
              <w:t xml:space="preserve">TLAC</w:t>
            </w:r>
          </w:p>
          <w:p w14:paraId="66B62B57" w14:textId="0743E841" w:rsidR="00BD6570" w:rsidRPr="0008623B" w:rsidRDefault="00BD6570" w:rsidP="00B62DC9">
            <w:pPr>
              <w:pStyle w:val="InstructionsText"/>
              <w:rPr>
                <w:rStyle w:val="FormatvorlageInstructionsTabelleText"/>
                <w:b/>
                <w:sz w:val="24"/>
                <w:rFonts w:ascii="Times New Roman" w:hAnsi="Times New Roman"/>
              </w:rPr>
            </w:pPr>
            <w:r>
              <w:rPr>
                <w:rStyle w:val="FormatvorlageInstructionsTabelleText"/>
                <w:sz w:val="24"/>
                <w:rFonts w:ascii="Times New Roman" w:hAnsi="Times New Roman"/>
              </w:rPr>
              <w:t xml:space="preserve">Tinkami įsipareigojimai, kurie atitinka visus Reglamento (ES) Nr. 575/2013 72a–72d straipsniuose nustatytus reikalavimus ir kuriuos tiesiogiai išleido pertvarkytinas subjektas, išskyrus įsipareigojimus, kuriuos leidžiama priskirti prie tinkamų įsipareigojimų priemonių pagal to reglamento 72b straipsnio 3 arba 4 dalį.</w:t>
            </w:r>
          </w:p>
          <w:p w14:paraId="1DC64B11" w14:textId="43193578" w:rsidR="00021E4F" w:rsidRPr="0008623B" w:rsidRDefault="00BD6570" w:rsidP="002A1CB5">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Į šią eilutę neįtraukiama nei 2 lygio priemonių amortizuota dalis, kai likęs terminas yra ilgesnis nei vieni metai (Reglamento (ES) Nr. 575/2013 72a straipsnio 1 dalies b punktas), nei tinkami įsipareigojimai taikant tęstinumo išlygą pagal Reglamento (ES) Nr. 575/2013 494b straipsnį.</w:t>
            </w:r>
          </w:p>
        </w:tc>
      </w:tr>
      <w:tr w:rsidR="00026FC1" w:rsidRPr="0008623B" w14:paraId="138E2D9C" w14:textId="77777777" w:rsidTr="00E46262">
        <w:tc>
          <w:tcPr>
            <w:tcW w:w="1030" w:type="dxa"/>
          </w:tcPr>
          <w:p w14:paraId="6FA92C5C" w14:textId="69DE2A40" w:rsidR="00021E4F" w:rsidRPr="0008623B" w:rsidRDefault="00D571F6"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EU-12a</w:t>
            </w:r>
          </w:p>
        </w:tc>
        <w:tc>
          <w:tcPr>
            <w:tcW w:w="7736" w:type="dxa"/>
          </w:tcPr>
          <w:p w14:paraId="5358B90C" w14:textId="357A9C41" w:rsidR="00021E4F" w:rsidRPr="0008623B" w:rsidRDefault="00021E4F" w:rsidP="0091530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Kitų pertvarkytinos grupės subjektų išleistos tinkamų įsipareigojimų priemonės, subordinuotos neįtrauktų įsipareigojimų atžvilgiu (tęstinumo išlyga netaikoma)</w:t>
            </w:r>
          </w:p>
          <w:p w14:paraId="57A6D73A" w14:textId="77777777" w:rsidR="00BD6570" w:rsidRPr="0008623B" w:rsidRDefault="00BD6570" w:rsidP="00B62DC9">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369BA2B0" w14:textId="05CA7721" w:rsidR="00BD6570" w:rsidRPr="0008623B" w:rsidRDefault="00BD6570"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Tinkami įsipareigojimai,</w:t>
            </w:r>
            <w:r>
              <w:rPr>
                <w:rStyle w:val="FormatvorlageInstructionsTabelleText"/>
                <w:sz w:val="24"/>
                <w:rFonts w:ascii="Times New Roman" w:hAnsi="Times New Roman"/>
              </w:rPr>
              <w:t xml:space="preserve"> įtraukti į nuosavų lėšų ir tinkamų įsipareigojimų sumą pagal Direktyvos 2014/59/ES 45b straipsnį, kuriuos išleido patronuojamosios įmonės ir kurie yra įtraukiami į MREL pagal tos direktyvos 45b straipsnio 3 dalį.</w:t>
            </w:r>
          </w:p>
          <w:p w14:paraId="02BD22DB" w14:textId="392507F9" w:rsidR="003E4404" w:rsidRPr="0008623B" w:rsidRDefault="003E4404" w:rsidP="00B62DC9">
            <w:pPr>
              <w:pStyle w:val="InstructionsText"/>
              <w:rPr>
                <w:rStyle w:val="FormatvorlageInstructionsTabelleText"/>
                <w:i/>
                <w:sz w:val="24"/>
                <w:rFonts w:ascii="Times New Roman" w:hAnsi="Times New Roman"/>
              </w:rPr>
            </w:pPr>
            <w:r>
              <w:rPr>
                <w:rStyle w:val="FormatvorlageInstructionsTabelleText"/>
                <w:sz w:val="24"/>
                <w:rFonts w:ascii="Times New Roman" w:hAnsi="Times New Roman"/>
              </w:rPr>
              <w:t xml:space="preserve">Tuo atveju, kai priemones reglamentuoja trečiosios valstybės teisė, į šią eilutę priemonė įtraukiama tik jeigu ji atitinka Direktyvos 2014/59/ES 55 straipsnyje nustatytus reikalavimus.</w:t>
            </w:r>
          </w:p>
          <w:p w14:paraId="0BBD12E2" w14:textId="7EA7B44E" w:rsidR="00BD6570" w:rsidRPr="0008623B" w:rsidRDefault="00BD6570" w:rsidP="00B62DC9">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6F8A0C84" w14:textId="0CA61C04" w:rsidR="00BD6570" w:rsidRPr="0008623B" w:rsidRDefault="00BD6570" w:rsidP="00B62DC9">
            <w:pPr>
              <w:pStyle w:val="InstructionsText"/>
              <w:rPr>
                <w:rStyle w:val="FormatvorlageInstructionsTabelleText"/>
                <w:b/>
                <w:sz w:val="24"/>
                <w:rFonts w:ascii="Times New Roman" w:hAnsi="Times New Roman"/>
              </w:rPr>
            </w:pPr>
            <w:r>
              <w:rPr>
                <w:rStyle w:val="FormatvorlageInstructionsTabelleText"/>
                <w:sz w:val="24"/>
                <w:rFonts w:ascii="Times New Roman" w:hAnsi="Times New Roman"/>
              </w:rPr>
              <w:t xml:space="preserve">Tinkami įsipareigojimai, kurie atitinka visus Reglamento (ES) Nr. 575/2013 72a–72d straipsniuose nustatytus reikalavimus, kuriuos išleido patronuojamosios įmonės ir kurie yra priskiriami prie įtrauktinų į subjekto konsoliduotų tinkamų įsipareigojimų priemones pagal Reglamento (ES) Nr. 575/2013 88a straipsnį, išskyrus įsipareigojimus, kuriuos leidžiama priskirti prie tinkamų įsipareigojimų priemonių pagal to reglamento 72b straipsnio 3 arba 4 dalį.</w:t>
            </w:r>
          </w:p>
          <w:p w14:paraId="0DBFD655" w14:textId="5A3E4820" w:rsidR="00021E4F" w:rsidRPr="0008623B" w:rsidRDefault="00BD6570" w:rsidP="002A1CB5">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Į šią eilutę neįtraukiama nei 2 lygio priemonių amortizuota dalis, kai likęs terminas yra ilgesnis nei vieni metai (Reglamento (ES) Nr. 575/2013 72a straipsnio 1 dalies b punktas), nei tinkami įsipareigojimai taikant tęstinumo išlygą pagal Reglamento (ES) Nr. 575/2013 494b straipsnį.</w:t>
            </w:r>
          </w:p>
        </w:tc>
      </w:tr>
      <w:tr w:rsidR="00922937" w:rsidRPr="0008623B" w14:paraId="128E215B" w14:textId="77777777" w:rsidTr="00E46262">
        <w:tc>
          <w:tcPr>
            <w:tcW w:w="1030" w:type="dxa"/>
          </w:tcPr>
          <w:p w14:paraId="59505232" w14:textId="6BA871E1" w:rsidR="00922937" w:rsidRPr="0008623B" w:rsidRDefault="00922937"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EU-12b</w:t>
            </w:r>
          </w:p>
        </w:tc>
        <w:tc>
          <w:tcPr>
            <w:tcW w:w="7736" w:type="dxa"/>
          </w:tcPr>
          <w:p w14:paraId="120C20CA" w14:textId="0D51C3A9" w:rsidR="00922937" w:rsidRPr="0008623B" w:rsidRDefault="00922937"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Iki 2019 m. birželio 27 d. išleistos tinkamų įsipareigojimų priemonės, subordinuotos neįtrauktų įsipareigojimų atžvilgiu (subordinuotos, taikoma tęstinumo išlyga)</w:t>
            </w:r>
          </w:p>
          <w:p w14:paraId="31DC06A4" w14:textId="77777777" w:rsidR="00BD6570" w:rsidRPr="0008623B" w:rsidRDefault="00BD6570" w:rsidP="00B62DC9">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60F78D8E" w14:textId="77777777" w:rsidR="00BD6570" w:rsidRPr="0008623B" w:rsidRDefault="00BD6570" w:rsidP="00B62DC9">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Tinkami įsipareigojimai, kurie atitinka šias sąlygas:</w:t>
            </w:r>
          </w:p>
          <w:p w14:paraId="13FE6179" w14:textId="7E1CDD80" w:rsidR="00BD6570" w:rsidRPr="0008623B" w:rsidRDefault="00BD6570" w:rsidP="00B62DC9">
            <w:pPr>
              <w:pStyle w:val="InstructionsText"/>
              <w:numPr>
                <w:ilvl w:val="0"/>
                <w:numId w:val="16"/>
              </w:numPr>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buvo išleisti iki 2019 m. birželio 27 d.;</w:t>
            </w:r>
          </w:p>
          <w:p w14:paraId="20EE0D1D" w14:textId="2261ECA3" w:rsidR="00BD6570" w:rsidRPr="0008623B" w:rsidRDefault="00BD6570" w:rsidP="00B62DC9">
            <w:pPr>
              <w:pStyle w:val="InstructionsText"/>
              <w:numPr>
                <w:ilvl w:val="0"/>
                <w:numId w:val="16"/>
              </w:numPr>
              <w:rPr>
                <w:rStyle w:val="FormatvorlageInstructionsTabelleText"/>
                <w:sz w:val="24"/>
                <w:rFonts w:ascii="Times New Roman" w:hAnsi="Times New Roman"/>
              </w:rPr>
            </w:pPr>
            <w:r>
              <w:rPr>
                <w:sz w:val="24"/>
                <w:rStyle w:val="InstructionsTabelleberschrift"/>
                <w:b w:val="0"/>
                <w:u w:val="none"/>
                <w:rFonts w:ascii="Times New Roman" w:hAnsi="Times New Roman"/>
              </w:rPr>
              <w:t xml:space="preserve">yra</w:t>
            </w:r>
            <w:r>
              <w:rPr>
                <w:sz w:val="24"/>
                <w:rStyle w:val="FormatvorlageInstructionsTabelleText"/>
                <w:rFonts w:ascii="Times New Roman" w:hAnsi="Times New Roman"/>
              </w:rPr>
              <w:t xml:space="preserve"> subordinuotosios tinkamos priemonės, apibrėžtos Direktyvos 2014/59/ES 2 straipsnio 1 dalies 71b punkte;</w:t>
            </w:r>
            <w:r>
              <w:rPr>
                <w:sz w:val="24"/>
                <w:rStyle w:val="FormatvorlageInstructionsTabelleText"/>
                <w:rFonts w:ascii="Times New Roman" w:hAnsi="Times New Roman"/>
              </w:rPr>
              <w:t xml:space="preserve"> </w:t>
            </w:r>
          </w:p>
          <w:p w14:paraId="6779E72D" w14:textId="44987C71" w:rsidR="00BD6570" w:rsidRPr="0008623B" w:rsidRDefault="00BD6570" w:rsidP="00B62DC9">
            <w:pPr>
              <w:pStyle w:val="InstructionsText"/>
              <w:numPr>
                <w:ilvl w:val="0"/>
                <w:numId w:val="16"/>
              </w:numPr>
              <w:rPr>
                <w:rStyle w:val="FormatvorlageInstructionsTabelleText"/>
                <w:sz w:val="24"/>
                <w:rFonts w:ascii="Times New Roman" w:hAnsi="Times New Roman"/>
              </w:rPr>
            </w:pPr>
            <w:r>
              <w:rPr>
                <w:sz w:val="24"/>
                <w:rFonts w:ascii="Times New Roman" w:hAnsi="Times New Roman"/>
              </w:rPr>
              <w:t xml:space="preserve">yra įtraukiami į nuosavas lėšas ir tinkamus įsipareigojimus remiantis Reglamento (ES) Nr. 575/2013 494b straipsnio 3 dalimi.</w:t>
            </w:r>
          </w:p>
          <w:p w14:paraId="3997A101" w14:textId="21BFEA1B" w:rsidR="003E4404" w:rsidRPr="0008623B" w:rsidRDefault="003E4404"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Tuo atveju, kai priemones reglamentuoja trečiosios valstybės teisė, į šią eilutę priemonė įtraukiama tik jeigu ji atitinka Direktyvos 2014/59/ES 55 straipsnyje nustatytus reikalavimus.</w:t>
            </w:r>
          </w:p>
          <w:p w14:paraId="4AA69ACA" w14:textId="77777777" w:rsidR="00BD6570" w:rsidRPr="0008623B" w:rsidRDefault="00BD6570" w:rsidP="00B62DC9">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748D115E" w14:textId="77777777" w:rsidR="00BD6570" w:rsidRPr="0008623B" w:rsidRDefault="00BD6570"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Įsipareigojimai, kurie atitinka šias sąlygas:</w:t>
            </w:r>
          </w:p>
          <w:p w14:paraId="62E0491E" w14:textId="7B8C3AD6" w:rsidR="00BD6570" w:rsidRPr="0008623B" w:rsidRDefault="00BD6570" w:rsidP="00B62DC9">
            <w:pPr>
              <w:pStyle w:val="InstructionsText"/>
              <w:numPr>
                <w:ilvl w:val="0"/>
                <w:numId w:val="16"/>
              </w:numPr>
              <w:rPr>
                <w:rStyle w:val="FormatvorlageInstructionsTabelleText"/>
                <w:b/>
                <w:sz w:val="24"/>
                <w:rFonts w:ascii="Times New Roman" w:hAnsi="Times New Roman"/>
              </w:rPr>
            </w:pPr>
            <w:r>
              <w:rPr>
                <w:rStyle w:val="FormatvorlageInstructionsTabelleText"/>
                <w:sz w:val="24"/>
                <w:rFonts w:ascii="Times New Roman" w:hAnsi="Times New Roman"/>
              </w:rPr>
              <w:t xml:space="preserve">buvo išleisti iki 2019 m. birželio 27 d.;</w:t>
            </w:r>
          </w:p>
          <w:p w14:paraId="5161FB69" w14:textId="33B28B47" w:rsidR="00BD6570" w:rsidRPr="0008623B" w:rsidRDefault="00BD6570" w:rsidP="00B62DC9">
            <w:pPr>
              <w:pStyle w:val="InstructionsText"/>
              <w:numPr>
                <w:ilvl w:val="0"/>
                <w:numId w:val="16"/>
              </w:numPr>
              <w:rPr>
                <w:rStyle w:val="FormatvorlageInstructionsTabelleText"/>
                <w:b/>
                <w:sz w:val="24"/>
                <w:rFonts w:ascii="Times New Roman" w:hAnsi="Times New Roman"/>
              </w:rPr>
            </w:pPr>
            <w:r>
              <w:rPr>
                <w:rStyle w:val="FormatvorlageInstructionsTabelleText"/>
                <w:sz w:val="24"/>
                <w:rFonts w:ascii="Times New Roman" w:hAnsi="Times New Roman"/>
              </w:rPr>
              <w:t xml:space="preserve">atitinka Reglamento (ES) Nr. 575/2013 72b straipsnio 2 dalies d punktą;</w:t>
            </w:r>
          </w:p>
          <w:p w14:paraId="796E2BAA" w14:textId="102908EC" w:rsidR="00922937" w:rsidRPr="0008623B" w:rsidRDefault="00BD6570" w:rsidP="00C4776A">
            <w:pPr>
              <w:pStyle w:val="ListParagraph"/>
              <w:numPr>
                <w:ilvl w:val="0"/>
                <w:numId w:val="16"/>
              </w:num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yra priskiriami prie tinkamų įsipareigojimų dėl tęstinumo išlygos, nustatytos Reglamento (ES) Nr. 575/2013 494b straipsnio 3 dalyje.</w:t>
            </w:r>
          </w:p>
        </w:tc>
      </w:tr>
      <w:tr w:rsidR="00BA315F" w:rsidRPr="0008623B" w14:paraId="5089A67B" w14:textId="77777777" w:rsidTr="00E46262">
        <w:tc>
          <w:tcPr>
            <w:tcW w:w="1030" w:type="dxa"/>
          </w:tcPr>
          <w:p w14:paraId="4A7EDDF2" w14:textId="7325896B" w:rsidR="00BA315F" w:rsidRPr="0008623B" w:rsidRDefault="00BA315F"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EU-12c</w:t>
            </w:r>
          </w:p>
        </w:tc>
        <w:tc>
          <w:tcPr>
            <w:tcW w:w="7736" w:type="dxa"/>
          </w:tcPr>
          <w:p w14:paraId="278B1172" w14:textId="77777777" w:rsidR="00BA315F" w:rsidRPr="0008623B" w:rsidRDefault="00BA315F"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2 lygio priemonės, kurių likutinis terminas yra bent vieni metai, jei jos nepriskiriamos prie 2 lygio straipsnių</w:t>
            </w:r>
          </w:p>
          <w:p w14:paraId="6F3FB28E" w14:textId="6395E75A" w:rsidR="00334BA5" w:rsidRPr="0008623B" w:rsidRDefault="00334BA5"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2 lygio priemonių amortizuota dalis, kai likęs terminas yra ilgesnis nei vieni metai (Reglamento (ES) Nr. 575/2013 72a straipsnio 1 dalies b punktas).</w:t>
            </w:r>
          </w:p>
          <w:p w14:paraId="4FD8D86D" w14:textId="2C5E3644" w:rsidR="00BA315F" w:rsidRPr="0008623B" w:rsidRDefault="00BA315F" w:rsidP="006501CC">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Šioje eilutėje nurodoma tik suma, nepripažįstama nuosavomis lėšomis, tačiau atitinkanti visus tinkamumo kriterijus, nustatytus Reglamento (ES) Nr. 575/2013 72b straipsnyje.</w:t>
            </w:r>
          </w:p>
          <w:p w14:paraId="001569D4" w14:textId="08D94941" w:rsidR="003E4404" w:rsidRPr="0008623B" w:rsidRDefault="003E4404" w:rsidP="003E4404">
            <w:p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MREL atveju priemonės, kurias reglamentuoja trečiosios valstybės teisė, į šią eilutę įtraukiamos tik jeigu jos atitinka Direktyvos 2014/59/ES 55 straipsnyje nustatytus reikalavimus.</w:t>
            </w:r>
          </w:p>
        </w:tc>
      </w:tr>
      <w:tr w:rsidR="00026FC1" w:rsidRPr="0008623B" w14:paraId="64D6FD96" w14:textId="77777777" w:rsidTr="00E46262">
        <w:tc>
          <w:tcPr>
            <w:tcW w:w="1030" w:type="dxa"/>
          </w:tcPr>
          <w:p w14:paraId="50786C06" w14:textId="52DA5E60" w:rsidR="00021E4F" w:rsidRPr="0008623B" w:rsidRDefault="00D571F6"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13</w:t>
            </w:r>
          </w:p>
        </w:tc>
        <w:tc>
          <w:tcPr>
            <w:tcW w:w="7736" w:type="dxa"/>
          </w:tcPr>
          <w:p w14:paraId="5D613CA9" w14:textId="2F1AE58A" w:rsidR="009B2422" w:rsidRPr="0008623B" w:rsidRDefault="009B2422" w:rsidP="00E96304">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Tinkami įsipareigojimai, kurie nėra subordinuoti neįtrauktų įsipareigojimų atžvilgiu (netaikoma tęstinumo išlyga, prieš taikant viršutinę ribą)</w:t>
            </w:r>
          </w:p>
          <w:p w14:paraId="7660F6FC" w14:textId="77777777" w:rsidR="009B2422" w:rsidRPr="0008623B" w:rsidRDefault="009B2422" w:rsidP="00B62DC9">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00F0085A" w14:textId="242F8AE9" w:rsidR="009B2422" w:rsidRPr="0008623B" w:rsidRDefault="009B2422"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Įsipareigojimai, kurie atitinka Direktyvos 2014/59/ES 45b straipsnyje nustatytas sąlygas ir kurie nėra visiškai subordinuoti reikalavimų, atsirandančių dėl Reglamento (ES) Nr. 575/2013 72a straipsnio 2 dalyje nurodytų neįtrauktų įsipareigojimų, atžvilgiu.</w:t>
            </w:r>
          </w:p>
          <w:p w14:paraId="2C657BAC" w14:textId="12DC0920" w:rsidR="003E4404" w:rsidRPr="0008623B" w:rsidRDefault="003E4404"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Tuo atveju, kai priemones reglamentuoja trečiosios valstybės teisė, į šią eilutę priemonė įtraukiama tik jeigu ji atitinka Direktyvos 2014/59/ES 55 straipsnyje nustatytus reikalavimus.</w:t>
            </w:r>
          </w:p>
          <w:p w14:paraId="137D2044" w14:textId="77777777" w:rsidR="009B2422" w:rsidRPr="0008623B" w:rsidRDefault="009B2422" w:rsidP="00B62DC9">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424B93B1" w14:textId="013DD02A" w:rsidR="009B2422" w:rsidRPr="0008623B" w:rsidRDefault="009B2422"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Tinkami įsipareigojimai, kurie atitinka Reglamento</w:t>
            </w:r>
            <w:r>
              <w:rPr>
                <w:color w:val="000000" w:themeColor="text1"/>
              </w:rPr>
              <w:t xml:space="preserve"> (ES) Nr. 575/2013 72a–72d</w:t>
            </w:r>
            <w:r>
              <w:rPr>
                <w:rStyle w:val="FormatvorlageInstructionsTabelleText"/>
                <w:sz w:val="24"/>
                <w:rFonts w:ascii="Times New Roman" w:hAnsi="Times New Roman"/>
              </w:rPr>
              <w:t xml:space="preserve"> straipsniuose nustatytus reikalavimus, išskyrus to reglamento 72b straipsnio 2 dalies d punktą, ir kuriuos gali būti leidžiama priskirti prie tinkamų įsipareigojimų priemonių pagal to reglamento 72b straipsnio 3 dalį arba kuriuos leidžiama priskirti prie tinkamų įsipareigojimų priemonių pagal to reglamento 72b straipsnio 4 dalį.</w:t>
            </w:r>
          </w:p>
          <w:p w14:paraId="686DBB1D" w14:textId="3C40B2C0" w:rsidR="009B2422" w:rsidRPr="0008623B" w:rsidRDefault="004B3067"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Jeigu taikoma Reglamento (ES) Nr. 575/2013 72b straipsnio 3 dalis arba Reglamento (ES) Nr. 575/2013 494 straipsnio 2 dalis, šioje eilutėje atskleidžiama visa suma, netaikant atitinkamai 3,5 % ir 2,5 % viršutinės ribos.</w:t>
            </w:r>
          </w:p>
          <w:p w14:paraId="2AE31630" w14:textId="5BBA380B" w:rsidR="009B2422" w:rsidRPr="0008623B" w:rsidRDefault="009B2422" w:rsidP="009B2422">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Į šią eilutę neįtraukiama jokia suma, kurią galima pripažinti pereinamuoju laikotarpiu pagal Reglamento (ES) Nr. 575/2013 494b straipsnio 3 dalį.</w:t>
            </w:r>
          </w:p>
        </w:tc>
      </w:tr>
      <w:tr w:rsidR="00922937" w:rsidRPr="0008623B" w14:paraId="54947575" w14:textId="77777777" w:rsidTr="00E46262">
        <w:tc>
          <w:tcPr>
            <w:tcW w:w="1030" w:type="dxa"/>
          </w:tcPr>
          <w:p w14:paraId="034E19A1" w14:textId="2AE4D60C" w:rsidR="00922937" w:rsidRPr="0008623B" w:rsidRDefault="00922937"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EU-13a</w:t>
            </w:r>
          </w:p>
        </w:tc>
        <w:tc>
          <w:tcPr>
            <w:tcW w:w="7736" w:type="dxa"/>
          </w:tcPr>
          <w:p w14:paraId="69BC0D22" w14:textId="6A00E4CF" w:rsidR="00922937" w:rsidRPr="0008623B" w:rsidRDefault="00922937"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Iki 2019 m. birželio 27 d. išleisti tinkami įsipareigojimai, kurie nėra subordinuoti neįtrauktų įsipareigojimų atžvilgiu (prieš taikant viršutinę ribą)</w:t>
            </w:r>
          </w:p>
          <w:p w14:paraId="56BE4571" w14:textId="77777777" w:rsidR="009B2422" w:rsidRPr="0008623B" w:rsidRDefault="009B2422" w:rsidP="009B2422">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MREL</w:t>
            </w:r>
          </w:p>
          <w:p w14:paraId="5C7AEC52" w14:textId="77777777" w:rsidR="009B2422" w:rsidRPr="0008623B" w:rsidRDefault="009B2422" w:rsidP="009B242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Tinkami įsipareigojimai, kurie atitinka šias sąlygas:</w:t>
            </w:r>
          </w:p>
          <w:p w14:paraId="72C8F1AF" w14:textId="72479061" w:rsidR="009B2422"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buvo išleisti iki 2019 m. birželio 27 d.;</w:t>
            </w:r>
          </w:p>
          <w:p w14:paraId="21ECB5FF" w14:textId="573F7AE6" w:rsidR="009B2422"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atitinka Direktyvos 2014/59/ES 45b straipsnyje nustatytas sąlygas ir nėra visiškai subordinuoti reikalavimų, atsirandančių dėl Reglamento (ES) Nr. 575/2013 72a straipsnio 2 dalyje nurodytų neįtrauktų įsipareigojimų, atžvilgiu;</w:t>
            </w:r>
          </w:p>
          <w:p w14:paraId="110EAF03" w14:textId="67157606" w:rsidR="009B2422"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yra priskiriami prie tinkamų įsipareigojimų dėl tęstinumo išlygos, nustatytos Reglamento (ES) Nr. 575/2013 494b straipsnio 3 dalyje.</w:t>
            </w:r>
          </w:p>
          <w:p w14:paraId="0E373313" w14:textId="3B67958D" w:rsidR="003E4404" w:rsidRPr="0008623B" w:rsidRDefault="003E4404" w:rsidP="005F391D">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Tuo atveju, kai priemones reglamentuoja trečiosios valstybės teisė, į šią eilutę priemonė įtraukiama tik jeigu ji atitinka Direktyvos 2014/59/ES 55 straipsnyje nustatytus reikalavimus.</w:t>
            </w:r>
          </w:p>
          <w:p w14:paraId="7B5CC27B" w14:textId="77777777" w:rsidR="009B2422" w:rsidRPr="0008623B" w:rsidRDefault="009B2422" w:rsidP="009B2422">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TLAC</w:t>
            </w:r>
          </w:p>
          <w:p w14:paraId="309DD1F6" w14:textId="730AFC17" w:rsidR="009B2422" w:rsidRPr="0008623B" w:rsidRDefault="008E71C3" w:rsidP="009B242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Tinkami įsipareigojimai, kurie atitinka šias sąlygas:</w:t>
            </w:r>
          </w:p>
          <w:p w14:paraId="318C85C9" w14:textId="7DED1DBB" w:rsidR="009B2422"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buvo išleisti iki 2019 m. birželio 27 d.;</w:t>
            </w:r>
          </w:p>
          <w:p w14:paraId="76F54B6E" w14:textId="0FE12834" w:rsidR="009B2422"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atitinka Reglamento (ES) Nr. 575/2013 72a–72d straipsniuose nustatytus reikalavimus, išskyrus to reglamento 72b straipsnio 2 dalies d punktą, ir juos gali būti leidžiama priskirti prie tinkamų įsipareigojimų priemonių pagal to reglamento 72b straipsnio 3 dalį arba juos leidžiama priskirti prie tinkamų įsipareigojimų priemonių pagal Reglamento (ES) Nr. 575/213 72b straipsnio 4 dalį;</w:t>
            </w:r>
          </w:p>
          <w:p w14:paraId="2DB1E71A" w14:textId="66F98C46" w:rsidR="003312F4"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yra priskiriami prie tinkamų įsipareigojimų dėl tęstinumo išlygos, nustatytos Reglamento (ES) Nr. 575/2013 494b straipsnio 3 dalyje.</w:t>
            </w:r>
          </w:p>
          <w:p w14:paraId="6639DB06" w14:textId="22A4459E" w:rsidR="009B2422" w:rsidRPr="0008623B" w:rsidRDefault="00A150DD" w:rsidP="00A150DD">
            <w:p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Jeigu taikoma Reglamento (ES) Nr. 575/2013 72b straipsnio 3 dalis arba Reglamento (ES) Nr. 575/2013 494 straipsnio 2 dalis, šioje eilutėje nurodoma visa suma, netaikant atitinkamai 3,5 % ir 2,5 % viršutinės ribos.</w:t>
            </w:r>
          </w:p>
        </w:tc>
      </w:tr>
      <w:tr w:rsidR="00026FC1" w:rsidRPr="0008623B" w14:paraId="219A8816" w14:textId="77777777" w:rsidTr="00E46262">
        <w:tc>
          <w:tcPr>
            <w:tcW w:w="1030" w:type="dxa"/>
          </w:tcPr>
          <w:p w14:paraId="26CB4EA4" w14:textId="1E635F7F" w:rsidR="00021E4F" w:rsidRPr="0008623B" w:rsidRDefault="00702377"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14</w:t>
            </w:r>
          </w:p>
        </w:tc>
        <w:tc>
          <w:tcPr>
            <w:tcW w:w="7736" w:type="dxa"/>
          </w:tcPr>
          <w:p w14:paraId="6094B9AD" w14:textId="53C6E214" w:rsidR="00021E4F" w:rsidRPr="0008623B" w:rsidRDefault="00922937"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Nesubordinuotųjų tinkamų įsipareigojimų priemonių suma, atitinkamais atvejais pritaikius Reglamento (ES) Nr. 575/2013 72b straipsnio 3 dalį</w:t>
            </w:r>
          </w:p>
          <w:p w14:paraId="78F7998F" w14:textId="77777777" w:rsidR="000C6F8C" w:rsidRPr="0008623B" w:rsidRDefault="000C6F8C" w:rsidP="008E71C3">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MREL</w:t>
            </w:r>
          </w:p>
          <w:p w14:paraId="02BBE4C9" w14:textId="6CA91799" w:rsidR="000C6F8C" w:rsidRPr="0008623B" w:rsidRDefault="000C6F8C" w:rsidP="008E71C3">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Ši eilutė lygi 13 ir ES-13a eilučių verčių sumai.</w:t>
            </w:r>
          </w:p>
          <w:p w14:paraId="03898B83" w14:textId="77777777" w:rsidR="000C6F8C" w:rsidRPr="0008623B" w:rsidRDefault="000C6F8C" w:rsidP="008E71C3">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TLAC</w:t>
            </w:r>
          </w:p>
          <w:p w14:paraId="34E50C43" w14:textId="098233F1" w:rsidR="000C6F8C" w:rsidRPr="0008623B" w:rsidRDefault="003E4404" w:rsidP="008E71C3">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Jeigu taikoma Reglamento (ES) Nr. 575/2013 72b straipsnio 3 dalis, šioje eilutėje nurodoma sumų, atskleistų pirmesnėse 13 ir 13a eilutėse, suma pritaikius atitinkamai to reglamento 72b straipsnio 3 dalį arba 494 straipsnio 2 dalį.</w:t>
            </w:r>
            <w:r>
              <w:rPr>
                <w:color w:val="000000" w:themeColor="text1"/>
                <w:sz w:val="24"/>
                <w:rFonts w:ascii="Times New Roman" w:hAnsi="Times New Roman"/>
              </w:rPr>
              <w:t xml:space="preserve"> </w:t>
            </w:r>
          </w:p>
          <w:p w14:paraId="5A30EA54" w14:textId="5EC0D4FB" w:rsidR="00021E4F" w:rsidRPr="0008623B" w:rsidRDefault="000C6F8C" w:rsidP="00503590">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Jeigu Reglamento (ES) Nr. 575/2013 72b straipsnio 3 dalis netaikoma, bet subjektas naudojasi Reglamento (ES) Nr. 575/2013 72b straipsnio 4 dalimi, ši eilutė lygi 13 ir ES-13a eilučių verčių sumai.</w:t>
            </w:r>
          </w:p>
        </w:tc>
      </w:tr>
      <w:tr w:rsidR="00026FC1" w:rsidRPr="0008623B" w14:paraId="329EB7E3" w14:textId="77777777" w:rsidTr="00E46262">
        <w:tc>
          <w:tcPr>
            <w:tcW w:w="1030" w:type="dxa"/>
          </w:tcPr>
          <w:p w14:paraId="0D278793" w14:textId="45736042" w:rsidR="00021E4F" w:rsidRPr="0008623B" w:rsidRDefault="00702377"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17</w:t>
            </w:r>
          </w:p>
        </w:tc>
        <w:tc>
          <w:tcPr>
            <w:tcW w:w="7736" w:type="dxa"/>
          </w:tcPr>
          <w:p w14:paraId="4088C906" w14:textId="78FD4FAE" w:rsidR="00021E4F" w:rsidRPr="0008623B" w:rsidRDefault="00021E4F"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Tinkamų įsipareigojimų straipsniai prieš koregavimus</w:t>
            </w:r>
          </w:p>
          <w:p w14:paraId="22690983" w14:textId="2BAD1B47" w:rsidR="00021E4F" w:rsidRPr="0008623B" w:rsidRDefault="00021E4F" w:rsidP="00503590">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Tinkamų įsipareigojimų straipsniai prieš koregavimus</w:t>
            </w:r>
            <w:r>
              <w:rPr>
                <w:color w:val="000000" w:themeColor="text1"/>
                <w:sz w:val="24"/>
                <w:rFonts w:ascii="Times New Roman" w:hAnsi="Times New Roman"/>
              </w:rPr>
              <w:t xml:space="preserve"> </w:t>
            </w:r>
            <w:r>
              <w:rPr>
                <w:color w:val="000000" w:themeColor="text1"/>
                <w:sz w:val="24"/>
                <w:rFonts w:ascii="Times New Roman" w:hAnsi="Times New Roman"/>
              </w:rPr>
              <w:t xml:space="preserve">Apskaičiuojama prie 12 eilutės vertės pridėjus EU-12a, EU-12b, EU-12c ir 14 eilučių vertes.</w:t>
            </w:r>
          </w:p>
        </w:tc>
      </w:tr>
      <w:tr w:rsidR="00633625" w:rsidRPr="0008623B" w14:paraId="2D0BC40A" w14:textId="77777777" w:rsidTr="00E46262">
        <w:tc>
          <w:tcPr>
            <w:tcW w:w="1030" w:type="dxa"/>
          </w:tcPr>
          <w:p w14:paraId="2FC5E554" w14:textId="764C5877" w:rsidR="00633625" w:rsidRPr="0008623B" w:rsidRDefault="00633625"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EU-17a</w:t>
            </w:r>
          </w:p>
        </w:tc>
        <w:tc>
          <w:tcPr>
            <w:tcW w:w="7736" w:type="dxa"/>
          </w:tcPr>
          <w:p w14:paraId="1A128FD1" w14:textId="1FF7039A" w:rsidR="00633625" w:rsidRPr="0008623B" w:rsidRDefault="00B80F7C"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Tinkamų įsipareigojimų straipsniai prieš koregavimus. Iš jų subordinuotųjų įsipareigojimų straipsniai</w:t>
            </w:r>
          </w:p>
          <w:p w14:paraId="4B5B9304" w14:textId="77777777" w:rsidR="002432DE" w:rsidRPr="0008623B" w:rsidRDefault="002432DE" w:rsidP="00915305">
            <w:pPr>
              <w:rPr>
                <w:rStyle w:val="InstructionsTabelleberschrift"/>
                <w:b w:val="0"/>
                <w:i/>
                <w:sz w:val="24"/>
                <w:szCs w:val="24"/>
                <w:u w:val="none"/>
                <w:rFonts w:ascii="Times New Roman" w:hAnsi="Times New Roman"/>
              </w:rPr>
            </w:pPr>
            <w:r>
              <w:rPr>
                <w:rStyle w:val="InstructionsTabelleberschrift"/>
                <w:b w:val="0"/>
                <w:i/>
                <w:sz w:val="24"/>
                <w:u w:val="none"/>
                <w:rFonts w:ascii="Times New Roman" w:hAnsi="Times New Roman"/>
              </w:rPr>
              <w:t xml:space="preserve">MREL</w:t>
            </w:r>
          </w:p>
          <w:p w14:paraId="2089EA6F" w14:textId="630F5208" w:rsidR="00DB779A" w:rsidRPr="0008623B" w:rsidRDefault="00DB779A" w:rsidP="00915305">
            <w:pPr>
              <w:rPr>
                <w:rStyle w:val="FormatvorlageInstructionsTabelleText"/>
                <w:sz w:val="24"/>
                <w:szCs w:val="24"/>
                <w:rFonts w:ascii="Times New Roman" w:hAnsi="Times New Roman"/>
              </w:rPr>
            </w:pPr>
            <w:r>
              <w:rPr>
                <w:sz w:val="24"/>
                <w:rStyle w:val="InstructionsTabelleberschrift"/>
                <w:b w:val="0"/>
                <w:u w:val="none"/>
                <w:rFonts w:ascii="Times New Roman" w:hAnsi="Times New Roman"/>
              </w:rPr>
              <w:t xml:space="preserve">Tinkami įsipareigojimai, įtraukti į</w:t>
            </w:r>
            <w:r>
              <w:rPr>
                <w:sz w:val="24"/>
                <w:rStyle w:val="FormatvorlageInstructionsTabelleText"/>
                <w:rFonts w:ascii="Times New Roman" w:hAnsi="Times New Roman"/>
              </w:rPr>
              <w:t xml:space="preserve"> nuosavų lėšų ir tinkamų įsipareigojimų sumą pagal Direktyvos 2014/59/ES 45b straipsnį, kurie yra subordinuotosios tinkamos priemonės, apibrėžtos tos direktyvos 2 straipsnio 1 dalies 71b punkte, ir patronuojamųjų įmonių išleisti įsipareigojimai, kurie yra įtraukti į MREL pagal tos direktyvos 45b straipsnio 3 dalį.</w:t>
            </w:r>
          </w:p>
          <w:p w14:paraId="69D83FC1" w14:textId="5DCAE08F" w:rsidR="003E4404" w:rsidRPr="0008623B" w:rsidRDefault="003E4404" w:rsidP="00915305">
            <w:pPr>
              <w:rPr>
                <w:rStyle w:val="FormatvorlageInstructionsTabelleText"/>
                <w:sz w:val="24"/>
                <w:szCs w:val="24"/>
                <w:rFonts w:ascii="Times New Roman" w:hAnsi="Times New Roman"/>
              </w:rPr>
            </w:pPr>
            <w:r>
              <w:rPr>
                <w:rStyle w:val="FormatvorlageInstructionsTabelleText"/>
                <w:sz w:val="24"/>
                <w:rFonts w:ascii="Times New Roman" w:hAnsi="Times New Roman"/>
              </w:rPr>
              <w:t xml:space="preserve">Tuo atveju, kai priemones reglamentuoja trečiosios valstybės teisė, į šią eilutę priemonė įtraukiama tik jeigu ji atitinka Direktyvos 2014/59/ES 55 straipsnyje nustatytus reikalavimus.</w:t>
            </w:r>
          </w:p>
          <w:p w14:paraId="740C1237" w14:textId="77777777" w:rsidR="002432DE" w:rsidRPr="0008623B" w:rsidRDefault="002432DE" w:rsidP="00915305">
            <w:pPr>
              <w:rPr>
                <w:rStyle w:val="InstructionsTabelleberschrift"/>
                <w:b w:val="0"/>
                <w:i/>
                <w:sz w:val="24"/>
                <w:szCs w:val="24"/>
                <w:u w:val="none"/>
                <w:rFonts w:ascii="Times New Roman" w:hAnsi="Times New Roman"/>
              </w:rPr>
            </w:pPr>
            <w:r>
              <w:rPr>
                <w:rStyle w:val="InstructionsTabelleberschrift"/>
                <w:b w:val="0"/>
                <w:i/>
                <w:sz w:val="24"/>
                <w:u w:val="none"/>
                <w:rFonts w:ascii="Times New Roman" w:hAnsi="Times New Roman"/>
              </w:rPr>
              <w:t xml:space="preserve">TLAC</w:t>
            </w:r>
          </w:p>
          <w:p w14:paraId="04429143" w14:textId="6BD51A61" w:rsidR="002432DE" w:rsidRPr="0008623B" w:rsidRDefault="002432DE"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Tinkami įsipareigojimai, kurie atitinka visus Reglamento (ES) Nr. 575/2013 72a–72d straipsniuose</w:t>
            </w:r>
            <w:r>
              <w:rPr>
                <w:rStyle w:val="FormatvorlageInstructionsTabelleText"/>
                <w:sz w:val="24"/>
                <w:rFonts w:ascii="Times New Roman" w:hAnsi="Times New Roman"/>
              </w:rPr>
              <w:t xml:space="preserve"> nustatytus reikalavimus, išskyrus įsipareigojimus, kuriuos leidžiama priskirti prie tinkamų įsipareigojimų priemonių pagal to reglamento 72b straipsnio 3 arba 4 dalį.</w:t>
            </w:r>
          </w:p>
          <w:p w14:paraId="2EEECCE3" w14:textId="4B15BE1E" w:rsidR="002432DE" w:rsidRPr="0008623B" w:rsidRDefault="002432DE"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Į šią eilutę įtraukiami subordinuotieji įsipareigojimai, kurie yra tinkami dėl tęstinumo išlygos pagal Reglamento (ES) Nr. 575/2013 494b straipsnį, ir 2 lygio priemonių amortizuota dalis, kai likęs terminas yra ilgesnis nei vieni metai (Reglamento (ES) Nr. 575/2013 72a straipsnio 1 dalies b punktas).</w:t>
            </w:r>
          </w:p>
          <w:p w14:paraId="55FB8435" w14:textId="63FEC689" w:rsidR="002432DE" w:rsidRPr="0008623B" w:rsidRDefault="002432DE" w:rsidP="00B62DC9">
            <w:pPr>
              <w:pStyle w:val="InstructionsText"/>
            </w:pPr>
            <w:r>
              <w:rPr>
                <w:rStyle w:val="FormatvorlageInstructionsTabelleText"/>
                <w:sz w:val="24"/>
                <w:rFonts w:ascii="Times New Roman" w:hAnsi="Times New Roman"/>
              </w:rPr>
              <w:t xml:space="preserve">Apskaičiuojama prie 12 eilutės vertės pridėjus EU-12a, EU-12b ir EU-12c eilučių vertes.</w:t>
            </w:r>
          </w:p>
        </w:tc>
      </w:tr>
      <w:tr w:rsidR="00026FC1" w:rsidRPr="0008623B" w14:paraId="45424BEE" w14:textId="77777777" w:rsidTr="00E46262">
        <w:tc>
          <w:tcPr>
            <w:tcW w:w="1030" w:type="dxa"/>
          </w:tcPr>
          <w:p w14:paraId="747BC26F" w14:textId="022289A3" w:rsidR="00702377" w:rsidRPr="0008623B" w:rsidRDefault="00702377"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18</w:t>
            </w:r>
          </w:p>
        </w:tc>
        <w:tc>
          <w:tcPr>
            <w:tcW w:w="7736" w:type="dxa"/>
          </w:tcPr>
          <w:p w14:paraId="4ADF1782" w14:textId="77777777" w:rsidR="00702377" w:rsidRPr="0008623B" w:rsidRDefault="00702377" w:rsidP="00702377">
            <w:pPr>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Nuosavos lėšos ir tinkamų įsipareigojimų straipsniai prieš koregavimus</w:t>
            </w:r>
          </w:p>
          <w:p w14:paraId="151E44CE" w14:textId="2369C944" w:rsidR="00702377" w:rsidRPr="0008623B" w:rsidRDefault="00702377" w:rsidP="00503590">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Nuosavos lėšos ir tinkamų įsipareigojimų straipsniai prieš koregavimus.</w:t>
            </w:r>
            <w:r>
              <w:rPr>
                <w:color w:val="000000" w:themeColor="text1"/>
                <w:sz w:val="24"/>
                <w:rFonts w:ascii="Times New Roman" w:hAnsi="Times New Roman"/>
              </w:rPr>
              <w:t xml:space="preserve"> </w:t>
            </w:r>
            <w:r>
              <w:rPr>
                <w:color w:val="000000" w:themeColor="text1"/>
                <w:sz w:val="24"/>
                <w:rFonts w:ascii="Times New Roman" w:hAnsi="Times New Roman"/>
              </w:rPr>
              <w:t xml:space="preserve">Apskaičiuojama prie 11 eilutės vertės pridėjus 17 eilutės vertę.</w:t>
            </w:r>
          </w:p>
        </w:tc>
      </w:tr>
      <w:tr w:rsidR="00026FC1" w:rsidRPr="0008623B" w14:paraId="74F69B7A" w14:textId="77777777" w:rsidTr="00E46262">
        <w:tc>
          <w:tcPr>
            <w:tcW w:w="1030" w:type="dxa"/>
          </w:tcPr>
          <w:p w14:paraId="1B67D30A" w14:textId="6055FAE6" w:rsidR="00702377" w:rsidRPr="0008623B" w:rsidRDefault="00702377"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19</w:t>
            </w:r>
          </w:p>
        </w:tc>
        <w:tc>
          <w:tcPr>
            <w:tcW w:w="7736" w:type="dxa"/>
          </w:tcPr>
          <w:p w14:paraId="7917D77C" w14:textId="37BD1628" w:rsidR="00702377" w:rsidRPr="0008623B" w:rsidRDefault="00D413AD"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(Pertvarkytinų grupių, kurioms taikomas vienalaikis grupės dalies pertvarkymas, tarpusavio pozicijų atskaitymas)</w:t>
            </w:r>
          </w:p>
          <w:p w14:paraId="36A58FE6" w14:textId="45D80DF4" w:rsidR="00A9426B" w:rsidRPr="0008623B" w:rsidRDefault="00A9426B"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Neigiama suma</w:t>
            </w:r>
          </w:p>
          <w:p w14:paraId="0D579B89" w14:textId="657876CE" w:rsidR="00702377" w:rsidRPr="0008623B" w:rsidRDefault="00702377" w:rsidP="00480FBC">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G-SII pertvarkytinų grupių, kurioms taikomas VGDP, tarpusavio pozicijų, kurios atitinka tiesiogiai, netiesiogiai arba dirbtinai turimas vienos arba daugiau patronuojamųjų įmonių, nepriklausančių tai pačiai pertvarkytinai grupei kaip pertvarkytinas subjektas, nuosavų lėšų priemones arba tinkamų įsipareigojimų priemones, atskaitymai pagal Reglamento (ES) Nr. 575/2013 72e straipsnio 4 dalį.</w:t>
            </w:r>
          </w:p>
        </w:tc>
      </w:tr>
      <w:tr w:rsidR="00026FC1" w:rsidRPr="0008623B" w14:paraId="34D251D0" w14:textId="77777777" w:rsidTr="00E46262">
        <w:tc>
          <w:tcPr>
            <w:tcW w:w="1030" w:type="dxa"/>
          </w:tcPr>
          <w:p w14:paraId="33B786D1" w14:textId="62F68C2B" w:rsidR="00702377" w:rsidRPr="0008623B" w:rsidRDefault="00D571F6"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20</w:t>
            </w:r>
          </w:p>
        </w:tc>
        <w:tc>
          <w:tcPr>
            <w:tcW w:w="7736" w:type="dxa"/>
          </w:tcPr>
          <w:p w14:paraId="22BBBE31" w14:textId="44D9E160" w:rsidR="00702377" w:rsidRPr="0008623B" w:rsidRDefault="00D413AD"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(Investicijų į kitų tinkamų įsipareigojimų priemones atskaitymas)</w:t>
            </w:r>
          </w:p>
          <w:p w14:paraId="36E83D5C" w14:textId="77777777" w:rsidR="00A9426B" w:rsidRPr="0008623B" w:rsidRDefault="00A9426B" w:rsidP="00A9426B">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Neigiama suma</w:t>
            </w:r>
          </w:p>
          <w:p w14:paraId="5109AFDE" w14:textId="3A888804" w:rsidR="00D36DC6" w:rsidRPr="0008623B" w:rsidRDefault="00D36DC6" w:rsidP="00B24DB1">
            <w:pPr>
              <w:rPr>
                <w:i/>
                <w:iCs/>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TLAC</w:t>
            </w:r>
          </w:p>
          <w:p w14:paraId="160C4AD3" w14:textId="5E7F7684" w:rsidR="00702377" w:rsidRPr="0008623B" w:rsidRDefault="00702377" w:rsidP="00B24DB1">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Investicijų į kitų tinkamų įsipareigojimų priemones atskaitymai pagal Reglamento (ES) Nr. 575/2013 72e straipsnio 1–3 dalis ir 72f–72j straipsnius.</w:t>
            </w:r>
            <w:r>
              <w:rPr>
                <w:color w:val="000000" w:themeColor="text1"/>
                <w:sz w:val="24"/>
                <w:rFonts w:ascii="Times New Roman" w:hAnsi="Times New Roman"/>
              </w:rPr>
              <w:t xml:space="preserve"> </w:t>
            </w:r>
            <w:r>
              <w:rPr>
                <w:color w:val="000000" w:themeColor="text1"/>
                <w:sz w:val="24"/>
                <w:rFonts w:ascii="Times New Roman" w:hAnsi="Times New Roman"/>
              </w:rPr>
              <w:t xml:space="preserve">Suma, atskaitytina iš tinkamų įsipareigojimų straipsnių pagal Reglamento (ES) Nr. 575/2013 antros dalies I antraštinės dalies 5a skyriaus 2 skirsnį.</w:t>
            </w:r>
          </w:p>
          <w:p w14:paraId="58A38F14" w14:textId="027B8532" w:rsidR="00D36DC6" w:rsidRPr="0008623B" w:rsidRDefault="00D36DC6" w:rsidP="00B24DB1">
            <w:pPr>
              <w:rPr>
                <w:i/>
                <w:iCs/>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MREL ir TLAC</w:t>
            </w:r>
          </w:p>
          <w:p w14:paraId="131C0401" w14:textId="7FBC18FB" w:rsidR="00BF16DB" w:rsidRPr="0008623B" w:rsidRDefault="00BF16DB" w:rsidP="00B24DB1">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Į šią eilutę įtraukiamos sumos, kurioms taikomas leidimas pareikalauti tinkamų įsipareigojimų priemonių, jas išpirkti, padengti arba atpirkti pagal Reglamento (ES) Nr. 575/2013 78a straipsnį tiek, kiek informaciją teikiantis subjektas dar nėra pasinaudojęs ta suma, siekdamas pareikalauti priemonių, jas išpirkti, padengti arba atpirkti.</w:t>
            </w:r>
          </w:p>
        </w:tc>
      </w:tr>
      <w:tr w:rsidR="00026FC1" w:rsidRPr="0008623B" w14:paraId="739A1A6D" w14:textId="77777777" w:rsidTr="00E46262">
        <w:tc>
          <w:tcPr>
            <w:tcW w:w="1030" w:type="dxa"/>
          </w:tcPr>
          <w:p w14:paraId="03995BED" w14:textId="59572D69" w:rsidR="00702377" w:rsidRPr="0008623B" w:rsidRDefault="00D571F6"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22.</w:t>
            </w:r>
          </w:p>
        </w:tc>
        <w:tc>
          <w:tcPr>
            <w:tcW w:w="7736" w:type="dxa"/>
          </w:tcPr>
          <w:p w14:paraId="2D6851E4" w14:textId="5FE3EEF7" w:rsidR="00702377" w:rsidRPr="0008623B" w:rsidRDefault="000B4D72"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Nuosavos lėšos ir tinkami įsipareigojimai po koregavimų</w:t>
            </w:r>
          </w:p>
          <w:p w14:paraId="69BED263" w14:textId="4E69A591" w:rsidR="00702377" w:rsidRPr="0008623B" w:rsidRDefault="00702377" w:rsidP="00A9426B">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Nuosavos lėšos ir tinkami įsipareigojimai, kaip apibrėžta Reglamento (ES) Nr. 575/2013 72l straipsnyje.</w:t>
            </w:r>
            <w:r>
              <w:rPr>
                <w:color w:val="000000" w:themeColor="text1"/>
                <w:sz w:val="24"/>
                <w:rFonts w:ascii="Times New Roman" w:hAnsi="Times New Roman"/>
              </w:rPr>
              <w:t xml:space="preserve"> </w:t>
            </w:r>
            <w:r>
              <w:rPr>
                <w:color w:val="000000" w:themeColor="text1"/>
                <w:sz w:val="24"/>
                <w:rFonts w:ascii="Times New Roman" w:hAnsi="Times New Roman"/>
              </w:rPr>
              <w:t xml:space="preserve">Apskaičiuojama prie 18 eilutės vertės pridėjus 19 ir 20 eilučių vertes.</w:t>
            </w:r>
          </w:p>
          <w:p w14:paraId="5794043B" w14:textId="1C4A8682" w:rsidR="003E4404" w:rsidRPr="0008623B" w:rsidRDefault="003E4404" w:rsidP="00A9426B">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MREL</w:t>
            </w:r>
          </w:p>
          <w:p w14:paraId="0DCEFD91" w14:textId="77777777" w:rsidR="005B765F" w:rsidRPr="0008623B" w:rsidRDefault="005B765F" w:rsidP="005B765F">
            <w:pPr>
              <w:rPr>
                <w:rStyle w:val="FormatvorlageInstructionsTabelleText"/>
                <w:sz w:val="24"/>
                <w:rFonts w:ascii="Times New Roman" w:hAnsi="Times New Roman"/>
              </w:rPr>
            </w:pPr>
            <w:r>
              <w:rPr>
                <w:rStyle w:val="FormatvorlageInstructionsTabelleText"/>
                <w:sz w:val="24"/>
                <w:rFonts w:ascii="Times New Roman" w:hAnsi="Times New Roman"/>
              </w:rPr>
              <w:t xml:space="preserve">Nuosavų lėšų ir tinkamų įsipareigojimų, įtraukiamų vykdant MREL, suma atskleidžiama kaip šių elementų suma:</w:t>
            </w:r>
          </w:p>
          <w:p w14:paraId="58E25068" w14:textId="71FF99F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sz w:val="24"/>
                <w:rFonts w:ascii="Times New Roman" w:hAnsi="Times New Roman"/>
              </w:rPr>
            </w:pPr>
            <w:r>
              <w:rPr>
                <w:rStyle w:val="FormatvorlageInstructionsTabelleText"/>
                <w:sz w:val="24"/>
                <w:rFonts w:ascii="Times New Roman" w:hAnsi="Times New Roman"/>
              </w:rPr>
              <w:t xml:space="preserve">nuosavų lėšų, nurodytų Reglamento (ES) Nr. 575/2013 4 straipsnio 1 dalies 118 punkte ir 72 straipsnyje;</w:t>
            </w:r>
            <w:r>
              <w:rPr>
                <w:rStyle w:val="FormatvorlageInstructionsTabelleText"/>
                <w:sz w:val="24"/>
                <w:rFonts w:ascii="Times New Roman" w:hAnsi="Times New Roman"/>
              </w:rPr>
              <w:t xml:space="preserve"> </w:t>
            </w:r>
          </w:p>
          <w:p w14:paraId="7D33907A" w14:textId="75C1725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sz w:val="24"/>
                <w:rFonts w:ascii="Times New Roman" w:hAnsi="Times New Roman"/>
              </w:rPr>
            </w:pPr>
            <w:r>
              <w:rPr>
                <w:rStyle w:val="FormatvorlageInstructionsTabelleText"/>
                <w:sz w:val="24"/>
                <w:rFonts w:ascii="Times New Roman" w:hAnsi="Times New Roman"/>
              </w:rPr>
              <w:t xml:space="preserve">tinkamų įsipareigojimų, kaip apibrėžta Direktyvos 2014/59/ES 2 straipsnio 1 dalies 71a punkte.</w:t>
            </w:r>
          </w:p>
          <w:p w14:paraId="38858668" w14:textId="194B5715" w:rsidR="003E4404" w:rsidRPr="0008623B" w:rsidRDefault="003E4404" w:rsidP="005F391D">
            <w:pPr>
              <w:spacing w:before="120" w:after="120" w:line="240" w:lineRule="auto"/>
              <w:jc w:val="both"/>
              <w:rPr>
                <w:rStyle w:val="FormatvorlageInstructionsTabelleText"/>
                <w:sz w:val="24"/>
                <w:rFonts w:ascii="Times New Roman" w:hAnsi="Times New Roman"/>
              </w:rPr>
            </w:pPr>
            <w:r>
              <w:rPr>
                <w:rStyle w:val="FormatvorlageInstructionsTabelleText"/>
                <w:sz w:val="24"/>
                <w:rFonts w:ascii="Times New Roman" w:hAnsi="Times New Roman"/>
              </w:rPr>
              <w:t xml:space="preserve">Tuo atveju, kai priemones reglamentuoja trečiosios valstybės teisė, į šią eilutę priemonė įtraukiama tik jeigu ji atitinka Direktyvos 2014/59/ES 55 straipsnyje nustatytus reikalavimus.</w:t>
            </w:r>
          </w:p>
          <w:p w14:paraId="7E3B34F5" w14:textId="546FE87E" w:rsidR="003E4404" w:rsidRPr="0008623B" w:rsidRDefault="003E4404" w:rsidP="005F391D">
            <w:pPr>
              <w:spacing w:before="120" w:after="120" w:line="240" w:lineRule="auto"/>
              <w:jc w:val="both"/>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3E3A8B56" w14:textId="3FF85A2A" w:rsidR="005B765F" w:rsidRPr="0008623B" w:rsidRDefault="005B765F" w:rsidP="005B765F">
            <w:pPr>
              <w:rPr>
                <w:rStyle w:val="FormatvorlageInstructionsTabelleText"/>
                <w:sz w:val="24"/>
                <w:rFonts w:ascii="Times New Roman" w:hAnsi="Times New Roman"/>
              </w:rPr>
            </w:pPr>
            <w:r>
              <w:rPr>
                <w:rStyle w:val="FormatvorlageInstructionsTabelleText"/>
                <w:sz w:val="24"/>
                <w:rFonts w:ascii="Times New Roman" w:hAnsi="Times New Roman"/>
              </w:rPr>
              <w:t xml:space="preserve">Nuosavų lėšų ir tinkamų įsipareigojimų, įtraukiamų vykdant TLAC, suma yra Reglamento (ES) Nr. 575/2013 72l straipsnyje nurodyta suma, sudaryta iš:</w:t>
            </w:r>
          </w:p>
          <w:p w14:paraId="1CDBC2DF" w14:textId="319B5CC1" w:rsidR="00DB779A" w:rsidRPr="0008623B" w:rsidRDefault="005B765F" w:rsidP="003D0BF6">
            <w:pPr>
              <w:pStyle w:val="ListParagraph"/>
              <w:numPr>
                <w:ilvl w:val="0"/>
                <w:numId w:val="22"/>
              </w:numPr>
              <w:spacing w:before="120" w:after="120" w:line="240" w:lineRule="auto"/>
              <w:contextualSpacing w:val="0"/>
              <w:jc w:val="both"/>
              <w:rPr>
                <w:rStyle w:val="FormatvorlageInstructionsTabelleText"/>
                <w:sz w:val="24"/>
                <w:rFonts w:ascii="Times New Roman" w:hAnsi="Times New Roman"/>
              </w:rPr>
            </w:pPr>
            <w:r>
              <w:rPr>
                <w:rStyle w:val="FormatvorlageInstructionsTabelleText"/>
                <w:sz w:val="24"/>
                <w:rFonts w:ascii="Times New Roman" w:hAnsi="Times New Roman"/>
              </w:rPr>
              <w:t xml:space="preserve">nuosavų lėšų, nurodytų Reglamento (ES) Nr. 575/2013 4 straipsnio 1 dalies 118 punkte ir 72 straipsnyje;</w:t>
            </w:r>
          </w:p>
          <w:p w14:paraId="3185C317" w14:textId="14AD01AB" w:rsidR="005B765F" w:rsidRPr="0008623B" w:rsidRDefault="005B765F" w:rsidP="005B627B">
            <w:pPr>
              <w:pStyle w:val="ListParagraph"/>
              <w:numPr>
                <w:ilvl w:val="0"/>
                <w:numId w:val="22"/>
              </w:numPr>
              <w:spacing w:before="120" w:after="120" w:line="240" w:lineRule="auto"/>
              <w:contextualSpacing w:val="0"/>
              <w:jc w:val="both"/>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tinkamų įsipareigojimų, nurodytų Reglamento (ES) Nr. 575/2013 72k straipsnyje.</w:t>
            </w:r>
          </w:p>
        </w:tc>
      </w:tr>
      <w:tr w:rsidR="00633625" w:rsidRPr="0008623B" w14:paraId="3C365839" w14:textId="77777777" w:rsidTr="00E46262">
        <w:tc>
          <w:tcPr>
            <w:tcW w:w="1030" w:type="dxa"/>
          </w:tcPr>
          <w:p w14:paraId="13AA7EE3" w14:textId="302E8B20" w:rsidR="00633625" w:rsidRPr="0008623B" w:rsidRDefault="00633625"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EU-22a</w:t>
            </w:r>
          </w:p>
        </w:tc>
        <w:tc>
          <w:tcPr>
            <w:tcW w:w="7736" w:type="dxa"/>
          </w:tcPr>
          <w:p w14:paraId="05DA41C9" w14:textId="77777777" w:rsidR="00633625" w:rsidRPr="0008623B" w:rsidRDefault="00633625"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Iš jų nuosavos lėšos ir subordinuotieji įsipareigojimai</w:t>
            </w:r>
          </w:p>
          <w:p w14:paraId="0ED27DF2" w14:textId="30421E2C" w:rsidR="00DB779A" w:rsidRPr="0008623B" w:rsidRDefault="00DB779A" w:rsidP="00E06D47">
            <w:pPr>
              <w:rPr>
                <w:b/>
                <w:noProof/>
                <w:color w:val="000000" w:themeColor="text1"/>
                <w:sz w:val="24"/>
                <w:szCs w:val="24"/>
                <w:rFonts w:ascii="Times New Roman" w:hAnsi="Times New Roman" w:cs="Times New Roman"/>
              </w:rPr>
            </w:pPr>
            <w:r>
              <w:rPr>
                <w:sz w:val="24"/>
                <w:color w:val="000000" w:themeColor="text1"/>
                <w:rFonts w:ascii="Times New Roman" w:hAnsi="Times New Roman"/>
              </w:rPr>
              <w:t xml:space="preserve">Nuosavos lėšos ir tinkami įsipareigojimai,</w:t>
            </w:r>
            <w:r>
              <w:rPr>
                <w:sz w:val="24"/>
                <w:rFonts w:ascii="Times New Roman" w:hAnsi="Times New Roman"/>
              </w:rPr>
              <w:t xml:space="preserve"> </w:t>
            </w:r>
            <w:r>
              <w:rPr>
                <w:sz w:val="24"/>
                <w:rStyle w:val="InstructionsTabelleberschrift"/>
                <w:b w:val="0"/>
                <w:u w:val="none"/>
                <w:rFonts w:ascii="Times New Roman" w:hAnsi="Times New Roman"/>
              </w:rPr>
              <w:t xml:space="preserve">įtraukti į</w:t>
            </w:r>
            <w:r>
              <w:rPr>
                <w:sz w:val="24"/>
                <w:rFonts w:ascii="Times New Roman" w:hAnsi="Times New Roman"/>
              </w:rPr>
              <w:t xml:space="preserve"> nuosavų lėšų ir tinkamų įsipareigojimų sumą pagal Direktyvos 2014/59/ES 45b straipsnį, kurie yra subordinuotosios tinkamos priemonės, apibrėžtos tos direktyvos 2 straipsnio 1 dalies 71b punkte, ir </w:t>
            </w:r>
            <w:r>
              <w:rPr>
                <w:sz w:val="24"/>
                <w:rStyle w:val="InstructionsTabelleberschrift"/>
                <w:b w:val="0"/>
                <w:u w:val="none"/>
                <w:rFonts w:ascii="Times New Roman" w:hAnsi="Times New Roman"/>
              </w:rPr>
              <w:t xml:space="preserve">įsipareigojimai,</w:t>
            </w:r>
            <w:r>
              <w:rPr>
                <w:sz w:val="24"/>
                <w:rFonts w:ascii="Times New Roman" w:hAnsi="Times New Roman"/>
              </w:rPr>
              <w:t xml:space="preserve"> įtraukti į nuosavų lėšų ir tinkamų įsipareigojimų sumą pagal Direktyvos 2014/59/ES 45b straipsnio 3 dalį.</w:t>
            </w:r>
          </w:p>
        </w:tc>
      </w:tr>
      <w:tr w:rsidR="00026FC1" w:rsidRPr="0008623B" w14:paraId="129D2D8D" w14:textId="77777777" w:rsidTr="00E46262">
        <w:tc>
          <w:tcPr>
            <w:tcW w:w="1030" w:type="dxa"/>
          </w:tcPr>
          <w:p w14:paraId="1B5B041C" w14:textId="4E1F9AEC" w:rsidR="00702377" w:rsidRPr="0008623B" w:rsidRDefault="00D571F6" w:rsidP="00CE0D4E">
            <w:pPr>
              <w:keepNext/>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23.</w:t>
            </w:r>
          </w:p>
        </w:tc>
        <w:tc>
          <w:tcPr>
            <w:tcW w:w="7736" w:type="dxa"/>
          </w:tcPr>
          <w:p w14:paraId="0DB96856" w14:textId="3D3296F4" w:rsidR="00702377" w:rsidRPr="0008623B" w:rsidRDefault="00702377"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Bendra rizikos pozicijos suma (TREA)</w:t>
            </w:r>
          </w:p>
          <w:p w14:paraId="58889E7E" w14:textId="691DB651" w:rsidR="008149F0" w:rsidRPr="0008623B" w:rsidRDefault="00702377" w:rsidP="007E12BA">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Pertvarkytinos grupės bendra rizikos pozicijos suma pagal Reglamento (ES) Nr. 575/2013 18 straipsnio 1 dalies antrą pastraipą.</w:t>
            </w:r>
          </w:p>
          <w:p w14:paraId="1B151396" w14:textId="33E81FE9" w:rsidR="00702377" w:rsidRPr="0008623B" w:rsidRDefault="008149F0" w:rsidP="00E54D7F">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Šioje eilutėje atskleidžiama bendra rizikos pozicijos suma yra bendra rizikos pozicijos suma, kuri yra atitinkamai Direktyvos 2014/59/ES 45 straipsnyje arba Reglamento (ES) Nr. 575/2013 92a straipsnyje nustatytų reikalavimų laikymosi pagrindas.</w:t>
            </w:r>
          </w:p>
        </w:tc>
      </w:tr>
      <w:tr w:rsidR="00026FC1" w:rsidRPr="0008623B" w14:paraId="28440368" w14:textId="77777777" w:rsidTr="00E46262">
        <w:tc>
          <w:tcPr>
            <w:tcW w:w="1030" w:type="dxa"/>
          </w:tcPr>
          <w:p w14:paraId="32E92C5A" w14:textId="7CF5EC98" w:rsidR="00702377" w:rsidRPr="0008623B" w:rsidRDefault="00D571F6"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24.</w:t>
            </w:r>
          </w:p>
        </w:tc>
        <w:tc>
          <w:tcPr>
            <w:tcW w:w="7736" w:type="dxa"/>
          </w:tcPr>
          <w:p w14:paraId="36574007" w14:textId="1B8A459D" w:rsidR="00702377" w:rsidRPr="0008623B" w:rsidRDefault="00516561"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Bendras pozicijų matas (TEM)</w:t>
            </w:r>
          </w:p>
          <w:p w14:paraId="778066F0" w14:textId="53FCCE7C" w:rsidR="00702377" w:rsidRPr="0008623B" w:rsidRDefault="00DB779A" w:rsidP="003D0BF6">
            <w:pPr>
              <w:rPr>
                <w:sz w:val="24"/>
                <w:szCs w:val="24"/>
                <w:rFonts w:ascii="Times New Roman" w:hAnsi="Times New Roman" w:cs="Times New Roman"/>
              </w:rPr>
            </w:pPr>
            <w:r>
              <w:rPr>
                <w:sz w:val="24"/>
                <w:rFonts w:ascii="Times New Roman" w:hAnsi="Times New Roman"/>
              </w:rPr>
              <w:t xml:space="preserve">Pagal Direktyvos 2014/59/ES 45 straipsnio 2 dalies b punktą bendras pozicijų matas, apskaičiuotas pagal Reglamento (ES) Nr. 575/2013 429 straipsnio 4 dalį ir 429a straipsnį.</w:t>
            </w:r>
          </w:p>
          <w:p w14:paraId="62A67E31" w14:textId="3AEA2863" w:rsidR="008149F0" w:rsidRPr="0008623B" w:rsidRDefault="008149F0" w:rsidP="00E54D7F">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Šioje eilutėje pateikiamas bendras pozicijų matas yra bendras pozicijų matas, kuris yra atitinkamai Direktyvos 2014/59/ES 45 straipsnio arba Reglamento (ES) Nr. 575/2013 92a straipsnio reikalavimų laikymosi pagrindas.</w:t>
            </w:r>
          </w:p>
        </w:tc>
      </w:tr>
      <w:tr w:rsidR="00D571F6" w:rsidRPr="0008623B" w14:paraId="13300665" w14:textId="77777777" w:rsidTr="00E46262">
        <w:tc>
          <w:tcPr>
            <w:tcW w:w="1030" w:type="dxa"/>
            <w:vAlign w:val="top"/>
          </w:tcPr>
          <w:p w14:paraId="0F988C86" w14:textId="06ED1881"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25.</w:t>
            </w:r>
          </w:p>
        </w:tc>
        <w:tc>
          <w:tcPr>
            <w:tcW w:w="7736" w:type="dxa"/>
          </w:tcPr>
          <w:p w14:paraId="2C833139" w14:textId="0A4AF6D0" w:rsidR="00D77E54" w:rsidRPr="0008623B" w:rsidRDefault="00D571F6" w:rsidP="00DB779A">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Nuosavos lėšos ir tinkami įsipareigojimai kaip TREA procentinė dalis</w:t>
            </w:r>
          </w:p>
          <w:p w14:paraId="7AB95F7A" w14:textId="6941F5F6" w:rsidR="00DB779A" w:rsidRPr="0008623B" w:rsidRDefault="00DB779A" w:rsidP="00DB779A">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Šioje eilutėje pagal Direktyvos 2014/59/ES 45 straipsnio 2 dalies a punktą ir Reglamento (ES) Nr. 575/2013 92a straipsnį nuosavų lėšų ir tinkamų įsipareigojimų suma, įtraukiama vykdant atitinkamai MREL arba TLAC, išreiškiama bendros rizikos pozicijos sumos, apskaičiuotos pagal Reglamento (ES) Nr. 575/2013 92 straipsnio 3 dalį, procentine dalimi.</w:t>
            </w:r>
          </w:p>
          <w:p w14:paraId="7EB8D0D2" w14:textId="458D8C7A" w:rsidR="00D571F6" w:rsidRPr="0008623B" w:rsidRDefault="00E06D47" w:rsidP="00E06D4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Apskaičiuojama 22 eilutės vertę padalijus iš 23 eilutės vertės.</w:t>
            </w:r>
          </w:p>
        </w:tc>
      </w:tr>
      <w:tr w:rsidR="00DD64EE" w:rsidRPr="0008623B" w14:paraId="344FACA7" w14:textId="77777777" w:rsidTr="00E46262">
        <w:tc>
          <w:tcPr>
            <w:tcW w:w="1030" w:type="dxa"/>
            <w:vAlign w:val="top"/>
          </w:tcPr>
          <w:p w14:paraId="79C19FE6" w14:textId="5B9A3D69" w:rsidR="00DD64EE" w:rsidRPr="0008623B" w:rsidRDefault="00DD64EE" w:rsidP="00DD64EE">
            <w:pPr>
              <w:rPr>
                <w:sz w:val="24"/>
                <w:szCs w:val="24"/>
                <w:rFonts w:ascii="Times New Roman" w:hAnsi="Times New Roman" w:cs="Times New Roman"/>
              </w:rPr>
            </w:pPr>
            <w:r>
              <w:rPr>
                <w:sz w:val="24"/>
                <w:rFonts w:ascii="Times New Roman" w:hAnsi="Times New Roman"/>
              </w:rPr>
              <w:t xml:space="preserve">EU-25a</w:t>
            </w:r>
          </w:p>
        </w:tc>
        <w:tc>
          <w:tcPr>
            <w:tcW w:w="7736" w:type="dxa"/>
            <w:vAlign w:val="top"/>
          </w:tcPr>
          <w:p w14:paraId="29460D13" w14:textId="6252FCF5" w:rsidR="00DD64EE" w:rsidRPr="0008623B" w:rsidRDefault="00DD64EE" w:rsidP="00DD64EE">
            <w:pPr>
              <w:rPr>
                <w:b/>
                <w:sz w:val="24"/>
                <w:szCs w:val="24"/>
                <w:rFonts w:ascii="Times New Roman" w:hAnsi="Times New Roman" w:cs="Times New Roman"/>
              </w:rPr>
            </w:pPr>
            <w:r>
              <w:rPr>
                <w:b/>
                <w:sz w:val="24"/>
                <w:rFonts w:ascii="Times New Roman" w:hAnsi="Times New Roman"/>
              </w:rPr>
              <w:t xml:space="preserve">Iš jų nuosavos lėšos ir subordinuotieji įsipareigojimai</w:t>
            </w:r>
          </w:p>
          <w:p w14:paraId="3177CD5E" w14:textId="4C559037" w:rsidR="00282ED2" w:rsidRPr="0008623B" w:rsidRDefault="00DD64EE" w:rsidP="00DD64EE">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Šioje eilutėje nuosavų lėšų ir subordinuotųjų tinkamų įsipareigojimų suma, įtraukiama vykdant MREL, išreiškiama bendros rizikos pozicijos sumos, apskaičiuotos pagal Reglamento (ES) Nr. 575/2013 92 straipsnio 3 dalį, procentine dalimi.</w:t>
            </w:r>
          </w:p>
          <w:p w14:paraId="1420404E" w14:textId="486A4F7A" w:rsidR="00DD64EE" w:rsidRPr="0008623B" w:rsidRDefault="00633625" w:rsidP="00DD64EE">
            <w:pPr>
              <w:rPr>
                <w:b/>
                <w:sz w:val="24"/>
                <w:szCs w:val="24"/>
                <w:rFonts w:ascii="Times New Roman" w:hAnsi="Times New Roman" w:cs="Times New Roman"/>
              </w:rPr>
            </w:pPr>
            <w:r>
              <w:rPr>
                <w:color w:val="000000" w:themeColor="text1"/>
                <w:sz w:val="24"/>
                <w:rFonts w:ascii="Times New Roman" w:hAnsi="Times New Roman"/>
              </w:rPr>
              <w:t xml:space="preserve">Apskaičiuojama 22a eilutės vertę padalijus iš 23 eilutės vertės.</w:t>
            </w:r>
          </w:p>
        </w:tc>
      </w:tr>
      <w:tr w:rsidR="00D571F6" w:rsidRPr="0008623B" w14:paraId="36017B22" w14:textId="77777777" w:rsidTr="00E46262">
        <w:tc>
          <w:tcPr>
            <w:tcW w:w="1030" w:type="dxa"/>
            <w:vAlign w:val="top"/>
          </w:tcPr>
          <w:p w14:paraId="34721F24" w14:textId="1ACC2AE8"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26.</w:t>
            </w:r>
          </w:p>
        </w:tc>
        <w:tc>
          <w:tcPr>
            <w:tcW w:w="7736" w:type="dxa"/>
          </w:tcPr>
          <w:p w14:paraId="36877A46" w14:textId="7121B65E" w:rsidR="00D571F6" w:rsidRPr="0008623B" w:rsidRDefault="00D571F6"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Nuosavos lėšos ir tinkami įsipareigojimai kaip TEM procentinė dalis</w:t>
            </w:r>
          </w:p>
          <w:p w14:paraId="00EB744D" w14:textId="4F8F3490" w:rsidR="00F31CFB" w:rsidRPr="0008623B" w:rsidRDefault="00F31CFB" w:rsidP="00D571F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Šioje eilutėje pagal Direktyvos 2014/59/ES 45 straipsnio 2 dalies b punktą ir Reglamento (ES) Nr. 575/2013 92a straipsnį nuosavų lėšų ir tinkamų įsipareigojimų suma, įtraukiama vykdant atitinkamai MREL arba TLAC, išreiškiama bendro pozicijų mato, apskaičiuoto pagal Reglamento (ES) Nr. 575/2013 429 straipsnio 4 dalį ir 429a straipsnį, procentine dalimi.</w:t>
            </w:r>
          </w:p>
          <w:p w14:paraId="4625DFA4" w14:textId="11EAD745" w:rsidR="00D571F6" w:rsidRPr="0008623B" w:rsidRDefault="00F31CFB" w:rsidP="00F31CFB">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Apskaičiuojama 22 eilutę padalijus iš 24 eilutės.</w:t>
            </w:r>
          </w:p>
        </w:tc>
      </w:tr>
      <w:tr w:rsidR="00DD64EE" w:rsidRPr="0008623B" w14:paraId="6226AC49" w14:textId="77777777" w:rsidTr="00E46262">
        <w:tc>
          <w:tcPr>
            <w:tcW w:w="1030" w:type="dxa"/>
          </w:tcPr>
          <w:p w14:paraId="0551FE26" w14:textId="5A7C8577" w:rsidR="00DD64EE" w:rsidRPr="0008623B" w:rsidRDefault="00DD64EE" w:rsidP="00DD64EE">
            <w:pPr>
              <w:rPr>
                <w:sz w:val="24"/>
                <w:szCs w:val="24"/>
                <w:rFonts w:ascii="Times New Roman" w:hAnsi="Times New Roman" w:cs="Times New Roman"/>
              </w:rPr>
            </w:pPr>
            <w:r>
              <w:rPr>
                <w:sz w:val="24"/>
                <w:rFonts w:ascii="Times New Roman" w:hAnsi="Times New Roman"/>
              </w:rPr>
              <w:t xml:space="preserve">EU-26a</w:t>
            </w:r>
          </w:p>
        </w:tc>
        <w:tc>
          <w:tcPr>
            <w:tcW w:w="7736" w:type="dxa"/>
          </w:tcPr>
          <w:p w14:paraId="20A52E81" w14:textId="3A7027C7" w:rsidR="00DD64EE" w:rsidRPr="0008623B" w:rsidRDefault="00DD64EE" w:rsidP="00DD64EE">
            <w:pPr>
              <w:rPr>
                <w:b/>
                <w:sz w:val="24"/>
                <w:szCs w:val="24"/>
                <w:rFonts w:ascii="Times New Roman" w:hAnsi="Times New Roman" w:cs="Times New Roman"/>
              </w:rPr>
            </w:pPr>
            <w:r>
              <w:rPr>
                <w:b/>
                <w:sz w:val="24"/>
                <w:rFonts w:ascii="Times New Roman" w:hAnsi="Times New Roman"/>
              </w:rPr>
              <w:t xml:space="preserve">Iš jų nuosavos lėšos ir subordinuotieji įsipareigojimai</w:t>
            </w:r>
          </w:p>
          <w:p w14:paraId="45B16E43" w14:textId="10BF2834" w:rsidR="00CF449E" w:rsidRPr="0008623B" w:rsidRDefault="00CF449E" w:rsidP="001B5DB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Šioje eilutėje nuosavų lėšų ir subordinuotųjų tinkamų įsipareigojimų suma, įtraukiama vykdant MREL, išreiškiama bendro pozicijų mato, apskaičiuoto pagal Reglamento (ES) Nr. 575/2013 429 straipsnio 4 dalį ir 429a straipsnį, procentine dalimi.</w:t>
            </w:r>
          </w:p>
          <w:p w14:paraId="358FA12B" w14:textId="445A7C3B" w:rsidR="00633625" w:rsidRPr="0008623B" w:rsidRDefault="00633625" w:rsidP="001B5DB5">
            <w:pPr>
              <w:rPr>
                <w:b/>
                <w:sz w:val="24"/>
                <w:szCs w:val="24"/>
                <w:rFonts w:ascii="Times New Roman" w:hAnsi="Times New Roman" w:cs="Times New Roman"/>
              </w:rPr>
            </w:pPr>
            <w:r>
              <w:rPr>
                <w:color w:val="000000" w:themeColor="text1"/>
                <w:sz w:val="24"/>
                <w:rFonts w:ascii="Times New Roman" w:hAnsi="Times New Roman"/>
              </w:rPr>
              <w:t xml:space="preserve">Apskaičiuojama 22a eilutę padalijus iš 24 eilutės.</w:t>
            </w:r>
          </w:p>
        </w:tc>
      </w:tr>
      <w:tr w:rsidR="00D571F6" w:rsidRPr="0008623B" w14:paraId="097C48C9" w14:textId="77777777" w:rsidTr="00E46262">
        <w:tc>
          <w:tcPr>
            <w:tcW w:w="1030" w:type="dxa"/>
            <w:vAlign w:val="top"/>
          </w:tcPr>
          <w:p w14:paraId="71DD980C" w14:textId="7575C305"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27.</w:t>
            </w:r>
          </w:p>
        </w:tc>
        <w:tc>
          <w:tcPr>
            <w:tcW w:w="7736" w:type="dxa"/>
          </w:tcPr>
          <w:p w14:paraId="5D1EF640" w14:textId="01C37C4A" w:rsidR="00D571F6" w:rsidRPr="0008623B" w:rsidRDefault="00D571F6"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Bendras 1 lygio nuosavas kapitalas (CET1) (kaip TREA procentinė dalis), likęs įvykdžius pertvarkytinos grupės reikalavimus</w:t>
            </w:r>
          </w:p>
          <w:p w14:paraId="0227909F" w14:textId="1CB6809D" w:rsidR="00A47BCD" w:rsidRPr="0008623B" w:rsidRDefault="00A47BCD" w:rsidP="00B62DC9">
            <w:pPr>
              <w:pStyle w:val="InstructionsText"/>
              <w:rPr>
                <w:rFonts w:eastAsiaTheme="minorEastAsia"/>
              </w:rPr>
            </w:pPr>
            <w:r>
              <w:t xml:space="preserve">Lygi nuliui arba teigiama CET1 suma, kaip bendros rizikos pozicijos sumos procentinė dalis, likusi įvykdžius kiekvieną iš Direktyvos 2013/36/ES 141a straipsnio a, b ir c punktuose nurodytų reikalavimų, ir didesnioji iš šių sumų:</w:t>
            </w:r>
          </w:p>
          <w:p w14:paraId="42E3D4EA" w14:textId="2070C8C0" w:rsidR="00A47BCD" w:rsidRPr="0008623B" w:rsidRDefault="00A47BCD" w:rsidP="00B62DC9">
            <w:pPr>
              <w:pStyle w:val="InstructionsText"/>
              <w:rPr>
                <w:rFonts w:eastAsiaTheme="minorEastAsia"/>
              </w:rPr>
            </w:pPr>
            <w:r>
              <w:t xml:space="preserve">a) kai taikoma,</w:t>
            </w:r>
            <w:r>
              <w:t xml:space="preserve"> Reglamento (ES) Nr. 575/2013 92a straipsnyje nustatytas G-SII nuosavų lėšų ir tinkamų įsipareigojimų reikalavimas, apskaičiuotas pagal to straipsnio 1 dalies a punktą, ir</w:t>
            </w:r>
            <w:r>
              <w:t xml:space="preserve"> </w:t>
            </w:r>
          </w:p>
          <w:p w14:paraId="396BF4D8" w14:textId="21D22CB1" w:rsidR="00A47BCD" w:rsidRPr="0008623B" w:rsidRDefault="00A47BCD" w:rsidP="00B62DC9">
            <w:pPr>
              <w:pStyle w:val="InstructionsText"/>
              <w:rPr>
                <w:rFonts w:eastAsiaTheme="minorEastAsia"/>
              </w:rPr>
            </w:pPr>
            <w:r>
              <w:t xml:space="preserve">b) minimalus nuosavų lėšų ir tinkamų įsipareigojimų reikalavimas, nustatytas Direktyvos 2014/59/ES 45 straipsnyje, jei apskaičiuotas pagal to straipsnio 2 dalies a punktą.</w:t>
            </w:r>
          </w:p>
          <w:p w14:paraId="7D9CD928" w14:textId="77777777" w:rsidR="00A47BCD" w:rsidRPr="0008623B" w:rsidRDefault="00A47BCD" w:rsidP="00B62DC9">
            <w:pPr>
              <w:pStyle w:val="InstructionsText"/>
              <w:rPr>
                <w:rFonts w:eastAsiaTheme="minorEastAsia"/>
              </w:rPr>
            </w:pPr>
          </w:p>
          <w:p w14:paraId="0543D9CF" w14:textId="084E2193" w:rsidR="00A47BCD" w:rsidRPr="0008623B" w:rsidRDefault="00A47BCD" w:rsidP="00B62DC9">
            <w:pPr>
              <w:pStyle w:val="InstructionsText"/>
              <w:rPr>
                <w:rFonts w:eastAsiaTheme="minorEastAsia"/>
              </w:rPr>
            </w:pPr>
            <w:r>
              <w:t xml:space="preserve">Atskleistas skaičius yra identiškas MREL ir TLAC skiltyse.</w:t>
            </w:r>
          </w:p>
          <w:p w14:paraId="7018FBAF" w14:textId="3CA720C2" w:rsidR="00D571F6" w:rsidRPr="0008623B" w:rsidRDefault="00A47BCD" w:rsidP="00940D5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Juo atsižvelgiama į pereinamojo laikotarpio nuostatų poveikį nuosavoms lėšoms ir tinkamiems įsipareigojimams, bendrai rizikos pozicijos sumai ir patiems reikalavimams.</w:t>
            </w:r>
            <w:r>
              <w:rPr>
                <w:color w:val="000000" w:themeColor="text1"/>
                <w:sz w:val="24"/>
                <w:rFonts w:ascii="Times New Roman" w:hAnsi="Times New Roman"/>
              </w:rPr>
              <w:t xml:space="preserve"> </w:t>
            </w:r>
            <w:r>
              <w:rPr>
                <w:color w:val="000000" w:themeColor="text1"/>
                <w:sz w:val="24"/>
                <w:rFonts w:ascii="Times New Roman" w:hAnsi="Times New Roman"/>
              </w:rPr>
              <w:t xml:space="preserve">Nei į gaires dėl papildomų nuosavų lėšų, nurodytas Direktyvos 2013/36/ES 104b straipsnyje, nei į tos direktyvos 128 straipsnio pirmos pastraipos 6 punkte nustatytą jungtinio rezervo reikalavimą neatsižvelgiama.</w:t>
            </w:r>
          </w:p>
        </w:tc>
      </w:tr>
      <w:tr w:rsidR="00D571F6" w:rsidRPr="0008623B" w14:paraId="015114DE" w14:textId="77777777" w:rsidTr="00E46262">
        <w:tc>
          <w:tcPr>
            <w:tcW w:w="1030" w:type="dxa"/>
            <w:vAlign w:val="top"/>
          </w:tcPr>
          <w:p w14:paraId="67C0B6E2" w14:textId="23ADC5ED"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28.</w:t>
            </w:r>
          </w:p>
        </w:tc>
        <w:tc>
          <w:tcPr>
            <w:tcW w:w="7736" w:type="dxa"/>
          </w:tcPr>
          <w:p w14:paraId="725380F6" w14:textId="27172D98" w:rsidR="00D571F6" w:rsidRPr="0008623B" w:rsidRDefault="00D571F6"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Įstaigos specialaus jungtinio rezervo reikalavimas</w:t>
            </w:r>
            <w:r>
              <w:rPr>
                <w:b/>
                <w:color w:val="000000" w:themeColor="text1"/>
                <w:sz w:val="24"/>
                <w:rFonts w:ascii="Times New Roman" w:hAnsi="Times New Roman"/>
              </w:rPr>
              <w:t xml:space="preserve"> </w:t>
            </w:r>
          </w:p>
          <w:p w14:paraId="4829A94F" w14:textId="10305ADD" w:rsidR="00D571F6" w:rsidRPr="0008623B" w:rsidRDefault="00D571F6" w:rsidP="00940D5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Įstaigos specialaus jungtinio rezervo reikalavimas, apibrėžtas Direktyvos 2013/36/ES 128 straipsnio pirmos pastraipos 6 punkte, išreikštas bendros rizikos pozicijos sumos procentine dalimi ir taikomas pertvarkytinai grupei pagal to straipsnio pirmos pastraipos 6 punktą.</w:t>
            </w:r>
          </w:p>
        </w:tc>
      </w:tr>
      <w:tr w:rsidR="00D571F6" w:rsidRPr="0008623B" w14:paraId="0D814418" w14:textId="77777777" w:rsidTr="00E46262">
        <w:tc>
          <w:tcPr>
            <w:tcW w:w="1030" w:type="dxa"/>
            <w:vAlign w:val="top"/>
          </w:tcPr>
          <w:p w14:paraId="2D747295" w14:textId="712C6D78"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29.</w:t>
            </w:r>
          </w:p>
        </w:tc>
        <w:tc>
          <w:tcPr>
            <w:tcW w:w="7736" w:type="dxa"/>
            <w:vAlign w:val="top"/>
          </w:tcPr>
          <w:p w14:paraId="793F80F0" w14:textId="2D85B0CB" w:rsidR="00D571F6" w:rsidRPr="0008623B" w:rsidRDefault="00B80F7C"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Įstaigos specialaus jungtinio rezervo reikalavimas. Iš jo: kapitalo apsaugos rezervo reikalavimas</w:t>
            </w:r>
            <w:r>
              <w:rPr>
                <w:b/>
                <w:color w:val="000000" w:themeColor="text1"/>
                <w:sz w:val="24"/>
                <w:rFonts w:ascii="Times New Roman" w:hAnsi="Times New Roman"/>
              </w:rPr>
              <w:t xml:space="preserve"> </w:t>
            </w:r>
          </w:p>
          <w:p w14:paraId="5C784879" w14:textId="40A880B0" w:rsidR="00D571F6" w:rsidRPr="0008623B" w:rsidRDefault="00D571F6" w:rsidP="009B2422">
            <w:pPr>
              <w:rPr>
                <w:noProof/>
                <w:color w:val="000000" w:themeColor="text1"/>
                <w:sz w:val="24"/>
                <w:szCs w:val="24"/>
                <w:rFonts w:ascii="Times New Roman" w:hAnsi="Times New Roman" w:cs="Times New Roman"/>
              </w:rPr>
            </w:pPr>
            <w:r>
              <w:rPr>
                <w:sz w:val="24"/>
                <w:rFonts w:ascii="Times New Roman" w:hAnsi="Times New Roman"/>
              </w:rPr>
              <w:t xml:space="preserve">Įstaigos specialaus jungtinio rezervo (išreikšto </w:t>
            </w:r>
            <w:r>
              <w:rPr>
                <w:sz w:val="24"/>
                <w:rFonts w:ascii="Times New Roman" w:hAnsi="Times New Roman"/>
              </w:rPr>
              <w:t xml:space="preserve">bendros rizikos pozicijos sumos</w:t>
            </w:r>
            <w:r>
              <w:rPr>
                <w:sz w:val="24"/>
                <w:rFonts w:ascii="Times New Roman" w:hAnsi="Times New Roman"/>
              </w:rPr>
              <w:t xml:space="preserve"> procentine dalimi) suma, susijusi su kapitalo apsaugos rezervo reikalavimu.</w:t>
            </w:r>
          </w:p>
        </w:tc>
      </w:tr>
      <w:tr w:rsidR="00D571F6" w:rsidRPr="0008623B" w14:paraId="63B8627F" w14:textId="77777777" w:rsidTr="00E46262">
        <w:tc>
          <w:tcPr>
            <w:tcW w:w="1030" w:type="dxa"/>
            <w:vAlign w:val="top"/>
          </w:tcPr>
          <w:p w14:paraId="68373BD4" w14:textId="0AC3FF61"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30.</w:t>
            </w:r>
          </w:p>
        </w:tc>
        <w:tc>
          <w:tcPr>
            <w:tcW w:w="7736" w:type="dxa"/>
            <w:vAlign w:val="top"/>
          </w:tcPr>
          <w:p w14:paraId="369B9330" w14:textId="25965D76" w:rsidR="00D571F6" w:rsidRPr="0008623B" w:rsidRDefault="00B80F7C"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Įstaigos specialaus jungtinio rezervo reikalavimas. Iš jo: anticiklinio kapitalo rezervo reikalavimas</w:t>
            </w:r>
            <w:r>
              <w:rPr>
                <w:b/>
                <w:color w:val="000000" w:themeColor="text1"/>
                <w:sz w:val="24"/>
                <w:rFonts w:ascii="Times New Roman" w:hAnsi="Times New Roman"/>
              </w:rPr>
              <w:t xml:space="preserve"> </w:t>
            </w:r>
          </w:p>
          <w:p w14:paraId="6E30DDC3" w14:textId="72487262"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Įstaigos specialaus jungtinio rezervo (išreikšto </w:t>
            </w:r>
            <w:r>
              <w:rPr>
                <w:sz w:val="24"/>
                <w:rFonts w:ascii="Times New Roman" w:hAnsi="Times New Roman"/>
              </w:rPr>
              <w:t xml:space="preserve">bendros rizikos pozicijos sumos</w:t>
            </w:r>
            <w:r>
              <w:rPr>
                <w:sz w:val="24"/>
                <w:rFonts w:ascii="Times New Roman" w:hAnsi="Times New Roman"/>
              </w:rPr>
              <w:t xml:space="preserve"> procentine dalimi) suma, susijusi su anticiklinio kapitalo rezervo reikalavimu.</w:t>
            </w:r>
          </w:p>
        </w:tc>
      </w:tr>
      <w:tr w:rsidR="00D571F6" w:rsidRPr="0008623B" w14:paraId="780D8179" w14:textId="77777777" w:rsidTr="00E46262">
        <w:tc>
          <w:tcPr>
            <w:tcW w:w="1030" w:type="dxa"/>
            <w:vAlign w:val="top"/>
          </w:tcPr>
          <w:p w14:paraId="4011938A" w14:textId="6723E0C3"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31.</w:t>
            </w:r>
          </w:p>
        </w:tc>
        <w:tc>
          <w:tcPr>
            <w:tcW w:w="7736" w:type="dxa"/>
            <w:vAlign w:val="top"/>
          </w:tcPr>
          <w:p w14:paraId="40BC9FBF" w14:textId="6369FDFB" w:rsidR="00D571F6" w:rsidRPr="0008623B" w:rsidRDefault="00B80F7C"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Įstaigos specialaus jungtinio rezervo reikalavimas. Iš jo: sisteminės rizikos rezervo reikalavimas</w:t>
            </w:r>
            <w:r>
              <w:rPr>
                <w:b/>
                <w:color w:val="000000" w:themeColor="text1"/>
                <w:sz w:val="24"/>
                <w:rFonts w:ascii="Times New Roman" w:hAnsi="Times New Roman"/>
              </w:rPr>
              <w:t xml:space="preserve"> </w:t>
            </w:r>
          </w:p>
          <w:p w14:paraId="2538331C" w14:textId="1E3B6906" w:rsidR="00D571F6" w:rsidRPr="0008623B" w:rsidRDefault="00D571F6" w:rsidP="009B2422">
            <w:pPr>
              <w:rPr>
                <w:sz w:val="24"/>
                <w:szCs w:val="24"/>
                <w:rFonts w:ascii="Times New Roman" w:hAnsi="Times New Roman" w:cs="Times New Roman"/>
              </w:rPr>
            </w:pPr>
            <w:r>
              <w:rPr>
                <w:sz w:val="24"/>
                <w:rFonts w:ascii="Times New Roman" w:hAnsi="Times New Roman"/>
              </w:rPr>
              <w:t xml:space="preserve">Įstaigos specialaus jungtinio rezervo (išreikšto </w:t>
            </w:r>
            <w:r>
              <w:rPr>
                <w:sz w:val="24"/>
                <w:rFonts w:ascii="Times New Roman" w:hAnsi="Times New Roman"/>
              </w:rPr>
              <w:t xml:space="preserve">bendros rizikos pozicijos sumos</w:t>
            </w:r>
            <w:r>
              <w:rPr>
                <w:sz w:val="24"/>
                <w:rFonts w:ascii="Times New Roman" w:hAnsi="Times New Roman"/>
              </w:rPr>
              <w:t xml:space="preserve"> procentine dalimi) suma, susijusi su sisteminės rizikos rezervo reikalavimu.</w:t>
            </w:r>
          </w:p>
        </w:tc>
      </w:tr>
      <w:tr w:rsidR="00D571F6" w:rsidRPr="0008623B" w14:paraId="2321A559" w14:textId="77777777" w:rsidTr="00E46262">
        <w:tc>
          <w:tcPr>
            <w:tcW w:w="1030" w:type="dxa"/>
            <w:vAlign w:val="top"/>
          </w:tcPr>
          <w:p w14:paraId="5B6DF329" w14:textId="537A82C8"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EU-31a</w:t>
            </w:r>
          </w:p>
        </w:tc>
        <w:tc>
          <w:tcPr>
            <w:tcW w:w="7736" w:type="dxa"/>
            <w:vAlign w:val="top"/>
          </w:tcPr>
          <w:p w14:paraId="2ACB2A11" w14:textId="0C32CAAA" w:rsidR="00D571F6" w:rsidRPr="0008623B" w:rsidRDefault="00B80F7C"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Įstaigos specialaus jungtinio rezervo reikalavimas. Iš jo: pasaulinės sisteminės svarbos įstaigos (G-SII) arba kitos sisteminės svarbos įstaigos (O-SII) rezervas</w:t>
            </w:r>
          </w:p>
          <w:p w14:paraId="6700C20F" w14:textId="59F7281D" w:rsidR="00D571F6" w:rsidRPr="0008623B" w:rsidRDefault="00D571F6" w:rsidP="00563C8D">
            <w:pPr>
              <w:rPr>
                <w:noProof/>
                <w:color w:val="000000" w:themeColor="text1"/>
                <w:sz w:val="24"/>
                <w:szCs w:val="24"/>
                <w:rFonts w:ascii="Times New Roman" w:hAnsi="Times New Roman" w:cs="Times New Roman"/>
              </w:rPr>
            </w:pPr>
            <w:r>
              <w:rPr>
                <w:sz w:val="24"/>
                <w:rFonts w:ascii="Times New Roman" w:hAnsi="Times New Roman"/>
              </w:rPr>
              <w:t xml:space="preserve">Įstaigos specialaus jungtinio rezervo (išreikšto </w:t>
            </w:r>
            <w:r>
              <w:rPr>
                <w:sz w:val="24"/>
                <w:rFonts w:ascii="Times New Roman" w:hAnsi="Times New Roman"/>
              </w:rPr>
              <w:t xml:space="preserve">bendros rizikos pozicijos sumos</w:t>
            </w:r>
            <w:r>
              <w:rPr>
                <w:sz w:val="24"/>
                <w:rFonts w:ascii="Times New Roman" w:hAnsi="Times New Roman"/>
              </w:rPr>
              <w:t xml:space="preserve"> procentine dalimi) suma, susijusi su G-SII arba O-SII rezervo reikalavimu.</w:t>
            </w:r>
          </w:p>
        </w:tc>
      </w:tr>
      <w:tr w:rsidR="0023278E" w:rsidRPr="0008623B" w14:paraId="08100425" w14:textId="77777777" w:rsidTr="00E46262">
        <w:tc>
          <w:tcPr>
            <w:tcW w:w="1030" w:type="dxa"/>
            <w:vAlign w:val="top"/>
          </w:tcPr>
          <w:p w14:paraId="6C04F598" w14:textId="5E33E643" w:rsidR="0023278E" w:rsidRPr="0008623B" w:rsidRDefault="0023278E" w:rsidP="0023278E">
            <w:pPr>
              <w:rPr>
                <w:sz w:val="24"/>
                <w:szCs w:val="24"/>
                <w:rFonts w:ascii="Times New Roman" w:hAnsi="Times New Roman" w:cs="Times New Roman"/>
              </w:rPr>
            </w:pPr>
            <w:r>
              <w:rPr>
                <w:sz w:val="24"/>
                <w:rFonts w:ascii="Times New Roman" w:hAnsi="Times New Roman"/>
              </w:rPr>
              <w:t xml:space="preserve">EU-32</w:t>
            </w:r>
          </w:p>
        </w:tc>
        <w:tc>
          <w:tcPr>
            <w:tcW w:w="7736" w:type="dxa"/>
            <w:vAlign w:val="top"/>
          </w:tcPr>
          <w:p w14:paraId="154EB8B0" w14:textId="1395906F" w:rsidR="0023278E" w:rsidRPr="0008623B" w:rsidRDefault="0023278E" w:rsidP="0023278E">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Bendra neįtrauktų įsipareigojimų, nurodytų Reglamento (ES) Nr. 575/2013 72a straipsnio 2 dalyje, suma</w:t>
            </w:r>
          </w:p>
        </w:tc>
      </w:tr>
    </w:tbl>
    <w:p w14:paraId="79FEC8BB" w14:textId="2A1A82F0" w:rsidR="005C7641"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bookmarkStart w:id="188" w:name="_Toc14769121"/>
      <w:bookmarkStart w:id="189" w:name="_Toc14769395"/>
      <w:bookmarkStart w:id="190" w:name="_Toc14769942"/>
      <w:bookmarkStart w:id="191" w:name="_Toc14770212"/>
      <w:bookmarkStart w:id="192" w:name="_Toc14771101"/>
      <w:bookmarkStart w:id="193" w:name="_Toc14771761"/>
      <w:bookmarkStart w:id="194" w:name="_Toc14769169"/>
      <w:bookmarkStart w:id="195" w:name="_Toc14769443"/>
      <w:bookmarkStart w:id="196" w:name="_Toc14769990"/>
      <w:bookmarkStart w:id="197" w:name="_Toc14770260"/>
      <w:bookmarkStart w:id="198" w:name="_Toc14771149"/>
      <w:bookmarkStart w:id="199" w:name="_Toc14771809"/>
      <w:bookmarkStart w:id="200" w:name="_Toc14769201"/>
      <w:bookmarkStart w:id="201" w:name="_Toc14769475"/>
      <w:bookmarkStart w:id="202" w:name="_Toc14770022"/>
      <w:bookmarkStart w:id="203" w:name="_Toc14770292"/>
      <w:bookmarkStart w:id="204" w:name="_Toc14771181"/>
      <w:bookmarkStart w:id="205" w:name="_Toc14771841"/>
      <w:bookmarkStart w:id="206" w:name="_Toc14770784"/>
      <w:bookmarkStart w:id="207" w:name="_Toc45266928"/>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color w:val="auto"/>
          <w:sz w:val="24"/>
          <w:rFonts w:ascii="Times New Roman" w:hAnsi="Times New Roman"/>
        </w:rPr>
        <w:t xml:space="preserve">4.</w:t>
      </w:r>
      <w:r>
        <w:rPr>
          <w:color w:val="auto"/>
          <w:sz w:val="24"/>
          <w:rFonts w:ascii="Times New Roman" w:hAnsi="Times New Roman"/>
        </w:rPr>
        <w:tab/>
      </w:r>
      <w:r>
        <w:rPr>
          <w:color w:val="auto"/>
          <w:sz w:val="24"/>
          <w:rFonts w:ascii="Times New Roman" w:hAnsi="Times New Roman"/>
        </w:rPr>
        <w:t xml:space="preserve">EU ILAC.</w:t>
      </w:r>
      <w:r>
        <w:rPr>
          <w:color w:val="auto"/>
          <w:sz w:val="24"/>
          <w:rFonts w:ascii="Times New Roman" w:hAnsi="Times New Roman"/>
        </w:rPr>
        <w:t xml:space="preserve"> </w:t>
      </w:r>
      <w:r>
        <w:rPr>
          <w:color w:val="auto"/>
          <w:sz w:val="24"/>
          <w:rFonts w:ascii="Times New Roman" w:hAnsi="Times New Roman"/>
        </w:rPr>
        <w:t xml:space="preserve">Vidinis nuostolių padengimo pajėgumas:</w:t>
      </w:r>
      <w:r>
        <w:rPr>
          <w:color w:val="auto"/>
          <w:sz w:val="24"/>
          <w:rFonts w:ascii="Times New Roman" w:hAnsi="Times New Roman"/>
        </w:rPr>
        <w:t xml:space="preserve"> </w:t>
      </w:r>
      <w:r>
        <w:rPr>
          <w:color w:val="auto"/>
          <w:sz w:val="24"/>
          <w:rFonts w:ascii="Times New Roman" w:hAnsi="Times New Roman"/>
        </w:rPr>
        <w:t xml:space="preserve">vidinis MREL ir, jei taikytina, ne ES G-SII nuosavų lėšų ir tinkamų įsipareigojimų reikalavimas </w:t>
      </w:r>
      <w:bookmarkStart w:id="208" w:name="_Toc14770785"/>
      <w:bookmarkEnd w:id="206"/>
      <w:bookmarkEnd w:id="208"/>
      <w:r>
        <w:rPr>
          <w:color w:val="auto"/>
          <w:sz w:val="24"/>
          <w:rFonts w:ascii="Times New Roman" w:hAnsi="Times New Roman"/>
        </w:rPr>
        <w:t xml:space="preserve"> (vidinis TLAC)</w:t>
      </w:r>
      <w:bookmarkEnd w:id="207"/>
    </w:p>
    <w:p w14:paraId="4B755467" w14:textId="5E1539C5" w:rsidR="00413CCD" w:rsidRPr="0008623B" w:rsidRDefault="00413CCD" w:rsidP="00B62DC9">
      <w:pPr>
        <w:pStyle w:val="InstructionsText2"/>
        <w:numPr>
          <w:ilvl w:val="0"/>
          <w:numId w:val="12"/>
        </w:numPr>
      </w:pPr>
      <w:r>
        <w:t xml:space="preserve">Šioje formoje atskleidžiamos subjektų, kurie patys nėra pertvarkytini subjektai, nuosavos lėšos ir tinkami įsipareigojimai taikant Direktyvos 2014/59/ES 45f straipsnyje nustatytą nuosavų lėšų ir tinkamų įsipareigojimų reikalavimą (vidinis MREL), taip pat ne ES G-SII nuosavų lėšų ir tinkamų įsipareigojimų reikalavimą, taikomą trečiosios valstybės G-SII reikšmingoms patronuojamosioms įmonėms, kaip nustatyta Reglamento (ES) Nr. 575/2013 92b straipsnyje (vidinis TLAC).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F6326" w:rsidRPr="0008623B" w14:paraId="4BB456DC" w14:textId="77777777" w:rsidTr="00F42DCD">
        <w:trPr>
          <w:trHeight w:val="238"/>
        </w:trPr>
        <w:tc>
          <w:tcPr>
            <w:tcW w:w="1384" w:type="dxa"/>
            <w:shd w:val="clear" w:color="auto" w:fill="D9D9D9" w:themeFill="background1" w:themeFillShade="D9"/>
          </w:tcPr>
          <w:p w14:paraId="0BD997C3" w14:textId="77777777" w:rsidR="00FF6326" w:rsidRPr="0008623B" w:rsidRDefault="00FF6326" w:rsidP="00F42DCD">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Skiltys</w:t>
            </w:r>
          </w:p>
        </w:tc>
        <w:tc>
          <w:tcPr>
            <w:tcW w:w="7655" w:type="dxa"/>
            <w:shd w:val="clear" w:color="auto" w:fill="D9D9D9" w:themeFill="background1" w:themeFillShade="D9"/>
          </w:tcPr>
          <w:p w14:paraId="359FBA21" w14:textId="5D467A7A" w:rsidR="00FF6326" w:rsidRPr="0008623B" w:rsidRDefault="00E46262" w:rsidP="00F42DCD">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Nuorodos į teisės aktus ir nurodymai</w:t>
            </w:r>
          </w:p>
        </w:tc>
      </w:tr>
      <w:tr w:rsidR="00FF6326" w:rsidRPr="0008623B" w14:paraId="4D038DE2" w14:textId="77777777" w:rsidTr="00F42DCD">
        <w:trPr>
          <w:trHeight w:val="637"/>
        </w:trPr>
        <w:tc>
          <w:tcPr>
            <w:tcW w:w="1384" w:type="dxa"/>
          </w:tcPr>
          <w:p w14:paraId="60750BB7"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 xml:space="preserve">a</w:t>
            </w:r>
          </w:p>
        </w:tc>
        <w:tc>
          <w:tcPr>
            <w:tcW w:w="7655" w:type="dxa"/>
          </w:tcPr>
          <w:p w14:paraId="054F4480" w14:textId="09D63B79" w:rsidR="00FF6326" w:rsidRPr="0008623B" w:rsidRDefault="00CB1021" w:rsidP="00F90B2E">
            <w:pPr>
              <w:autoSpaceDE w:val="0"/>
              <w:autoSpaceDN w:val="0"/>
              <w:adjustRightInd w:val="0"/>
              <w:spacing w:before="120" w:after="120"/>
              <w:rPr>
                <w:color w:val="000000" w:themeColor="text1"/>
                <w:sz w:val="24"/>
                <w:szCs w:val="24"/>
                <w:rFonts w:ascii="Times New Roman" w:hAnsi="Times New Roman" w:cs="Times New Roman"/>
              </w:rPr>
            </w:pPr>
            <w:r>
              <w:rPr>
                <w:color w:val="000000" w:themeColor="text1"/>
                <w:sz w:val="24"/>
                <w:rFonts w:ascii="Times New Roman" w:hAnsi="Times New Roman"/>
              </w:rPr>
              <w:t xml:space="preserve">Šioje skiltyje subjektai atskleidžia svarbią informaciją apie vidinį MREL pagal Direktyvos 2014/59/ES 45 ir 45f straipsnius.</w:t>
            </w:r>
          </w:p>
        </w:tc>
      </w:tr>
      <w:tr w:rsidR="00FF6326" w:rsidRPr="0008623B" w14:paraId="1546A396" w14:textId="77777777" w:rsidTr="00F42DCD">
        <w:trPr>
          <w:trHeight w:val="637"/>
        </w:trPr>
        <w:tc>
          <w:tcPr>
            <w:tcW w:w="1384" w:type="dxa"/>
          </w:tcPr>
          <w:p w14:paraId="1C66F776" w14:textId="7AB435E5" w:rsidR="00FF6326" w:rsidRPr="0008623B" w:rsidDel="00DE6BC1" w:rsidRDefault="00F90B2E" w:rsidP="00F90B2E">
            <w:pPr>
              <w:pStyle w:val="Applicationdirecte"/>
              <w:spacing w:before="120"/>
              <w:jc w:val="center"/>
              <w:rPr>
                <w:color w:val="000000" w:themeColor="text1"/>
                <w:szCs w:val="24"/>
              </w:rPr>
            </w:pPr>
            <w:r>
              <w:rPr>
                <w:color w:val="000000" w:themeColor="text1"/>
              </w:rPr>
              <w:t xml:space="preserve">b</w:t>
            </w:r>
          </w:p>
        </w:tc>
        <w:tc>
          <w:tcPr>
            <w:tcW w:w="7655" w:type="dxa"/>
          </w:tcPr>
          <w:p w14:paraId="353033F9" w14:textId="2CD18282" w:rsidR="00FF6326" w:rsidRPr="0008623B" w:rsidRDefault="00CB1021" w:rsidP="00F90B2E">
            <w:pPr>
              <w:autoSpaceDE w:val="0"/>
              <w:autoSpaceDN w:val="0"/>
              <w:adjustRightInd w:val="0"/>
              <w:spacing w:before="120" w:after="120"/>
              <w:rPr>
                <w:b/>
                <w:color w:val="000000" w:themeColor="text1"/>
                <w:sz w:val="24"/>
                <w:szCs w:val="24"/>
                <w:rFonts w:ascii="Times New Roman" w:hAnsi="Times New Roman" w:cs="Times New Roman"/>
              </w:rPr>
            </w:pPr>
            <w:r>
              <w:rPr>
                <w:color w:val="000000" w:themeColor="text1"/>
                <w:sz w:val="24"/>
                <w:rFonts w:ascii="Times New Roman" w:hAnsi="Times New Roman"/>
              </w:rPr>
              <w:t xml:space="preserve">Subjektai, kurie yra ne ES G-SII reikšmingos patronuojamosios įmonės pagal Reglamento (ES) Nr. 575/2013 92b straipsnį, šioje skiltyje atskleidžia svarbią informaciją apie vidinį TLAC pagal Reglamento (ES) Nr. 575/2013 92b straipsnį.</w:t>
            </w:r>
            <w:r>
              <w:rPr>
                <w:color w:val="000000" w:themeColor="text1"/>
                <w:sz w:val="24"/>
                <w:rFonts w:ascii="Times New Roman" w:hAnsi="Times New Roman"/>
              </w:rPr>
              <w:t xml:space="preserve"> </w:t>
            </w:r>
          </w:p>
        </w:tc>
      </w:tr>
      <w:tr w:rsidR="00FF6326" w:rsidRPr="0008623B" w14:paraId="22E6AD38" w14:textId="77777777" w:rsidTr="00F42DCD">
        <w:trPr>
          <w:trHeight w:val="637"/>
        </w:trPr>
        <w:tc>
          <w:tcPr>
            <w:tcW w:w="1384" w:type="dxa"/>
          </w:tcPr>
          <w:p w14:paraId="51FE79F2"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 xml:space="preserve">c</w:t>
            </w:r>
          </w:p>
        </w:tc>
        <w:tc>
          <w:tcPr>
            <w:tcW w:w="7655" w:type="dxa"/>
          </w:tcPr>
          <w:p w14:paraId="5128BCFA" w14:textId="7C8880AD" w:rsidR="00FF6326" w:rsidRPr="0008623B" w:rsidRDefault="00560736" w:rsidP="00BF6482">
            <w:pPr>
              <w:autoSpaceDE w:val="0"/>
              <w:autoSpaceDN w:val="0"/>
              <w:adjustRightInd w:val="0"/>
              <w:spacing w:before="120" w:after="120"/>
              <w:rPr>
                <w:noProof/>
                <w:sz w:val="24"/>
                <w:szCs w:val="24"/>
              </w:rPr>
            </w:pPr>
            <w:r>
              <w:rPr>
                <w:sz w:val="24"/>
                <w:color w:val="000000" w:themeColor="text1"/>
                <w:rFonts w:ascii="Times New Roman" w:hAnsi="Times New Roman"/>
              </w:rPr>
              <w:t xml:space="preserve">Kokybinė informacija,</w:t>
            </w:r>
            <w:r>
              <w:rPr>
                <w:sz w:val="24"/>
                <w:color w:val="000000" w:themeColor="text1"/>
                <w:rFonts w:ascii="Times New Roman" w:hAnsi="Times New Roman"/>
              </w:rPr>
              <w:t xml:space="preserve"> susijusi su taikomu reikalavimu ir taikymo lygiu.</w:t>
            </w:r>
          </w:p>
        </w:tc>
      </w:tr>
    </w:tbl>
    <w:p w14:paraId="11222185" w14:textId="77777777" w:rsidR="00FF6326" w:rsidRPr="0008623B" w:rsidRDefault="00FF6326" w:rsidP="00FF6326">
      <w:pPr>
        <w:jc w:val="both"/>
        <w:rPr>
          <w:rFonts w:ascii="Times New Roman" w:hAnsi="Times New Roman" w:cs="Times New Roman"/>
          <w:bCs/>
          <w:noProof/>
          <w:color w:val="000000" w:themeColor="text1"/>
          <w:sz w:val="24"/>
          <w:szCs w:val="24"/>
          <w:lang w:val="en-GB"/>
        </w:rPr>
      </w:pPr>
    </w:p>
    <w:p w14:paraId="607A36F9" w14:textId="7120601E" w:rsidR="0082003D" w:rsidRPr="0008623B" w:rsidRDefault="0082003D" w:rsidP="005C7641">
      <w:pPr>
        <w:jc w:val="both"/>
        <w:rPr>
          <w:rFonts w:ascii="Times New Roman" w:hAnsi="Times New Roman" w:cs="Times New Roman"/>
          <w:bCs/>
          <w:i/>
          <w:noProof/>
          <w:color w:val="000000" w:themeColor="text1"/>
          <w:sz w:val="24"/>
          <w:szCs w:val="24"/>
          <w:lang w:val="en-GB"/>
        </w:rPr>
      </w:pPr>
    </w:p>
    <w:tbl>
      <w:tblPr>
        <w:tblStyle w:val="TableGrid"/>
        <w:tblW w:w="0" w:type="auto"/>
        <w:tblInd w:w="10"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119"/>
        <w:gridCol w:w="7642"/>
      </w:tblGrid>
      <w:tr w:rsidR="00026FC1" w:rsidRPr="0008623B" w14:paraId="0EE47F56" w14:textId="77777777" w:rsidTr="002A065A">
        <w:trPr>
          <w:cnfStyle w:val="100000000000" w:firstRow="1" w:lastRow="0" w:firstColumn="0" w:lastColumn="0" w:oddVBand="0" w:evenVBand="0" w:oddHBand="0" w:evenHBand="0" w:firstRowFirstColumn="0" w:firstRowLastColumn="0" w:lastRowFirstColumn="0" w:lastRowLastColumn="0"/>
        </w:trPr>
        <w:tc>
          <w:tcPr>
            <w:tcW w:w="1109" w:type="dxa"/>
            <w:tcBorders>
              <w:top w:val="single" w:sz="4" w:space="0" w:color="auto"/>
              <w:left w:val="single" w:sz="4" w:space="0" w:color="auto"/>
              <w:right w:val="single" w:sz="4" w:space="0" w:color="auto"/>
            </w:tcBorders>
            <w:shd w:val="clear" w:color="auto" w:fill="D9D9D9" w:themeFill="background1" w:themeFillShade="D9"/>
          </w:tcPr>
          <w:p w14:paraId="46A7BCFB" w14:textId="77777777" w:rsidR="0067351E" w:rsidRPr="0008623B" w:rsidRDefault="0067351E" w:rsidP="00EF47A4">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Eilutė</w:t>
            </w:r>
            <w:r>
              <w:rPr>
                <w:b/>
                <w:color w:val="000000" w:themeColor="text1"/>
                <w:sz w:val="24"/>
                <w:rFonts w:ascii="Times New Roman" w:hAnsi="Times New Roman"/>
              </w:rPr>
              <w:t xml:space="preserve"> </w:t>
            </w:r>
          </w:p>
        </w:tc>
        <w:tc>
          <w:tcPr>
            <w:tcW w:w="7642" w:type="dxa"/>
            <w:tcBorders>
              <w:top w:val="single" w:sz="4" w:space="0" w:color="auto"/>
              <w:left w:val="single" w:sz="4" w:space="0" w:color="auto"/>
              <w:right w:val="single" w:sz="4" w:space="0" w:color="auto"/>
            </w:tcBorders>
            <w:shd w:val="clear" w:color="auto" w:fill="D9D9D9" w:themeFill="background1" w:themeFillShade="D9"/>
          </w:tcPr>
          <w:p w14:paraId="2C09CC04" w14:textId="58876303" w:rsidR="0067351E" w:rsidRPr="0008623B" w:rsidRDefault="00E46262" w:rsidP="00EF47A4">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Nuorodos į teisės aktus ir nurodymai</w:t>
            </w:r>
          </w:p>
        </w:tc>
      </w:tr>
      <w:tr w:rsidR="005D18F8" w:rsidRPr="0008623B" w14:paraId="4273A8E3" w14:textId="77777777" w:rsidTr="002A065A">
        <w:tc>
          <w:tcPr>
            <w:tcW w:w="1109" w:type="dxa"/>
            <w:vAlign w:val="top"/>
          </w:tcPr>
          <w:p w14:paraId="6FB9A622" w14:textId="17181A2D" w:rsidR="005D18F8" w:rsidRPr="0008623B" w:rsidRDefault="005D18F8" w:rsidP="00644B02">
            <w:pPr>
              <w:rPr>
                <w:noProof/>
                <w:color w:val="000000" w:themeColor="text1"/>
                <w:sz w:val="24"/>
                <w:szCs w:val="24"/>
                <w:rFonts w:ascii="Times New Roman" w:hAnsi="Times New Roman" w:cs="Times New Roman"/>
              </w:rPr>
            </w:pPr>
            <w:r>
              <w:rPr>
                <w:sz w:val="24"/>
                <w:rFonts w:ascii="Times New Roman" w:hAnsi="Times New Roman"/>
              </w:rPr>
              <w:t xml:space="preserve">EU-1</w:t>
            </w:r>
          </w:p>
        </w:tc>
        <w:tc>
          <w:tcPr>
            <w:tcW w:w="7642" w:type="dxa"/>
          </w:tcPr>
          <w:p w14:paraId="33FA642D" w14:textId="4C8C035D" w:rsidR="005D18F8" w:rsidRPr="0008623B" w:rsidRDefault="005D18F8" w:rsidP="005D18F8">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Ar subjektui taikomas ne ES G-SII nuosavų lėšų ir tinkamų įsipareigojimų reikalavimas?</w:t>
            </w:r>
            <w:r>
              <w:rPr>
                <w:b/>
                <w:color w:val="000000" w:themeColor="text1"/>
                <w:sz w:val="24"/>
                <w:rFonts w:ascii="Times New Roman" w:hAnsi="Times New Roman"/>
              </w:rPr>
              <w:t xml:space="preserve"> </w:t>
            </w:r>
            <w:r>
              <w:rPr>
                <w:b/>
                <w:color w:val="000000" w:themeColor="text1"/>
                <w:sz w:val="24"/>
                <w:rFonts w:ascii="Times New Roman" w:hAnsi="Times New Roman"/>
              </w:rPr>
              <w:t xml:space="preserve">(Taip / Ne)</w:t>
            </w:r>
          </w:p>
          <w:p w14:paraId="402765A8" w14:textId="58B96136" w:rsidR="005D18F8" w:rsidRPr="0008623B" w:rsidRDefault="005D18F8" w:rsidP="00F90B2E">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Nurodoma, ar subjektui taikomas vidinis TLAC reikalavimas pagal Reglamento (ES) Nr. 575/2013 92b straipsnį.</w:t>
            </w:r>
          </w:p>
        </w:tc>
      </w:tr>
      <w:tr w:rsidR="005D18F8" w:rsidRPr="0008623B" w14:paraId="753D9E0C" w14:textId="77777777" w:rsidTr="002A065A">
        <w:tc>
          <w:tcPr>
            <w:tcW w:w="1109" w:type="dxa"/>
            <w:vAlign w:val="top"/>
          </w:tcPr>
          <w:p w14:paraId="4D6276FA" w14:textId="29D2C84A" w:rsidR="005D18F8" w:rsidRPr="0008623B" w:rsidRDefault="005D18F8" w:rsidP="00644B02">
            <w:pPr>
              <w:rPr>
                <w:noProof/>
                <w:color w:val="000000" w:themeColor="text1"/>
                <w:sz w:val="24"/>
                <w:szCs w:val="24"/>
                <w:rFonts w:ascii="Times New Roman" w:hAnsi="Times New Roman" w:cs="Times New Roman"/>
              </w:rPr>
            </w:pPr>
            <w:r>
              <w:rPr>
                <w:sz w:val="24"/>
                <w:rFonts w:ascii="Times New Roman" w:hAnsi="Times New Roman"/>
              </w:rPr>
              <w:t xml:space="preserve">EU-2</w:t>
            </w:r>
          </w:p>
        </w:tc>
        <w:tc>
          <w:tcPr>
            <w:tcW w:w="7642" w:type="dxa"/>
          </w:tcPr>
          <w:p w14:paraId="5580A119" w14:textId="4279FE54" w:rsidR="005D18F8" w:rsidRPr="0008623B" w:rsidRDefault="005D18F8" w:rsidP="005D18F8">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Jei į EU-1 klausimą atsakėte „taip“, ar reikalavimas taikomas konsoliduotai, ar individualiai?</w:t>
            </w:r>
            <w:r>
              <w:rPr>
                <w:b/>
                <w:color w:val="000000" w:themeColor="text1"/>
                <w:sz w:val="24"/>
                <w:rFonts w:ascii="Times New Roman" w:hAnsi="Times New Roman"/>
              </w:rPr>
              <w:t xml:space="preserve"> </w:t>
            </w:r>
            <w:r>
              <w:rPr>
                <w:b/>
                <w:color w:val="000000" w:themeColor="text1"/>
                <w:sz w:val="24"/>
                <w:rFonts w:ascii="Times New Roman" w:hAnsi="Times New Roman"/>
              </w:rPr>
              <w:t xml:space="preserve">(K / I)</w:t>
            </w:r>
          </w:p>
          <w:p w14:paraId="16349591" w14:textId="439F9DE2" w:rsidR="005D18F8" w:rsidRPr="0008623B" w:rsidRDefault="005D18F8" w:rsidP="005D18F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Nurodoma, ar pagal Reglamento (ES) Nr. 575/2013 18 straipsnį vidinis TLAC reikalavimas subjektui taikomas konsoliduotai, ar individualiai. </w:t>
            </w:r>
          </w:p>
          <w:p w14:paraId="557B461D" w14:textId="0A55FA2A" w:rsidR="005D18F8" w:rsidRPr="0008623B" w:rsidRDefault="005D18F8" w:rsidP="00282ED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Kai reikalavimas taikomas konsoliduotai, visa ši forma pildoma konsoliduotai.</w:t>
            </w:r>
            <w:r>
              <w:rPr>
                <w:color w:val="000000" w:themeColor="text1"/>
                <w:sz w:val="24"/>
                <w:rFonts w:ascii="Times New Roman" w:hAnsi="Times New Roman"/>
              </w:rPr>
              <w:t xml:space="preserve"> </w:t>
            </w:r>
            <w:r>
              <w:rPr>
                <w:color w:val="000000" w:themeColor="text1"/>
                <w:sz w:val="24"/>
                <w:rFonts w:ascii="Times New Roman" w:hAnsi="Times New Roman"/>
              </w:rPr>
              <w:t xml:space="preserve">Visais kitais atvejais ši forma pildoma individualiai.</w:t>
            </w:r>
          </w:p>
        </w:tc>
      </w:tr>
      <w:tr w:rsidR="005C4469" w:rsidRPr="0008623B" w14:paraId="3EFBB389" w14:textId="77777777" w:rsidTr="002A065A">
        <w:tc>
          <w:tcPr>
            <w:tcW w:w="1109" w:type="dxa"/>
            <w:vAlign w:val="top"/>
          </w:tcPr>
          <w:p w14:paraId="5EB99A90" w14:textId="2812B763" w:rsidR="005C4469" w:rsidRPr="0008623B" w:rsidRDefault="005C4469" w:rsidP="00644B02">
            <w:pPr>
              <w:rPr>
                <w:noProof/>
                <w:color w:val="000000" w:themeColor="text1"/>
                <w:sz w:val="24"/>
                <w:szCs w:val="24"/>
                <w:rFonts w:ascii="Times New Roman" w:hAnsi="Times New Roman" w:cs="Times New Roman"/>
              </w:rPr>
            </w:pPr>
            <w:r>
              <w:rPr>
                <w:sz w:val="24"/>
                <w:rFonts w:ascii="Times New Roman" w:hAnsi="Times New Roman"/>
              </w:rPr>
              <w:t xml:space="preserve">EU-2a</w:t>
            </w:r>
          </w:p>
        </w:tc>
        <w:tc>
          <w:tcPr>
            <w:tcW w:w="7642" w:type="dxa"/>
          </w:tcPr>
          <w:p w14:paraId="116B6FE4" w14:textId="5D78B194" w:rsidR="005C4469" w:rsidRPr="0008623B" w:rsidRDefault="005C4469" w:rsidP="0067299C">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Ar subjektui taikomas vidinis MREL?</w:t>
            </w:r>
            <w:r>
              <w:rPr>
                <w:b/>
                <w:color w:val="000000" w:themeColor="text1"/>
                <w:sz w:val="24"/>
                <w:rFonts w:ascii="Times New Roman" w:hAnsi="Times New Roman"/>
              </w:rPr>
              <w:t xml:space="preserve"> </w:t>
            </w:r>
            <w:r>
              <w:rPr>
                <w:b/>
                <w:color w:val="000000" w:themeColor="text1"/>
                <w:sz w:val="24"/>
                <w:rFonts w:ascii="Times New Roman" w:hAnsi="Times New Roman"/>
              </w:rPr>
              <w:t xml:space="preserve">(Taip / Ne)</w:t>
            </w:r>
          </w:p>
          <w:p w14:paraId="61B02EAE" w14:textId="61E31496" w:rsidR="005C4469" w:rsidRPr="0008623B" w:rsidRDefault="005C4469" w:rsidP="00B24DB1">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Nurodoma, ar subjektui taikomas MREL pagal Direktyvos 2014/59/ES 45 ir 45f straipsnius.</w:t>
            </w:r>
          </w:p>
        </w:tc>
      </w:tr>
      <w:tr w:rsidR="005C4469" w:rsidRPr="0008623B" w14:paraId="1E79865E" w14:textId="77777777" w:rsidTr="002A065A">
        <w:tc>
          <w:tcPr>
            <w:tcW w:w="1109" w:type="dxa"/>
            <w:vAlign w:val="top"/>
          </w:tcPr>
          <w:p w14:paraId="59235EF1" w14:textId="1C47DD13" w:rsidR="005C4469" w:rsidRPr="0008623B" w:rsidRDefault="005C4469" w:rsidP="00644B02">
            <w:pPr>
              <w:rPr>
                <w:noProof/>
                <w:color w:val="000000" w:themeColor="text1"/>
                <w:sz w:val="24"/>
                <w:szCs w:val="24"/>
                <w:rFonts w:ascii="Times New Roman" w:hAnsi="Times New Roman" w:cs="Times New Roman"/>
              </w:rPr>
            </w:pPr>
            <w:r>
              <w:rPr>
                <w:sz w:val="24"/>
                <w:rFonts w:ascii="Times New Roman" w:hAnsi="Times New Roman"/>
              </w:rPr>
              <w:t xml:space="preserve">EU-2b</w:t>
            </w:r>
          </w:p>
        </w:tc>
        <w:tc>
          <w:tcPr>
            <w:tcW w:w="7642" w:type="dxa"/>
          </w:tcPr>
          <w:p w14:paraId="3CFE2B07" w14:textId="0BF8D801" w:rsidR="005C4469" w:rsidRPr="0008623B" w:rsidRDefault="005C4469" w:rsidP="0067299C">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Jei į EU-2a klausimą atsakėte „taip“, ar reikalavimas taikomas konsoliduotai, ar individualiai?</w:t>
            </w:r>
            <w:r>
              <w:rPr>
                <w:b/>
                <w:color w:val="000000" w:themeColor="text1"/>
                <w:sz w:val="24"/>
                <w:rFonts w:ascii="Times New Roman" w:hAnsi="Times New Roman"/>
              </w:rPr>
              <w:t xml:space="preserve"> </w:t>
            </w:r>
            <w:r>
              <w:rPr>
                <w:b/>
                <w:color w:val="000000" w:themeColor="text1"/>
                <w:sz w:val="24"/>
                <w:rFonts w:ascii="Times New Roman" w:hAnsi="Times New Roman"/>
              </w:rPr>
              <w:t xml:space="preserve">(K / I)</w:t>
            </w:r>
          </w:p>
          <w:p w14:paraId="7DC57F76" w14:textId="22478F28" w:rsidR="005C4469" w:rsidRPr="0008623B" w:rsidRDefault="005C4469" w:rsidP="0067299C">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Ar subjektui vidinis MREL taikomas konsoliduotai, ar individualiai.</w:t>
            </w:r>
          </w:p>
          <w:p w14:paraId="4FC6F388" w14:textId="244D10B7" w:rsidR="005C4469" w:rsidRPr="0008623B" w:rsidRDefault="005C4469" w:rsidP="0067299C">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Kai reikalavimas taikomas konsoliduotai, visa ši forma pildoma konsoliduotai.</w:t>
            </w:r>
            <w:r>
              <w:rPr>
                <w:color w:val="000000" w:themeColor="text1"/>
                <w:sz w:val="24"/>
                <w:rFonts w:ascii="Times New Roman" w:hAnsi="Times New Roman"/>
              </w:rPr>
              <w:t xml:space="preserve"> </w:t>
            </w:r>
            <w:r>
              <w:rPr>
                <w:color w:val="000000" w:themeColor="text1"/>
                <w:sz w:val="24"/>
                <w:rFonts w:ascii="Times New Roman" w:hAnsi="Times New Roman"/>
              </w:rPr>
              <w:t xml:space="preserve">Visais kitais atvejais ši forma pildoma individualiai.</w:t>
            </w:r>
          </w:p>
        </w:tc>
      </w:tr>
      <w:tr w:rsidR="005D18F8" w:rsidRPr="0008623B" w14:paraId="4F5D32F0" w14:textId="77777777" w:rsidTr="002A065A">
        <w:tc>
          <w:tcPr>
            <w:tcW w:w="1109" w:type="dxa"/>
            <w:vAlign w:val="top"/>
          </w:tcPr>
          <w:p w14:paraId="6EF5BD76" w14:textId="64835762" w:rsidR="005D18F8" w:rsidRPr="0008623B" w:rsidRDefault="005D18F8" w:rsidP="00644B02">
            <w:pPr>
              <w:rPr>
                <w:noProof/>
                <w:color w:val="000000" w:themeColor="text1"/>
                <w:sz w:val="24"/>
                <w:szCs w:val="24"/>
                <w:rFonts w:ascii="Times New Roman" w:hAnsi="Times New Roman" w:cs="Times New Roman"/>
              </w:rPr>
            </w:pPr>
            <w:r>
              <w:rPr>
                <w:sz w:val="24"/>
                <w:rFonts w:ascii="Times New Roman" w:hAnsi="Times New Roman"/>
              </w:rPr>
              <w:t xml:space="preserve">EU-3</w:t>
            </w:r>
          </w:p>
        </w:tc>
        <w:tc>
          <w:tcPr>
            <w:tcW w:w="7642" w:type="dxa"/>
          </w:tcPr>
          <w:p w14:paraId="6472530C" w14:textId="5849D3C6" w:rsidR="005D18F8" w:rsidRPr="0008623B" w:rsidRDefault="005D18F8" w:rsidP="005D18F8">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Bendras 1 lygio nuosavas kapitalas (CET1)</w:t>
            </w:r>
          </w:p>
          <w:p w14:paraId="071B676A" w14:textId="2ECC0EBE" w:rsidR="005D18F8" w:rsidRPr="0008623B" w:rsidRDefault="003D0BF6" w:rsidP="005D18F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Reglamento (ES) Nr. 575/2013 50 straipsnis.</w:t>
            </w:r>
          </w:p>
          <w:p w14:paraId="224515AC" w14:textId="760620BD" w:rsidR="005D18F8" w:rsidRPr="0008623B" w:rsidRDefault="005D18F8" w:rsidP="00FF632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CET1 kapitalas, jei taikytina, individualiu arba konsoliduotu pagrindu, pagal Reglamento (ES) Nr. 575/2013 50 straipsnį.</w:t>
            </w:r>
          </w:p>
        </w:tc>
      </w:tr>
      <w:tr w:rsidR="005D18F8" w:rsidRPr="0008623B" w14:paraId="65D6A57F" w14:textId="77777777" w:rsidTr="002A065A">
        <w:tc>
          <w:tcPr>
            <w:tcW w:w="1109" w:type="dxa"/>
            <w:vAlign w:val="top"/>
          </w:tcPr>
          <w:p w14:paraId="77011BCF" w14:textId="1DBC2D36" w:rsidR="005D18F8" w:rsidRPr="0008623B" w:rsidRDefault="005D18F8" w:rsidP="006A52ED">
            <w:pPr>
              <w:rPr>
                <w:noProof/>
                <w:color w:val="000000" w:themeColor="text1"/>
                <w:sz w:val="24"/>
                <w:szCs w:val="24"/>
                <w:rFonts w:ascii="Times New Roman" w:hAnsi="Times New Roman" w:cs="Times New Roman"/>
              </w:rPr>
            </w:pPr>
            <w:r>
              <w:rPr>
                <w:sz w:val="24"/>
                <w:rFonts w:ascii="Times New Roman" w:hAnsi="Times New Roman"/>
              </w:rPr>
              <w:t xml:space="preserve">EU-4</w:t>
            </w:r>
          </w:p>
        </w:tc>
        <w:tc>
          <w:tcPr>
            <w:tcW w:w="7642" w:type="dxa"/>
          </w:tcPr>
          <w:p w14:paraId="38EE0035" w14:textId="22F8D01E" w:rsidR="005D18F8" w:rsidRPr="0008623B" w:rsidRDefault="008A0AF3" w:rsidP="005D18F8">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Tinkamas papildomas 1 lygio kapitalas</w:t>
            </w:r>
            <w:r>
              <w:rPr>
                <w:b/>
                <w:color w:val="000000" w:themeColor="text1"/>
                <w:sz w:val="24"/>
                <w:rFonts w:ascii="Times New Roman" w:hAnsi="Times New Roman"/>
              </w:rPr>
              <w:t xml:space="preserve"> </w:t>
            </w:r>
          </w:p>
          <w:p w14:paraId="0249C867" w14:textId="75BBE4E4" w:rsidR="00563C8D" w:rsidRPr="0008623B" w:rsidRDefault="003D0BF6" w:rsidP="00510C0E">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Reglamento (ES) Nr. 575/2013 61 straipsnis</w:t>
            </w:r>
          </w:p>
          <w:p w14:paraId="5A71C48F" w14:textId="27B14A49" w:rsidR="005D18F8" w:rsidRPr="0008623B" w:rsidRDefault="00FF6326" w:rsidP="00282ED2">
            <w:pPr>
              <w:rPr>
                <w:noProof/>
                <w:color w:val="000000" w:themeColor="text1"/>
                <w:sz w:val="24"/>
                <w:szCs w:val="24"/>
                <w:rFonts w:ascii="Times New Roman" w:hAnsi="Times New Roman" w:cs="Times New Roman"/>
              </w:rPr>
            </w:pPr>
            <w:r>
              <w:rPr>
                <w:sz w:val="24"/>
                <w:color w:val="000000" w:themeColor="text1"/>
                <w:rFonts w:ascii="Times New Roman" w:hAnsi="Times New Roman"/>
              </w:rPr>
              <w:t xml:space="preserve">Į papildomo 1 lygio kapitalo priemones</w:t>
            </w:r>
            <w:r>
              <w:rPr>
                <w:sz w:val="24"/>
                <w:rFonts w:ascii="Times New Roman" w:hAnsi="Times New Roman"/>
              </w:rPr>
              <w:t xml:space="preserve"> </w:t>
            </w:r>
            <w:r>
              <w:rPr>
                <w:sz w:val="24"/>
                <w:rStyle w:val="FormatvorlageInstructionsTabelleText"/>
                <w:rFonts w:ascii="Times New Roman" w:hAnsi="Times New Roman"/>
              </w:rPr>
              <w:t xml:space="preserve">atsižvelgiama tik jeigu jos atitinka</w:t>
            </w:r>
            <w:r>
              <w:rPr>
                <w:sz w:val="24"/>
                <w:color w:val="000000" w:themeColor="text1"/>
                <w:rFonts w:ascii="Times New Roman" w:hAnsi="Times New Roman"/>
              </w:rPr>
              <w:t xml:space="preserve"> Reglamento (ES) Nr. 575/2013 92b straipsnyje ir Direktyvos 2014/59/ES 45f straipsnio 2 dalies b punkto ii papunktyje nustatytus kriterijus.</w:t>
            </w:r>
          </w:p>
          <w:p w14:paraId="0094C1AC" w14:textId="45113FD1" w:rsidR="007600E9" w:rsidRPr="0008623B" w:rsidRDefault="007600E9" w:rsidP="00D950BA">
            <w:p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Vidinio MREL atveju Direktyvos 2014/59/ES 89 straipsnio 2 dalies ketvirtoje pastraipoje</w:t>
            </w:r>
            <w:r>
              <w:rPr>
                <w:rStyle w:val="FormatvorlageInstructionsTabelleText"/>
                <w:sz w:val="24"/>
                <w:rFonts w:ascii="Times New Roman" w:hAnsi="Times New Roman"/>
              </w:rPr>
              <w:t xml:space="preserve"> nurodytos priemonės įtraukiamos, jeigu taikoma ta dalis.</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Priemonės, kurias reglamentuoja trečiosios valstybės teisė, įtraukiamos tik jeigu jos atitinka Direktyvos 2014/59/ES 55 straipsnyje nurodytus reikalavimus.</w:t>
            </w:r>
          </w:p>
        </w:tc>
      </w:tr>
      <w:tr w:rsidR="005D18F8" w:rsidRPr="0008623B" w14:paraId="26CF63CA" w14:textId="77777777" w:rsidTr="002A065A">
        <w:tc>
          <w:tcPr>
            <w:tcW w:w="1109" w:type="dxa"/>
          </w:tcPr>
          <w:p w14:paraId="7590CA0F" w14:textId="3E55E188" w:rsidR="005D18F8" w:rsidRPr="0008623B" w:rsidRDefault="006A52ED" w:rsidP="005D18F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EU-5</w:t>
            </w:r>
          </w:p>
        </w:tc>
        <w:tc>
          <w:tcPr>
            <w:tcW w:w="7642" w:type="dxa"/>
          </w:tcPr>
          <w:p w14:paraId="1D3C1105" w14:textId="5B6AF4D8" w:rsidR="005D18F8" w:rsidRPr="0008623B" w:rsidRDefault="008A0AF3" w:rsidP="005D18F8">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Tinkamas 2 lygio kapitalas</w:t>
            </w:r>
          </w:p>
          <w:p w14:paraId="7C05E6B8" w14:textId="2FF703C8" w:rsidR="00282ED2" w:rsidRPr="0008623B" w:rsidRDefault="003D0BF6" w:rsidP="00282ED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Reglamento (ES) Nr. 575/2013 71 straipsnis</w:t>
            </w:r>
            <w:r>
              <w:rPr>
                <w:color w:val="000000" w:themeColor="text1"/>
                <w:sz w:val="24"/>
                <w:rFonts w:ascii="Times New Roman" w:hAnsi="Times New Roman"/>
              </w:rPr>
              <w:t xml:space="preserve"> </w:t>
            </w:r>
          </w:p>
          <w:p w14:paraId="3807E78A" w14:textId="1358321A" w:rsidR="005D18F8" w:rsidRPr="0008623B" w:rsidRDefault="002924A2" w:rsidP="00282ED2">
            <w:pPr>
              <w:rPr>
                <w:noProof/>
                <w:color w:val="000000" w:themeColor="text1"/>
                <w:sz w:val="24"/>
                <w:szCs w:val="24"/>
                <w:rFonts w:ascii="Times New Roman" w:hAnsi="Times New Roman" w:cs="Times New Roman"/>
              </w:rPr>
            </w:pPr>
            <w:r>
              <w:rPr>
                <w:sz w:val="24"/>
                <w:color w:val="000000" w:themeColor="text1"/>
                <w:rFonts w:ascii="Times New Roman" w:hAnsi="Times New Roman"/>
              </w:rPr>
              <w:t xml:space="preserve">Į 2 lygio kapitalo priemones</w:t>
            </w:r>
            <w:r>
              <w:rPr>
                <w:sz w:val="24"/>
                <w:rFonts w:ascii="Times New Roman" w:hAnsi="Times New Roman"/>
              </w:rPr>
              <w:t xml:space="preserve"> </w:t>
            </w:r>
            <w:r>
              <w:rPr>
                <w:sz w:val="24"/>
                <w:rStyle w:val="FormatvorlageInstructionsTabelleText"/>
                <w:rFonts w:ascii="Times New Roman" w:hAnsi="Times New Roman"/>
              </w:rPr>
              <w:t xml:space="preserve">atsižvelgiama tik jeigu jos atitinka</w:t>
            </w:r>
            <w:r>
              <w:rPr>
                <w:sz w:val="24"/>
                <w:rFonts w:ascii="Times New Roman" w:hAnsi="Times New Roman"/>
              </w:rPr>
              <w:t xml:space="preserve"> Reglamento (ES) Nr. 575/2013 92b straipsnyje ir Direktyvos 2014/59/ES 45f straipsnio 2 dalies b punkto ii papunktyje nustatytus kriterijus.</w:t>
            </w:r>
          </w:p>
          <w:p w14:paraId="6CBCECA5" w14:textId="0194AD8C" w:rsidR="007600E9" w:rsidRPr="0008623B" w:rsidRDefault="007600E9" w:rsidP="00282ED2">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Vidinio MREL atveju Direktyvos 2014/59/ES 89 straipsnio 2 dalies ketvirtoje pastraipoje</w:t>
            </w:r>
            <w:r>
              <w:rPr>
                <w:rStyle w:val="FormatvorlageInstructionsTabelleText"/>
                <w:sz w:val="24"/>
                <w:rFonts w:ascii="Times New Roman" w:hAnsi="Times New Roman"/>
              </w:rPr>
              <w:t xml:space="preserve"> nurodytos priemonės įtraukiamos, jeigu taikoma ta dalis.</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Priemonės, kurias reglamentuoja trečiosios valstybės teisė, įtraukiamos tik jeigu jos atitinka Direktyvos 2014/59/ES 55 straipsnyje nurodytus reikalavimus.</w:t>
            </w:r>
          </w:p>
        </w:tc>
      </w:tr>
      <w:tr w:rsidR="00026FC1" w:rsidRPr="0008623B" w14:paraId="2919AE1B" w14:textId="77777777" w:rsidTr="002A065A">
        <w:tc>
          <w:tcPr>
            <w:tcW w:w="1109" w:type="dxa"/>
          </w:tcPr>
          <w:p w14:paraId="251A5712" w14:textId="4B2177BA" w:rsidR="00B907A2" w:rsidRPr="0008623B" w:rsidRDefault="006A52ED" w:rsidP="00B907A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EU-6</w:t>
            </w:r>
          </w:p>
        </w:tc>
        <w:tc>
          <w:tcPr>
            <w:tcW w:w="7642" w:type="dxa"/>
          </w:tcPr>
          <w:p w14:paraId="37F48E22" w14:textId="01DDD07A" w:rsidR="00B907A2" w:rsidRPr="0008623B" w:rsidRDefault="00310603">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Tinkamos nuosavos lėšos</w:t>
            </w:r>
          </w:p>
          <w:p w14:paraId="02484207" w14:textId="3BBDA43F" w:rsidR="00B907A2" w:rsidRPr="0008623B" w:rsidRDefault="00F42DCD" w:rsidP="00AB7C15">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CET1 kapitalo, tinkamo papildomo 1 lygio kapitalo ir tinkamo 2 lygio kapitalo suma.</w:t>
            </w:r>
          </w:p>
        </w:tc>
      </w:tr>
      <w:tr w:rsidR="00026FC1" w:rsidRPr="0008623B" w14:paraId="30D7B21F" w14:textId="77777777" w:rsidTr="002A065A">
        <w:tc>
          <w:tcPr>
            <w:tcW w:w="1109" w:type="dxa"/>
          </w:tcPr>
          <w:p w14:paraId="5D54FF19" w14:textId="5DFAFBC0" w:rsidR="006A383B" w:rsidRPr="0008623B" w:rsidRDefault="00F42DCD" w:rsidP="006A383B">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EU-7</w:t>
            </w:r>
          </w:p>
        </w:tc>
        <w:tc>
          <w:tcPr>
            <w:tcW w:w="7642" w:type="dxa"/>
          </w:tcPr>
          <w:p w14:paraId="3BF153BB" w14:textId="618EB7D0" w:rsidR="006A383B" w:rsidRPr="0008623B" w:rsidRDefault="006A383B" w:rsidP="006A383B">
            <w:pPr>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Tinkami įsipareigojimai</w:t>
            </w:r>
            <w:r>
              <w:rPr>
                <w:b/>
                <w:color w:val="000000" w:themeColor="text1"/>
                <w:sz w:val="24"/>
                <w:rFonts w:ascii="Times New Roman" w:hAnsi="Times New Roman"/>
              </w:rPr>
              <w:t xml:space="preserve"> </w:t>
            </w:r>
          </w:p>
          <w:p w14:paraId="63CA9295" w14:textId="50FD70BB" w:rsidR="00547B2E" w:rsidRPr="0008623B" w:rsidRDefault="00547B2E" w:rsidP="00F42DCD">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Vidinis MREL</w:t>
            </w:r>
          </w:p>
          <w:p w14:paraId="17E7EEB4" w14:textId="3FD297AB" w:rsidR="00F42DCD" w:rsidRPr="0008623B" w:rsidRDefault="00CC7310" w:rsidP="00F42DCD">
            <w:pPr>
              <w:rPr>
                <w:noProof/>
                <w:color w:val="000000" w:themeColor="text1"/>
                <w:sz w:val="24"/>
                <w:szCs w:val="24"/>
                <w:rFonts w:ascii="Times New Roman" w:hAnsi="Times New Roman" w:cs="Times New Roman"/>
              </w:rPr>
            </w:pPr>
            <w:r>
              <w:rPr>
                <w:sz w:val="24"/>
                <w:color w:val="000000" w:themeColor="text1"/>
                <w:rFonts w:ascii="Times New Roman" w:hAnsi="Times New Roman"/>
              </w:rPr>
              <w:t xml:space="preserve">Tinkami įsipareigojimai, atitinkantys Direktyvos 2014/59/ES 45f straipsnio 2 dalyje nustatytas sąlygas, taip pat atsižvelgiant, kai taikoma, į tos direktyvos 89 straipsnio 2 dalies ketvirtą pastraipą.</w:t>
            </w:r>
          </w:p>
          <w:p w14:paraId="63956C24" w14:textId="6F2B8506" w:rsidR="00547B2E" w:rsidRPr="0008623B" w:rsidRDefault="00547B2E" w:rsidP="00F42DCD">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Tuo atveju, kai priemones reglamentuoja trečiosios valstybės teisė, į šią eilutę priemonė įtraukiama tik jeigu ji atitinka Direktyvos 2014/59/ES 55 straipsnyje nustatytus reikalavimus.</w:t>
            </w:r>
          </w:p>
          <w:p w14:paraId="5C695D4E" w14:textId="739B28B1" w:rsidR="00547B2E" w:rsidRPr="0008623B" w:rsidRDefault="00CC7310" w:rsidP="00F42DCD">
            <w:pPr>
              <w:rPr>
                <w:i/>
                <w:noProof/>
                <w:color w:val="000000" w:themeColor="text1"/>
                <w:sz w:val="24"/>
                <w:szCs w:val="24"/>
                <w:rFonts w:ascii="Times New Roman" w:hAnsi="Times New Roman" w:cs="Times New Roman"/>
              </w:rPr>
            </w:pPr>
            <w:r>
              <w:rPr>
                <w:sz w:val="24"/>
                <w:rStyle w:val="FormatvorlageInstructionsTabelleText"/>
                <w:rFonts w:ascii="Times New Roman" w:hAnsi="Times New Roman"/>
              </w:rPr>
              <w:t xml:space="preserve">Jeigu patronuojamosios įmonės pertvarkymo institucija leidžia subjektui vidinį MREL įvykdyti naudojant garantijas, į šią eilutę taip pat įtraukiama garantijų, kurias suteikia pertvarkytinas subjektas ir kurios atitinka visas Direktyvos 2014/59/ES 45f straipsnio 5 dalyje nustatytas sąlygas, suma.</w:t>
            </w:r>
            <w:r>
              <w:rPr>
                <w:sz w:val="24"/>
                <w:i/>
                <w:color w:val="000000" w:themeColor="text1"/>
                <w:rFonts w:ascii="Times New Roman" w:hAnsi="Times New Roman"/>
              </w:rPr>
              <w:t xml:space="preserve">Vidinis TLAC</w:t>
            </w:r>
          </w:p>
          <w:p w14:paraId="20CB430B" w14:textId="47B5B51E" w:rsidR="00766271" w:rsidRPr="0008623B" w:rsidRDefault="00CC7310" w:rsidP="00CC7310">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Tinkamų įsipareigojimų suma apskaičiuojama pagal Reglamento (ES) Nr. 575/2013 72k straipsnį, kai tie įsipareigojimai atitinka to reglamento 92b straipsnio 2 dalyje nustatytas sąlygas.</w:t>
            </w:r>
          </w:p>
        </w:tc>
      </w:tr>
      <w:tr w:rsidR="007600E9" w:rsidRPr="0008623B" w14:paraId="4E845D10" w14:textId="77777777" w:rsidTr="002A065A">
        <w:tc>
          <w:tcPr>
            <w:tcW w:w="1109" w:type="dxa"/>
          </w:tcPr>
          <w:p w14:paraId="153A7C48" w14:textId="5CC7BD86" w:rsidR="007600E9" w:rsidRPr="0008623B" w:rsidRDefault="007600E9" w:rsidP="007600E9">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EU-8</w:t>
            </w:r>
          </w:p>
        </w:tc>
        <w:tc>
          <w:tcPr>
            <w:tcW w:w="7642" w:type="dxa"/>
          </w:tcPr>
          <w:p w14:paraId="49C42D32" w14:textId="17A80A6B" w:rsidR="007600E9" w:rsidRPr="0008623B" w:rsidRDefault="00FF5E0F" w:rsidP="007600E9">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Tinkami įsipareigojimai. Iš jų leidžiamos garantijos</w:t>
            </w:r>
          </w:p>
          <w:p w14:paraId="7FBE9C6F" w14:textId="39072AA7" w:rsidR="007600E9" w:rsidRPr="0008623B" w:rsidRDefault="009C121A" w:rsidP="009C121A">
            <w:pPr>
              <w:rPr>
                <w:b/>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Jeigu patronuojamosios įmonės pertvarkymo institucija leidžia subjektui vidinį MREL įvykdyti naudojant garantijas, garantijų, kurias suteikia pertvarkytinas subjektas ir kurios atitinka visas </w:t>
            </w:r>
            <w:r>
              <w:rPr>
                <w:rStyle w:val="FormatvorlageInstructionsTabelleText"/>
                <w:sz w:val="24"/>
                <w:rFonts w:ascii="Times New Roman" w:hAnsi="Times New Roman"/>
              </w:rPr>
              <w:t xml:space="preserve">Direktyvos 2014/59/ES</w:t>
            </w:r>
            <w:r>
              <w:rPr>
                <w:rStyle w:val="FormatvorlageInstructionsTabelleText"/>
                <w:sz w:val="24"/>
                <w:rFonts w:ascii="Times New Roman" w:hAnsi="Times New Roman"/>
              </w:rPr>
              <w:t xml:space="preserve"> 45f straipsnio 5 dalyje nustatytas sąlygas, suma.</w:t>
            </w:r>
          </w:p>
        </w:tc>
      </w:tr>
      <w:tr w:rsidR="00547B2E" w:rsidRPr="0008623B" w14:paraId="352876D4" w14:textId="77777777" w:rsidTr="002A065A">
        <w:tc>
          <w:tcPr>
            <w:tcW w:w="1109" w:type="dxa"/>
          </w:tcPr>
          <w:p w14:paraId="6DCACB84" w14:textId="766ADF9F" w:rsidR="00547B2E" w:rsidRPr="0008623B" w:rsidRDefault="00644B02" w:rsidP="007600E9">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EU-9a</w:t>
            </w:r>
          </w:p>
        </w:tc>
        <w:tc>
          <w:tcPr>
            <w:tcW w:w="7642" w:type="dxa"/>
          </w:tcPr>
          <w:p w14:paraId="32608FA7" w14:textId="7D99477C" w:rsidR="00547B2E" w:rsidRPr="0008623B" w:rsidRDefault="00547B2E" w:rsidP="007600E9">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(Koregavimai)</w:t>
            </w:r>
          </w:p>
          <w:p w14:paraId="716CE6EE" w14:textId="77777777" w:rsidR="00547B2E" w:rsidRPr="0008623B" w:rsidRDefault="00547B2E" w:rsidP="007600E9">
            <w:pPr>
              <w:rPr>
                <w:rStyle w:val="FormatvorlageInstructionsTabelleText"/>
                <w:sz w:val="24"/>
                <w:rFonts w:ascii="Times New Roman" w:hAnsi="Times New Roman"/>
              </w:rPr>
            </w:pPr>
            <w:r>
              <w:rPr>
                <w:rStyle w:val="FormatvorlageInstructionsTabelleText"/>
                <w:sz w:val="24"/>
                <w:rFonts w:ascii="Times New Roman" w:hAnsi="Times New Roman"/>
              </w:rPr>
              <w:t xml:space="preserve">Neigiama suma</w:t>
            </w:r>
          </w:p>
          <w:p w14:paraId="53DD0B4C" w14:textId="77777777" w:rsidR="00CB3841" w:rsidRPr="0008623B" w:rsidRDefault="00CB3841" w:rsidP="00CB3841">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Šioje eilutėje nurodomi šie koregavimai:</w:t>
            </w:r>
          </w:p>
          <w:p w14:paraId="61271E0C" w14:textId="02F82C25" w:rsidR="00766271" w:rsidRPr="0008623B" w:rsidRDefault="00766271" w:rsidP="00766271">
            <w:pPr>
              <w:pStyle w:val="ListParagraph"/>
              <w:numPr>
                <w:ilvl w:val="0"/>
                <w:numId w:val="16"/>
              </w:numPr>
              <w:rPr>
                <w:b/>
                <w:noProof/>
                <w:color w:val="000000" w:themeColor="text1"/>
                <w:sz w:val="24"/>
                <w:szCs w:val="24"/>
                <w:rFonts w:ascii="Times New Roman" w:hAnsi="Times New Roman" w:cs="Times New Roman"/>
              </w:rPr>
            </w:pPr>
            <w:r>
              <w:rPr>
                <w:sz w:val="24"/>
                <w:rFonts w:ascii="Times New Roman" w:hAnsi="Times New Roman"/>
              </w:rPr>
              <w:t xml:space="preserve">turimos nuosavų lėšų priemonės ir tinkamų įsipareigojimų priemonės, atskaitytinos pagal Reglamento (ES) Nr. 575/2013 72e straipsnio 5 dalį arba Direktyvos 2014/59/ES 45c straipsnio 2a dalies penktą pastraipą;</w:t>
            </w:r>
          </w:p>
          <w:p w14:paraId="17EE89C8" w14:textId="699CDE18" w:rsidR="00547B2E" w:rsidRPr="0008623B" w:rsidRDefault="00766271" w:rsidP="00CB3841">
            <w:pPr>
              <w:pStyle w:val="ListParagraph"/>
              <w:numPr>
                <w:ilvl w:val="0"/>
                <w:numId w:val="16"/>
              </w:num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sumos, kurioms taikomas leidimas pareikalauti tinkamų įsipareigojimų priemonių, jas išpirkti, padengti arba atpirkti pagal Reglamento (ES) Nr. 575/2013 78a straipsnį tiek, kiek informaciją teikiantis subjektas dar nėra pasinaudojęs ta suma, siekdamas pareikalauti priemonių, jas išpirkti, padengti arba atpirkti (nepanaudotos sumos pagal išankstinį leidimą).</w:t>
            </w:r>
          </w:p>
        </w:tc>
      </w:tr>
      <w:tr w:rsidR="00026FC1" w:rsidRPr="0008623B" w14:paraId="79FC726E" w14:textId="77777777" w:rsidTr="002A065A">
        <w:tc>
          <w:tcPr>
            <w:tcW w:w="1109" w:type="dxa"/>
            <w:tcBorders>
              <w:top w:val="single" w:sz="4" w:space="0" w:color="auto"/>
              <w:left w:val="single" w:sz="4" w:space="0" w:color="auto"/>
              <w:right w:val="single" w:sz="4" w:space="0" w:color="auto"/>
            </w:tcBorders>
          </w:tcPr>
          <w:p w14:paraId="4D0F161A" w14:textId="75BE9513" w:rsidR="00A9215E" w:rsidRPr="0008623B" w:rsidRDefault="00F42DCD" w:rsidP="008C1523">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EU-9b</w:t>
            </w:r>
          </w:p>
        </w:tc>
        <w:tc>
          <w:tcPr>
            <w:tcW w:w="7642" w:type="dxa"/>
            <w:tcBorders>
              <w:top w:val="single" w:sz="4" w:space="0" w:color="auto"/>
              <w:left w:val="single" w:sz="4" w:space="0" w:color="auto"/>
              <w:right w:val="single" w:sz="4" w:space="0" w:color="auto"/>
            </w:tcBorders>
          </w:tcPr>
          <w:p w14:paraId="4188FCBD" w14:textId="4ADDE5EB" w:rsidR="006475ED" w:rsidRPr="0008623B" w:rsidRDefault="00A9215E" w:rsidP="006475ED">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Nuosavos lėšos ir tinkamų įsipareigojimų straipsniai po koregavimų</w:t>
            </w:r>
          </w:p>
          <w:p w14:paraId="6DB0E5C7" w14:textId="7B912E87" w:rsidR="00547B2E" w:rsidRPr="0008623B" w:rsidRDefault="00547B2E" w:rsidP="00F42DCD">
            <w:pPr>
              <w:rPr>
                <w:rStyle w:val="FormatvorlageInstructionsTabelleText"/>
                <w:i/>
                <w:sz w:val="24"/>
                <w:rFonts w:ascii="Times New Roman" w:hAnsi="Times New Roman"/>
              </w:rPr>
            </w:pPr>
            <w:r>
              <w:rPr>
                <w:rStyle w:val="FormatvorlageInstructionsTabelleText"/>
                <w:i/>
                <w:sz w:val="24"/>
                <w:rFonts w:ascii="Times New Roman" w:hAnsi="Times New Roman"/>
              </w:rPr>
              <w:t xml:space="preserve">Vidinis MREL</w:t>
            </w:r>
          </w:p>
          <w:p w14:paraId="4FED8305" w14:textId="534AF772" w:rsidR="00547B2E" w:rsidRPr="0008623B" w:rsidRDefault="00F42DCD" w:rsidP="00F42DCD">
            <w:pPr>
              <w:rPr>
                <w:rStyle w:val="InstructionsTabelleberschrift"/>
                <w:b w:val="0"/>
                <w:sz w:val="24"/>
                <w:u w:val="none"/>
                <w:rFonts w:ascii="Times New Roman" w:hAnsi="Times New Roman"/>
              </w:rPr>
            </w:pPr>
            <w:r>
              <w:rPr>
                <w:sz w:val="24"/>
                <w:rStyle w:val="FormatvorlageInstructionsTabelleText"/>
                <w:rFonts w:ascii="Times New Roman" w:hAnsi="Times New Roman"/>
              </w:rPr>
              <w:t xml:space="preserve">Subjekto tinkamų nuosavų lėšų ir tinkamų įsipareigojimų sumos, atėmus koregavimus, įtraukiamos vykdant vidinį MREL, kaip nustatyta</w:t>
            </w:r>
            <w:r>
              <w:rPr>
                <w:sz w:val="24"/>
                <w:rFonts w:ascii="Times New Roman" w:hAnsi="Times New Roman"/>
              </w:rPr>
              <w:t xml:space="preserve"> Direktyvos 2014/59/ES 45f straipsnio 2 dalyje</w:t>
            </w:r>
            <w:r>
              <w:rPr>
                <w:sz w:val="24"/>
                <w:rStyle w:val="InstructionsTabelleberschrift"/>
                <w:b w:val="0"/>
                <w:u w:val="none"/>
                <w:rFonts w:ascii="Times New Roman" w:hAnsi="Times New Roman"/>
              </w:rPr>
              <w:t xml:space="preserve">, taip pat atsižvelgiant, kai taikoma, į tos direktyvos 89 straipsnio 2 dalies ketvirtą pastraipą.</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Tuo atveju, kai priemones reglamentuoja trečiosios valstybės teisė, į šią eilutę priemonė įtraukiama tik jeigu ji atitinka Direktyvos 2014/59/ES 55 straipsnyje nustatytus reikalavimus.</w:t>
            </w:r>
          </w:p>
          <w:p w14:paraId="2C1B0641" w14:textId="08263093" w:rsidR="00547B2E" w:rsidRPr="0008623B" w:rsidRDefault="00547B2E" w:rsidP="00F42DCD">
            <w:pPr>
              <w:rPr>
                <w:rStyle w:val="InstructionsTabelleberschrift"/>
                <w:b w:val="0"/>
                <w:sz w:val="24"/>
                <w:u w:val="none"/>
                <w:rFonts w:ascii="Times New Roman" w:hAnsi="Times New Roman"/>
              </w:rPr>
            </w:pPr>
            <w:r>
              <w:rPr>
                <w:color w:val="000000" w:themeColor="text1"/>
                <w:sz w:val="24"/>
                <w:rFonts w:ascii="Times New Roman" w:hAnsi="Times New Roman"/>
              </w:rPr>
              <w:t xml:space="preserve">Apskaičiuojama prie EU-6 eilutės vertės pridėjus EU-7 ir EU-9a eilučių vertes.</w:t>
            </w:r>
          </w:p>
          <w:p w14:paraId="2538ACE7" w14:textId="7B547E87" w:rsidR="00547B2E" w:rsidRPr="0008623B" w:rsidRDefault="00547B2E" w:rsidP="00F42DCD">
            <w:pPr>
              <w:rPr>
                <w:rStyle w:val="FormatvorlageInstructionsTabelleText"/>
                <w:i/>
                <w:sz w:val="24"/>
                <w:rFonts w:ascii="Times New Roman" w:hAnsi="Times New Roman"/>
              </w:rPr>
            </w:pPr>
            <w:r>
              <w:rPr>
                <w:rStyle w:val="FormatvorlageInstructionsTabelleText"/>
                <w:i/>
                <w:sz w:val="24"/>
                <w:rFonts w:ascii="Times New Roman" w:hAnsi="Times New Roman"/>
              </w:rPr>
              <w:t xml:space="preserve">Vidinis TLAC</w:t>
            </w:r>
          </w:p>
          <w:p w14:paraId="56CFB916" w14:textId="470CF1AB" w:rsidR="006475ED" w:rsidRPr="0008623B" w:rsidRDefault="00547B2E" w:rsidP="00503590">
            <w:pPr>
              <w:rPr>
                <w:b/>
                <w:noProof/>
                <w:color w:val="000000" w:themeColor="text1"/>
                <w:sz w:val="24"/>
                <w:szCs w:val="24"/>
                <w:rFonts w:ascii="Times New Roman" w:hAnsi="Times New Roman" w:cs="Times New Roman"/>
              </w:rPr>
            </w:pPr>
            <w:r>
              <w:rPr>
                <w:sz w:val="24"/>
                <w:rStyle w:val="FormatvorlageInstructionsTabelleText"/>
                <w:rFonts w:ascii="Times New Roman" w:hAnsi="Times New Roman"/>
              </w:rPr>
              <w:t xml:space="preserve">Tinkamos nuosavos lėšos ir tinkami įsipareigojimai, įtraukiami vykdant ne ES G-SII nuosavų lėšų ir tinkamų įsipareigojimų reikalavimą, kaip nurodyta Reglamento (ES) Nr. 575/2013 92b straipsnio 2 dalyje</w:t>
            </w:r>
            <w:r>
              <w:rPr>
                <w:sz w:val="24"/>
                <w:color w:val="000000" w:themeColor="text1"/>
                <w:rFonts w:ascii="Times New Roman" w:hAnsi="Times New Roman"/>
              </w:rPr>
              <w:t xml:space="preserve">.</w:t>
            </w:r>
            <w:r>
              <w:rPr>
                <w:sz w:val="24"/>
                <w:color w:val="000000" w:themeColor="text1"/>
                <w:rFonts w:ascii="Times New Roman" w:hAnsi="Times New Roman"/>
              </w:rPr>
              <w:t xml:space="preserve"> </w:t>
            </w:r>
            <w:r>
              <w:rPr>
                <w:sz w:val="24"/>
                <w:color w:val="000000" w:themeColor="text1"/>
                <w:rFonts w:ascii="Times New Roman" w:hAnsi="Times New Roman"/>
              </w:rPr>
              <w:t xml:space="preserve">Apskaičiuojama prie EU-6 eilutės vertės pridėjus EU-7 eilutės vertę.</w:t>
            </w:r>
          </w:p>
        </w:tc>
      </w:tr>
      <w:tr w:rsidR="00026FC1" w:rsidRPr="0008623B" w14:paraId="2CEBF3B0" w14:textId="77777777" w:rsidTr="002A065A">
        <w:tc>
          <w:tcPr>
            <w:tcW w:w="1109" w:type="dxa"/>
          </w:tcPr>
          <w:p w14:paraId="43BF2529" w14:textId="36FBE66E" w:rsidR="000C5255" w:rsidRPr="0008623B" w:rsidDel="00FF3133" w:rsidRDefault="007F6136" w:rsidP="00F421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EU-10</w:t>
            </w:r>
          </w:p>
        </w:tc>
        <w:tc>
          <w:tcPr>
            <w:tcW w:w="7642" w:type="dxa"/>
          </w:tcPr>
          <w:p w14:paraId="09DCE834" w14:textId="5F82E219" w:rsidR="007F6136" w:rsidRPr="0008623B" w:rsidRDefault="007F6136" w:rsidP="00C07CCC">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Bendra rizikos pozicijos suma (TREA)</w:t>
            </w:r>
          </w:p>
          <w:p w14:paraId="5B78340F" w14:textId="6D0E9C20" w:rsidR="000C5255" w:rsidRPr="0008623B" w:rsidRDefault="000C525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Atitinkamai atskiro subjekto arba konsoliduotos grupės, kurios lygmeniu nustatyti reikalavimai, bendra rizikos pozicijos suma pagal Reglamento (ES) Nr. 575/2013 18 straipsnio 1 dalies antrą pastraipą.</w:t>
            </w:r>
          </w:p>
          <w:p w14:paraId="17016E2A" w14:textId="75D89C0B" w:rsidR="008149F0" w:rsidRPr="0008623B" w:rsidRDefault="008149F0" w:rsidP="00B7091D">
            <w:p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Šioje eilutėje nurodoma bendra rizikos pozicijos suma yra bendra rizikos pozicijos suma, kuri yra atitinkamai Direktyvos 2014/59/ES 45 straipsnio arba Reglamento (ES) Nr. 575/2013 92b straipsnio reikalavimų laikymosi pagrindas.</w:t>
            </w:r>
          </w:p>
        </w:tc>
      </w:tr>
      <w:tr w:rsidR="00026FC1" w:rsidRPr="0008623B" w14:paraId="09EE5A03" w14:textId="77777777" w:rsidTr="002A065A">
        <w:tc>
          <w:tcPr>
            <w:tcW w:w="1109" w:type="dxa"/>
          </w:tcPr>
          <w:p w14:paraId="5D0897E5" w14:textId="78C3CD2B" w:rsidR="000C5255" w:rsidRPr="0008623B" w:rsidDel="00FF3133" w:rsidRDefault="007F6136"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EU-11</w:t>
            </w:r>
          </w:p>
        </w:tc>
        <w:tc>
          <w:tcPr>
            <w:tcW w:w="7642" w:type="dxa"/>
          </w:tcPr>
          <w:p w14:paraId="3D1B444A" w14:textId="48056C18" w:rsidR="000C5255" w:rsidRPr="0008623B" w:rsidRDefault="00D156A3" w:rsidP="000C525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Bendras pozicijų matas (TEM)</w:t>
            </w:r>
          </w:p>
          <w:p w14:paraId="53B11114" w14:textId="7FEC6446" w:rsidR="000C5255" w:rsidRPr="0008623B" w:rsidRDefault="006501CC" w:rsidP="00282ED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Atitinkamai atskiro subjekto arba konsoliduotos grupės, kurios lygmeniu nustatyti reikalavimai, bendras pozicijų matas (sverto koeficiento vardiklis) pagal Reglamento (ES) Nr. 575/2013 429 straipsnio 4 dalį ir 429a straipsnį.</w:t>
            </w:r>
          </w:p>
          <w:p w14:paraId="2DB81445" w14:textId="64886997" w:rsidR="008149F0" w:rsidRPr="0008623B" w:rsidRDefault="008149F0" w:rsidP="00B7091D">
            <w:p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Šioje eilutėje pateikiamas bendras pozicijų matas yra bendras pozicijų matas, kuris yra atitinkamai </w:t>
            </w:r>
            <w:r>
              <w:rPr>
                <w:rStyle w:val="FormatvorlageInstructionsTabelleText"/>
                <w:sz w:val="24"/>
                <w:rFonts w:ascii="Times New Roman" w:hAnsi="Times New Roman"/>
              </w:rPr>
              <w:t xml:space="preserve">Direktyvos 2014/59/ES</w:t>
            </w:r>
            <w:r>
              <w:rPr>
                <w:rStyle w:val="FormatvorlageInstructionsTabelleText"/>
                <w:sz w:val="24"/>
                <w:rFonts w:ascii="Times New Roman" w:hAnsi="Times New Roman"/>
              </w:rPr>
              <w:t xml:space="preserve"> 45 straipsnyje arba Reglamento (ES) Nr. 575/2013 92b straipsnyje nustatytų reikalavimų laikymosi pagrindas.</w:t>
            </w:r>
          </w:p>
        </w:tc>
      </w:tr>
      <w:tr w:rsidR="00026FC1" w:rsidRPr="0008623B" w14:paraId="3F7E48D5" w14:textId="77777777" w:rsidTr="002A065A">
        <w:tc>
          <w:tcPr>
            <w:tcW w:w="1109" w:type="dxa"/>
          </w:tcPr>
          <w:p w14:paraId="068C68E0" w14:textId="4F4AB2A0" w:rsidR="000C5255" w:rsidRPr="0008623B" w:rsidRDefault="007F6136"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EU-12</w:t>
            </w:r>
          </w:p>
        </w:tc>
        <w:tc>
          <w:tcPr>
            <w:tcW w:w="7642" w:type="dxa"/>
          </w:tcPr>
          <w:p w14:paraId="4D8D9DC8" w14:textId="2ACFCB31" w:rsidR="000C5255" w:rsidRPr="0008623B" w:rsidRDefault="000C5255" w:rsidP="000C525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Nuosavos lėšos ir tinkami įsipareigojimai kaip TREA procentinė dalis</w:t>
            </w:r>
          </w:p>
          <w:p w14:paraId="745451FA" w14:textId="77777777" w:rsidR="000C5255" w:rsidRPr="0008623B" w:rsidRDefault="000C5255" w:rsidP="007F6136">
            <w:pPr>
              <w:rPr>
                <w:bCs/>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Nuosavų lėšų ir tinkamų įsipareigojimų koeficientas kaip bendros rizikos pozicijos sumos procentinė dalis.</w:t>
            </w:r>
          </w:p>
          <w:p w14:paraId="53A01624" w14:textId="53B31A41" w:rsidR="00DB779A" w:rsidRPr="0008623B" w:rsidRDefault="00DB779A" w:rsidP="00AB7A3C">
            <w:p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Apskaičiuojama EU-9b eilutės vertę padalijus iš EU-10 eilutės vertės.</w:t>
            </w:r>
          </w:p>
        </w:tc>
      </w:tr>
      <w:tr w:rsidR="000F5992" w:rsidRPr="0008623B" w14:paraId="05A06C82" w14:textId="77777777" w:rsidTr="002A065A">
        <w:tc>
          <w:tcPr>
            <w:tcW w:w="1109" w:type="dxa"/>
          </w:tcPr>
          <w:p w14:paraId="3717A45E" w14:textId="2311289F" w:rsidR="000F5992" w:rsidRPr="0008623B" w:rsidDel="00F42177" w:rsidRDefault="000F5992"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EU-13</w:t>
            </w:r>
          </w:p>
        </w:tc>
        <w:tc>
          <w:tcPr>
            <w:tcW w:w="7642" w:type="dxa"/>
          </w:tcPr>
          <w:p w14:paraId="4B61594C" w14:textId="66FE0C57" w:rsidR="000F5992" w:rsidRPr="0008623B" w:rsidRDefault="00FF5E0F" w:rsidP="000C525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Nuosavos lėšos ir tinkami įsipareigojimai kaip TREA procentinė dalis, iš jų leidžiamos garantijos</w:t>
            </w:r>
          </w:p>
          <w:p w14:paraId="3E66E9D6" w14:textId="43B7D24C" w:rsidR="000F5992" w:rsidRPr="0008623B" w:rsidRDefault="00B24DB1" w:rsidP="00A96376">
            <w:pPr>
              <w:rPr>
                <w:noProof/>
                <w:color w:val="000000" w:themeColor="text1"/>
                <w:sz w:val="24"/>
                <w:szCs w:val="24"/>
                <w:rFonts w:ascii="Times New Roman" w:hAnsi="Times New Roman" w:cs="Times New Roman"/>
              </w:rPr>
            </w:pPr>
            <w:r>
              <w:rPr>
                <w:sz w:val="24"/>
                <w:rStyle w:val="FormatvorlageInstructionsTabelleText"/>
                <w:rFonts w:ascii="Times New Roman" w:hAnsi="Times New Roman"/>
              </w:rPr>
              <w:t xml:space="preserve">Jeigu patronuojamosios įmonės pertvarkymo institucija leidžia subjektui vidinį MREL įvykdyti naudojant garantijas, garantijų, kurias suteikia pertvarkytinas subjektas ir kurios atitinka </w:t>
            </w:r>
            <w:r>
              <w:rPr>
                <w:sz w:val="24"/>
                <w:rFonts w:ascii="Times New Roman" w:hAnsi="Times New Roman"/>
              </w:rPr>
              <w:t xml:space="preserve">Direktyvos 2014/59/ES</w:t>
            </w:r>
            <w:r>
              <w:rPr>
                <w:sz w:val="24"/>
                <w:color w:val="000000" w:themeColor="text1"/>
                <w:rFonts w:ascii="Times New Roman" w:hAnsi="Times New Roman"/>
              </w:rPr>
              <w:t xml:space="preserve"> 45f straipsnio 5 dalyje nustatytas sąlygas, suma kaip bendros rizikos pozicijos procentinė dalis.</w:t>
            </w:r>
          </w:p>
          <w:p w14:paraId="21098783" w14:textId="24721D46" w:rsidR="00B24DB1" w:rsidRPr="0008623B" w:rsidRDefault="00B07EB6" w:rsidP="00AA0676">
            <w:p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Apskaičiuojama EU-8 eilutės vertę padalijus iš EU-10 eilutės vertės.</w:t>
            </w:r>
          </w:p>
        </w:tc>
      </w:tr>
      <w:tr w:rsidR="00026FC1" w:rsidRPr="0008623B" w14:paraId="1BE5C236" w14:textId="77777777" w:rsidTr="002A065A">
        <w:tc>
          <w:tcPr>
            <w:tcW w:w="1109" w:type="dxa"/>
          </w:tcPr>
          <w:p w14:paraId="6389E44B" w14:textId="64502185" w:rsidR="000C5255" w:rsidRPr="0008623B" w:rsidRDefault="007F6136"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EU-14</w:t>
            </w:r>
          </w:p>
        </w:tc>
        <w:tc>
          <w:tcPr>
            <w:tcW w:w="7642" w:type="dxa"/>
          </w:tcPr>
          <w:p w14:paraId="747FEBA4" w14:textId="71CE299B" w:rsidR="000C5255" w:rsidRPr="0008623B" w:rsidRDefault="000C5255" w:rsidP="000C525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Nuosavos lėšos ir tinkami įsipareigojimai kaip TEM procentinė dalis</w:t>
            </w:r>
          </w:p>
          <w:p w14:paraId="10E78AE1" w14:textId="0BBF5E97" w:rsidR="000C5255" w:rsidRPr="0008623B" w:rsidRDefault="000C5255">
            <w:pPr>
              <w:rPr>
                <w:bCs/>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Nuosavų lėšų ir tinkamų įsipareigojimų koeficientas kaip bendro pozicijų mato procentinė dalis.</w:t>
            </w:r>
          </w:p>
          <w:p w14:paraId="3C080CF4" w14:textId="28CCBF72" w:rsidR="003946D4" w:rsidRPr="0008623B" w:rsidRDefault="003946D4" w:rsidP="00AB7A3C">
            <w:p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Apskaičiuojama EU-9b eilutės vertę padalijus iš EU-11 eilutės vertės.</w:t>
            </w:r>
          </w:p>
        </w:tc>
      </w:tr>
      <w:tr w:rsidR="000F5992" w:rsidRPr="0008623B" w14:paraId="06EE9DB1" w14:textId="77777777" w:rsidTr="002A065A">
        <w:tc>
          <w:tcPr>
            <w:tcW w:w="1109" w:type="dxa"/>
          </w:tcPr>
          <w:p w14:paraId="38BE120A" w14:textId="5E907A17" w:rsidR="000F5992" w:rsidRPr="0008623B" w:rsidDel="00F42177" w:rsidRDefault="000F5992"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EU-15</w:t>
            </w:r>
          </w:p>
        </w:tc>
        <w:tc>
          <w:tcPr>
            <w:tcW w:w="7642" w:type="dxa"/>
          </w:tcPr>
          <w:p w14:paraId="6EC6E664" w14:textId="0D1F1FF7" w:rsidR="000F5992" w:rsidRPr="0008623B" w:rsidRDefault="00FF5E0F" w:rsidP="003F5FDC">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Nuosavos lėšos ir tinkami įsipareigojimai kaip TEM procentinė dalis, iš jų leidžiamos garantijos</w:t>
            </w:r>
          </w:p>
          <w:p w14:paraId="49C52AE4" w14:textId="4E11ED80" w:rsidR="00B07EB6" w:rsidRPr="0008623B" w:rsidRDefault="00AA0676" w:rsidP="00A96376">
            <w:pPr>
              <w:rPr>
                <w:noProof/>
                <w:color w:val="000000" w:themeColor="text1"/>
                <w:sz w:val="24"/>
                <w:szCs w:val="24"/>
                <w:rFonts w:ascii="Times New Roman" w:hAnsi="Times New Roman" w:cs="Times New Roman"/>
              </w:rPr>
            </w:pPr>
            <w:r>
              <w:rPr>
                <w:sz w:val="24"/>
                <w:rStyle w:val="FormatvorlageInstructionsTabelleText"/>
                <w:rFonts w:ascii="Times New Roman" w:hAnsi="Times New Roman"/>
              </w:rPr>
              <w:t xml:space="preserve">Jeigu patronuojamosios įmonės pertvarkymo institucija leidžia subjektui vidinį MREL įvykdyti naudojant garantijas, garantijų, kurias suteikia pertvarkytinas subjektas ir kurios atitinka </w:t>
            </w:r>
            <w:r>
              <w:rPr>
                <w:sz w:val="24"/>
                <w:rFonts w:ascii="Times New Roman" w:hAnsi="Times New Roman"/>
              </w:rPr>
              <w:t xml:space="preserve">Direktyvos 2014/59/ES</w:t>
            </w:r>
            <w:r>
              <w:rPr>
                <w:sz w:val="24"/>
                <w:color w:val="000000" w:themeColor="text1"/>
                <w:rFonts w:ascii="Times New Roman" w:hAnsi="Times New Roman"/>
              </w:rPr>
              <w:t xml:space="preserve"> 45f straipsnio 5 dalyje nustatytas sąlygas, suma kaip bendro pozicijų mato procentinė dalis.</w:t>
            </w:r>
          </w:p>
          <w:p w14:paraId="5F818595" w14:textId="4B7CE3AB" w:rsidR="000F5992" w:rsidRPr="0008623B" w:rsidRDefault="00B07EB6" w:rsidP="00B07EB6">
            <w:p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Apskaičiuojama EU-8 eilutės vertę padalijus iš EU-11 eilutės vertės.</w:t>
            </w:r>
          </w:p>
        </w:tc>
      </w:tr>
      <w:tr w:rsidR="00026FC1" w:rsidRPr="0008623B" w14:paraId="72C7F5C5" w14:textId="77777777" w:rsidTr="002A065A">
        <w:tc>
          <w:tcPr>
            <w:tcW w:w="1109" w:type="dxa"/>
          </w:tcPr>
          <w:p w14:paraId="480E6DB5" w14:textId="4B427067" w:rsidR="000C5255" w:rsidRPr="0008623B" w:rsidRDefault="00F42177"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EU-16</w:t>
            </w:r>
          </w:p>
        </w:tc>
        <w:tc>
          <w:tcPr>
            <w:tcW w:w="7642" w:type="dxa"/>
          </w:tcPr>
          <w:p w14:paraId="77339BFA" w14:textId="07707C45" w:rsidR="000C5255" w:rsidRPr="0008623B" w:rsidRDefault="000C5255" w:rsidP="000C525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Bendras 1 lygio nuosavas kapitalas (CET1) (kaip TREA procentinė dalis), likęs įvykdžius subjekto reikalavimus</w:t>
            </w:r>
          </w:p>
          <w:p w14:paraId="10969C39" w14:textId="385E6EF9" w:rsidR="00A47BCD" w:rsidRPr="0008623B" w:rsidRDefault="00A47BCD" w:rsidP="00AA067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Lygi nuliui arba teigiama CET1 suma, likusi įvykdžius kiekvieną iš</w:t>
            </w:r>
            <w:r>
              <w:rPr>
                <w:color w:val="000000" w:themeColor="text1"/>
                <w:sz w:val="24"/>
                <w:rFonts w:ascii="Times New Roman" w:hAnsi="Times New Roman"/>
              </w:rPr>
              <w:t xml:space="preserve"> Direktyvos 2013/36/ES </w:t>
            </w:r>
            <w:r>
              <w:rPr>
                <w:color w:val="000000" w:themeColor="text1"/>
                <w:sz w:val="24"/>
                <w:rFonts w:ascii="Times New Roman" w:hAnsi="Times New Roman"/>
              </w:rPr>
              <w:t xml:space="preserve">141a straipsnio a, b ir c punktuose nurodytų reikalavimų, ir didesnioji iš šių sumų</w:t>
            </w:r>
            <w:r>
              <w:rPr>
                <w:color w:val="000000" w:themeColor="text1"/>
                <w:sz w:val="24"/>
                <w:rFonts w:ascii="Times New Roman" w:hAnsi="Times New Roman"/>
              </w:rPr>
              <w:t xml:space="preserve">:</w:t>
            </w:r>
          </w:p>
          <w:p w14:paraId="58E9B9E9" w14:textId="7860E6DE" w:rsidR="00A47BCD" w:rsidRPr="0008623B" w:rsidRDefault="00A47BCD" w:rsidP="00AA067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 kai taikoma, ne ES G-SII nuosavų lėšų ir tinkamų įsipareigojimų reikalavimas pagal Reglamento (ES) Nr. 575/2013 92b straipsnį, jei apskaičiuotas pagal Reglamento (ES) Nr. 575/2013 92b straipsnio 1 dalį kaip 90 % to reglamento 92a straipsnio 1 dalies a punkto reikalavimo, ir</w:t>
            </w:r>
            <w:r>
              <w:rPr>
                <w:color w:val="000000" w:themeColor="text1"/>
                <w:sz w:val="24"/>
                <w:rFonts w:ascii="Times New Roman" w:hAnsi="Times New Roman"/>
              </w:rPr>
              <w:t xml:space="preserve"> </w:t>
            </w:r>
          </w:p>
          <w:p w14:paraId="198DF7D6" w14:textId="3885C36B" w:rsidR="00A47BCD" w:rsidRPr="0008623B" w:rsidRDefault="00A47BCD" w:rsidP="00AA067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b) minimalus nuosavų lėšų ir tinkamų įsipareigojimų reikalavimas pagal</w:t>
            </w:r>
            <w:r>
              <w:rPr>
                <w:color w:val="000000" w:themeColor="text1"/>
                <w:sz w:val="24"/>
                <w:rFonts w:ascii="Times New Roman" w:hAnsi="Times New Roman"/>
              </w:rPr>
              <w:t xml:space="preserve"> Direktyvos 2014/59/ES 45f straipsnį, apskaičiuotas pagal tos direktyvos 45 straipsnio 2 dalies a punktą.</w:t>
            </w:r>
          </w:p>
          <w:p w14:paraId="4CF4E1A3" w14:textId="6E11E15F" w:rsidR="00A47BCD" w:rsidRPr="0008623B" w:rsidRDefault="00A47BCD" w:rsidP="00AA067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Atskleistas skaičius yra identiškas MREL ir TLAC skiltyse.</w:t>
            </w:r>
          </w:p>
          <w:p w14:paraId="6C9387A7" w14:textId="461089FB" w:rsidR="000C5255" w:rsidRPr="0008623B" w:rsidRDefault="00A47BCD" w:rsidP="00AA0676">
            <w:pPr>
              <w:rPr>
                <w:b/>
                <w:noProof/>
              </w:rPr>
            </w:pPr>
            <w:r>
              <w:rPr>
                <w:color w:val="000000" w:themeColor="text1"/>
                <w:sz w:val="24"/>
                <w:rFonts w:ascii="Times New Roman" w:hAnsi="Times New Roman"/>
              </w:rPr>
              <w:t xml:space="preserve">Juo atsižvelgiama į pereinamojo laikotarpio nuostatų poveikį nuosavoms lėšoms ir tinkamiems įsipareigojimams, bendrai rizikos pozicijos sumai ir patiems reikalavimams.</w:t>
            </w:r>
            <w:r>
              <w:rPr>
                <w:color w:val="000000" w:themeColor="text1"/>
                <w:sz w:val="24"/>
                <w:rFonts w:ascii="Times New Roman" w:hAnsi="Times New Roman"/>
              </w:rPr>
              <w:t xml:space="preserve"> </w:t>
            </w:r>
            <w:r>
              <w:rPr>
                <w:color w:val="000000" w:themeColor="text1"/>
                <w:sz w:val="24"/>
                <w:rFonts w:ascii="Times New Roman" w:hAnsi="Times New Roman"/>
              </w:rPr>
              <w:t xml:space="preserve">Nei į gaires dėl papildomų nuosavų lėšų, nurodytas Direktyvos 2013/36/ES 104b straipsnyje, nei į tos direktyvos 128 straipsnio pirmos pastraipos 6 punkte nustatytą jungtinio rezervo reikalavimą neatsižvelgiama.</w:t>
            </w:r>
          </w:p>
        </w:tc>
      </w:tr>
      <w:tr w:rsidR="00026FC1" w:rsidRPr="0008623B" w14:paraId="27986DD8" w14:textId="77777777" w:rsidTr="002A065A">
        <w:tc>
          <w:tcPr>
            <w:tcW w:w="1109" w:type="dxa"/>
          </w:tcPr>
          <w:p w14:paraId="72398D99" w14:textId="0534A19F" w:rsidR="000C5255" w:rsidRPr="0008623B" w:rsidRDefault="000F5992"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EU-17</w:t>
            </w:r>
          </w:p>
        </w:tc>
        <w:tc>
          <w:tcPr>
            <w:tcW w:w="7642" w:type="dxa"/>
          </w:tcPr>
          <w:p w14:paraId="76F0E68B" w14:textId="21794D3D" w:rsidR="000C5255" w:rsidRPr="0008623B" w:rsidRDefault="000C5255" w:rsidP="000C525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Įstaigos specialaus jungtinio rezervo reikalavimas</w:t>
            </w:r>
            <w:r>
              <w:rPr>
                <w:b/>
                <w:color w:val="000000" w:themeColor="text1"/>
                <w:sz w:val="24"/>
                <w:rFonts w:ascii="Times New Roman" w:hAnsi="Times New Roman"/>
              </w:rPr>
              <w:t xml:space="preserve"> </w:t>
            </w:r>
          </w:p>
          <w:p w14:paraId="24FA0B83" w14:textId="4835122C" w:rsidR="000C5255" w:rsidRPr="0008623B" w:rsidRDefault="000C5255" w:rsidP="00CB08B2">
            <w:p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Įstaigos specialaus jungtinio rezervo reikalavimas, apibrėžtas Direktyvos 2013/36/ES 128 straipsnio pirmos pastraipos 6 punkte, išreikštas bendros rizikos pozicijos sumos procentine dalimi ir taikomas subjektui pagal Direktyvos 2013/36/ES 128 straipsnio pirmos pastraipos 6 punktą.</w:t>
            </w:r>
          </w:p>
        </w:tc>
      </w:tr>
      <w:tr w:rsidR="00026FC1" w:rsidRPr="0008623B" w14:paraId="7F2F0D59" w14:textId="77777777" w:rsidTr="002A065A">
        <w:trPr>
          <w:trHeight w:val="58"/>
        </w:trPr>
        <w:tc>
          <w:tcPr>
            <w:tcW w:w="1109" w:type="dxa"/>
          </w:tcPr>
          <w:p w14:paraId="5F6F778C" w14:textId="5F16CF0E" w:rsidR="000F5992" w:rsidRPr="0008623B" w:rsidRDefault="00F42177" w:rsidP="00644B02">
            <w:pPr>
              <w:rPr>
                <w:bCs/>
                <w:iCs/>
                <w:color w:val="000000" w:themeColor="text1"/>
                <w:sz w:val="24"/>
                <w:szCs w:val="24"/>
                <w:rFonts w:ascii="Times New Roman" w:hAnsi="Times New Roman" w:cs="Times New Roman"/>
              </w:rPr>
            </w:pPr>
            <w:r>
              <w:rPr>
                <w:color w:val="000000" w:themeColor="text1"/>
                <w:sz w:val="24"/>
                <w:rFonts w:ascii="Times New Roman" w:hAnsi="Times New Roman"/>
              </w:rPr>
              <w:t xml:space="preserve">EU-18</w:t>
            </w:r>
          </w:p>
        </w:tc>
        <w:tc>
          <w:tcPr>
            <w:tcW w:w="7642" w:type="dxa"/>
          </w:tcPr>
          <w:p w14:paraId="44696FD9" w14:textId="2B694FE0" w:rsidR="008834C5" w:rsidRPr="0008623B" w:rsidRDefault="00F51FA3" w:rsidP="008834C5">
            <w:pPr>
              <w:rPr>
                <w:b/>
                <w:bCs/>
                <w:color w:val="000000" w:themeColor="text1"/>
                <w:sz w:val="24"/>
                <w:szCs w:val="24"/>
                <w:rFonts w:ascii="Times New Roman" w:hAnsi="Times New Roman" w:cs="Times New Roman"/>
              </w:rPr>
            </w:pPr>
            <w:r>
              <w:rPr>
                <w:b/>
                <w:color w:val="000000" w:themeColor="text1"/>
                <w:sz w:val="24"/>
                <w:rFonts w:ascii="Times New Roman" w:hAnsi="Times New Roman"/>
              </w:rPr>
              <w:t xml:space="preserve">Reikalavimas, išreikštas TREA procentine dalimi</w:t>
            </w:r>
          </w:p>
          <w:p w14:paraId="4059E3AD" w14:textId="09123D9B" w:rsidR="00B07EB6" w:rsidRPr="0008623B" w:rsidRDefault="00B07EB6" w:rsidP="0092457E">
            <w:pPr>
              <w:rPr>
                <w:i/>
                <w:noProof/>
                <w:sz w:val="24"/>
                <w:szCs w:val="24"/>
                <w:rFonts w:ascii="Times New Roman" w:hAnsi="Times New Roman" w:cs="Times New Roman"/>
              </w:rPr>
            </w:pPr>
            <w:r>
              <w:rPr>
                <w:i/>
                <w:sz w:val="24"/>
                <w:rFonts w:ascii="Times New Roman" w:hAnsi="Times New Roman"/>
              </w:rPr>
              <w:t xml:space="preserve">Vidinis MREL</w:t>
            </w:r>
          </w:p>
          <w:p w14:paraId="7A3B8EB3" w14:textId="022A0950" w:rsidR="00036DB1" w:rsidRPr="0008623B" w:rsidRDefault="00B07EB6" w:rsidP="0092457E">
            <w:pPr>
              <w:rPr>
                <w:bCs/>
                <w:noProof/>
                <w:sz w:val="24"/>
                <w:szCs w:val="24"/>
                <w:rFonts w:ascii="Times New Roman" w:hAnsi="Times New Roman" w:cs="Times New Roman"/>
              </w:rPr>
            </w:pPr>
            <w:r>
              <w:rPr>
                <w:sz w:val="24"/>
                <w:rFonts w:ascii="Times New Roman" w:hAnsi="Times New Roman"/>
              </w:rPr>
              <w:t xml:space="preserve">Nuosavų lėšų ir tinkamų įsipareigojimų reikalavimas, taikomas subjektui pagal Direktyvos 2014/59/ES 45f straipsnį, išreikštas bendros rizikos pozicijos sumos procentine dalimi (individualiu arba, kai taikytina, konsoliduotu lygmeniu).</w:t>
            </w:r>
          </w:p>
          <w:p w14:paraId="36F1A57F" w14:textId="701178C9" w:rsidR="00B07EB6" w:rsidRPr="0008623B" w:rsidRDefault="00B07EB6" w:rsidP="00B07EB6">
            <w:pPr>
              <w:rPr>
                <w:bCs/>
                <w:i/>
                <w:noProof/>
                <w:sz w:val="24"/>
                <w:szCs w:val="24"/>
                <w:rFonts w:ascii="Times New Roman" w:hAnsi="Times New Roman" w:cs="Times New Roman"/>
              </w:rPr>
            </w:pPr>
            <w:r>
              <w:rPr>
                <w:i/>
                <w:sz w:val="24"/>
                <w:rFonts w:ascii="Times New Roman" w:hAnsi="Times New Roman"/>
              </w:rPr>
              <w:t xml:space="preserve">Vidinis TLAC</w:t>
            </w:r>
          </w:p>
          <w:p w14:paraId="524A15B1" w14:textId="10807991" w:rsidR="00D156A3" w:rsidRPr="0008623B" w:rsidRDefault="00B07EB6" w:rsidP="00CB08B2">
            <w:pPr>
              <w:rPr>
                <w:bCs/>
                <w:noProof/>
                <w:sz w:val="24"/>
                <w:szCs w:val="24"/>
                <w:rFonts w:ascii="Times New Roman" w:hAnsi="Times New Roman" w:cs="Times New Roman"/>
              </w:rPr>
            </w:pPr>
            <w:r>
              <w:rPr>
                <w:sz w:val="24"/>
                <w:rFonts w:ascii="Times New Roman" w:hAnsi="Times New Roman"/>
              </w:rPr>
              <w:t xml:space="preserve">Reglamento (ES) Nr. 575/2013 92b straipsnyje nustatytas reikalavimas, išreikštas bendros rizikos pozicijos sumos procentine dalimi (individualiu arba, kai taikytina, konsoliduotu lygmeniu).</w:t>
            </w:r>
          </w:p>
        </w:tc>
      </w:tr>
      <w:tr w:rsidR="00026FC1" w:rsidRPr="0008623B" w14:paraId="33DA72AB" w14:textId="77777777" w:rsidTr="002A065A">
        <w:tc>
          <w:tcPr>
            <w:tcW w:w="1109" w:type="dxa"/>
          </w:tcPr>
          <w:p w14:paraId="784E2295" w14:textId="4500A04A" w:rsidR="008834C5" w:rsidRPr="0008623B" w:rsidRDefault="00F42177" w:rsidP="00CE0D4E">
            <w:pPr>
              <w:keepNext/>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EU-19</w:t>
            </w:r>
          </w:p>
        </w:tc>
        <w:tc>
          <w:tcPr>
            <w:tcW w:w="7642" w:type="dxa"/>
          </w:tcPr>
          <w:p w14:paraId="168B9372" w14:textId="2BC4791B" w:rsidR="008834C5" w:rsidRPr="0008623B" w:rsidRDefault="00FF5E0F" w:rsidP="008834C5">
            <w:pPr>
              <w:rPr>
                <w:b/>
                <w:bCs/>
                <w:color w:val="000000" w:themeColor="text1"/>
                <w:sz w:val="24"/>
                <w:szCs w:val="24"/>
                <w:rFonts w:ascii="Times New Roman" w:hAnsi="Times New Roman" w:cs="Times New Roman"/>
              </w:rPr>
            </w:pPr>
            <w:r>
              <w:rPr>
                <w:b/>
                <w:color w:val="000000" w:themeColor="text1"/>
                <w:sz w:val="24"/>
                <w:rFonts w:ascii="Times New Roman" w:hAnsi="Times New Roman"/>
              </w:rPr>
              <w:t xml:space="preserve">Reikalavimas, išreikštas TREA procentine dalimi. Iš jo: reikalavimo dalis, kuri gali būti įvykdyta naudojant garantiją</w:t>
            </w:r>
          </w:p>
          <w:p w14:paraId="689193A8" w14:textId="2B66DAF3" w:rsidR="00036DB1" w:rsidRPr="0008623B" w:rsidRDefault="00036DB1" w:rsidP="00102896">
            <w:pPr>
              <w:rPr>
                <w:b/>
                <w:noProof/>
                <w:color w:val="000000" w:themeColor="text1"/>
                <w:sz w:val="24"/>
                <w:szCs w:val="24"/>
                <w:rFonts w:ascii="Times New Roman" w:hAnsi="Times New Roman" w:cs="Times New Roman"/>
              </w:rPr>
            </w:pPr>
            <w:r>
              <w:rPr>
                <w:sz w:val="24"/>
                <w:rFonts w:ascii="Times New Roman" w:hAnsi="Times New Roman"/>
              </w:rPr>
              <w:t xml:space="preserve">Jei taikytina, nuosavų lėšų ir tinkamų įsipareigojimų reikalavimo dalis, išreikšta bendros rizikos pozicijos sumos procentine dalimi, kurią galima įvykdyti naudojant garantiją, suteikiamą pertvarkytino subjekto pagal Direktyvos 2014/59/ES 45f straipsnio 5 dalį.</w:t>
            </w:r>
          </w:p>
        </w:tc>
      </w:tr>
      <w:tr w:rsidR="00026FC1" w:rsidRPr="0008623B" w14:paraId="7DB5B45D" w14:textId="77777777" w:rsidTr="002A065A">
        <w:tc>
          <w:tcPr>
            <w:tcW w:w="1109" w:type="dxa"/>
          </w:tcPr>
          <w:p w14:paraId="291F5089" w14:textId="5540E6DA" w:rsidR="008834C5" w:rsidRPr="0008623B" w:rsidRDefault="00BB093D"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EU-20</w:t>
            </w:r>
          </w:p>
        </w:tc>
        <w:tc>
          <w:tcPr>
            <w:tcW w:w="7642" w:type="dxa"/>
          </w:tcPr>
          <w:p w14:paraId="517C1D7E" w14:textId="160471A8" w:rsidR="008834C5" w:rsidRPr="0008623B" w:rsidRDefault="00A96376" w:rsidP="008834C5">
            <w:pPr>
              <w:rPr>
                <w:b/>
                <w:bCs/>
                <w:color w:val="000000" w:themeColor="text1"/>
                <w:sz w:val="24"/>
                <w:szCs w:val="24"/>
                <w:rFonts w:ascii="Times New Roman" w:hAnsi="Times New Roman" w:cs="Times New Roman"/>
              </w:rPr>
            </w:pPr>
            <w:r>
              <w:rPr>
                <w:b/>
                <w:color w:val="000000" w:themeColor="text1"/>
                <w:sz w:val="24"/>
                <w:rFonts w:ascii="Times New Roman" w:hAnsi="Times New Roman"/>
              </w:rPr>
              <w:t xml:space="preserve">Reikalavimas, išreikštas TEM procentine dalimi</w:t>
            </w:r>
          </w:p>
          <w:p w14:paraId="390682C6" w14:textId="2F127DB6" w:rsidR="00B07EB6" w:rsidRPr="0008623B" w:rsidRDefault="00B07EB6">
            <w:pPr>
              <w:rPr>
                <w:i/>
                <w:noProof/>
                <w:sz w:val="24"/>
                <w:szCs w:val="24"/>
                <w:rFonts w:ascii="Times New Roman" w:hAnsi="Times New Roman" w:cs="Times New Roman"/>
              </w:rPr>
            </w:pPr>
            <w:r>
              <w:rPr>
                <w:i/>
                <w:sz w:val="24"/>
                <w:rFonts w:ascii="Times New Roman" w:hAnsi="Times New Roman"/>
              </w:rPr>
              <w:t xml:space="preserve">Vidinis MREL</w:t>
            </w:r>
          </w:p>
          <w:p w14:paraId="15AB0F32" w14:textId="4388F7B3" w:rsidR="00036DB1" w:rsidRPr="0008623B" w:rsidRDefault="00B07EB6">
            <w:pPr>
              <w:rPr>
                <w:bCs/>
                <w:noProof/>
                <w:sz w:val="24"/>
                <w:szCs w:val="24"/>
                <w:rFonts w:ascii="Times New Roman" w:hAnsi="Times New Roman" w:cs="Times New Roman"/>
              </w:rPr>
            </w:pPr>
            <w:r>
              <w:rPr>
                <w:sz w:val="24"/>
                <w:rFonts w:ascii="Times New Roman" w:hAnsi="Times New Roman"/>
              </w:rPr>
              <w:t xml:space="preserve">Nuosavų lėšų ir tinkamų įsipareigojimų reikalavimas, taikomas subjektui pagal Direktyvos 2014/59/ES 45f straipsnį, išreikštas bendro pozicijų mato procentine dalimi (individualiu arba, kai taikytina, konsoliduotu ES patronuojamųjų įmonių lygmeniu).</w:t>
            </w:r>
          </w:p>
          <w:p w14:paraId="28AE2B52" w14:textId="40D45C6B" w:rsidR="00B07EB6" w:rsidRPr="0008623B" w:rsidRDefault="00B07EB6" w:rsidP="006501CC">
            <w:pPr>
              <w:rPr>
                <w:bCs/>
                <w:i/>
                <w:noProof/>
                <w:sz w:val="24"/>
                <w:szCs w:val="24"/>
                <w:rFonts w:ascii="Times New Roman" w:hAnsi="Times New Roman" w:cs="Times New Roman"/>
              </w:rPr>
            </w:pPr>
            <w:r>
              <w:rPr>
                <w:i/>
                <w:sz w:val="24"/>
                <w:rFonts w:ascii="Times New Roman" w:hAnsi="Times New Roman"/>
              </w:rPr>
              <w:t xml:space="preserve">Vidinis TLAC</w:t>
            </w:r>
            <w:r>
              <w:rPr>
                <w:i/>
                <w:sz w:val="24"/>
                <w:rFonts w:ascii="Times New Roman" w:hAnsi="Times New Roman"/>
              </w:rPr>
              <w:t xml:space="preserve"> </w:t>
            </w:r>
          </w:p>
          <w:p w14:paraId="316152E4" w14:textId="47164313" w:rsidR="00D156A3" w:rsidRPr="0008623B" w:rsidRDefault="00B07EB6" w:rsidP="00CB08B2">
            <w:pPr>
              <w:rPr>
                <w:bCs/>
                <w:noProof/>
                <w:sz w:val="24"/>
                <w:szCs w:val="24"/>
                <w:rFonts w:ascii="Times New Roman" w:hAnsi="Times New Roman" w:cs="Times New Roman"/>
              </w:rPr>
            </w:pPr>
            <w:r>
              <w:rPr>
                <w:sz w:val="24"/>
                <w:rFonts w:ascii="Times New Roman" w:hAnsi="Times New Roman"/>
              </w:rPr>
              <w:t xml:space="preserve">Reglamento (ES) Nr. 575/2013 92b straipsnyje nustatytas reikalavimas, išreikštas bendro pozicijų mato procentine dalimi (individualiu arba, kai taikytina, konsoliduotu lygmeniu).</w:t>
            </w:r>
          </w:p>
        </w:tc>
      </w:tr>
      <w:tr w:rsidR="00026FC1" w:rsidRPr="0008623B" w14:paraId="665B02CC" w14:textId="77777777" w:rsidTr="002A065A">
        <w:tc>
          <w:tcPr>
            <w:tcW w:w="1109" w:type="dxa"/>
          </w:tcPr>
          <w:p w14:paraId="4CC8B518" w14:textId="34221154" w:rsidR="008834C5" w:rsidRPr="0008623B" w:rsidRDefault="0092457E"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EU-21</w:t>
            </w:r>
          </w:p>
        </w:tc>
        <w:tc>
          <w:tcPr>
            <w:tcW w:w="7642" w:type="dxa"/>
          </w:tcPr>
          <w:p w14:paraId="5E678549" w14:textId="3C180ACA" w:rsidR="008834C5" w:rsidRPr="0008623B" w:rsidRDefault="00FF5E0F" w:rsidP="008834C5">
            <w:pPr>
              <w:rPr>
                <w:b/>
                <w:bCs/>
                <w:color w:val="000000" w:themeColor="text1"/>
                <w:sz w:val="24"/>
                <w:szCs w:val="24"/>
                <w:rFonts w:ascii="Times New Roman" w:hAnsi="Times New Roman" w:cs="Times New Roman"/>
              </w:rPr>
            </w:pPr>
            <w:r>
              <w:rPr>
                <w:b/>
                <w:color w:val="000000" w:themeColor="text1"/>
                <w:sz w:val="24"/>
                <w:rFonts w:ascii="Times New Roman" w:hAnsi="Times New Roman"/>
              </w:rPr>
              <w:t xml:space="preserve">Reikalavimas, išreikštas TEM procentine dalimi. Iš jo: reikalavimo dalis, kuri gali būti įvykdyta naudojant garantiją</w:t>
            </w:r>
          </w:p>
          <w:p w14:paraId="4AD84850" w14:textId="46814386" w:rsidR="00036DB1" w:rsidRPr="0008623B" w:rsidRDefault="00036DB1" w:rsidP="00CB08B2">
            <w:pPr>
              <w:rPr>
                <w:b/>
                <w:noProof/>
                <w:color w:val="000000" w:themeColor="text1"/>
                <w:sz w:val="24"/>
                <w:szCs w:val="24"/>
                <w:rFonts w:ascii="Times New Roman" w:hAnsi="Times New Roman" w:cs="Times New Roman"/>
              </w:rPr>
            </w:pPr>
            <w:r>
              <w:rPr>
                <w:sz w:val="24"/>
                <w:rFonts w:ascii="Times New Roman" w:hAnsi="Times New Roman"/>
              </w:rPr>
              <w:t xml:space="preserve">Jei taikytina, nuosavų lėšų ir tinkamų įsipareigojimų reikalavimo dalis, išreikšta bendro pozicijų mato procentine dalimi, kurią galima įvykdyti naudojant garantiją, suteikiamą pertvarkytino subjekto pagal Direktyvos 2014/59/ES 45f straipsnio 5 dalį.</w:t>
            </w:r>
          </w:p>
        </w:tc>
      </w:tr>
      <w:tr w:rsidR="000B47A2" w:rsidRPr="0008623B" w14:paraId="2ACBD5CA" w14:textId="77777777" w:rsidTr="002A065A">
        <w:tc>
          <w:tcPr>
            <w:tcW w:w="1119" w:type="dxa"/>
            <w:vAlign w:val="top"/>
          </w:tcPr>
          <w:p w14:paraId="41CF7AC6" w14:textId="519C4DAD" w:rsidR="000B47A2" w:rsidRPr="0008623B" w:rsidRDefault="000B47A2" w:rsidP="003312F4">
            <w:pPr>
              <w:rPr>
                <w:sz w:val="24"/>
                <w:szCs w:val="24"/>
                <w:rFonts w:ascii="Times New Roman" w:hAnsi="Times New Roman" w:cs="Times New Roman"/>
              </w:rPr>
            </w:pPr>
            <w:r>
              <w:rPr>
                <w:sz w:val="24"/>
                <w:rFonts w:ascii="Times New Roman" w:hAnsi="Times New Roman"/>
              </w:rPr>
              <w:t xml:space="preserve">EU-22</w:t>
            </w:r>
          </w:p>
        </w:tc>
        <w:tc>
          <w:tcPr>
            <w:tcW w:w="7642" w:type="dxa"/>
            <w:vAlign w:val="top"/>
          </w:tcPr>
          <w:p w14:paraId="4FA5E841" w14:textId="053232BD" w:rsidR="000B47A2" w:rsidRPr="0008623B" w:rsidRDefault="000B47A2" w:rsidP="003312F4">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Bendra neįtrauktų įsipareigojimų, nurodytų Reglamento (ES) Nr. 575/2013 72a straipsnio 2 dalyje, suma</w:t>
            </w:r>
          </w:p>
        </w:tc>
      </w:tr>
    </w:tbl>
    <w:p w14:paraId="0C6C28B8" w14:textId="738A3B7A" w:rsidR="003956D6" w:rsidRPr="0008623B" w:rsidRDefault="003956D6" w:rsidP="003956D6">
      <w:pPr>
        <w:rPr>
          <w:b/>
          <w:color w:val="000000" w:themeColor="text1"/>
          <w:sz w:val="24"/>
          <w:szCs w:val="24"/>
          <w:rFonts w:ascii="Times New Roman" w:hAnsi="Times New Roman" w:cs="Times New Roman"/>
        </w:rPr>
      </w:pPr>
      <w:bookmarkStart w:id="209" w:name="_Toc521936439"/>
      <w:bookmarkStart w:id="210" w:name="_Toc521936455"/>
      <w:bookmarkStart w:id="211" w:name="_Toc521936215"/>
      <w:bookmarkStart w:id="212" w:name="_Toc521936440"/>
      <w:bookmarkStart w:id="213" w:name="_Toc521936456"/>
      <w:bookmarkStart w:id="214" w:name="_Toc521936554"/>
      <w:bookmarkStart w:id="215" w:name="_Toc521938414"/>
      <w:bookmarkStart w:id="216" w:name="_Toc521941535"/>
      <w:bookmarkStart w:id="217" w:name="_Toc521936122"/>
      <w:bookmarkStart w:id="218" w:name="_Toc521936139"/>
      <w:bookmarkStart w:id="219" w:name="_Toc521936178"/>
      <w:bookmarkStart w:id="220" w:name="_Toc521936190"/>
      <w:bookmarkStart w:id="221" w:name="_Toc521936218"/>
      <w:bookmarkStart w:id="222" w:name="_Toc521936278"/>
      <w:bookmarkStart w:id="223" w:name="_Toc521936409"/>
      <w:bookmarkStart w:id="224" w:name="_Toc521936443"/>
      <w:bookmarkStart w:id="225" w:name="_Toc521936459"/>
      <w:bookmarkStart w:id="226" w:name="_Toc521936503"/>
      <w:bookmarkStart w:id="227" w:name="_Toc521936555"/>
      <w:bookmarkStart w:id="228" w:name="_Toc521938415"/>
      <w:bookmarkStart w:id="229" w:name="_Toc5219415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A405E3F" w14:textId="56A87181"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bookmarkStart w:id="230" w:name="_Toc529272911"/>
      <w:bookmarkStart w:id="231" w:name="_Toc14770786"/>
      <w:bookmarkStart w:id="232" w:name="_Toc45266929"/>
      <w:bookmarkEnd w:id="0"/>
      <w:bookmarkEnd w:id="1"/>
      <w:bookmarkEnd w:id="2"/>
      <w:bookmarkEnd w:id="3"/>
      <w:bookmarkEnd w:id="4"/>
      <w:bookmarkEnd w:id="5"/>
      <w:bookmarkEnd w:id="6"/>
      <w:bookmarkEnd w:id="7"/>
      <w:bookmarkEnd w:id="8"/>
      <w:bookmarkEnd w:id="9"/>
      <w:r>
        <w:rPr>
          <w:color w:val="auto"/>
          <w:sz w:val="24"/>
          <w:rFonts w:ascii="Times New Roman" w:hAnsi="Times New Roman"/>
        </w:rPr>
        <w:t xml:space="preserve">5.</w:t>
      </w:r>
      <w:r>
        <w:rPr>
          <w:color w:val="auto"/>
          <w:sz w:val="24"/>
          <w:rFonts w:ascii="Times New Roman" w:hAnsi="Times New Roman"/>
        </w:rPr>
        <w:tab/>
      </w:r>
      <w:r>
        <w:rPr>
          <w:color w:val="auto"/>
          <w:sz w:val="24"/>
          <w:rFonts w:ascii="Times New Roman" w:hAnsi="Times New Roman"/>
        </w:rPr>
        <w:t xml:space="preserve">EU TLAC2.</w:t>
      </w:r>
      <w:r>
        <w:rPr>
          <w:color w:val="auto"/>
          <w:sz w:val="24"/>
          <w:rFonts w:ascii="Times New Roman" w:hAnsi="Times New Roman"/>
        </w:rPr>
        <w:t xml:space="preserve"> </w:t>
      </w:r>
      <w:r>
        <w:rPr>
          <w:color w:val="auto"/>
          <w:sz w:val="24"/>
          <w:rFonts w:ascii="Times New Roman" w:hAnsi="Times New Roman"/>
        </w:rPr>
        <w:t xml:space="preserve">Kreditorių eiliškumas. Subjektai, kurie patys nėra pertvarkytini</w:t>
      </w:r>
      <w:bookmarkEnd w:id="230"/>
      <w:r>
        <w:rPr>
          <w:color w:val="auto"/>
          <w:sz w:val="24"/>
          <w:rFonts w:ascii="Times New Roman" w:hAnsi="Times New Roman"/>
        </w:rPr>
        <w:t xml:space="preserve"> subjektai</w:t>
      </w:r>
      <w:bookmarkEnd w:id="231"/>
      <w:bookmarkEnd w:id="232"/>
    </w:p>
    <w:p w14:paraId="7A03C7D5" w14:textId="52B10ED1" w:rsidR="00EE122D" w:rsidRPr="0008623B" w:rsidRDefault="00EE122D" w:rsidP="00B62DC9">
      <w:pPr>
        <w:pStyle w:val="InstructionsText2"/>
        <w:numPr>
          <w:ilvl w:val="0"/>
          <w:numId w:val="12"/>
        </w:numPr>
      </w:pPr>
      <w:r>
        <w:t xml:space="preserve">Į EU TLAC2 formą įtraukta informacija atskleidžiama atskiro subjekto lygmeniu.</w:t>
      </w:r>
    </w:p>
    <w:p w14:paraId="37B5040A" w14:textId="241394B6" w:rsidR="00D76A01" w:rsidRPr="0008623B" w:rsidRDefault="00D76A01" w:rsidP="00B62DC9">
      <w:pPr>
        <w:pStyle w:val="InstructionsText2"/>
        <w:numPr>
          <w:ilvl w:val="0"/>
          <w:numId w:val="12"/>
        </w:numPr>
      </w:pPr>
      <w:r>
        <w:t xml:space="preserve">EU TLAC2 forma yra dviejų rūšių: EU TLAC2a ir EU TLAC2b.</w:t>
      </w:r>
      <w:r>
        <w:t xml:space="preserve"> </w:t>
      </w:r>
      <w:r>
        <w:t xml:space="preserve">EU TLAC2a forma apima visas finansavimo priemones, kurios yra tokio pat (</w:t>
      </w:r>
      <w:r>
        <w:rPr>
          <w:i/>
        </w:rPr>
        <w:t xml:space="preserve">pari passu</w:t>
      </w:r>
      <w:r>
        <w:t xml:space="preserve">) arba mažesnio prioriteto negu MREL reikalavimus atitinkančios priemonės, įskaitant nuosavų lėšų ir kitas kapitalo priemones.</w:t>
      </w:r>
      <w:r>
        <w:t xml:space="preserve"> </w:t>
      </w:r>
      <w:r>
        <w:t xml:space="preserve">EU TLAC2b forma apima tik nuosavas lėšas ir įsipareigojimus, kurie yra tinkami siekiant įvykdyti Direktyvos 2014/59/ES 45 straipsnyje nurodytą reikalavimą pagal tos direktyvos 45f straipsnį.</w:t>
      </w:r>
    </w:p>
    <w:p w14:paraId="51E3EFB7" w14:textId="5F05BD0B" w:rsidR="00410769" w:rsidRPr="0008623B" w:rsidRDefault="00410769" w:rsidP="00B62DC9">
      <w:pPr>
        <w:pStyle w:val="InstructionsText2"/>
        <w:numPr>
          <w:ilvl w:val="0"/>
          <w:numId w:val="12"/>
        </w:numPr>
      </w:pPr>
      <w:r>
        <w:t xml:space="preserve">Pagal šio reglamento 13 straipsnio 2 dalį subjektai, kuriems netaikoma prievolė laikytis Reglamento (ES) Nr. 575/2013 92b straipsnio reikalavimo, tačiau taikoma prievolė laikytis Direktyvos 2014/59/ES 45 straipsnyje nustatyto reikalavimo pagal tos direktyvos 45f straipsnį, gali pasirinkti, ar, siekdami laikytis Direktyvos 2014/59/ES 45i straipsnio 3 dalies b punkte nustatyto informacijos atskleidimo reikalavimo, jie naudos EU TLAC2a ar EU TLAC2b formą.</w:t>
      </w:r>
    </w:p>
    <w:p w14:paraId="0E950EC5" w14:textId="2D041687" w:rsidR="00510C0E" w:rsidRPr="0008623B" w:rsidRDefault="0071460A" w:rsidP="00B62DC9">
      <w:pPr>
        <w:pStyle w:val="InstructionsText2"/>
        <w:numPr>
          <w:ilvl w:val="0"/>
          <w:numId w:val="12"/>
        </w:numPr>
      </w:pPr>
      <w:r>
        <w:t xml:space="preserve">Nuo Direktyvos 2014/59/ES 45i straipsnio 3 dalies taikymo dienos emitentai TLAC2a formoje atskleidžia informaciją apie įsipareigojimus, kurie potencialiai tinkami vidiniams MREL ir vidiniams TLAC reikalavimams įvykdyti.</w:t>
      </w:r>
      <w:r>
        <w:t xml:space="preserve"> </w:t>
      </w:r>
      <w:r>
        <w:t xml:space="preserve">Iki tos datos emitentai atskleidžia informaciją apie įsipareigojimus, potencialiai tinkamus vidiniam TLAC reikalavimui įvykdyti.</w:t>
      </w:r>
    </w:p>
    <w:p w14:paraId="6CD2E5E7" w14:textId="10E10F4A" w:rsidR="00134FA4" w:rsidRPr="0008623B" w:rsidRDefault="00134FA4" w:rsidP="00B62DC9">
      <w:pPr>
        <w:pStyle w:val="InstructionsText2"/>
        <w:numPr>
          <w:ilvl w:val="0"/>
          <w:numId w:val="12"/>
        </w:numPr>
      </w:pPr>
      <w:r>
        <w:t xml:space="preserve">Eilutėse nurodytos neapmokėtos sumos turi būti suskirstytos pagal prioritetus nemokumo atveju remiantis emitento nemokumo teise, neatsižvelgiant į priemonę reglamentuojančią teisę.</w:t>
      </w:r>
    </w:p>
    <w:p w14:paraId="0B0B9A5D" w14:textId="25143FFC" w:rsidR="00134FA4" w:rsidRPr="0008623B" w:rsidRDefault="00522875" w:rsidP="00B62DC9">
      <w:pPr>
        <w:pStyle w:val="InstructionsText2"/>
        <w:numPr>
          <w:ilvl w:val="0"/>
          <w:numId w:val="12"/>
        </w:numPr>
      </w:pPr>
      <w:r>
        <w:t xml:space="preserve">Prioritetų nemokumo atveju eiliškumas yra kompetentingos pertvarkymo institucijos nurodytas eiliškumas, atitinkantis šio reglamento 8 straipsnyje nurodytą standartizuotą pateikimą.</w:t>
      </w:r>
    </w:p>
    <w:p w14:paraId="572D872C" w14:textId="35C5457F" w:rsidR="00134FA4" w:rsidRPr="0008623B" w:rsidRDefault="00134FA4" w:rsidP="00B62DC9">
      <w:pPr>
        <w:pStyle w:val="InstructionsText2"/>
        <w:numPr>
          <w:ilvl w:val="0"/>
          <w:numId w:val="12"/>
        </w:numPr>
      </w:pPr>
      <w:r>
        <w:t xml:space="preserve">Prioritetai išdėstomi nuo mažiausio iki didžiausio.</w:t>
      </w:r>
      <w:r>
        <w:t xml:space="preserve"> </w:t>
      </w:r>
      <w:r>
        <w:t xml:space="preserve">Reikia pridėti tiek prioritetų skilčių, kol bus nurodytos didžiausio prioriteto potencialiai reikalavimus atitinkančios priemonės.</w:t>
      </w:r>
      <w:r>
        <w:t xml:space="preserve"> </w:t>
      </w:r>
    </w:p>
    <w:p w14:paraId="451EEEC0" w14:textId="6C07DCB8" w:rsidR="00134FA4" w:rsidRPr="0008623B" w:rsidRDefault="00134FA4" w:rsidP="00B62DC9">
      <w:pPr>
        <w:pStyle w:val="InstructionsText2"/>
        <w:numPr>
          <w:ilvl w:val="0"/>
          <w:numId w:val="12"/>
        </w:numPr>
      </w:pPr>
      <w:r>
        <w:t xml:space="preserve">Kiekvienam prioritetui priskirtina suma toliau skirstoma į pertvarkytinam subjektui priklausančias sumas, įskaitant sumas, kurios, jei taikytina, tiesiogiai arba netiesiogiai priklauso pertvarkytinam subjektui per subjektus nuosavybės grandinėje,</w:t>
      </w:r>
      <w:r>
        <w:t xml:space="preserve"> </w:t>
      </w:r>
      <w:r>
        <w:t xml:space="preserve">ir, jei taikytina, kitas pertvarkytinam subjektui nepriklausančias sumas.</w:t>
      </w:r>
      <w:r>
        <w:t xml:space="preserve"> </w:t>
      </w:r>
      <w:r>
        <w:t xml:space="preserve">Kiekvienos eilutės bendra suma įrašoma į kiekvienos eilutės paskutinę skiltį.</w:t>
      </w:r>
    </w:p>
    <w:p w14:paraId="4EBA1B5C" w14:textId="77777777" w:rsidR="00134FA4" w:rsidRPr="0008623B" w:rsidRDefault="00134FA4" w:rsidP="00134FA4">
      <w:pPr>
        <w:rPr>
          <w:rFonts w:ascii="Times New Roman" w:hAnsi="Times New Roman" w:cs="Times New Roman"/>
          <w:noProof/>
          <w:color w:val="000000" w:themeColor="text1"/>
          <w:sz w:val="24"/>
          <w:szCs w:val="24"/>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31E0F598" w14:textId="77777777" w:rsidTr="006E5727">
        <w:trPr>
          <w:trHeight w:val="238"/>
        </w:trPr>
        <w:tc>
          <w:tcPr>
            <w:tcW w:w="1384" w:type="dxa"/>
            <w:shd w:val="clear" w:color="auto" w:fill="D9D9D9" w:themeFill="background1" w:themeFillShade="D9"/>
          </w:tcPr>
          <w:p w14:paraId="1E16BF2A" w14:textId="77777777" w:rsidR="00134FA4" w:rsidRPr="0008623B" w:rsidRDefault="00134FA4" w:rsidP="006E5727">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Eilutės</w:t>
            </w:r>
          </w:p>
        </w:tc>
        <w:tc>
          <w:tcPr>
            <w:tcW w:w="7655" w:type="dxa"/>
            <w:shd w:val="clear" w:color="auto" w:fill="D9D9D9" w:themeFill="background1" w:themeFillShade="D9"/>
          </w:tcPr>
          <w:p w14:paraId="69B07763" w14:textId="240E225B" w:rsidR="00134FA4" w:rsidRPr="0008623B" w:rsidRDefault="00E46262" w:rsidP="006E5727">
            <w:pPr>
              <w:autoSpaceDE w:val="0"/>
              <w:autoSpaceDN w:val="0"/>
              <w:adjustRightInd w:val="0"/>
              <w:rPr>
                <w:color w:val="000000" w:themeColor="text1"/>
                <w:sz w:val="24"/>
                <w:szCs w:val="24"/>
                <w:rFonts w:ascii="Times New Roman" w:hAnsi="Times New Roman" w:cs="Times New Roman"/>
              </w:rPr>
            </w:pPr>
            <w:r>
              <w:rPr>
                <w:b/>
                <w:color w:val="000000" w:themeColor="text1"/>
                <w:sz w:val="24"/>
                <w:rFonts w:ascii="Times New Roman" w:hAnsi="Times New Roman"/>
              </w:rPr>
              <w:t xml:space="preserve">Nuorodos į teisės aktus ir nurodymai</w:t>
            </w:r>
          </w:p>
        </w:tc>
      </w:tr>
      <w:tr w:rsidR="008871C6" w:rsidRPr="0008623B" w14:paraId="209D319D" w14:textId="77777777" w:rsidTr="00AA4A01">
        <w:trPr>
          <w:trHeight w:val="70"/>
        </w:trPr>
        <w:tc>
          <w:tcPr>
            <w:tcW w:w="1384" w:type="dxa"/>
          </w:tcPr>
          <w:p w14:paraId="6E58CC27" w14:textId="0752B747" w:rsidR="008871C6" w:rsidRPr="0008623B" w:rsidRDefault="008871C6" w:rsidP="000C3B9F">
            <w:pPr>
              <w:pStyle w:val="Applicationdirecte"/>
              <w:spacing w:before="120"/>
              <w:rPr>
                <w:szCs w:val="24"/>
              </w:rPr>
            </w:pPr>
            <w:r>
              <w:t xml:space="preserve">1</w:t>
            </w:r>
          </w:p>
        </w:tc>
        <w:tc>
          <w:tcPr>
            <w:tcW w:w="7655" w:type="dxa"/>
          </w:tcPr>
          <w:p w14:paraId="5F9CE229" w14:textId="006CF2E0" w:rsidR="008871C6" w:rsidRPr="0008623B" w:rsidRDefault="008871C6"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ES šis duomenų rinkinys nepildomas</w:t>
            </w:r>
          </w:p>
        </w:tc>
      </w:tr>
      <w:tr w:rsidR="000C3B9F" w:rsidRPr="0008623B" w14:paraId="568E403E" w14:textId="77777777" w:rsidTr="006E5727">
        <w:trPr>
          <w:trHeight w:val="1014"/>
        </w:trPr>
        <w:tc>
          <w:tcPr>
            <w:tcW w:w="1384" w:type="dxa"/>
          </w:tcPr>
          <w:p w14:paraId="1E3A9FE3" w14:textId="763A11D8" w:rsidR="000C3B9F" w:rsidRPr="0008623B" w:rsidRDefault="000C3B9F" w:rsidP="000C3B9F">
            <w:pPr>
              <w:pStyle w:val="Applicationdirecte"/>
              <w:spacing w:before="120"/>
              <w:rPr>
                <w:color w:val="000000" w:themeColor="text1"/>
                <w:szCs w:val="24"/>
              </w:rPr>
            </w:pPr>
            <w:r>
              <w:t xml:space="preserve">2</w:t>
            </w:r>
          </w:p>
        </w:tc>
        <w:tc>
          <w:tcPr>
            <w:tcW w:w="7655" w:type="dxa"/>
          </w:tcPr>
          <w:p w14:paraId="4A148EDF" w14:textId="407C4BEB" w:rsidR="000C3B9F" w:rsidRPr="0008623B" w:rsidRDefault="000C3B9F"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Prioriteto nemokumo atveju aprašymas (laisvos formos tekstas)</w:t>
            </w:r>
          </w:p>
          <w:p w14:paraId="11B9DED3" w14:textId="414A0BB6" w:rsidR="000C3B9F" w:rsidRPr="0008623B" w:rsidRDefault="000C3B9F" w:rsidP="000C3B9F">
            <w:pPr>
              <w:pStyle w:val="Applicationdirecte"/>
              <w:spacing w:before="120"/>
              <w:rPr>
                <w:color w:val="000000" w:themeColor="text1"/>
                <w:szCs w:val="24"/>
              </w:rPr>
            </w:pPr>
            <w:r>
              <w:rPr>
                <w:color w:val="000000" w:themeColor="text1"/>
              </w:rPr>
              <w:t xml:space="preserve">Prioritetų nemokumo atveju skaičius (n) kreditorių hierarchijoje priklausys nuo emitento įsipareigojimų grupės.</w:t>
            </w:r>
            <w:r>
              <w:rPr>
                <w:color w:val="000000" w:themeColor="text1"/>
              </w:rPr>
              <w:t xml:space="preserve"> </w:t>
            </w:r>
            <w:r>
              <w:rPr>
                <w:color w:val="000000" w:themeColor="text1"/>
              </w:rPr>
              <w:t xml:space="preserve">Į aprašymą turėtų būti įtrauktos patikslintos reikalavimų, priskiriamų tam prioritetui nemokumo atveju, rūšys (pvz., CET1, 2 lygio priemonės).</w:t>
            </w:r>
            <w:r>
              <w:rPr>
                <w:color w:val="000000" w:themeColor="text1"/>
              </w:rPr>
              <w:t xml:space="preserve"> </w:t>
            </w:r>
          </w:p>
          <w:p w14:paraId="22A60804" w14:textId="5BBC2F70" w:rsidR="000C3B9F" w:rsidRPr="0008623B" w:rsidRDefault="000C3B9F" w:rsidP="00331959">
            <w:pPr>
              <w:pStyle w:val="Applicationdirecte"/>
              <w:spacing w:before="120"/>
              <w:rPr>
                <w:b/>
                <w:color w:val="000000" w:themeColor="text1"/>
                <w:szCs w:val="24"/>
              </w:rPr>
            </w:pPr>
            <w:r>
              <w:t xml:space="preserve">Kiekvienam prioritetui nemokumo atveju yra skirta viena skiltis tiems atvejams, kai pertvarkytinam subjektui priklauso visa suma, įskaitant sumas, kurios tiesiogiai arba, jei taikytina, netiesiogiai per subjektus nuosavybės grandinėje priklauso pertvarkytinam subjektui, ir antra skiltis tiems atvejams, kai dalis sumos pagal kiekvieną prioritetą taip pat priklauso savininkams, kurie nėra pertvarkytinas subjektas.</w:t>
            </w:r>
            <w:r>
              <w:rPr>
                <w:color w:val="000000" w:themeColor="text1"/>
              </w:rPr>
              <w:t xml:space="preserve"> </w:t>
            </w:r>
          </w:p>
        </w:tc>
      </w:tr>
      <w:tr w:rsidR="000C3B9F" w:rsidRPr="0008623B" w14:paraId="4F584FCC" w14:textId="77777777" w:rsidTr="006E5727">
        <w:trPr>
          <w:trHeight w:val="1014"/>
        </w:trPr>
        <w:tc>
          <w:tcPr>
            <w:tcW w:w="1384" w:type="dxa"/>
          </w:tcPr>
          <w:p w14:paraId="2A436C9B" w14:textId="2CCB8C6C" w:rsidR="000C3B9F" w:rsidRPr="0008623B" w:rsidRDefault="000C3B9F" w:rsidP="000C3B9F">
            <w:pPr>
              <w:pStyle w:val="Applicationdirecte"/>
              <w:spacing w:before="120"/>
              <w:rPr>
                <w:color w:val="000000" w:themeColor="text1"/>
                <w:szCs w:val="24"/>
              </w:rPr>
            </w:pPr>
            <w:r>
              <w:t xml:space="preserve">3</w:t>
            </w:r>
          </w:p>
        </w:tc>
        <w:tc>
          <w:tcPr>
            <w:tcW w:w="7655" w:type="dxa"/>
          </w:tcPr>
          <w:p w14:paraId="77AA473A" w14:textId="5D74CC27" w:rsidR="000C3B9F" w:rsidRPr="0008623B" w:rsidRDefault="00367DF1"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Įsipareigojimai ir nuosavos lėšos</w:t>
            </w:r>
          </w:p>
          <w:p w14:paraId="4216384F" w14:textId="0D31DC4A" w:rsidR="000C3B9F" w:rsidRPr="0008623B" w:rsidRDefault="00BB21F0" w:rsidP="00AA4A01">
            <w:pPr>
              <w:pStyle w:val="Applicationdirecte"/>
              <w:spacing w:before="120"/>
              <w:rPr>
                <w:color w:val="000000" w:themeColor="text1"/>
              </w:rPr>
            </w:pPr>
            <w:r>
              <w:rPr>
                <w:color w:val="000000" w:themeColor="text1"/>
              </w:rPr>
              <w:t xml:space="preserve">Nuosavų lėšų, tinkamų įsipareigojimų ir įsipareigojimų, kurie yra tokio pat (</w:t>
            </w:r>
            <w:r>
              <w:rPr>
                <w:color w:val="000000" w:themeColor="text1"/>
                <w:i/>
              </w:rPr>
              <w:t xml:space="preserve">pari passu</w:t>
            </w:r>
            <w:r>
              <w:rPr>
                <w:color w:val="000000" w:themeColor="text1"/>
              </w:rPr>
              <w:t xml:space="preserve">) arba mažesnio prioriteto negu nuosavos lėšos arba tinkami įsipareigojimai, suma.</w:t>
            </w:r>
          </w:p>
          <w:p w14:paraId="1B0E819E" w14:textId="77777777" w:rsidR="00BB21F0" w:rsidRPr="0008623B" w:rsidRDefault="00BB21F0" w:rsidP="00AA4A01">
            <w:pPr>
              <w:pStyle w:val="Applicationdirecte"/>
              <w:spacing w:before="120"/>
              <w:rPr>
                <w:color w:val="000000" w:themeColor="text1"/>
              </w:rPr>
            </w:pPr>
            <w:r>
              <w:rPr>
                <w:color w:val="000000" w:themeColor="text1"/>
              </w:rPr>
              <w:t xml:space="preserve">Tai apima ir įsipareigojimus, kuriems gelbėjimo privačiomis lėšomis priemonė netaikoma.</w:t>
            </w:r>
          </w:p>
          <w:p w14:paraId="5A7B82DD" w14:textId="368405A5" w:rsidR="008907A6" w:rsidRPr="0008623B" w:rsidRDefault="00410769" w:rsidP="005F391D">
            <w:pPr>
              <w:pStyle w:val="Fait"/>
            </w:pPr>
            <w:r>
              <w:t xml:space="preserve">EU TLAC2b formoje ši eilutė netaikoma.</w:t>
            </w:r>
          </w:p>
        </w:tc>
      </w:tr>
      <w:tr w:rsidR="000C3B9F" w:rsidRPr="0008623B" w14:paraId="27EAD1F9" w14:textId="77777777" w:rsidTr="006E5727">
        <w:trPr>
          <w:trHeight w:val="483"/>
        </w:trPr>
        <w:tc>
          <w:tcPr>
            <w:tcW w:w="1384" w:type="dxa"/>
          </w:tcPr>
          <w:p w14:paraId="09FA1416" w14:textId="27DA35B3" w:rsidR="000C3B9F" w:rsidRPr="0008623B" w:rsidRDefault="000C3B9F" w:rsidP="000C3B9F">
            <w:pPr>
              <w:pStyle w:val="Applicationdirecte"/>
              <w:spacing w:before="120"/>
              <w:rPr>
                <w:color w:val="000000" w:themeColor="text1"/>
                <w:szCs w:val="24"/>
              </w:rPr>
            </w:pPr>
            <w:r>
              <w:t xml:space="preserve">4</w:t>
            </w:r>
          </w:p>
        </w:tc>
        <w:tc>
          <w:tcPr>
            <w:tcW w:w="7655" w:type="dxa"/>
          </w:tcPr>
          <w:p w14:paraId="59E154B3" w14:textId="0A45A9DB" w:rsidR="000C3B9F" w:rsidRPr="0008623B" w:rsidRDefault="00A14A6B" w:rsidP="000C3B9F">
            <w:pPr>
              <w:pStyle w:val="Fait"/>
              <w:rPr>
                <w:b/>
                <w:color w:val="000000" w:themeColor="text1"/>
                <w:szCs w:val="24"/>
                <w:rFonts w:eastAsiaTheme="minorEastAsia"/>
              </w:rPr>
            </w:pPr>
            <w:r>
              <w:rPr>
                <w:b/>
                <w:color w:val="000000" w:themeColor="text1"/>
              </w:rPr>
              <w:t xml:space="preserve">Įsipareigojimai ir nuosavos lėšos. Iš jų neįtraukti įsipareigojimai</w:t>
            </w:r>
          </w:p>
          <w:p w14:paraId="543649CA" w14:textId="35542114" w:rsidR="006C6694" w:rsidRPr="0008623B" w:rsidRDefault="000C3B9F" w:rsidP="005F391D">
            <w:pPr>
              <w:pStyle w:val="Applicationdirecte"/>
              <w:spacing w:before="120"/>
              <w:rPr>
                <w:color w:val="000000" w:themeColor="text1"/>
                <w:szCs w:val="24"/>
              </w:rPr>
            </w:pPr>
            <w:r>
              <w:rPr>
                <w:color w:val="000000" w:themeColor="text1"/>
              </w:rPr>
              <w:t xml:space="preserve">Įsipareigojimų, neįtrauktų pagal</w:t>
            </w:r>
            <w:r>
              <w:rPr>
                <w:color w:val="000000" w:themeColor="text1"/>
              </w:rPr>
              <w:t xml:space="preserve"> Reglamento (ES) Nr. 575/2013 72a straipsnio 2 dalį arba Direktyvos 2014/59/ES 44 straipsnio 2 dalį</w:t>
            </w:r>
            <w:r>
              <w:rPr>
                <w:color w:val="000000" w:themeColor="text1"/>
              </w:rPr>
              <w:t xml:space="preserve"> ir, jei taikytina, Direktyvos 2014/59/ES 44 straipsnio 3 dalį, suskirstymas.</w:t>
            </w:r>
          </w:p>
          <w:p w14:paraId="182D9647" w14:textId="5AEB0362" w:rsidR="008907A6" w:rsidRPr="0008623B" w:rsidRDefault="00410769" w:rsidP="005F391D">
            <w:pPr>
              <w:pStyle w:val="Applicationdirecte"/>
              <w:spacing w:before="120"/>
            </w:pPr>
            <w:r>
              <w:t xml:space="preserve">EU TLAC2b formoje ši eilutė netaikoma.</w:t>
            </w:r>
          </w:p>
        </w:tc>
      </w:tr>
      <w:tr w:rsidR="000C3B9F" w:rsidRPr="0008623B" w14:paraId="3CFAFBE4" w14:textId="77777777" w:rsidTr="006E5727">
        <w:trPr>
          <w:trHeight w:val="1014"/>
        </w:trPr>
        <w:tc>
          <w:tcPr>
            <w:tcW w:w="1384" w:type="dxa"/>
          </w:tcPr>
          <w:p w14:paraId="76860F6D" w14:textId="42C3686D" w:rsidR="000C3B9F" w:rsidRPr="0008623B" w:rsidRDefault="000C3B9F" w:rsidP="000C3B9F">
            <w:pPr>
              <w:pStyle w:val="Applicationdirecte"/>
              <w:spacing w:before="120"/>
              <w:rPr>
                <w:color w:val="000000" w:themeColor="text1"/>
                <w:szCs w:val="24"/>
              </w:rPr>
            </w:pPr>
            <w:r>
              <w:t xml:space="preserve">5</w:t>
            </w:r>
          </w:p>
        </w:tc>
        <w:tc>
          <w:tcPr>
            <w:tcW w:w="7655" w:type="dxa"/>
          </w:tcPr>
          <w:p w14:paraId="005DF5FF" w14:textId="228C6814" w:rsidR="0016339F" w:rsidRPr="0008623B" w:rsidRDefault="00367DF1" w:rsidP="00EF47A4">
            <w:pPr>
              <w:pStyle w:val="Fait"/>
            </w:pPr>
            <w:r>
              <w:rPr>
                <w:b/>
                <w:color w:val="000000" w:themeColor="text1"/>
              </w:rPr>
              <w:t xml:space="preserve">Įsipareigojimai ir nuosavos lėšos, atėmus neįtrauktus įsipareigojimus</w:t>
            </w:r>
          </w:p>
          <w:p w14:paraId="359D335B" w14:textId="3554B9D3" w:rsidR="008907A6" w:rsidRPr="0008623B" w:rsidRDefault="00367DF1" w:rsidP="005F391D">
            <w:pPr>
              <w:pStyle w:val="Fait"/>
            </w:pPr>
            <w:r>
              <w:rPr>
                <w:color w:val="000000" w:themeColor="text1"/>
              </w:rPr>
              <w:t xml:space="preserve">Įsipareigojimai ir nuosavos lėšos, atėmus neįtrauktus įsipareigojimus.</w:t>
            </w:r>
          </w:p>
          <w:p w14:paraId="52590AAA" w14:textId="18E701D2" w:rsidR="000C3B9F" w:rsidRPr="0008623B" w:rsidRDefault="00410769" w:rsidP="008907A6">
            <w:pPr>
              <w:pStyle w:val="Applicationdirecte"/>
              <w:spacing w:before="120"/>
              <w:rPr>
                <w:color w:val="000000" w:themeColor="text1"/>
                <w:szCs w:val="24"/>
              </w:rPr>
            </w:pPr>
            <w:r>
              <w:t xml:space="preserve">EU TLAC2b formoje ši eilutė netaikoma.</w:t>
            </w:r>
          </w:p>
        </w:tc>
      </w:tr>
      <w:tr w:rsidR="000C3B9F" w:rsidRPr="0008623B" w14:paraId="2699A3CB" w14:textId="77777777" w:rsidTr="006E5727">
        <w:trPr>
          <w:trHeight w:val="316"/>
        </w:trPr>
        <w:tc>
          <w:tcPr>
            <w:tcW w:w="1384" w:type="dxa"/>
          </w:tcPr>
          <w:p w14:paraId="039E3565" w14:textId="2A27D53A" w:rsidR="000C3B9F" w:rsidRPr="0008623B" w:rsidRDefault="000C3B9F" w:rsidP="000C3B9F">
            <w:pPr>
              <w:autoSpaceDE w:val="0"/>
              <w:autoSpaceDN w:val="0"/>
              <w:adjustRightInd w:val="0"/>
              <w:spacing w:before="120" w:after="120"/>
              <w:jc w:val="both"/>
              <w:rPr>
                <w:color w:val="000000" w:themeColor="text1"/>
                <w:sz w:val="24"/>
                <w:szCs w:val="24"/>
                <w:rFonts w:ascii="Times New Roman" w:eastAsia="Times New Roman" w:hAnsi="Times New Roman" w:cs="Times New Roman"/>
              </w:rPr>
            </w:pPr>
            <w:r>
              <w:rPr>
                <w:sz w:val="24"/>
                <w:rFonts w:ascii="Times New Roman" w:hAnsi="Times New Roman"/>
              </w:rPr>
              <w:t xml:space="preserve">6</w:t>
            </w:r>
          </w:p>
        </w:tc>
        <w:tc>
          <w:tcPr>
            <w:tcW w:w="7655" w:type="dxa"/>
          </w:tcPr>
          <w:p w14:paraId="677315D1" w14:textId="45D4D61F" w:rsidR="000C3B9F" w:rsidRPr="0008623B" w:rsidRDefault="000C3B9F" w:rsidP="000C3B9F">
            <w:pPr>
              <w:autoSpaceDE w:val="0"/>
              <w:autoSpaceDN w:val="0"/>
              <w:adjustRightInd w:val="0"/>
              <w:spacing w:before="120" w:after="120"/>
              <w:jc w:val="both"/>
              <w:rPr>
                <w:b/>
                <w:color w:val="000000" w:themeColor="text1"/>
                <w:sz w:val="24"/>
                <w:szCs w:val="24"/>
                <w:rFonts w:ascii="Times New Roman" w:eastAsia="Times New Roman" w:hAnsi="Times New Roman" w:cs="Times New Roman"/>
              </w:rPr>
            </w:pPr>
            <w:r>
              <w:rPr>
                <w:b/>
                <w:color w:val="000000" w:themeColor="text1"/>
                <w:sz w:val="24"/>
                <w:rFonts w:ascii="Times New Roman" w:hAnsi="Times New Roman"/>
              </w:rPr>
              <w:t xml:space="preserve">Įsipareigojimų ir nuosavų lėšų pogrupis, atėmus neįtrauktus įsipareigojimus, kurie yra nuosavos lėšos ir tinkami įsipareigojimai vidinio MREL / vidinio TLAC tikslais</w:t>
            </w:r>
          </w:p>
          <w:p w14:paraId="666E0A9A" w14:textId="0E7111CB" w:rsidR="000C3B9F" w:rsidRPr="0008623B" w:rsidRDefault="000C3B9F" w:rsidP="00341FB2">
            <w:pPr>
              <w:rPr>
                <w:color w:val="000000" w:themeColor="text1"/>
                <w:sz w:val="24"/>
                <w:szCs w:val="24"/>
                <w:rFonts w:ascii="Times New Roman" w:eastAsia="Times New Roman" w:hAnsi="Times New Roman" w:cs="Times New Roman"/>
              </w:rPr>
            </w:pPr>
            <w:r>
              <w:rPr>
                <w:color w:val="000000" w:themeColor="text1"/>
                <w:sz w:val="24"/>
                <w:rFonts w:ascii="Times New Roman" w:hAnsi="Times New Roman"/>
              </w:rPr>
              <w:t xml:space="preserve">Nuosavų lėšų ir tinkamų įsipareigojimų sumos suskirstymas vidinio MREL arba vidinio TLAC tikslais, jei taikytina pagal pirmesnę 11 dalį.</w:t>
            </w:r>
            <w:r>
              <w:rPr>
                <w:color w:val="000000" w:themeColor="text1"/>
                <w:sz w:val="24"/>
                <w:rFonts w:ascii="Times New Roman" w:hAnsi="Times New Roman"/>
              </w:rPr>
              <w:t xml:space="preserve"> </w:t>
            </w:r>
          </w:p>
        </w:tc>
      </w:tr>
      <w:tr w:rsidR="000C3B9F" w:rsidRPr="0008623B" w14:paraId="0BED3052" w14:textId="77777777" w:rsidTr="006E5727">
        <w:trPr>
          <w:trHeight w:val="316"/>
        </w:trPr>
        <w:tc>
          <w:tcPr>
            <w:tcW w:w="1384" w:type="dxa"/>
          </w:tcPr>
          <w:p w14:paraId="6F2D6129" w14:textId="1A05DE99" w:rsidR="000C3B9F" w:rsidRPr="0008623B" w:rsidRDefault="000C3B9F" w:rsidP="000C3B9F">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7</w:t>
            </w:r>
          </w:p>
        </w:tc>
        <w:tc>
          <w:tcPr>
            <w:tcW w:w="7655" w:type="dxa"/>
          </w:tcPr>
          <w:p w14:paraId="3AF5477F" w14:textId="1583355E" w:rsidR="000C3B9F" w:rsidRPr="0008623B" w:rsidRDefault="00216E68"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Iš jų likutinis terminas ≥ 1 metai ir &lt; 2 metai</w:t>
            </w:r>
            <w:r>
              <w:rPr>
                <w:b/>
                <w:color w:val="000000" w:themeColor="text1"/>
                <w:sz w:val="24"/>
                <w:rFonts w:ascii="Times New Roman" w:hAnsi="Times New Roman"/>
              </w:rPr>
              <w:t xml:space="preserve"> </w:t>
            </w:r>
          </w:p>
          <w:p w14:paraId="6EC4B8A9" w14:textId="6798BA07" w:rsidR="000C3B9F" w:rsidRPr="0008623B" w:rsidRDefault="0016339F" w:rsidP="000C3B9F">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6 eilutės pogrupis su atitinkamu likutiniu terminu.</w:t>
            </w:r>
          </w:p>
        </w:tc>
      </w:tr>
      <w:tr w:rsidR="000C3B9F" w:rsidRPr="0008623B" w14:paraId="094D1657" w14:textId="77777777" w:rsidTr="006E5727">
        <w:trPr>
          <w:trHeight w:val="316"/>
        </w:trPr>
        <w:tc>
          <w:tcPr>
            <w:tcW w:w="1384" w:type="dxa"/>
          </w:tcPr>
          <w:p w14:paraId="25637642" w14:textId="2444ED10" w:rsidR="000C3B9F" w:rsidRPr="0008623B" w:rsidRDefault="000C3B9F" w:rsidP="000C3B9F">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8</w:t>
            </w:r>
          </w:p>
        </w:tc>
        <w:tc>
          <w:tcPr>
            <w:tcW w:w="7655" w:type="dxa"/>
          </w:tcPr>
          <w:p w14:paraId="73BC8BDA" w14:textId="65A30D65" w:rsidR="000C3B9F" w:rsidRPr="0008623B" w:rsidRDefault="00216E68"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Iš jų likutinis terminas ≥ 2 metai ir &lt; 5 metai</w:t>
            </w:r>
          </w:p>
          <w:p w14:paraId="234E2E25" w14:textId="7A58A472" w:rsidR="000C3B9F" w:rsidRPr="0008623B" w:rsidRDefault="00F04275" w:rsidP="00F04275">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6 eilutės pogrupis su atitinkamu likutiniu terminu.</w:t>
            </w:r>
          </w:p>
        </w:tc>
      </w:tr>
      <w:tr w:rsidR="000C3B9F" w:rsidRPr="0008623B" w14:paraId="55CCE5FF" w14:textId="77777777" w:rsidTr="006E5727">
        <w:trPr>
          <w:trHeight w:val="316"/>
        </w:trPr>
        <w:tc>
          <w:tcPr>
            <w:tcW w:w="1384" w:type="dxa"/>
          </w:tcPr>
          <w:p w14:paraId="6D5EB35C" w14:textId="61800317" w:rsidR="000C3B9F" w:rsidRPr="0008623B" w:rsidRDefault="000C3B9F" w:rsidP="000C3B9F">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9</w:t>
            </w:r>
          </w:p>
        </w:tc>
        <w:tc>
          <w:tcPr>
            <w:tcW w:w="7655" w:type="dxa"/>
          </w:tcPr>
          <w:p w14:paraId="6513D39F" w14:textId="3B45C903" w:rsidR="000C3B9F" w:rsidRPr="0008623B" w:rsidRDefault="00216E68"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Iš jų likutinis terminas ≥ 5 metai ir &lt; 10 metų</w:t>
            </w:r>
          </w:p>
          <w:p w14:paraId="44AA56B3" w14:textId="34E09E5C" w:rsidR="000C3B9F" w:rsidRPr="0008623B" w:rsidRDefault="00F04275" w:rsidP="000C3B9F">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6 eilutės pogrupis su atitinkamu likutiniu terminu.</w:t>
            </w:r>
          </w:p>
        </w:tc>
      </w:tr>
      <w:tr w:rsidR="000C3B9F" w:rsidRPr="0008623B" w14:paraId="0B08B0F5" w14:textId="77777777" w:rsidTr="006E5727">
        <w:trPr>
          <w:trHeight w:val="316"/>
        </w:trPr>
        <w:tc>
          <w:tcPr>
            <w:tcW w:w="1384" w:type="dxa"/>
          </w:tcPr>
          <w:p w14:paraId="30A040BA" w14:textId="2B401877" w:rsidR="000C3B9F" w:rsidRPr="0008623B" w:rsidRDefault="000C3B9F" w:rsidP="000C3B9F">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10</w:t>
            </w:r>
          </w:p>
        </w:tc>
        <w:tc>
          <w:tcPr>
            <w:tcW w:w="7655" w:type="dxa"/>
          </w:tcPr>
          <w:p w14:paraId="0EDFF84A" w14:textId="7F3D5273" w:rsidR="000C3B9F" w:rsidRPr="0008623B" w:rsidRDefault="00216E68"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Iš jų likutinis terminas ≥ 10 metų, bet neįskaitant nuolatinių vertybinių popierių</w:t>
            </w:r>
          </w:p>
          <w:p w14:paraId="4144E4C2" w14:textId="6B7049FC" w:rsidR="000C3B9F" w:rsidRPr="0008623B" w:rsidRDefault="00F04275"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color w:val="000000" w:themeColor="text1"/>
                <w:sz w:val="24"/>
                <w:rFonts w:ascii="Times New Roman" w:hAnsi="Times New Roman"/>
              </w:rPr>
              <w:t xml:space="preserve">6 eilutės pogrupis su atitinkamu likutiniu terminu.</w:t>
            </w:r>
          </w:p>
        </w:tc>
      </w:tr>
      <w:tr w:rsidR="000C3B9F" w:rsidRPr="0008623B" w14:paraId="23AD712F" w14:textId="77777777" w:rsidTr="006E5727">
        <w:trPr>
          <w:trHeight w:val="316"/>
        </w:trPr>
        <w:tc>
          <w:tcPr>
            <w:tcW w:w="1384" w:type="dxa"/>
          </w:tcPr>
          <w:p w14:paraId="67796F9B" w14:textId="308AC29C" w:rsidR="000C3B9F" w:rsidRPr="0008623B" w:rsidRDefault="000C3B9F" w:rsidP="000C3B9F">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11</w:t>
            </w:r>
          </w:p>
        </w:tc>
        <w:tc>
          <w:tcPr>
            <w:tcW w:w="7655" w:type="dxa"/>
          </w:tcPr>
          <w:p w14:paraId="38BB8DE3" w14:textId="6E91083A" w:rsidR="000C3B9F" w:rsidRPr="0008623B" w:rsidRDefault="00216E68"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Iš jų nuolatiniai vertybiniai popieriai</w:t>
            </w:r>
          </w:p>
          <w:p w14:paraId="0E3F0B9E" w14:textId="5C0A7C24" w:rsidR="000C3B9F" w:rsidRPr="0008623B" w:rsidRDefault="00F04275" w:rsidP="00F04275">
            <w:pPr>
              <w:autoSpaceDE w:val="0"/>
              <w:autoSpaceDN w:val="0"/>
              <w:adjustRightInd w:val="0"/>
              <w:spacing w:before="120" w:after="120"/>
              <w:jc w:val="both"/>
              <w:rPr>
                <w:b/>
                <w:color w:val="000000" w:themeColor="text1"/>
                <w:sz w:val="24"/>
                <w:szCs w:val="24"/>
                <w:rFonts w:ascii="Times New Roman" w:hAnsi="Times New Roman" w:cs="Times New Roman"/>
              </w:rPr>
            </w:pPr>
            <w:r>
              <w:rPr>
                <w:color w:val="000000" w:themeColor="text1"/>
                <w:sz w:val="24"/>
                <w:rFonts w:ascii="Times New Roman" w:hAnsi="Times New Roman"/>
              </w:rPr>
              <w:t xml:space="preserve">6 eilutės pogrupis, kurį sudaro nuolatiniai vertybiniai popieriai.</w:t>
            </w:r>
          </w:p>
        </w:tc>
      </w:tr>
    </w:tbl>
    <w:p w14:paraId="4FDBE82C" w14:textId="77777777" w:rsidR="00134FA4" w:rsidRPr="0008623B" w:rsidRDefault="00134FA4" w:rsidP="00134FA4">
      <w:pPr>
        <w:jc w:val="both"/>
        <w:rPr>
          <w:rFonts w:ascii="Times New Roman" w:hAnsi="Times New Roman" w:cs="Times New Roman"/>
          <w:bCs/>
          <w:i/>
          <w:noProof/>
          <w:color w:val="000000" w:themeColor="text1"/>
          <w:sz w:val="24"/>
          <w:szCs w:val="24"/>
          <w:lang w:val="en-GB"/>
        </w:rPr>
      </w:pPr>
    </w:p>
    <w:p w14:paraId="4266C07E" w14:textId="3B554313"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bookmarkStart w:id="233" w:name="_Toc529272912"/>
      <w:bookmarkStart w:id="234" w:name="_Toc14770787"/>
      <w:bookmarkStart w:id="235" w:name="_Toc45266930"/>
      <w:r>
        <w:rPr>
          <w:color w:val="auto"/>
          <w:sz w:val="24"/>
          <w:rFonts w:ascii="Times New Roman" w:hAnsi="Times New Roman"/>
        </w:rPr>
        <w:t xml:space="preserve">6.</w:t>
      </w:r>
      <w:r>
        <w:rPr>
          <w:color w:val="auto"/>
          <w:sz w:val="24"/>
          <w:rFonts w:ascii="Times New Roman" w:hAnsi="Times New Roman"/>
        </w:rPr>
        <w:tab/>
      </w:r>
      <w:r>
        <w:rPr>
          <w:color w:val="auto"/>
          <w:sz w:val="24"/>
          <w:rFonts w:ascii="Times New Roman" w:hAnsi="Times New Roman"/>
        </w:rPr>
        <w:t xml:space="preserve">EU TLAC3.</w:t>
      </w:r>
      <w:r>
        <w:rPr>
          <w:color w:val="auto"/>
          <w:sz w:val="24"/>
          <w:rFonts w:ascii="Times New Roman" w:hAnsi="Times New Roman"/>
        </w:rPr>
        <w:t xml:space="preserve"> </w:t>
      </w:r>
      <w:r>
        <w:rPr>
          <w:color w:val="auto"/>
          <w:sz w:val="24"/>
          <w:rFonts w:ascii="Times New Roman" w:hAnsi="Times New Roman"/>
        </w:rPr>
        <w:t xml:space="preserve">Kreditorių eiliškumas. Pertvarkytinas</w:t>
      </w:r>
      <w:bookmarkEnd w:id="233"/>
      <w:bookmarkEnd w:id="234"/>
      <w:r>
        <w:rPr>
          <w:color w:val="auto"/>
          <w:sz w:val="24"/>
          <w:rFonts w:ascii="Times New Roman" w:hAnsi="Times New Roman"/>
        </w:rPr>
        <w:t xml:space="preserve"> subjektas</w:t>
      </w:r>
      <w:bookmarkEnd w:id="235"/>
    </w:p>
    <w:p w14:paraId="578097FF" w14:textId="1EA4E7A0" w:rsidR="00EE122D" w:rsidRPr="0008623B" w:rsidRDefault="00EE122D" w:rsidP="00B62DC9">
      <w:pPr>
        <w:pStyle w:val="InstructionsText2"/>
        <w:numPr>
          <w:ilvl w:val="0"/>
          <w:numId w:val="12"/>
        </w:numPr>
      </w:pPr>
      <w:r>
        <w:t xml:space="preserve">Į EU TLAC3 formą įtraukta informacija atskleidžiama atskiro subjekto lygmeniu.</w:t>
      </w:r>
    </w:p>
    <w:p w14:paraId="0EB7EFE1" w14:textId="7A32417C" w:rsidR="00410769" w:rsidRPr="0008623B" w:rsidRDefault="00410769" w:rsidP="00B62DC9">
      <w:pPr>
        <w:pStyle w:val="InstructionsText2"/>
        <w:numPr>
          <w:ilvl w:val="0"/>
          <w:numId w:val="12"/>
        </w:numPr>
      </w:pPr>
      <w:r>
        <w:t xml:space="preserve">EU TLAC3 forma yra dviejų rūšių: EU TLAC3a ir EU TLAC3b.</w:t>
      </w:r>
      <w:r>
        <w:t xml:space="preserve"> </w:t>
      </w:r>
      <w:r>
        <w:t xml:space="preserve">EU TLAC3a forma apima visas finansavimo priemones, kurios yra tokio pat (</w:t>
      </w:r>
      <w:r>
        <w:rPr>
          <w:i/>
        </w:rPr>
        <w:t xml:space="preserve">pari passu</w:t>
      </w:r>
      <w:r>
        <w:t xml:space="preserve">) arba mažesnio prioriteto negu potencialiai MREL atitinkančios priemonės, įskaitant nuosavų lėšų ir kitas kapitalo priemones.</w:t>
      </w:r>
      <w:r>
        <w:t xml:space="preserve"> </w:t>
      </w:r>
      <w:r>
        <w:t xml:space="preserve">Sumos, kurios yra netinkamos tik dėl subordinavimo reikalavimų, visos įrašomos į eilutę, atitinkančią konkretų prioritetą nemokumo atveju, t. y. netaikant viršutinių ribų.</w:t>
      </w:r>
      <w:r>
        <w:t xml:space="preserve"> </w:t>
      </w:r>
      <w:r>
        <w:t xml:space="preserve">EU TLAC3b forma apima tik nuosavas lėšas ir įsipareigojimus, kurie yra tinkami siekiant įvykdyti Direktyvos 2014/59/ES 45 straipsnyje nurodytą reikalavimą pagal tos direktyvos 45e straipsnį.</w:t>
      </w:r>
    </w:p>
    <w:p w14:paraId="417A390B" w14:textId="2D84B100" w:rsidR="00410769" w:rsidRPr="0008623B" w:rsidRDefault="00410769" w:rsidP="00B62DC9">
      <w:pPr>
        <w:pStyle w:val="InstructionsText2"/>
        <w:numPr>
          <w:ilvl w:val="0"/>
          <w:numId w:val="12"/>
        </w:numPr>
      </w:pPr>
      <w:r>
        <w:t xml:space="preserve">Pagal šio reglamento 14 straipsnio 2 dalį subjektai, kuriems netaikoma prievolė laikytis Reglamento (ES) Nr. 575/2013 92a straipsnio reikalavimo, tačiau taikoma prievolė laikytis Direktyvos 2014/59/ES 45 straipsnyje nustatyto reikalavimo pagal tos direktyvos 45e straipsnį, gali pasirinkti, ar, siekdami laikytis Direktyvos 2014/59/ES 45i straipsnio 3 dalies b punkte nustatyto informacijos atskleidimo reikalavimo, jie naudos EU TLAC3a ar EU TLAC3b formą.</w:t>
      </w:r>
    </w:p>
    <w:p w14:paraId="7914D4A7" w14:textId="50C29BF6" w:rsidR="005F391D" w:rsidRPr="0008623B" w:rsidRDefault="005F391D" w:rsidP="00B62DC9">
      <w:pPr>
        <w:pStyle w:val="InstructionsText2"/>
        <w:numPr>
          <w:ilvl w:val="0"/>
          <w:numId w:val="12"/>
        </w:numPr>
      </w:pPr>
      <w:r>
        <w:t xml:space="preserve">Nuo Direktyvos 2014/59/ES 45i straipsnio 3 dalies taikymo dienos emitentai ES TLAC3a formoje atskleidžia informaciją apie įsipareigojimus, kurie potencialiai tinkami MREL ir TLAC reikalavimams įvykdyti.</w:t>
      </w:r>
      <w:r>
        <w:t xml:space="preserve"> </w:t>
      </w:r>
      <w:r>
        <w:t xml:space="preserve">Iki tos datos emitentai atskleidžia informaciją apie įsipareigojimus, potencialiai tinkamus vidiniam TLAC reikalavimui įvykdyti.</w:t>
      </w:r>
    </w:p>
    <w:p w14:paraId="0643F6F9" w14:textId="54E61B56" w:rsidR="005F391D" w:rsidRPr="0008623B" w:rsidRDefault="00134FA4" w:rsidP="00B62DC9">
      <w:pPr>
        <w:pStyle w:val="InstructionsText2"/>
        <w:numPr>
          <w:ilvl w:val="0"/>
          <w:numId w:val="12"/>
        </w:numPr>
      </w:pPr>
      <w:r>
        <w:t xml:space="preserve">2–10 eilutėse nurodytos neapmokėtos sumos turi būti suskirstytos pagal prioritetus nemokumo atveju remiantis emitento nemokumo teise, neatsižvelgiant į priemonę reglamentuojančią teisę.</w:t>
      </w:r>
    </w:p>
    <w:p w14:paraId="2ED9C4B9" w14:textId="752032A7" w:rsidR="005F391D" w:rsidRPr="0008623B" w:rsidRDefault="00EA31AA" w:rsidP="00B62DC9">
      <w:pPr>
        <w:pStyle w:val="InstructionsText2"/>
        <w:numPr>
          <w:ilvl w:val="0"/>
          <w:numId w:val="12"/>
        </w:numPr>
      </w:pPr>
      <w:r>
        <w:t xml:space="preserve">Prioritetai nemokumo atveju yra kompetentingos pertvarkymo institucijos nurodyti prioritetai, atitinkantys susijusioje informacijos teikimo formoje nurodytą standartizuotą pateikimą.</w:t>
      </w:r>
    </w:p>
    <w:p w14:paraId="098D1362" w14:textId="424912A1" w:rsidR="003D2D85" w:rsidRPr="0008623B" w:rsidRDefault="00134FA4" w:rsidP="00B62DC9">
      <w:pPr>
        <w:pStyle w:val="InstructionsText2"/>
        <w:numPr>
          <w:ilvl w:val="0"/>
          <w:numId w:val="12"/>
        </w:numPr>
      </w:pPr>
      <w:r>
        <w:t xml:space="preserve">Prioritetai išdėstomi nuo mažiausio iki didžiausio.</w:t>
      </w:r>
      <w:r>
        <w:t xml:space="preserve"> </w:t>
      </w:r>
      <w:r>
        <w:t xml:space="preserve">Reikia pridėti tiek prioritetų skilčių, kol bus nurodytos didžiausio prioriteto potencialiai reikalavimus atitinkančios priemonės.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6CE82287" w14:textId="77777777" w:rsidTr="006E5727">
        <w:trPr>
          <w:trHeight w:val="238"/>
        </w:trPr>
        <w:tc>
          <w:tcPr>
            <w:tcW w:w="1384" w:type="dxa"/>
            <w:shd w:val="clear" w:color="auto" w:fill="D9D9D9" w:themeFill="background1" w:themeFillShade="D9"/>
          </w:tcPr>
          <w:p w14:paraId="35ABF31F" w14:textId="77777777" w:rsidR="00134FA4" w:rsidRPr="0008623B" w:rsidRDefault="00134FA4" w:rsidP="006E5727">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Eilutės</w:t>
            </w:r>
          </w:p>
        </w:tc>
        <w:tc>
          <w:tcPr>
            <w:tcW w:w="7655" w:type="dxa"/>
            <w:shd w:val="clear" w:color="auto" w:fill="D9D9D9" w:themeFill="background1" w:themeFillShade="D9"/>
          </w:tcPr>
          <w:p w14:paraId="209AC79A" w14:textId="70829AEF" w:rsidR="00134FA4" w:rsidRPr="0008623B" w:rsidRDefault="00E46262" w:rsidP="006E5727">
            <w:pPr>
              <w:autoSpaceDE w:val="0"/>
              <w:autoSpaceDN w:val="0"/>
              <w:adjustRightInd w:val="0"/>
              <w:rPr>
                <w:color w:val="000000" w:themeColor="text1"/>
                <w:sz w:val="24"/>
                <w:szCs w:val="24"/>
                <w:rFonts w:ascii="Times New Roman" w:hAnsi="Times New Roman" w:cs="Times New Roman"/>
              </w:rPr>
            </w:pPr>
            <w:r>
              <w:rPr>
                <w:b/>
                <w:color w:val="000000" w:themeColor="text1"/>
                <w:sz w:val="24"/>
                <w:rFonts w:ascii="Times New Roman" w:hAnsi="Times New Roman"/>
              </w:rPr>
              <w:t xml:space="preserve">Nuorodos į teisės aktus ir nurodymai</w:t>
            </w:r>
          </w:p>
        </w:tc>
      </w:tr>
      <w:tr w:rsidR="001D5616" w:rsidRPr="0008623B" w14:paraId="0C101719" w14:textId="77777777" w:rsidTr="006E5727">
        <w:trPr>
          <w:trHeight w:val="1014"/>
        </w:trPr>
        <w:tc>
          <w:tcPr>
            <w:tcW w:w="1384" w:type="dxa"/>
          </w:tcPr>
          <w:p w14:paraId="20818F1A" w14:textId="6C8CC711" w:rsidR="001D5616" w:rsidRPr="0008623B" w:rsidRDefault="008871C6" w:rsidP="001D5616">
            <w:pPr>
              <w:pStyle w:val="Applicationdirecte"/>
              <w:spacing w:before="120"/>
              <w:rPr>
                <w:color w:val="000000" w:themeColor="text1"/>
                <w:szCs w:val="24"/>
              </w:rPr>
            </w:pPr>
            <w:r>
              <w:t xml:space="preserve">1</w:t>
            </w:r>
          </w:p>
        </w:tc>
        <w:tc>
          <w:tcPr>
            <w:tcW w:w="7655" w:type="dxa"/>
          </w:tcPr>
          <w:p w14:paraId="255BAE3D" w14:textId="6FBDCDA3" w:rsidR="001D5616" w:rsidRPr="0008623B" w:rsidRDefault="001D5616"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Prioriteto nemokumo atveju aprašymas (laisvos formos tekstas)</w:t>
            </w:r>
          </w:p>
          <w:p w14:paraId="4938332D" w14:textId="624185AF" w:rsidR="001D5616" w:rsidRPr="0008623B" w:rsidRDefault="001D5616" w:rsidP="00EA31AA">
            <w:pPr>
              <w:pStyle w:val="Applicationdirecte"/>
              <w:spacing w:before="120"/>
              <w:rPr>
                <w:color w:val="000000" w:themeColor="text1"/>
                <w:szCs w:val="24"/>
              </w:rPr>
            </w:pPr>
            <w:r>
              <w:rPr>
                <w:color w:val="000000" w:themeColor="text1"/>
              </w:rPr>
              <w:t xml:space="preserve">Prioritetų nemokumo atveju skaičius (n) kreditorių hierarchijoje priklausys nuo subjekto įsipareigojimų grupės.</w:t>
            </w:r>
            <w:r>
              <w:rPr>
                <w:color w:val="000000" w:themeColor="text1"/>
              </w:rPr>
              <w:t xml:space="preserve"> </w:t>
            </w:r>
            <w:r>
              <w:rPr>
                <w:color w:val="000000" w:themeColor="text1"/>
              </w:rPr>
              <w:t xml:space="preserve">Kiekvienam prioritetui nemokumo atveju skirta viena skiltis.</w:t>
            </w:r>
            <w:r>
              <w:rPr>
                <w:color w:val="000000" w:themeColor="text1"/>
              </w:rPr>
              <w:t xml:space="preserve"> </w:t>
            </w:r>
            <w:r>
              <w:rPr>
                <w:color w:val="000000" w:themeColor="text1"/>
              </w:rPr>
              <w:t xml:space="preserve">Į aprašymą turėtų būti įtrauktos patikslintos reikalavimų, priskiriamų tam prioritetui nemokumo atveju, rūšys (pvz., CET1, 2 lygio priemonės).</w:t>
            </w:r>
          </w:p>
        </w:tc>
      </w:tr>
      <w:tr w:rsidR="001D5616" w:rsidRPr="0008623B" w14:paraId="282F3909" w14:textId="77777777" w:rsidTr="006E5727">
        <w:trPr>
          <w:trHeight w:val="1014"/>
        </w:trPr>
        <w:tc>
          <w:tcPr>
            <w:tcW w:w="1384" w:type="dxa"/>
          </w:tcPr>
          <w:p w14:paraId="6052D413" w14:textId="27A1C7E6" w:rsidR="001D5616" w:rsidRPr="0008623B" w:rsidRDefault="008871C6" w:rsidP="001D5616">
            <w:pPr>
              <w:pStyle w:val="Applicationdirecte"/>
              <w:spacing w:before="120"/>
              <w:rPr>
                <w:color w:val="000000" w:themeColor="text1"/>
                <w:szCs w:val="24"/>
              </w:rPr>
            </w:pPr>
            <w:r>
              <w:t xml:space="preserve">2</w:t>
            </w:r>
          </w:p>
        </w:tc>
        <w:tc>
          <w:tcPr>
            <w:tcW w:w="7655" w:type="dxa"/>
          </w:tcPr>
          <w:p w14:paraId="649ECD5E" w14:textId="0534C38B" w:rsidR="001D5616" w:rsidRPr="0008623B" w:rsidRDefault="00367DF1"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Įsipareigojimai ir nuosavos lėšos</w:t>
            </w:r>
          </w:p>
          <w:p w14:paraId="6CEB4608" w14:textId="77777777" w:rsidR="003D2D85" w:rsidRPr="0008623B" w:rsidRDefault="003D2D85" w:rsidP="003D2D85">
            <w:pPr>
              <w:pStyle w:val="Applicationdirecte"/>
              <w:spacing w:before="120"/>
              <w:rPr>
                <w:color w:val="000000" w:themeColor="text1"/>
              </w:rPr>
            </w:pPr>
            <w:r>
              <w:rPr>
                <w:color w:val="000000" w:themeColor="text1"/>
              </w:rPr>
              <w:t xml:space="preserve">Nuosavų lėšų, tinkamų įsipareigojimų ir įsipareigojimų, kurie yra tokio pat (</w:t>
            </w:r>
            <w:r>
              <w:rPr>
                <w:color w:val="000000" w:themeColor="text1"/>
                <w:i/>
              </w:rPr>
              <w:t xml:space="preserve">pari passu</w:t>
            </w:r>
            <w:r>
              <w:rPr>
                <w:color w:val="000000" w:themeColor="text1"/>
              </w:rPr>
              <w:t xml:space="preserve">) arba mažesnio prioriteto negu nuosavos lėšos arba tinkami įsipareigojimai, suma.</w:t>
            </w:r>
          </w:p>
          <w:p w14:paraId="7ABCDC8B" w14:textId="193792D4" w:rsidR="00585921" w:rsidRPr="0008623B" w:rsidRDefault="003D2D85" w:rsidP="00E13544">
            <w:pPr>
              <w:pStyle w:val="Applicationdirecte"/>
              <w:spacing w:before="120"/>
              <w:rPr>
                <w:color w:val="000000" w:themeColor="text1"/>
              </w:rPr>
            </w:pPr>
            <w:r>
              <w:rPr>
                <w:color w:val="000000" w:themeColor="text1"/>
              </w:rPr>
              <w:t xml:space="preserve">Tai apima ir įsipareigojimus, kuriems gelbėjimo privačiomis lėšomis priemonė netaikoma.</w:t>
            </w:r>
            <w:r>
              <w:t xml:space="preserve"> </w:t>
            </w:r>
          </w:p>
          <w:p w14:paraId="3B3981A4" w14:textId="543E66EA" w:rsidR="003D2D85" w:rsidRPr="0008623B" w:rsidRDefault="008348B0" w:rsidP="00640F37">
            <w:pPr>
              <w:pStyle w:val="Fait"/>
            </w:pPr>
            <w:r>
              <w:t xml:space="preserve">EU TLAC3b formoje ši eilutė netaikoma.</w:t>
            </w:r>
          </w:p>
        </w:tc>
      </w:tr>
      <w:tr w:rsidR="001D5616" w:rsidRPr="0008623B" w14:paraId="7EFDEF71" w14:textId="77777777" w:rsidTr="006E5727">
        <w:trPr>
          <w:trHeight w:val="483"/>
        </w:trPr>
        <w:tc>
          <w:tcPr>
            <w:tcW w:w="1384" w:type="dxa"/>
          </w:tcPr>
          <w:p w14:paraId="36ABDA8C" w14:textId="78FEFA6B" w:rsidR="001D5616" w:rsidRPr="0008623B" w:rsidRDefault="008871C6" w:rsidP="001D5616">
            <w:pPr>
              <w:pStyle w:val="Applicationdirecte"/>
              <w:spacing w:before="120"/>
              <w:rPr>
                <w:color w:val="000000" w:themeColor="text1"/>
                <w:szCs w:val="24"/>
              </w:rPr>
            </w:pPr>
            <w:r>
              <w:t xml:space="preserve">3</w:t>
            </w:r>
          </w:p>
        </w:tc>
        <w:tc>
          <w:tcPr>
            <w:tcW w:w="7655" w:type="dxa"/>
          </w:tcPr>
          <w:p w14:paraId="79EC0340" w14:textId="06B26FCE" w:rsidR="001D5616" w:rsidRPr="0008623B" w:rsidRDefault="00A14A6B" w:rsidP="001D5616">
            <w:pPr>
              <w:pStyle w:val="Fait"/>
              <w:rPr>
                <w:b/>
                <w:color w:val="000000" w:themeColor="text1"/>
                <w:szCs w:val="24"/>
              </w:rPr>
            </w:pPr>
            <w:r>
              <w:rPr>
                <w:b/>
                <w:color w:val="000000" w:themeColor="text1"/>
              </w:rPr>
              <w:t xml:space="preserve">Įsipareigojimai ir nuosavos lėšos. Iš jų neįtraukti įsipareigojimai</w:t>
            </w:r>
          </w:p>
          <w:p w14:paraId="0FF41010" w14:textId="001ECF54" w:rsidR="003D2D85" w:rsidRPr="0008623B" w:rsidRDefault="003D2D85" w:rsidP="003D2D85">
            <w:pPr>
              <w:pStyle w:val="Applicationdirecte"/>
              <w:spacing w:before="120"/>
              <w:rPr>
                <w:color w:val="000000" w:themeColor="text1"/>
                <w:szCs w:val="24"/>
              </w:rPr>
            </w:pPr>
            <w:r>
              <w:rPr>
                <w:color w:val="000000" w:themeColor="text1"/>
              </w:rPr>
              <w:t xml:space="preserve">Įsipareigojimų, neįtrauktų pagal</w:t>
            </w:r>
            <w:r>
              <w:rPr>
                <w:color w:val="000000" w:themeColor="text1"/>
              </w:rPr>
              <w:t xml:space="preserve"> Reglamento (ES) Nr. 575/2013 72a straipsnio 2 dalį arba Direktyvos 2014/59/ES 44 straipsnio 2 dalį</w:t>
            </w:r>
            <w:r>
              <w:rPr>
                <w:color w:val="000000" w:themeColor="text1"/>
              </w:rPr>
              <w:t xml:space="preserve"> ir, jei taikytina, tos direktyvos 44 straipsnio 3 dalį, suskirstymas.</w:t>
            </w:r>
          </w:p>
          <w:p w14:paraId="6E4598A5" w14:textId="066BD409" w:rsidR="003D2D85" w:rsidRPr="0008623B" w:rsidRDefault="008348B0" w:rsidP="001D5616">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EU TLAC3b formoje ši eilutė netaikoma.</w:t>
            </w:r>
          </w:p>
        </w:tc>
      </w:tr>
      <w:tr w:rsidR="001D5616" w:rsidRPr="0008623B" w14:paraId="3040763E" w14:textId="77777777" w:rsidTr="006E5727">
        <w:trPr>
          <w:trHeight w:val="1014"/>
        </w:trPr>
        <w:tc>
          <w:tcPr>
            <w:tcW w:w="1384" w:type="dxa"/>
          </w:tcPr>
          <w:p w14:paraId="6ED7CBD7" w14:textId="71B213F7" w:rsidR="001D5616" w:rsidRPr="0008623B" w:rsidRDefault="008871C6" w:rsidP="001D5616">
            <w:pPr>
              <w:pStyle w:val="Applicationdirecte"/>
              <w:spacing w:before="120"/>
              <w:rPr>
                <w:color w:val="000000" w:themeColor="text1"/>
                <w:szCs w:val="24"/>
              </w:rPr>
            </w:pPr>
            <w:r>
              <w:t xml:space="preserve">4</w:t>
            </w:r>
          </w:p>
        </w:tc>
        <w:tc>
          <w:tcPr>
            <w:tcW w:w="7655" w:type="dxa"/>
          </w:tcPr>
          <w:p w14:paraId="67B3F8CE" w14:textId="50557F36" w:rsidR="001D5616" w:rsidRPr="0008623B" w:rsidRDefault="00367DF1" w:rsidP="001D5616">
            <w:pPr>
              <w:jc w:val="both"/>
              <w:rPr>
                <w:b/>
                <w:color w:val="000000" w:themeColor="text1"/>
                <w:sz w:val="24"/>
                <w:szCs w:val="24"/>
                <w:rFonts w:ascii="Times New Roman" w:eastAsia="Times New Roman" w:hAnsi="Times New Roman" w:cs="Times New Roman"/>
              </w:rPr>
            </w:pPr>
            <w:r>
              <w:rPr>
                <w:b/>
                <w:color w:val="000000" w:themeColor="text1"/>
                <w:sz w:val="24"/>
                <w:rFonts w:ascii="Times New Roman" w:hAnsi="Times New Roman"/>
              </w:rPr>
              <w:t xml:space="preserve">Įsipareigojimai ir nuosavos lėšos, atėmus neįtrauktus įsipareigojimus</w:t>
            </w:r>
          </w:p>
          <w:p w14:paraId="09D8C04D" w14:textId="0C90618C" w:rsidR="001D5616" w:rsidRPr="0008623B" w:rsidRDefault="00367DF1" w:rsidP="001D5616">
            <w:pPr>
              <w:jc w:val="both"/>
              <w:rPr>
                <w:color w:val="000000" w:themeColor="text1"/>
                <w:szCs w:val="24"/>
              </w:rPr>
            </w:pPr>
            <w:r>
              <w:rPr>
                <w:color w:val="000000" w:themeColor="text1"/>
                <w:sz w:val="24"/>
                <w:rFonts w:ascii="Times New Roman" w:hAnsi="Times New Roman"/>
              </w:rPr>
              <w:t xml:space="preserve">Įsipareigojimai ir nuosavos lėšos, atėmus neįtrauktus įsipareigojimus.</w:t>
            </w:r>
            <w:r>
              <w:rPr>
                <w:color w:val="000000" w:themeColor="text1"/>
              </w:rPr>
              <w:t xml:space="preserve"> </w:t>
            </w:r>
          </w:p>
          <w:p w14:paraId="4C2B3296" w14:textId="5FECF8AC" w:rsidR="003D2D85" w:rsidRPr="0008623B" w:rsidRDefault="008348B0" w:rsidP="001D5616">
            <w:pPr>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EU TLAC3b formoje ši eilutė netaikoma.</w:t>
            </w:r>
          </w:p>
        </w:tc>
      </w:tr>
      <w:tr w:rsidR="001D5616" w:rsidRPr="0008623B" w14:paraId="3A2C5DDE" w14:textId="77777777" w:rsidTr="006E5727">
        <w:trPr>
          <w:trHeight w:val="316"/>
        </w:trPr>
        <w:tc>
          <w:tcPr>
            <w:tcW w:w="1384" w:type="dxa"/>
          </w:tcPr>
          <w:p w14:paraId="3404E285" w14:textId="021B6A65" w:rsidR="001D5616" w:rsidRPr="0008623B" w:rsidRDefault="008871C6" w:rsidP="001D5616">
            <w:pPr>
              <w:autoSpaceDE w:val="0"/>
              <w:autoSpaceDN w:val="0"/>
              <w:adjustRightInd w:val="0"/>
              <w:spacing w:before="120" w:after="120"/>
              <w:jc w:val="both"/>
              <w:rPr>
                <w:color w:val="000000" w:themeColor="text1"/>
                <w:sz w:val="24"/>
                <w:szCs w:val="24"/>
                <w:rFonts w:ascii="Times New Roman" w:eastAsia="Times New Roman" w:hAnsi="Times New Roman" w:cs="Times New Roman"/>
              </w:rPr>
            </w:pPr>
            <w:r>
              <w:rPr>
                <w:sz w:val="24"/>
                <w:rFonts w:ascii="Times New Roman" w:hAnsi="Times New Roman"/>
              </w:rPr>
              <w:t xml:space="preserve">5</w:t>
            </w:r>
          </w:p>
        </w:tc>
        <w:tc>
          <w:tcPr>
            <w:tcW w:w="7655" w:type="dxa"/>
          </w:tcPr>
          <w:p w14:paraId="3A72D26C" w14:textId="33DDDACD" w:rsidR="001D5616" w:rsidRPr="0008623B" w:rsidRDefault="001D5616" w:rsidP="001D5616">
            <w:pPr>
              <w:autoSpaceDE w:val="0"/>
              <w:autoSpaceDN w:val="0"/>
              <w:adjustRightInd w:val="0"/>
              <w:spacing w:before="120" w:after="120"/>
              <w:jc w:val="both"/>
              <w:rPr>
                <w:b/>
                <w:color w:val="000000" w:themeColor="text1"/>
                <w:sz w:val="24"/>
                <w:szCs w:val="24"/>
                <w:rFonts w:ascii="Times New Roman" w:eastAsia="Times New Roman" w:hAnsi="Times New Roman" w:cs="Times New Roman"/>
              </w:rPr>
            </w:pPr>
            <w:r>
              <w:rPr>
                <w:b/>
                <w:color w:val="000000" w:themeColor="text1"/>
                <w:sz w:val="24"/>
                <w:rFonts w:ascii="Times New Roman" w:hAnsi="Times New Roman"/>
              </w:rPr>
              <w:t xml:space="preserve">Įsipareigojimų ir nuosavų lėšų pogrupis, atėmus neįtrauktus įsipareigojimus, kurie yra nuosavos lėšos ir įsipareigojimai, potencialiai tinkami MREL/TLAC reikalavimams įvykdyti</w:t>
            </w:r>
          </w:p>
          <w:p w14:paraId="4D791BCD" w14:textId="72DDE991" w:rsidR="001D5616" w:rsidRPr="0008623B" w:rsidRDefault="001D5616" w:rsidP="008B671A">
            <w:pPr>
              <w:rPr>
                <w:color w:val="000000" w:themeColor="text1"/>
                <w:sz w:val="24"/>
                <w:szCs w:val="24"/>
                <w:rFonts w:ascii="Times New Roman" w:eastAsia="Times New Roman" w:hAnsi="Times New Roman" w:cs="Times New Roman"/>
              </w:rPr>
            </w:pPr>
            <w:r>
              <w:rPr>
                <w:color w:val="000000" w:themeColor="text1"/>
                <w:sz w:val="24"/>
                <w:rFonts w:ascii="Times New Roman" w:hAnsi="Times New Roman"/>
              </w:rPr>
              <w:t xml:space="preserve">Nuosavų lėšų ir įsipareigojimų, tinkamų MREL arba TLAC tikslais, kaip taikytina pagal pirmesnį 19 punktą, sumos išskaidymas netaikant viršutinių ribų nesubordinuotųjų įsipareigojimų pripažinimui.</w:t>
            </w:r>
          </w:p>
        </w:tc>
      </w:tr>
      <w:tr w:rsidR="001D5616" w:rsidRPr="0008623B" w14:paraId="1AD03E0A" w14:textId="77777777" w:rsidTr="006E5727">
        <w:trPr>
          <w:trHeight w:val="316"/>
        </w:trPr>
        <w:tc>
          <w:tcPr>
            <w:tcW w:w="1384" w:type="dxa"/>
          </w:tcPr>
          <w:p w14:paraId="5319D1AF" w14:textId="74E28EE0" w:rsidR="001D5616" w:rsidRPr="0008623B" w:rsidRDefault="008871C6" w:rsidP="001D5616">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6</w:t>
            </w:r>
          </w:p>
        </w:tc>
        <w:tc>
          <w:tcPr>
            <w:tcW w:w="7655" w:type="dxa"/>
          </w:tcPr>
          <w:p w14:paraId="208DFDB8" w14:textId="6F2FB385" w:rsidR="001D5616" w:rsidRPr="0008623B" w:rsidRDefault="008E3ADF"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Iš jų likutinis terminas ≥ 1 metai ir &lt; 2 metai</w:t>
            </w:r>
            <w:r>
              <w:rPr>
                <w:b/>
                <w:color w:val="000000" w:themeColor="text1"/>
                <w:sz w:val="24"/>
                <w:rFonts w:ascii="Times New Roman" w:hAnsi="Times New Roman"/>
              </w:rPr>
              <w:t xml:space="preserve"> </w:t>
            </w:r>
          </w:p>
          <w:p w14:paraId="024B38D7" w14:textId="23586DB1" w:rsidR="001D5616" w:rsidRPr="0008623B" w:rsidRDefault="001D5616" w:rsidP="001D5616">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5 eilutės pogrupis su atitinkamu likutiniu terminu.</w:t>
            </w:r>
          </w:p>
        </w:tc>
      </w:tr>
      <w:tr w:rsidR="001D5616" w:rsidRPr="0008623B" w14:paraId="589F2978" w14:textId="77777777" w:rsidTr="006E5727">
        <w:trPr>
          <w:trHeight w:val="316"/>
        </w:trPr>
        <w:tc>
          <w:tcPr>
            <w:tcW w:w="1384" w:type="dxa"/>
          </w:tcPr>
          <w:p w14:paraId="41E8C660" w14:textId="7938235A" w:rsidR="001D5616" w:rsidRPr="0008623B" w:rsidRDefault="008871C6" w:rsidP="001D5616">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7</w:t>
            </w:r>
          </w:p>
        </w:tc>
        <w:tc>
          <w:tcPr>
            <w:tcW w:w="7655" w:type="dxa"/>
          </w:tcPr>
          <w:p w14:paraId="1A0F18F5" w14:textId="1406EA6F" w:rsidR="001D5616" w:rsidRPr="0008623B" w:rsidRDefault="008E3ADF"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Iš jų likutinis terminas ≥ 2 metai ir &lt; 5 metai</w:t>
            </w:r>
          </w:p>
          <w:p w14:paraId="503D3ECD" w14:textId="3E0914A8" w:rsidR="001D5616" w:rsidRPr="0008623B" w:rsidRDefault="001D5616" w:rsidP="001D5616">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5 eilutės pogrupis su atitinkamu likutiniu terminu.</w:t>
            </w:r>
          </w:p>
        </w:tc>
      </w:tr>
      <w:tr w:rsidR="001D5616" w:rsidRPr="0008623B" w14:paraId="1CE5BF41" w14:textId="77777777" w:rsidTr="006E5727">
        <w:trPr>
          <w:trHeight w:val="316"/>
        </w:trPr>
        <w:tc>
          <w:tcPr>
            <w:tcW w:w="1384" w:type="dxa"/>
          </w:tcPr>
          <w:p w14:paraId="6D06C91E" w14:textId="6BE3FA67" w:rsidR="001D5616" w:rsidRPr="0008623B" w:rsidRDefault="008871C6" w:rsidP="001D5616">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8</w:t>
            </w:r>
          </w:p>
        </w:tc>
        <w:tc>
          <w:tcPr>
            <w:tcW w:w="7655" w:type="dxa"/>
          </w:tcPr>
          <w:p w14:paraId="385E6CA6" w14:textId="685C5434" w:rsidR="001D5616" w:rsidRPr="0008623B" w:rsidRDefault="008E3ADF"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Iš jų likutinis terminas ≥ 5 metai ir &lt; 10 metų</w:t>
            </w:r>
          </w:p>
          <w:p w14:paraId="197AF3C0" w14:textId="56872A6F" w:rsidR="001D5616" w:rsidRPr="0008623B" w:rsidRDefault="001D5616" w:rsidP="001D5616">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5 eilutės pogrupis su atitinkamu likutiniu terminu.</w:t>
            </w:r>
          </w:p>
        </w:tc>
      </w:tr>
      <w:tr w:rsidR="001D5616" w:rsidRPr="0008623B" w14:paraId="6652A440" w14:textId="77777777" w:rsidTr="006E5727">
        <w:trPr>
          <w:trHeight w:val="316"/>
        </w:trPr>
        <w:tc>
          <w:tcPr>
            <w:tcW w:w="1384" w:type="dxa"/>
          </w:tcPr>
          <w:p w14:paraId="34E6E46D" w14:textId="5ECCD03F" w:rsidR="001D5616" w:rsidRPr="0008623B" w:rsidRDefault="008871C6" w:rsidP="008871C6">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9</w:t>
            </w:r>
          </w:p>
        </w:tc>
        <w:tc>
          <w:tcPr>
            <w:tcW w:w="7655" w:type="dxa"/>
          </w:tcPr>
          <w:p w14:paraId="18D5EBD6" w14:textId="39172B5A" w:rsidR="001D5616" w:rsidRPr="0008623B" w:rsidRDefault="008E3ADF"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Iš jų likutinis terminas ≥ 10 metų, bet neįskaitant nuolatinių vertybinių popierių</w:t>
            </w:r>
          </w:p>
          <w:p w14:paraId="61C53A18" w14:textId="6ED02288" w:rsidR="001D5616" w:rsidRPr="0008623B" w:rsidRDefault="001D5616"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color w:val="000000" w:themeColor="text1"/>
                <w:sz w:val="24"/>
                <w:rFonts w:ascii="Times New Roman" w:hAnsi="Times New Roman"/>
              </w:rPr>
              <w:t xml:space="preserve">5 eilutės pogrupis su atitinkamu likutiniu terminu.</w:t>
            </w:r>
            <w:r>
              <w:rPr>
                <w:color w:val="000000" w:themeColor="text1"/>
                <w:sz w:val="24"/>
                <w:rFonts w:ascii="Times New Roman" w:hAnsi="Times New Roman"/>
              </w:rPr>
              <w:t xml:space="preserve"> </w:t>
            </w:r>
          </w:p>
        </w:tc>
      </w:tr>
      <w:tr w:rsidR="001D5616" w:rsidRPr="00F7311F" w14:paraId="122BED89" w14:textId="77777777" w:rsidTr="006E5727">
        <w:trPr>
          <w:trHeight w:val="316"/>
        </w:trPr>
        <w:tc>
          <w:tcPr>
            <w:tcW w:w="1384" w:type="dxa"/>
          </w:tcPr>
          <w:p w14:paraId="0B741CEB" w14:textId="37EB6C3B" w:rsidR="001D5616" w:rsidRPr="0008623B" w:rsidRDefault="001D5616" w:rsidP="001D5616">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10</w:t>
            </w:r>
          </w:p>
        </w:tc>
        <w:tc>
          <w:tcPr>
            <w:tcW w:w="7655" w:type="dxa"/>
          </w:tcPr>
          <w:p w14:paraId="00862BE8" w14:textId="48E6FB14" w:rsidR="001D5616" w:rsidRPr="0008623B" w:rsidRDefault="008E3ADF"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Iš jų nuolatiniai vertybiniai popieriai</w:t>
            </w:r>
          </w:p>
          <w:p w14:paraId="364F102A" w14:textId="35E5C977" w:rsidR="001D5616" w:rsidRPr="00F7311F" w:rsidRDefault="001D5616"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color w:val="000000" w:themeColor="text1"/>
                <w:sz w:val="24"/>
                <w:rFonts w:ascii="Times New Roman" w:hAnsi="Times New Roman"/>
              </w:rPr>
              <w:t xml:space="preserve">5 eilutės pogrupis, kurį sudaro nuolatiniai vertybiniai popieriai.</w:t>
            </w:r>
            <w:r>
              <w:rPr>
                <w:color w:val="000000" w:themeColor="text1"/>
                <w:sz w:val="24"/>
                <w:rFonts w:ascii="Times New Roman" w:hAnsi="Times New Roman"/>
              </w:rPr>
              <w:t xml:space="preserve"> </w:t>
            </w:r>
          </w:p>
        </w:tc>
      </w:tr>
    </w:tbl>
    <w:p w14:paraId="727A9C45" w14:textId="513EB7A2" w:rsidR="002E3F40" w:rsidRPr="00DE7C85" w:rsidRDefault="00676354" w:rsidP="00AA4A01">
      <w:pPr>
        <w:pStyle w:val="body"/>
      </w:pPr>
      <w:r>
        <w:t xml:space="preserve">„</w:t>
      </w:r>
    </w:p>
    <w:sectPr w:rsidR="002E3F40" w:rsidRPr="00DE7C85" w:rsidSect="00807127">
      <w:headerReference w:type="even" r:id="rId8"/>
      <w:footerReference w:type="default" r:id="rId9"/>
      <w:headerReference w:type="first" r:id="rId10"/>
      <w:pgSz w:w="11900" w:h="16840"/>
      <w:pgMar w:top="2268" w:right="1418" w:bottom="1134"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5B52" w14:textId="77777777" w:rsidR="00EE5DE6" w:rsidRDefault="00EE5DE6" w:rsidP="00A00E34">
      <w:r>
        <w:separator/>
      </w:r>
    </w:p>
    <w:p w14:paraId="6D9A16C1" w14:textId="77777777" w:rsidR="00EE5DE6" w:rsidRDefault="00EE5DE6"/>
  </w:endnote>
  <w:endnote w:type="continuationSeparator" w:id="0">
    <w:p w14:paraId="68144B1B" w14:textId="77777777" w:rsidR="00EE5DE6" w:rsidRDefault="00EE5DE6" w:rsidP="00A00E34">
      <w:r>
        <w:continuationSeparator/>
      </w:r>
    </w:p>
    <w:p w14:paraId="6D92350E" w14:textId="77777777" w:rsidR="00EE5DE6" w:rsidRDefault="00EE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charset w:val="00"/>
    <w:family w:val="auto"/>
    <w:pitch w:val="variable"/>
    <w:sig w:usb0="00000001"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3737"/>
      <w:docPartObj>
        <w:docPartGallery w:val="Page Numbers (Bottom of Page)"/>
        <w:docPartUnique/>
      </w:docPartObj>
    </w:sdtPr>
    <w:sdtEndPr>
      <w:rPr>
        <w:noProof/>
      </w:rPr>
    </w:sdtEndPr>
    <w:sdtContent>
      <w:p w14:paraId="7E860D88" w14:textId="580CA2FB" w:rsidR="00EE5DE6" w:rsidRDefault="00EE5DE6" w:rsidP="00940030">
        <w:pPr>
          <w:pStyle w:val="Footer"/>
          <w:jc w:val="center"/>
        </w:pPr>
        <w:r>
          <w:fldChar w:fldCharType="begin"/>
        </w:r>
        <w:r>
          <w:instrText xml:space="preserve"> PAGE   \* MERGEFORMAT </w:instrText>
        </w:r>
        <w:r>
          <w:fldChar w:fldCharType="separate"/>
        </w:r>
        <w:r w:rsidR="00290A9D">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0FCA" w14:textId="77777777" w:rsidR="00EE5DE6" w:rsidRPr="00DB5E8F" w:rsidRDefault="00EE5DE6">
      <w:pPr>
        <w:rPr>
          <w:sz w:val="12"/>
          <w:szCs w:val="12"/>
        </w:rPr>
      </w:pPr>
      <w:r w:rsidRPr="00DB5E8F">
        <w:rPr>
          <w:sz w:val="12"/>
          <w:szCs w:val="12"/>
        </w:rPr>
        <w:separator/>
      </w:r>
    </w:p>
  </w:footnote>
  <w:footnote w:type="continuationSeparator" w:id="0">
    <w:p w14:paraId="6AD737B5" w14:textId="77777777" w:rsidR="00EE5DE6" w:rsidRDefault="00EE5DE6" w:rsidP="00A00E34">
      <w:r>
        <w:continuationSeparator/>
      </w:r>
    </w:p>
    <w:p w14:paraId="5D810347" w14:textId="77777777" w:rsidR="00EE5DE6" w:rsidRDefault="00EE5DE6"/>
  </w:footnote>
  <w:footnote w:type="continuationNotice" w:id="1">
    <w:p w14:paraId="57FCC2A8" w14:textId="77777777" w:rsidR="00EE5DE6" w:rsidRDefault="00EE5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B2EC" w14:textId="00F9D07C" w:rsidR="00EE5DE6" w:rsidRDefault="00CF0B8E">
    <w:pPr>
      <w:pStyle w:val="Header"/>
    </w:pPr>
    <w:r>
      <mc:AlternateContent>
        <mc:Choice Requires="wps">
          <w:drawing>
            <wp:anchor distT="0" distB="0" distL="0" distR="0" simplePos="0" relativeHeight="251659264" behindDoc="0" locked="0" layoutInCell="1" allowOverlap="1" wp14:anchorId="0ABFD109" wp14:editId="13862CD5">
              <wp:simplePos x="635" y="635"/>
              <wp:positionH relativeFrom="leftMargin">
                <wp:align>left</wp:align>
              </wp:positionH>
              <wp:positionV relativeFrom="paragraph">
                <wp:posOffset>635</wp:posOffset>
              </wp:positionV>
              <wp:extent cx="443865" cy="443865"/>
              <wp:effectExtent l="0" t="0" r="3175" b="2540"/>
              <wp:wrapSquare wrapText="bothSides"/>
              <wp:docPr id="2"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10E33" w14:textId="033AAB4C"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BFD109" id="_x0000_t202" coordsize="21600,21600" o:spt="202" path="m,l,21600r21600,l21600,xe">
              <v:stroke joinstyle="miter"/>
              <v:path gradientshapeok="t" o:connecttype="rect"/>
            </v:shapetype>
            <v:shape id="Text Box 2" o:spid="_x0000_s1026" type="#_x0000_t202" alt="Title:  - Description: EBA Regular Use"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710E33" w14:textId="033AAB4C"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C792" w14:textId="02EA7972" w:rsidR="00EE5DE6" w:rsidRDefault="00CF0B8E">
    <w:pPr>
      <w:pStyle w:val="Header"/>
    </w:pPr>
    <w:r>
      <mc:AlternateContent>
        <mc:Choice Requires="wps">
          <w:drawing>
            <wp:anchor distT="0" distB="0" distL="0" distR="0" simplePos="0" relativeHeight="251658240" behindDoc="0" locked="0" layoutInCell="1" allowOverlap="1" wp14:anchorId="7841ADB4" wp14:editId="57113CAA">
              <wp:simplePos x="635" y="635"/>
              <wp:positionH relativeFrom="leftMargin">
                <wp:align>left</wp:align>
              </wp:positionH>
              <wp:positionV relativeFrom="paragraph">
                <wp:posOffset>635</wp:posOffset>
              </wp:positionV>
              <wp:extent cx="443865" cy="443865"/>
              <wp:effectExtent l="0" t="0" r="3175" b="2540"/>
              <wp:wrapSquare wrapText="bothSides"/>
              <wp:docPr id="1"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DBD6C" w14:textId="64E8C075"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41ADB4" id="_x0000_t202" coordsize="21600,21600" o:spt="202" path="m,l,21600r21600,l21600,xe">
              <v:stroke joinstyle="miter"/>
              <v:path gradientshapeok="t" o:connecttype="rect"/>
            </v:shapetype>
            <v:shape id="Text Box 1" o:spid="_x0000_s1027" type="#_x0000_t202" alt="Title:  - Description: 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9CDBD6C" w14:textId="64E8C075"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920"/>
    <w:multiLevelType w:val="hybridMultilevel"/>
    <w:tmpl w:val="CA5CBCCC"/>
    <w:lvl w:ilvl="0" w:tplc="E7565B6A">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3CB"/>
    <w:multiLevelType w:val="hybridMultilevel"/>
    <w:tmpl w:val="0B82EB28"/>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8286D"/>
    <w:multiLevelType w:val="hybridMultilevel"/>
    <w:tmpl w:val="35E62C9C"/>
    <w:lvl w:ilvl="0" w:tplc="C1962A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78B8"/>
    <w:multiLevelType w:val="multilevel"/>
    <w:tmpl w:val="FEE42B3C"/>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ascii="Tahoma" w:eastAsia="Calibri" w:hAnsi="Tahoma" w:cs="Tahoma"/>
      </w:r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9"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1C07"/>
    <w:multiLevelType w:val="hybridMultilevel"/>
    <w:tmpl w:val="EEC22C74"/>
    <w:lvl w:ilvl="0" w:tplc="5F56F3B6">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57CB8"/>
    <w:multiLevelType w:val="hybridMultilevel"/>
    <w:tmpl w:val="760C1692"/>
    <w:lvl w:ilvl="0" w:tplc="236EA62C">
      <w:start w:val="1"/>
      <w:numFmt w:val="decimal"/>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6686A3D"/>
    <w:multiLevelType w:val="hybridMultilevel"/>
    <w:tmpl w:val="F92E0946"/>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E03EB"/>
    <w:multiLevelType w:val="hybridMultilevel"/>
    <w:tmpl w:val="67A836A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C57A9"/>
    <w:multiLevelType w:val="hybridMultilevel"/>
    <w:tmpl w:val="42E0F2F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D7471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66CA2C8C"/>
    <w:multiLevelType w:val="hybridMultilevel"/>
    <w:tmpl w:val="5BF2CFE0"/>
    <w:lvl w:ilvl="0" w:tplc="4BB6D85C">
      <w:start w:val="1"/>
      <w:numFmt w:val="decimal"/>
      <w:pStyle w:val="Instructionsberschrift2"/>
      <w:lvlText w:val="%1.1"/>
      <w:lvlJc w:val="left"/>
      <w:pPr>
        <w:ind w:left="7307" w:hanging="360"/>
      </w:pPr>
      <w:rPr>
        <w:rFonts w:cs="Times New Roman" w:hint="default"/>
      </w:rPr>
    </w:lvl>
    <w:lvl w:ilvl="1" w:tplc="E7565B6A">
      <w:start w:val="1"/>
      <w:numFmt w:val="lowerLetter"/>
      <w:lvlText w:val="%2."/>
      <w:lvlJc w:val="left"/>
      <w:pPr>
        <w:ind w:left="8027" w:hanging="360"/>
      </w:pPr>
      <w:rPr>
        <w:rFonts w:cs="Times New Roman"/>
      </w:rPr>
    </w:lvl>
    <w:lvl w:ilvl="2" w:tplc="67A6A44A" w:tentative="1">
      <w:start w:val="1"/>
      <w:numFmt w:val="lowerRoman"/>
      <w:lvlText w:val="%3."/>
      <w:lvlJc w:val="right"/>
      <w:pPr>
        <w:ind w:left="8747" w:hanging="180"/>
      </w:pPr>
      <w:rPr>
        <w:rFonts w:cs="Times New Roman"/>
      </w:rPr>
    </w:lvl>
    <w:lvl w:ilvl="3" w:tplc="21C6EF3C" w:tentative="1">
      <w:start w:val="1"/>
      <w:numFmt w:val="decimal"/>
      <w:lvlText w:val="%4."/>
      <w:lvlJc w:val="left"/>
      <w:pPr>
        <w:ind w:left="9467" w:hanging="360"/>
      </w:pPr>
      <w:rPr>
        <w:rFonts w:cs="Times New Roman"/>
      </w:rPr>
    </w:lvl>
    <w:lvl w:ilvl="4" w:tplc="6C185750" w:tentative="1">
      <w:start w:val="1"/>
      <w:numFmt w:val="lowerLetter"/>
      <w:lvlText w:val="%5."/>
      <w:lvlJc w:val="left"/>
      <w:pPr>
        <w:ind w:left="10187" w:hanging="360"/>
      </w:pPr>
      <w:rPr>
        <w:rFonts w:cs="Times New Roman"/>
      </w:rPr>
    </w:lvl>
    <w:lvl w:ilvl="5" w:tplc="FA46F0F4" w:tentative="1">
      <w:start w:val="1"/>
      <w:numFmt w:val="lowerRoman"/>
      <w:lvlText w:val="%6."/>
      <w:lvlJc w:val="right"/>
      <w:pPr>
        <w:ind w:left="10907" w:hanging="180"/>
      </w:pPr>
      <w:rPr>
        <w:rFonts w:cs="Times New Roman"/>
      </w:rPr>
    </w:lvl>
    <w:lvl w:ilvl="6" w:tplc="84CCF45A" w:tentative="1">
      <w:start w:val="1"/>
      <w:numFmt w:val="decimal"/>
      <w:lvlText w:val="%7."/>
      <w:lvlJc w:val="left"/>
      <w:pPr>
        <w:ind w:left="11627" w:hanging="360"/>
      </w:pPr>
      <w:rPr>
        <w:rFonts w:cs="Times New Roman"/>
      </w:rPr>
    </w:lvl>
    <w:lvl w:ilvl="7" w:tplc="E2FA2386" w:tentative="1">
      <w:start w:val="1"/>
      <w:numFmt w:val="lowerLetter"/>
      <w:lvlText w:val="%8."/>
      <w:lvlJc w:val="left"/>
      <w:pPr>
        <w:ind w:left="12347" w:hanging="360"/>
      </w:pPr>
      <w:rPr>
        <w:rFonts w:cs="Times New Roman"/>
      </w:rPr>
    </w:lvl>
    <w:lvl w:ilvl="8" w:tplc="1E3AE066" w:tentative="1">
      <w:start w:val="1"/>
      <w:numFmt w:val="lowerRoman"/>
      <w:lvlText w:val="%9."/>
      <w:lvlJc w:val="right"/>
      <w:pPr>
        <w:ind w:left="13067" w:hanging="180"/>
      </w:pPr>
      <w:rPr>
        <w:rFonts w:cs="Times New Roman"/>
      </w:rPr>
    </w:lvl>
  </w:abstractNum>
  <w:abstractNum w:abstractNumId="20"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1" w15:restartNumberingAfterBreak="0">
    <w:nsid w:val="6BCD57BB"/>
    <w:multiLevelType w:val="multilevel"/>
    <w:tmpl w:val="F60CCED6"/>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05749">
    <w:abstractNumId w:val="16"/>
  </w:num>
  <w:num w:numId="2" w16cid:durableId="1184441859">
    <w:abstractNumId w:val="3"/>
  </w:num>
  <w:num w:numId="3" w16cid:durableId="1028918299">
    <w:abstractNumId w:val="13"/>
  </w:num>
  <w:num w:numId="4" w16cid:durableId="776296339">
    <w:abstractNumId w:val="22"/>
  </w:num>
  <w:num w:numId="5" w16cid:durableId="750153091">
    <w:abstractNumId w:val="1"/>
  </w:num>
  <w:num w:numId="6" w16cid:durableId="336813224">
    <w:abstractNumId w:val="21"/>
  </w:num>
  <w:num w:numId="7" w16cid:durableId="465779702">
    <w:abstractNumId w:val="18"/>
  </w:num>
  <w:num w:numId="8" w16cid:durableId="663163219">
    <w:abstractNumId w:val="0"/>
  </w:num>
  <w:num w:numId="9" w16cid:durableId="1917978329">
    <w:abstractNumId w:val="8"/>
  </w:num>
  <w:num w:numId="10" w16cid:durableId="353311820">
    <w:abstractNumId w:val="23"/>
  </w:num>
  <w:num w:numId="11" w16cid:durableId="670957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5784">
    <w:abstractNumId w:val="15"/>
  </w:num>
  <w:num w:numId="13" w16cid:durableId="1831798045">
    <w:abstractNumId w:val="20"/>
  </w:num>
  <w:num w:numId="14" w16cid:durableId="1121650833">
    <w:abstractNumId w:val="19"/>
  </w:num>
  <w:num w:numId="15" w16cid:durableId="1026759010">
    <w:abstractNumId w:val="11"/>
  </w:num>
  <w:num w:numId="16" w16cid:durableId="826094156">
    <w:abstractNumId w:val="9"/>
  </w:num>
  <w:num w:numId="17" w16cid:durableId="1348865239">
    <w:abstractNumId w:val="17"/>
  </w:num>
  <w:num w:numId="18" w16cid:durableId="1335106368">
    <w:abstractNumId w:val="7"/>
  </w:num>
  <w:num w:numId="19" w16cid:durableId="227693673">
    <w:abstractNumId w:val="11"/>
  </w:num>
  <w:num w:numId="20" w16cid:durableId="748769138">
    <w:abstractNumId w:val="11"/>
  </w:num>
  <w:num w:numId="21" w16cid:durableId="935597942">
    <w:abstractNumId w:val="2"/>
  </w:num>
  <w:num w:numId="22" w16cid:durableId="1734306422">
    <w:abstractNumId w:val="5"/>
  </w:num>
  <w:num w:numId="23" w16cid:durableId="451824100">
    <w:abstractNumId w:val="14"/>
  </w:num>
  <w:num w:numId="24" w16cid:durableId="398483654">
    <w:abstractNumId w:val="12"/>
  </w:num>
  <w:num w:numId="25" w16cid:durableId="818500383">
    <w:abstractNumId w:val="4"/>
  </w:num>
  <w:num w:numId="26" w16cid:durableId="1235430350">
    <w:abstractNumId w:val="11"/>
  </w:num>
  <w:num w:numId="27" w16cid:durableId="1326936538">
    <w:abstractNumId w:val="11"/>
  </w:num>
  <w:num w:numId="28" w16cid:durableId="1637417445">
    <w:abstractNumId w:val="11"/>
  </w:num>
  <w:num w:numId="29" w16cid:durableId="1921674367">
    <w:abstractNumId w:val="11"/>
  </w:num>
  <w:num w:numId="30" w16cid:durableId="1001541118">
    <w:abstractNumId w:val="11"/>
  </w:num>
  <w:num w:numId="31" w16cid:durableId="24329730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proofState w:spelling="dirty" w:grammar="dirty"/>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18636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LW_DocType" w:val="EBA GL-REC 20XX XX (FINAL GLS-REC ON"/>
  </w:docVars>
  <w:rsids>
    <w:rsidRoot w:val="006307A5"/>
    <w:rsid w:val="00000DE2"/>
    <w:rsid w:val="00001873"/>
    <w:rsid w:val="00002ED7"/>
    <w:rsid w:val="00003F50"/>
    <w:rsid w:val="00004389"/>
    <w:rsid w:val="0000671C"/>
    <w:rsid w:val="000115C7"/>
    <w:rsid w:val="000121E8"/>
    <w:rsid w:val="0001312A"/>
    <w:rsid w:val="00013281"/>
    <w:rsid w:val="000145DB"/>
    <w:rsid w:val="00015DE4"/>
    <w:rsid w:val="0001617D"/>
    <w:rsid w:val="0002022F"/>
    <w:rsid w:val="00021902"/>
    <w:rsid w:val="00021E4F"/>
    <w:rsid w:val="00022F5A"/>
    <w:rsid w:val="000231B7"/>
    <w:rsid w:val="00023BE0"/>
    <w:rsid w:val="00026E75"/>
    <w:rsid w:val="00026FC1"/>
    <w:rsid w:val="00027CA0"/>
    <w:rsid w:val="00030D65"/>
    <w:rsid w:val="000360DE"/>
    <w:rsid w:val="00036DB1"/>
    <w:rsid w:val="00037C74"/>
    <w:rsid w:val="00037D40"/>
    <w:rsid w:val="00040129"/>
    <w:rsid w:val="000445F0"/>
    <w:rsid w:val="000457FD"/>
    <w:rsid w:val="00045B67"/>
    <w:rsid w:val="000602F0"/>
    <w:rsid w:val="00060F40"/>
    <w:rsid w:val="000611BF"/>
    <w:rsid w:val="00062830"/>
    <w:rsid w:val="00062937"/>
    <w:rsid w:val="00066A9A"/>
    <w:rsid w:val="00070882"/>
    <w:rsid w:val="000774B3"/>
    <w:rsid w:val="00083C33"/>
    <w:rsid w:val="000843CD"/>
    <w:rsid w:val="00085838"/>
    <w:rsid w:val="0008623B"/>
    <w:rsid w:val="00097F01"/>
    <w:rsid w:val="000A1C81"/>
    <w:rsid w:val="000A2295"/>
    <w:rsid w:val="000A2565"/>
    <w:rsid w:val="000A3851"/>
    <w:rsid w:val="000A53C4"/>
    <w:rsid w:val="000A553F"/>
    <w:rsid w:val="000B1645"/>
    <w:rsid w:val="000B1CB3"/>
    <w:rsid w:val="000B22D4"/>
    <w:rsid w:val="000B3C02"/>
    <w:rsid w:val="000B47A2"/>
    <w:rsid w:val="000B4D72"/>
    <w:rsid w:val="000B51DB"/>
    <w:rsid w:val="000C0577"/>
    <w:rsid w:val="000C2E1B"/>
    <w:rsid w:val="000C3B9F"/>
    <w:rsid w:val="000C5255"/>
    <w:rsid w:val="000C5A8A"/>
    <w:rsid w:val="000C6F8C"/>
    <w:rsid w:val="000C74DC"/>
    <w:rsid w:val="000C7FD8"/>
    <w:rsid w:val="000D0E56"/>
    <w:rsid w:val="000D19EC"/>
    <w:rsid w:val="000D1FC3"/>
    <w:rsid w:val="000D7A44"/>
    <w:rsid w:val="000E0614"/>
    <w:rsid w:val="000E0C27"/>
    <w:rsid w:val="000E4902"/>
    <w:rsid w:val="000E4D2F"/>
    <w:rsid w:val="000E5B26"/>
    <w:rsid w:val="000E6ABB"/>
    <w:rsid w:val="000E6D15"/>
    <w:rsid w:val="000E7BBF"/>
    <w:rsid w:val="000F33D3"/>
    <w:rsid w:val="000F3E72"/>
    <w:rsid w:val="000F5992"/>
    <w:rsid w:val="000F607B"/>
    <w:rsid w:val="000F6495"/>
    <w:rsid w:val="000F6FD8"/>
    <w:rsid w:val="0010098C"/>
    <w:rsid w:val="00101B32"/>
    <w:rsid w:val="00102896"/>
    <w:rsid w:val="00103DB7"/>
    <w:rsid w:val="001061FA"/>
    <w:rsid w:val="0011007A"/>
    <w:rsid w:val="00111034"/>
    <w:rsid w:val="001142F6"/>
    <w:rsid w:val="0011517F"/>
    <w:rsid w:val="00121BB0"/>
    <w:rsid w:val="00121E46"/>
    <w:rsid w:val="0012686C"/>
    <w:rsid w:val="001300F0"/>
    <w:rsid w:val="0013022F"/>
    <w:rsid w:val="0013090C"/>
    <w:rsid w:val="00131C5D"/>
    <w:rsid w:val="00134FA4"/>
    <w:rsid w:val="001358FD"/>
    <w:rsid w:val="00136D98"/>
    <w:rsid w:val="00141B74"/>
    <w:rsid w:val="00142DF6"/>
    <w:rsid w:val="00145255"/>
    <w:rsid w:val="00145D24"/>
    <w:rsid w:val="00150101"/>
    <w:rsid w:val="001515F1"/>
    <w:rsid w:val="00152832"/>
    <w:rsid w:val="00154596"/>
    <w:rsid w:val="001600FC"/>
    <w:rsid w:val="0016339F"/>
    <w:rsid w:val="001651F7"/>
    <w:rsid w:val="0016737A"/>
    <w:rsid w:val="00170316"/>
    <w:rsid w:val="00170DA1"/>
    <w:rsid w:val="00172007"/>
    <w:rsid w:val="001736AB"/>
    <w:rsid w:val="001741D6"/>
    <w:rsid w:val="0017446F"/>
    <w:rsid w:val="00177CB9"/>
    <w:rsid w:val="0018025F"/>
    <w:rsid w:val="001834D4"/>
    <w:rsid w:val="00185F8E"/>
    <w:rsid w:val="0018755F"/>
    <w:rsid w:val="00187B95"/>
    <w:rsid w:val="00192287"/>
    <w:rsid w:val="00193B9E"/>
    <w:rsid w:val="00195025"/>
    <w:rsid w:val="001A016C"/>
    <w:rsid w:val="001A2A81"/>
    <w:rsid w:val="001A5BD4"/>
    <w:rsid w:val="001A70A8"/>
    <w:rsid w:val="001A79EE"/>
    <w:rsid w:val="001A7C5B"/>
    <w:rsid w:val="001B2C0D"/>
    <w:rsid w:val="001B350C"/>
    <w:rsid w:val="001B5DB5"/>
    <w:rsid w:val="001B6017"/>
    <w:rsid w:val="001B7A0B"/>
    <w:rsid w:val="001B7EB3"/>
    <w:rsid w:val="001C19B7"/>
    <w:rsid w:val="001C1FD9"/>
    <w:rsid w:val="001C5BC2"/>
    <w:rsid w:val="001C7800"/>
    <w:rsid w:val="001D0179"/>
    <w:rsid w:val="001D2F20"/>
    <w:rsid w:val="001D5361"/>
    <w:rsid w:val="001D5616"/>
    <w:rsid w:val="001D5620"/>
    <w:rsid w:val="001E0DA8"/>
    <w:rsid w:val="001E1188"/>
    <w:rsid w:val="001E1FDE"/>
    <w:rsid w:val="001E2C89"/>
    <w:rsid w:val="001E3599"/>
    <w:rsid w:val="001F1CB9"/>
    <w:rsid w:val="001F4C02"/>
    <w:rsid w:val="001F4CE8"/>
    <w:rsid w:val="001F7501"/>
    <w:rsid w:val="001F75A3"/>
    <w:rsid w:val="001F7EB8"/>
    <w:rsid w:val="00205878"/>
    <w:rsid w:val="00213065"/>
    <w:rsid w:val="002138F0"/>
    <w:rsid w:val="00213D7B"/>
    <w:rsid w:val="00214DEC"/>
    <w:rsid w:val="00214E35"/>
    <w:rsid w:val="00216E68"/>
    <w:rsid w:val="002216A2"/>
    <w:rsid w:val="00223B7E"/>
    <w:rsid w:val="00224761"/>
    <w:rsid w:val="00224A3F"/>
    <w:rsid w:val="00224D96"/>
    <w:rsid w:val="002306C7"/>
    <w:rsid w:val="00230A15"/>
    <w:rsid w:val="00232344"/>
    <w:rsid w:val="0023278E"/>
    <w:rsid w:val="00241BD8"/>
    <w:rsid w:val="0024295D"/>
    <w:rsid w:val="002432DE"/>
    <w:rsid w:val="002434B0"/>
    <w:rsid w:val="002461BD"/>
    <w:rsid w:val="002462A7"/>
    <w:rsid w:val="00247621"/>
    <w:rsid w:val="00247AB7"/>
    <w:rsid w:val="00253125"/>
    <w:rsid w:val="00254CA9"/>
    <w:rsid w:val="00254DFD"/>
    <w:rsid w:val="0026239C"/>
    <w:rsid w:val="00264555"/>
    <w:rsid w:val="002645B6"/>
    <w:rsid w:val="00264EA5"/>
    <w:rsid w:val="00266F94"/>
    <w:rsid w:val="0027418E"/>
    <w:rsid w:val="002767AA"/>
    <w:rsid w:val="002814F8"/>
    <w:rsid w:val="00281891"/>
    <w:rsid w:val="00282ED2"/>
    <w:rsid w:val="00285E97"/>
    <w:rsid w:val="002907FA"/>
    <w:rsid w:val="00290A9D"/>
    <w:rsid w:val="00290DA3"/>
    <w:rsid w:val="002924A2"/>
    <w:rsid w:val="002928F8"/>
    <w:rsid w:val="00295727"/>
    <w:rsid w:val="00297816"/>
    <w:rsid w:val="002A065A"/>
    <w:rsid w:val="002A0FF0"/>
    <w:rsid w:val="002A1CB5"/>
    <w:rsid w:val="002A34A3"/>
    <w:rsid w:val="002A3A19"/>
    <w:rsid w:val="002A5117"/>
    <w:rsid w:val="002A5279"/>
    <w:rsid w:val="002B6AA3"/>
    <w:rsid w:val="002B71D4"/>
    <w:rsid w:val="002B7668"/>
    <w:rsid w:val="002C0DCF"/>
    <w:rsid w:val="002D0461"/>
    <w:rsid w:val="002D1867"/>
    <w:rsid w:val="002D724B"/>
    <w:rsid w:val="002E1FC7"/>
    <w:rsid w:val="002E32D3"/>
    <w:rsid w:val="002E3F40"/>
    <w:rsid w:val="002E4D38"/>
    <w:rsid w:val="002E6355"/>
    <w:rsid w:val="002F2009"/>
    <w:rsid w:val="002F3554"/>
    <w:rsid w:val="002F47AF"/>
    <w:rsid w:val="00300924"/>
    <w:rsid w:val="003025A8"/>
    <w:rsid w:val="00306345"/>
    <w:rsid w:val="00306F09"/>
    <w:rsid w:val="00310603"/>
    <w:rsid w:val="003129B6"/>
    <w:rsid w:val="00313D08"/>
    <w:rsid w:val="003149FA"/>
    <w:rsid w:val="00314D6E"/>
    <w:rsid w:val="00315264"/>
    <w:rsid w:val="00320E57"/>
    <w:rsid w:val="003221EF"/>
    <w:rsid w:val="00322C23"/>
    <w:rsid w:val="003248A2"/>
    <w:rsid w:val="00324A6D"/>
    <w:rsid w:val="00325425"/>
    <w:rsid w:val="0032589A"/>
    <w:rsid w:val="003306DD"/>
    <w:rsid w:val="00330C6C"/>
    <w:rsid w:val="003312F4"/>
    <w:rsid w:val="00331959"/>
    <w:rsid w:val="00334BA5"/>
    <w:rsid w:val="00335F4B"/>
    <w:rsid w:val="00336FAF"/>
    <w:rsid w:val="0034127D"/>
    <w:rsid w:val="00341FB2"/>
    <w:rsid w:val="00346BC4"/>
    <w:rsid w:val="00350D0D"/>
    <w:rsid w:val="00351057"/>
    <w:rsid w:val="00352220"/>
    <w:rsid w:val="0035477B"/>
    <w:rsid w:val="00355C4C"/>
    <w:rsid w:val="003604AA"/>
    <w:rsid w:val="00362F08"/>
    <w:rsid w:val="00364AD2"/>
    <w:rsid w:val="003651A6"/>
    <w:rsid w:val="00365358"/>
    <w:rsid w:val="00367DF1"/>
    <w:rsid w:val="003705AC"/>
    <w:rsid w:val="00371481"/>
    <w:rsid w:val="0037295D"/>
    <w:rsid w:val="00372BEC"/>
    <w:rsid w:val="00376814"/>
    <w:rsid w:val="00385DE1"/>
    <w:rsid w:val="00386F82"/>
    <w:rsid w:val="003909DE"/>
    <w:rsid w:val="00392385"/>
    <w:rsid w:val="0039300A"/>
    <w:rsid w:val="003946D4"/>
    <w:rsid w:val="003956D6"/>
    <w:rsid w:val="00396053"/>
    <w:rsid w:val="00397B7E"/>
    <w:rsid w:val="003A0F02"/>
    <w:rsid w:val="003A2580"/>
    <w:rsid w:val="003A2BF5"/>
    <w:rsid w:val="003A4578"/>
    <w:rsid w:val="003A4F6C"/>
    <w:rsid w:val="003B30F3"/>
    <w:rsid w:val="003B6A5A"/>
    <w:rsid w:val="003B6D48"/>
    <w:rsid w:val="003C0C1E"/>
    <w:rsid w:val="003C10CA"/>
    <w:rsid w:val="003C3E07"/>
    <w:rsid w:val="003C527B"/>
    <w:rsid w:val="003D01F8"/>
    <w:rsid w:val="003D0BF6"/>
    <w:rsid w:val="003D116C"/>
    <w:rsid w:val="003D263E"/>
    <w:rsid w:val="003D2D85"/>
    <w:rsid w:val="003D6072"/>
    <w:rsid w:val="003D6E27"/>
    <w:rsid w:val="003D7A72"/>
    <w:rsid w:val="003D7D9F"/>
    <w:rsid w:val="003E318D"/>
    <w:rsid w:val="003E4086"/>
    <w:rsid w:val="003E4404"/>
    <w:rsid w:val="003F5FDC"/>
    <w:rsid w:val="00401EDD"/>
    <w:rsid w:val="0040501C"/>
    <w:rsid w:val="00406F30"/>
    <w:rsid w:val="00407DCE"/>
    <w:rsid w:val="00410769"/>
    <w:rsid w:val="00412567"/>
    <w:rsid w:val="00413CCD"/>
    <w:rsid w:val="004172D1"/>
    <w:rsid w:val="004172D6"/>
    <w:rsid w:val="00421B3A"/>
    <w:rsid w:val="00422C16"/>
    <w:rsid w:val="00424530"/>
    <w:rsid w:val="0043577F"/>
    <w:rsid w:val="0043584F"/>
    <w:rsid w:val="0043675A"/>
    <w:rsid w:val="004372C4"/>
    <w:rsid w:val="00440D98"/>
    <w:rsid w:val="00441F85"/>
    <w:rsid w:val="004421C3"/>
    <w:rsid w:val="00447BBE"/>
    <w:rsid w:val="00452468"/>
    <w:rsid w:val="0045301B"/>
    <w:rsid w:val="00453020"/>
    <w:rsid w:val="004541F3"/>
    <w:rsid w:val="00455CD2"/>
    <w:rsid w:val="00455E0E"/>
    <w:rsid w:val="00455F54"/>
    <w:rsid w:val="004657A7"/>
    <w:rsid w:val="00466C09"/>
    <w:rsid w:val="004719B4"/>
    <w:rsid w:val="00471CA1"/>
    <w:rsid w:val="00471CCE"/>
    <w:rsid w:val="004730A0"/>
    <w:rsid w:val="0047368B"/>
    <w:rsid w:val="00475770"/>
    <w:rsid w:val="004806FA"/>
    <w:rsid w:val="00480FBC"/>
    <w:rsid w:val="00481540"/>
    <w:rsid w:val="00481AC4"/>
    <w:rsid w:val="004825E8"/>
    <w:rsid w:val="00482FB6"/>
    <w:rsid w:val="004871EA"/>
    <w:rsid w:val="0048795F"/>
    <w:rsid w:val="004955E7"/>
    <w:rsid w:val="0049781D"/>
    <w:rsid w:val="00497CEA"/>
    <w:rsid w:val="004A2984"/>
    <w:rsid w:val="004A5B8D"/>
    <w:rsid w:val="004A5D8B"/>
    <w:rsid w:val="004A7656"/>
    <w:rsid w:val="004B1382"/>
    <w:rsid w:val="004B2FC0"/>
    <w:rsid w:val="004B3067"/>
    <w:rsid w:val="004B7784"/>
    <w:rsid w:val="004C1B19"/>
    <w:rsid w:val="004C320A"/>
    <w:rsid w:val="004C6392"/>
    <w:rsid w:val="004C7EBE"/>
    <w:rsid w:val="004D09C0"/>
    <w:rsid w:val="004D3523"/>
    <w:rsid w:val="004D509A"/>
    <w:rsid w:val="004D7668"/>
    <w:rsid w:val="004E0D97"/>
    <w:rsid w:val="004E3901"/>
    <w:rsid w:val="004E405B"/>
    <w:rsid w:val="004E5F86"/>
    <w:rsid w:val="004E6DCC"/>
    <w:rsid w:val="004F0AB6"/>
    <w:rsid w:val="004F2D8A"/>
    <w:rsid w:val="004F63DB"/>
    <w:rsid w:val="004F7817"/>
    <w:rsid w:val="0050071E"/>
    <w:rsid w:val="00501097"/>
    <w:rsid w:val="00503590"/>
    <w:rsid w:val="00505C64"/>
    <w:rsid w:val="005105EF"/>
    <w:rsid w:val="00510C0E"/>
    <w:rsid w:val="00516561"/>
    <w:rsid w:val="005177B5"/>
    <w:rsid w:val="005202C1"/>
    <w:rsid w:val="00522875"/>
    <w:rsid w:val="00522E99"/>
    <w:rsid w:val="00523895"/>
    <w:rsid w:val="0053035C"/>
    <w:rsid w:val="00531879"/>
    <w:rsid w:val="00537D0F"/>
    <w:rsid w:val="005410AB"/>
    <w:rsid w:val="00542965"/>
    <w:rsid w:val="0054335F"/>
    <w:rsid w:val="00543A44"/>
    <w:rsid w:val="005445E6"/>
    <w:rsid w:val="00547B2E"/>
    <w:rsid w:val="00547EE4"/>
    <w:rsid w:val="00552ECB"/>
    <w:rsid w:val="00557BAA"/>
    <w:rsid w:val="00560736"/>
    <w:rsid w:val="00562A39"/>
    <w:rsid w:val="00563C8D"/>
    <w:rsid w:val="00565691"/>
    <w:rsid w:val="00565C4E"/>
    <w:rsid w:val="005673AC"/>
    <w:rsid w:val="00571ACB"/>
    <w:rsid w:val="00571BB6"/>
    <w:rsid w:val="005723E4"/>
    <w:rsid w:val="0057596B"/>
    <w:rsid w:val="00575BA7"/>
    <w:rsid w:val="00582AA7"/>
    <w:rsid w:val="0058477C"/>
    <w:rsid w:val="00584E53"/>
    <w:rsid w:val="00584E70"/>
    <w:rsid w:val="0058568F"/>
    <w:rsid w:val="00585921"/>
    <w:rsid w:val="0059058A"/>
    <w:rsid w:val="00591101"/>
    <w:rsid w:val="00593D83"/>
    <w:rsid w:val="00595DC1"/>
    <w:rsid w:val="00597146"/>
    <w:rsid w:val="00597386"/>
    <w:rsid w:val="00597933"/>
    <w:rsid w:val="005A06E1"/>
    <w:rsid w:val="005A4EA0"/>
    <w:rsid w:val="005A6911"/>
    <w:rsid w:val="005A70AE"/>
    <w:rsid w:val="005A75A5"/>
    <w:rsid w:val="005B1FEA"/>
    <w:rsid w:val="005B31FE"/>
    <w:rsid w:val="005B33E7"/>
    <w:rsid w:val="005B465F"/>
    <w:rsid w:val="005B4A4C"/>
    <w:rsid w:val="005B5C09"/>
    <w:rsid w:val="005B627B"/>
    <w:rsid w:val="005B765F"/>
    <w:rsid w:val="005B7D63"/>
    <w:rsid w:val="005C1F5E"/>
    <w:rsid w:val="005C2EE0"/>
    <w:rsid w:val="005C3676"/>
    <w:rsid w:val="005C3DFF"/>
    <w:rsid w:val="005C4469"/>
    <w:rsid w:val="005C498B"/>
    <w:rsid w:val="005C590A"/>
    <w:rsid w:val="005C7641"/>
    <w:rsid w:val="005D0DDE"/>
    <w:rsid w:val="005D18F8"/>
    <w:rsid w:val="005D3988"/>
    <w:rsid w:val="005D4005"/>
    <w:rsid w:val="005D40D1"/>
    <w:rsid w:val="005D5C25"/>
    <w:rsid w:val="005D7065"/>
    <w:rsid w:val="005D7532"/>
    <w:rsid w:val="005E59A5"/>
    <w:rsid w:val="005E79AA"/>
    <w:rsid w:val="005F10A2"/>
    <w:rsid w:val="005F391D"/>
    <w:rsid w:val="006017FA"/>
    <w:rsid w:val="006037CC"/>
    <w:rsid w:val="006059B2"/>
    <w:rsid w:val="00610305"/>
    <w:rsid w:val="00610419"/>
    <w:rsid w:val="00611DDB"/>
    <w:rsid w:val="00612C7B"/>
    <w:rsid w:val="00615CA4"/>
    <w:rsid w:val="0061775D"/>
    <w:rsid w:val="00620307"/>
    <w:rsid w:val="006209BD"/>
    <w:rsid w:val="006224C1"/>
    <w:rsid w:val="00622726"/>
    <w:rsid w:val="00622FCD"/>
    <w:rsid w:val="00623AB1"/>
    <w:rsid w:val="006269B7"/>
    <w:rsid w:val="00626D85"/>
    <w:rsid w:val="006307A5"/>
    <w:rsid w:val="00630EA1"/>
    <w:rsid w:val="00630FE1"/>
    <w:rsid w:val="00633625"/>
    <w:rsid w:val="00633DC7"/>
    <w:rsid w:val="00636E1D"/>
    <w:rsid w:val="006404D8"/>
    <w:rsid w:val="006405E3"/>
    <w:rsid w:val="00640F37"/>
    <w:rsid w:val="0064224B"/>
    <w:rsid w:val="00642D3B"/>
    <w:rsid w:val="00644B02"/>
    <w:rsid w:val="006453C4"/>
    <w:rsid w:val="00645CF4"/>
    <w:rsid w:val="00646735"/>
    <w:rsid w:val="006475ED"/>
    <w:rsid w:val="00650183"/>
    <w:rsid w:val="006501CC"/>
    <w:rsid w:val="00653FD1"/>
    <w:rsid w:val="00655112"/>
    <w:rsid w:val="0065594A"/>
    <w:rsid w:val="0066112E"/>
    <w:rsid w:val="00662B01"/>
    <w:rsid w:val="00662BA0"/>
    <w:rsid w:val="00662E70"/>
    <w:rsid w:val="00663B0A"/>
    <w:rsid w:val="006641F8"/>
    <w:rsid w:val="006671A5"/>
    <w:rsid w:val="00670254"/>
    <w:rsid w:val="0067299C"/>
    <w:rsid w:val="0067351E"/>
    <w:rsid w:val="0067520E"/>
    <w:rsid w:val="00676354"/>
    <w:rsid w:val="006776E9"/>
    <w:rsid w:val="00680E3F"/>
    <w:rsid w:val="0068246F"/>
    <w:rsid w:val="00692662"/>
    <w:rsid w:val="006973AC"/>
    <w:rsid w:val="00697737"/>
    <w:rsid w:val="006A0D6A"/>
    <w:rsid w:val="006A2D78"/>
    <w:rsid w:val="006A383B"/>
    <w:rsid w:val="006A52ED"/>
    <w:rsid w:val="006B3B29"/>
    <w:rsid w:val="006B4E80"/>
    <w:rsid w:val="006B7D83"/>
    <w:rsid w:val="006C023A"/>
    <w:rsid w:val="006C186D"/>
    <w:rsid w:val="006C4574"/>
    <w:rsid w:val="006C6694"/>
    <w:rsid w:val="006D1E95"/>
    <w:rsid w:val="006D2DAD"/>
    <w:rsid w:val="006D3144"/>
    <w:rsid w:val="006D34EB"/>
    <w:rsid w:val="006D4640"/>
    <w:rsid w:val="006D7393"/>
    <w:rsid w:val="006E05F4"/>
    <w:rsid w:val="006E55E1"/>
    <w:rsid w:val="006E5727"/>
    <w:rsid w:val="006E6D34"/>
    <w:rsid w:val="006E6D4C"/>
    <w:rsid w:val="006F2E13"/>
    <w:rsid w:val="006F3256"/>
    <w:rsid w:val="006F445D"/>
    <w:rsid w:val="006F72C6"/>
    <w:rsid w:val="006F735A"/>
    <w:rsid w:val="007004F7"/>
    <w:rsid w:val="007019F9"/>
    <w:rsid w:val="00702377"/>
    <w:rsid w:val="00703E4E"/>
    <w:rsid w:val="00705FB0"/>
    <w:rsid w:val="007071C6"/>
    <w:rsid w:val="0070732E"/>
    <w:rsid w:val="00711E1C"/>
    <w:rsid w:val="00712D2C"/>
    <w:rsid w:val="00713C09"/>
    <w:rsid w:val="00713E33"/>
    <w:rsid w:val="0071460A"/>
    <w:rsid w:val="0071592D"/>
    <w:rsid w:val="00717DB0"/>
    <w:rsid w:val="00721FBA"/>
    <w:rsid w:val="00725A92"/>
    <w:rsid w:val="00730352"/>
    <w:rsid w:val="00733A42"/>
    <w:rsid w:val="00736334"/>
    <w:rsid w:val="0073688E"/>
    <w:rsid w:val="00742839"/>
    <w:rsid w:val="0075022F"/>
    <w:rsid w:val="00752710"/>
    <w:rsid w:val="00753C69"/>
    <w:rsid w:val="00755505"/>
    <w:rsid w:val="007600E9"/>
    <w:rsid w:val="007604B4"/>
    <w:rsid w:val="0076316D"/>
    <w:rsid w:val="00766271"/>
    <w:rsid w:val="00772993"/>
    <w:rsid w:val="00774940"/>
    <w:rsid w:val="00776697"/>
    <w:rsid w:val="007815FB"/>
    <w:rsid w:val="00781D80"/>
    <w:rsid w:val="007857A2"/>
    <w:rsid w:val="00790A5B"/>
    <w:rsid w:val="00791122"/>
    <w:rsid w:val="00791DE5"/>
    <w:rsid w:val="00794ADC"/>
    <w:rsid w:val="00794EAB"/>
    <w:rsid w:val="007A0054"/>
    <w:rsid w:val="007A2A87"/>
    <w:rsid w:val="007A38F2"/>
    <w:rsid w:val="007A394A"/>
    <w:rsid w:val="007A44A6"/>
    <w:rsid w:val="007A5353"/>
    <w:rsid w:val="007A54D3"/>
    <w:rsid w:val="007A7324"/>
    <w:rsid w:val="007B177F"/>
    <w:rsid w:val="007B3D63"/>
    <w:rsid w:val="007B69D6"/>
    <w:rsid w:val="007C357B"/>
    <w:rsid w:val="007C55D0"/>
    <w:rsid w:val="007D1315"/>
    <w:rsid w:val="007D7196"/>
    <w:rsid w:val="007E12BA"/>
    <w:rsid w:val="007E17FF"/>
    <w:rsid w:val="007E25B9"/>
    <w:rsid w:val="007E2DD6"/>
    <w:rsid w:val="007E57CE"/>
    <w:rsid w:val="007E71F7"/>
    <w:rsid w:val="007F2439"/>
    <w:rsid w:val="007F3548"/>
    <w:rsid w:val="007F501F"/>
    <w:rsid w:val="007F5A93"/>
    <w:rsid w:val="007F6136"/>
    <w:rsid w:val="007F7EED"/>
    <w:rsid w:val="00800B73"/>
    <w:rsid w:val="008028B7"/>
    <w:rsid w:val="00806FEC"/>
    <w:rsid w:val="00807127"/>
    <w:rsid w:val="0080752F"/>
    <w:rsid w:val="008111EF"/>
    <w:rsid w:val="008123E1"/>
    <w:rsid w:val="00812B3B"/>
    <w:rsid w:val="00813BAC"/>
    <w:rsid w:val="00813CD4"/>
    <w:rsid w:val="008149F0"/>
    <w:rsid w:val="0081560B"/>
    <w:rsid w:val="00815C25"/>
    <w:rsid w:val="0082003D"/>
    <w:rsid w:val="00821B9D"/>
    <w:rsid w:val="00823FF9"/>
    <w:rsid w:val="00825520"/>
    <w:rsid w:val="00825672"/>
    <w:rsid w:val="00832DE5"/>
    <w:rsid w:val="008348B0"/>
    <w:rsid w:val="00834CE6"/>
    <w:rsid w:val="00840915"/>
    <w:rsid w:val="0084468C"/>
    <w:rsid w:val="00844EE2"/>
    <w:rsid w:val="0085041F"/>
    <w:rsid w:val="00851DC4"/>
    <w:rsid w:val="008521E0"/>
    <w:rsid w:val="008552A0"/>
    <w:rsid w:val="008611DE"/>
    <w:rsid w:val="00862D23"/>
    <w:rsid w:val="0086363B"/>
    <w:rsid w:val="00863CFB"/>
    <w:rsid w:val="008640A2"/>
    <w:rsid w:val="00865492"/>
    <w:rsid w:val="00867CB4"/>
    <w:rsid w:val="008708AB"/>
    <w:rsid w:val="008717F1"/>
    <w:rsid w:val="00874ED5"/>
    <w:rsid w:val="00875BE3"/>
    <w:rsid w:val="00876CD5"/>
    <w:rsid w:val="008776CA"/>
    <w:rsid w:val="008810BC"/>
    <w:rsid w:val="008834C5"/>
    <w:rsid w:val="008871C6"/>
    <w:rsid w:val="008874AF"/>
    <w:rsid w:val="008907A6"/>
    <w:rsid w:val="00892F55"/>
    <w:rsid w:val="00895BF6"/>
    <w:rsid w:val="00897B68"/>
    <w:rsid w:val="008A02D3"/>
    <w:rsid w:val="008A0AF3"/>
    <w:rsid w:val="008A67AD"/>
    <w:rsid w:val="008A71DF"/>
    <w:rsid w:val="008A72C8"/>
    <w:rsid w:val="008B0845"/>
    <w:rsid w:val="008B1AF1"/>
    <w:rsid w:val="008B237A"/>
    <w:rsid w:val="008B63BC"/>
    <w:rsid w:val="008B671A"/>
    <w:rsid w:val="008B78D5"/>
    <w:rsid w:val="008C1523"/>
    <w:rsid w:val="008C1A94"/>
    <w:rsid w:val="008C2161"/>
    <w:rsid w:val="008C2E99"/>
    <w:rsid w:val="008C2EEB"/>
    <w:rsid w:val="008C5B82"/>
    <w:rsid w:val="008C7F33"/>
    <w:rsid w:val="008D5FF2"/>
    <w:rsid w:val="008E3015"/>
    <w:rsid w:val="008E3ADF"/>
    <w:rsid w:val="008E71C3"/>
    <w:rsid w:val="008F1FDA"/>
    <w:rsid w:val="008F3908"/>
    <w:rsid w:val="008F435C"/>
    <w:rsid w:val="008F63C9"/>
    <w:rsid w:val="008F66E2"/>
    <w:rsid w:val="009014B6"/>
    <w:rsid w:val="009026E7"/>
    <w:rsid w:val="00912882"/>
    <w:rsid w:val="00912895"/>
    <w:rsid w:val="00914DAA"/>
    <w:rsid w:val="00915305"/>
    <w:rsid w:val="009168E0"/>
    <w:rsid w:val="009210DE"/>
    <w:rsid w:val="00922937"/>
    <w:rsid w:val="0092311E"/>
    <w:rsid w:val="0092457E"/>
    <w:rsid w:val="00927883"/>
    <w:rsid w:val="00933758"/>
    <w:rsid w:val="009342D4"/>
    <w:rsid w:val="009358C9"/>
    <w:rsid w:val="00936956"/>
    <w:rsid w:val="00940030"/>
    <w:rsid w:val="00940D58"/>
    <w:rsid w:val="00941E13"/>
    <w:rsid w:val="009425B2"/>
    <w:rsid w:val="00943B87"/>
    <w:rsid w:val="00943C57"/>
    <w:rsid w:val="00945E98"/>
    <w:rsid w:val="00950374"/>
    <w:rsid w:val="009531CB"/>
    <w:rsid w:val="00956949"/>
    <w:rsid w:val="00960683"/>
    <w:rsid w:val="0096160F"/>
    <w:rsid w:val="00962389"/>
    <w:rsid w:val="009632A3"/>
    <w:rsid w:val="00965B80"/>
    <w:rsid w:val="00970EEF"/>
    <w:rsid w:val="0097126E"/>
    <w:rsid w:val="009776BD"/>
    <w:rsid w:val="009902A6"/>
    <w:rsid w:val="00993B1E"/>
    <w:rsid w:val="00994534"/>
    <w:rsid w:val="0099485B"/>
    <w:rsid w:val="00995853"/>
    <w:rsid w:val="00996BB3"/>
    <w:rsid w:val="009A312F"/>
    <w:rsid w:val="009A3433"/>
    <w:rsid w:val="009A4D08"/>
    <w:rsid w:val="009A532A"/>
    <w:rsid w:val="009A57FF"/>
    <w:rsid w:val="009A62CD"/>
    <w:rsid w:val="009B2422"/>
    <w:rsid w:val="009B2AC4"/>
    <w:rsid w:val="009B4CEE"/>
    <w:rsid w:val="009B64D4"/>
    <w:rsid w:val="009B7538"/>
    <w:rsid w:val="009B7766"/>
    <w:rsid w:val="009C0507"/>
    <w:rsid w:val="009C1086"/>
    <w:rsid w:val="009C121A"/>
    <w:rsid w:val="009C12C9"/>
    <w:rsid w:val="009C13C2"/>
    <w:rsid w:val="009C1CE7"/>
    <w:rsid w:val="009C27F8"/>
    <w:rsid w:val="009C2D83"/>
    <w:rsid w:val="009C4B32"/>
    <w:rsid w:val="009D05E0"/>
    <w:rsid w:val="009D16D2"/>
    <w:rsid w:val="009D2279"/>
    <w:rsid w:val="009D2B00"/>
    <w:rsid w:val="009D55F7"/>
    <w:rsid w:val="009E2A50"/>
    <w:rsid w:val="009E38A2"/>
    <w:rsid w:val="009E4107"/>
    <w:rsid w:val="009E56B1"/>
    <w:rsid w:val="009E7102"/>
    <w:rsid w:val="009E76BE"/>
    <w:rsid w:val="009E79BF"/>
    <w:rsid w:val="009F12DA"/>
    <w:rsid w:val="009F3FE6"/>
    <w:rsid w:val="009F41C4"/>
    <w:rsid w:val="009F53AF"/>
    <w:rsid w:val="00A00793"/>
    <w:rsid w:val="00A00E34"/>
    <w:rsid w:val="00A062C7"/>
    <w:rsid w:val="00A06B05"/>
    <w:rsid w:val="00A10257"/>
    <w:rsid w:val="00A14332"/>
    <w:rsid w:val="00A14A6B"/>
    <w:rsid w:val="00A150DD"/>
    <w:rsid w:val="00A205B4"/>
    <w:rsid w:val="00A20F19"/>
    <w:rsid w:val="00A2301F"/>
    <w:rsid w:val="00A23608"/>
    <w:rsid w:val="00A26C98"/>
    <w:rsid w:val="00A27B9D"/>
    <w:rsid w:val="00A27D88"/>
    <w:rsid w:val="00A304D0"/>
    <w:rsid w:val="00A347B2"/>
    <w:rsid w:val="00A36C1C"/>
    <w:rsid w:val="00A3785C"/>
    <w:rsid w:val="00A37ABE"/>
    <w:rsid w:val="00A37FED"/>
    <w:rsid w:val="00A42159"/>
    <w:rsid w:val="00A45BEA"/>
    <w:rsid w:val="00A4607D"/>
    <w:rsid w:val="00A47BCD"/>
    <w:rsid w:val="00A52987"/>
    <w:rsid w:val="00A53EC9"/>
    <w:rsid w:val="00A63B7B"/>
    <w:rsid w:val="00A64297"/>
    <w:rsid w:val="00A65948"/>
    <w:rsid w:val="00A70777"/>
    <w:rsid w:val="00A70974"/>
    <w:rsid w:val="00A725D6"/>
    <w:rsid w:val="00A72AEE"/>
    <w:rsid w:val="00A72C7D"/>
    <w:rsid w:val="00A73E7C"/>
    <w:rsid w:val="00A76095"/>
    <w:rsid w:val="00A81586"/>
    <w:rsid w:val="00A8548B"/>
    <w:rsid w:val="00A85B4D"/>
    <w:rsid w:val="00A8715E"/>
    <w:rsid w:val="00A9023F"/>
    <w:rsid w:val="00A9215E"/>
    <w:rsid w:val="00A92440"/>
    <w:rsid w:val="00A9426B"/>
    <w:rsid w:val="00A95705"/>
    <w:rsid w:val="00A95806"/>
    <w:rsid w:val="00A96376"/>
    <w:rsid w:val="00A97842"/>
    <w:rsid w:val="00AA0676"/>
    <w:rsid w:val="00AA38EB"/>
    <w:rsid w:val="00AA4A01"/>
    <w:rsid w:val="00AA66FF"/>
    <w:rsid w:val="00AA7DCF"/>
    <w:rsid w:val="00AB104D"/>
    <w:rsid w:val="00AB149D"/>
    <w:rsid w:val="00AB197D"/>
    <w:rsid w:val="00AB2476"/>
    <w:rsid w:val="00AB4C8F"/>
    <w:rsid w:val="00AB64A8"/>
    <w:rsid w:val="00AB77FD"/>
    <w:rsid w:val="00AB7A3C"/>
    <w:rsid w:val="00AB7C15"/>
    <w:rsid w:val="00AC1927"/>
    <w:rsid w:val="00AD0C73"/>
    <w:rsid w:val="00AE1A2D"/>
    <w:rsid w:val="00AE5347"/>
    <w:rsid w:val="00AE55F6"/>
    <w:rsid w:val="00AE56DB"/>
    <w:rsid w:val="00AE5775"/>
    <w:rsid w:val="00AE5F3C"/>
    <w:rsid w:val="00AF2AB2"/>
    <w:rsid w:val="00AF5581"/>
    <w:rsid w:val="00AF7442"/>
    <w:rsid w:val="00B00CC4"/>
    <w:rsid w:val="00B01098"/>
    <w:rsid w:val="00B012FF"/>
    <w:rsid w:val="00B03E49"/>
    <w:rsid w:val="00B07EB6"/>
    <w:rsid w:val="00B131DC"/>
    <w:rsid w:val="00B13C87"/>
    <w:rsid w:val="00B1710D"/>
    <w:rsid w:val="00B23E9B"/>
    <w:rsid w:val="00B24DB1"/>
    <w:rsid w:val="00B301F0"/>
    <w:rsid w:val="00B3120E"/>
    <w:rsid w:val="00B32510"/>
    <w:rsid w:val="00B3293A"/>
    <w:rsid w:val="00B3595C"/>
    <w:rsid w:val="00B36D5E"/>
    <w:rsid w:val="00B375DF"/>
    <w:rsid w:val="00B409EF"/>
    <w:rsid w:val="00B43E07"/>
    <w:rsid w:val="00B4462F"/>
    <w:rsid w:val="00B45872"/>
    <w:rsid w:val="00B526A8"/>
    <w:rsid w:val="00B55FAB"/>
    <w:rsid w:val="00B611F1"/>
    <w:rsid w:val="00B61E83"/>
    <w:rsid w:val="00B62D70"/>
    <w:rsid w:val="00B62DC9"/>
    <w:rsid w:val="00B654C4"/>
    <w:rsid w:val="00B6669B"/>
    <w:rsid w:val="00B6734E"/>
    <w:rsid w:val="00B7091D"/>
    <w:rsid w:val="00B7360D"/>
    <w:rsid w:val="00B75164"/>
    <w:rsid w:val="00B759B1"/>
    <w:rsid w:val="00B76198"/>
    <w:rsid w:val="00B7667F"/>
    <w:rsid w:val="00B767C1"/>
    <w:rsid w:val="00B803BA"/>
    <w:rsid w:val="00B80C00"/>
    <w:rsid w:val="00B80F7C"/>
    <w:rsid w:val="00B81CBB"/>
    <w:rsid w:val="00B836E8"/>
    <w:rsid w:val="00B83D9D"/>
    <w:rsid w:val="00B84529"/>
    <w:rsid w:val="00B85E10"/>
    <w:rsid w:val="00B907A2"/>
    <w:rsid w:val="00B96861"/>
    <w:rsid w:val="00B96F7F"/>
    <w:rsid w:val="00BA006A"/>
    <w:rsid w:val="00BA04C8"/>
    <w:rsid w:val="00BA315F"/>
    <w:rsid w:val="00BA3E3D"/>
    <w:rsid w:val="00BA414B"/>
    <w:rsid w:val="00BB093D"/>
    <w:rsid w:val="00BB1195"/>
    <w:rsid w:val="00BB2111"/>
    <w:rsid w:val="00BB21F0"/>
    <w:rsid w:val="00BB35EA"/>
    <w:rsid w:val="00BB3A7F"/>
    <w:rsid w:val="00BB516B"/>
    <w:rsid w:val="00BC150E"/>
    <w:rsid w:val="00BC21D5"/>
    <w:rsid w:val="00BC59E5"/>
    <w:rsid w:val="00BC7FD2"/>
    <w:rsid w:val="00BD05E6"/>
    <w:rsid w:val="00BD45CF"/>
    <w:rsid w:val="00BD6570"/>
    <w:rsid w:val="00BE06F2"/>
    <w:rsid w:val="00BE1110"/>
    <w:rsid w:val="00BE5F2B"/>
    <w:rsid w:val="00BF10F6"/>
    <w:rsid w:val="00BF16DB"/>
    <w:rsid w:val="00BF1E4B"/>
    <w:rsid w:val="00BF2D59"/>
    <w:rsid w:val="00BF6482"/>
    <w:rsid w:val="00BF6D7C"/>
    <w:rsid w:val="00C03AE7"/>
    <w:rsid w:val="00C044C1"/>
    <w:rsid w:val="00C05D9D"/>
    <w:rsid w:val="00C07CCC"/>
    <w:rsid w:val="00C12FA8"/>
    <w:rsid w:val="00C13DEE"/>
    <w:rsid w:val="00C15414"/>
    <w:rsid w:val="00C1757D"/>
    <w:rsid w:val="00C20764"/>
    <w:rsid w:val="00C261D1"/>
    <w:rsid w:val="00C2638F"/>
    <w:rsid w:val="00C316C6"/>
    <w:rsid w:val="00C31F21"/>
    <w:rsid w:val="00C35592"/>
    <w:rsid w:val="00C356AF"/>
    <w:rsid w:val="00C41927"/>
    <w:rsid w:val="00C439D6"/>
    <w:rsid w:val="00C43FD9"/>
    <w:rsid w:val="00C44EB2"/>
    <w:rsid w:val="00C4776A"/>
    <w:rsid w:val="00C47E8F"/>
    <w:rsid w:val="00C54CC8"/>
    <w:rsid w:val="00C54D12"/>
    <w:rsid w:val="00C57BC4"/>
    <w:rsid w:val="00C60915"/>
    <w:rsid w:val="00C62E84"/>
    <w:rsid w:val="00C64457"/>
    <w:rsid w:val="00C64E27"/>
    <w:rsid w:val="00C7138A"/>
    <w:rsid w:val="00C7417A"/>
    <w:rsid w:val="00C74F59"/>
    <w:rsid w:val="00C767FF"/>
    <w:rsid w:val="00C81E10"/>
    <w:rsid w:val="00C85374"/>
    <w:rsid w:val="00C85A9B"/>
    <w:rsid w:val="00C8603E"/>
    <w:rsid w:val="00C91877"/>
    <w:rsid w:val="00C924F1"/>
    <w:rsid w:val="00C93804"/>
    <w:rsid w:val="00C95BAB"/>
    <w:rsid w:val="00C964B8"/>
    <w:rsid w:val="00C97011"/>
    <w:rsid w:val="00CA28F2"/>
    <w:rsid w:val="00CA76A0"/>
    <w:rsid w:val="00CB08B2"/>
    <w:rsid w:val="00CB1021"/>
    <w:rsid w:val="00CB3841"/>
    <w:rsid w:val="00CB3B6B"/>
    <w:rsid w:val="00CC25E6"/>
    <w:rsid w:val="00CC38AC"/>
    <w:rsid w:val="00CC3E46"/>
    <w:rsid w:val="00CC4210"/>
    <w:rsid w:val="00CC5D73"/>
    <w:rsid w:val="00CC7273"/>
    <w:rsid w:val="00CC7310"/>
    <w:rsid w:val="00CC7B25"/>
    <w:rsid w:val="00CD4AF7"/>
    <w:rsid w:val="00CD4C1C"/>
    <w:rsid w:val="00CD5473"/>
    <w:rsid w:val="00CD6024"/>
    <w:rsid w:val="00CD738B"/>
    <w:rsid w:val="00CD7C1C"/>
    <w:rsid w:val="00CD7CA4"/>
    <w:rsid w:val="00CE0D4E"/>
    <w:rsid w:val="00CE3517"/>
    <w:rsid w:val="00CE3C0C"/>
    <w:rsid w:val="00CE61DA"/>
    <w:rsid w:val="00CE78A2"/>
    <w:rsid w:val="00CE79AB"/>
    <w:rsid w:val="00CF0B8E"/>
    <w:rsid w:val="00CF21D0"/>
    <w:rsid w:val="00CF449E"/>
    <w:rsid w:val="00CF5357"/>
    <w:rsid w:val="00D01670"/>
    <w:rsid w:val="00D01CB8"/>
    <w:rsid w:val="00D048AC"/>
    <w:rsid w:val="00D05C26"/>
    <w:rsid w:val="00D062AC"/>
    <w:rsid w:val="00D10C48"/>
    <w:rsid w:val="00D120EF"/>
    <w:rsid w:val="00D152E7"/>
    <w:rsid w:val="00D156A3"/>
    <w:rsid w:val="00D20381"/>
    <w:rsid w:val="00D218D0"/>
    <w:rsid w:val="00D21F91"/>
    <w:rsid w:val="00D30EDF"/>
    <w:rsid w:val="00D33027"/>
    <w:rsid w:val="00D33D65"/>
    <w:rsid w:val="00D34065"/>
    <w:rsid w:val="00D36B9B"/>
    <w:rsid w:val="00D36DC6"/>
    <w:rsid w:val="00D3796C"/>
    <w:rsid w:val="00D413AD"/>
    <w:rsid w:val="00D42C57"/>
    <w:rsid w:val="00D44360"/>
    <w:rsid w:val="00D45306"/>
    <w:rsid w:val="00D45878"/>
    <w:rsid w:val="00D46178"/>
    <w:rsid w:val="00D50981"/>
    <w:rsid w:val="00D53948"/>
    <w:rsid w:val="00D5416C"/>
    <w:rsid w:val="00D549B9"/>
    <w:rsid w:val="00D557EE"/>
    <w:rsid w:val="00D56058"/>
    <w:rsid w:val="00D56CD5"/>
    <w:rsid w:val="00D571F6"/>
    <w:rsid w:val="00D578FF"/>
    <w:rsid w:val="00D57F4B"/>
    <w:rsid w:val="00D61179"/>
    <w:rsid w:val="00D62224"/>
    <w:rsid w:val="00D63D0E"/>
    <w:rsid w:val="00D656AD"/>
    <w:rsid w:val="00D67A13"/>
    <w:rsid w:val="00D70EE2"/>
    <w:rsid w:val="00D73135"/>
    <w:rsid w:val="00D73E5E"/>
    <w:rsid w:val="00D76A01"/>
    <w:rsid w:val="00D76E91"/>
    <w:rsid w:val="00D77AA1"/>
    <w:rsid w:val="00D77E54"/>
    <w:rsid w:val="00D80264"/>
    <w:rsid w:val="00D819D9"/>
    <w:rsid w:val="00D830AD"/>
    <w:rsid w:val="00D831F2"/>
    <w:rsid w:val="00D849AA"/>
    <w:rsid w:val="00D85804"/>
    <w:rsid w:val="00D86434"/>
    <w:rsid w:val="00D872D1"/>
    <w:rsid w:val="00D9187B"/>
    <w:rsid w:val="00D93BA2"/>
    <w:rsid w:val="00D950BA"/>
    <w:rsid w:val="00DA5515"/>
    <w:rsid w:val="00DA6122"/>
    <w:rsid w:val="00DB3B95"/>
    <w:rsid w:val="00DB4809"/>
    <w:rsid w:val="00DB4BDE"/>
    <w:rsid w:val="00DB5E8F"/>
    <w:rsid w:val="00DB61B8"/>
    <w:rsid w:val="00DB733C"/>
    <w:rsid w:val="00DB779A"/>
    <w:rsid w:val="00DC012C"/>
    <w:rsid w:val="00DC3E99"/>
    <w:rsid w:val="00DC7C3E"/>
    <w:rsid w:val="00DD3FF2"/>
    <w:rsid w:val="00DD64EE"/>
    <w:rsid w:val="00DD7FA1"/>
    <w:rsid w:val="00DE0A1C"/>
    <w:rsid w:val="00DE30E0"/>
    <w:rsid w:val="00DE6BC1"/>
    <w:rsid w:val="00DE7C85"/>
    <w:rsid w:val="00DF04DA"/>
    <w:rsid w:val="00DF06E8"/>
    <w:rsid w:val="00DF6D5F"/>
    <w:rsid w:val="00DF724A"/>
    <w:rsid w:val="00DF735F"/>
    <w:rsid w:val="00E02765"/>
    <w:rsid w:val="00E033C3"/>
    <w:rsid w:val="00E038C3"/>
    <w:rsid w:val="00E06D47"/>
    <w:rsid w:val="00E07416"/>
    <w:rsid w:val="00E11C60"/>
    <w:rsid w:val="00E13544"/>
    <w:rsid w:val="00E1386E"/>
    <w:rsid w:val="00E14AA0"/>
    <w:rsid w:val="00E16F59"/>
    <w:rsid w:val="00E22BC2"/>
    <w:rsid w:val="00E22BCE"/>
    <w:rsid w:val="00E24AAF"/>
    <w:rsid w:val="00E258D8"/>
    <w:rsid w:val="00E30718"/>
    <w:rsid w:val="00E31391"/>
    <w:rsid w:val="00E3179D"/>
    <w:rsid w:val="00E326FF"/>
    <w:rsid w:val="00E3467E"/>
    <w:rsid w:val="00E34B8E"/>
    <w:rsid w:val="00E361B0"/>
    <w:rsid w:val="00E41563"/>
    <w:rsid w:val="00E415C9"/>
    <w:rsid w:val="00E46262"/>
    <w:rsid w:val="00E516B0"/>
    <w:rsid w:val="00E51BB1"/>
    <w:rsid w:val="00E54BA8"/>
    <w:rsid w:val="00E54D7F"/>
    <w:rsid w:val="00E55705"/>
    <w:rsid w:val="00E574A1"/>
    <w:rsid w:val="00E6275C"/>
    <w:rsid w:val="00E62DB8"/>
    <w:rsid w:val="00E63010"/>
    <w:rsid w:val="00E63399"/>
    <w:rsid w:val="00E66893"/>
    <w:rsid w:val="00E66BA7"/>
    <w:rsid w:val="00E677EF"/>
    <w:rsid w:val="00E6790C"/>
    <w:rsid w:val="00E70BB6"/>
    <w:rsid w:val="00E7159B"/>
    <w:rsid w:val="00E75F07"/>
    <w:rsid w:val="00E859DF"/>
    <w:rsid w:val="00E85A8B"/>
    <w:rsid w:val="00E87041"/>
    <w:rsid w:val="00E916E4"/>
    <w:rsid w:val="00E94218"/>
    <w:rsid w:val="00E95201"/>
    <w:rsid w:val="00E96304"/>
    <w:rsid w:val="00EA1807"/>
    <w:rsid w:val="00EA251B"/>
    <w:rsid w:val="00EA31AA"/>
    <w:rsid w:val="00EA4947"/>
    <w:rsid w:val="00EC0C41"/>
    <w:rsid w:val="00EC11F0"/>
    <w:rsid w:val="00EC1594"/>
    <w:rsid w:val="00EC1C8C"/>
    <w:rsid w:val="00EC365B"/>
    <w:rsid w:val="00EC5AD1"/>
    <w:rsid w:val="00ED161F"/>
    <w:rsid w:val="00ED2521"/>
    <w:rsid w:val="00ED2F67"/>
    <w:rsid w:val="00ED2FB9"/>
    <w:rsid w:val="00ED36B7"/>
    <w:rsid w:val="00ED7637"/>
    <w:rsid w:val="00EE013F"/>
    <w:rsid w:val="00EE0C7D"/>
    <w:rsid w:val="00EE122D"/>
    <w:rsid w:val="00EE456B"/>
    <w:rsid w:val="00EE5DE6"/>
    <w:rsid w:val="00EE6267"/>
    <w:rsid w:val="00EE6613"/>
    <w:rsid w:val="00EE6988"/>
    <w:rsid w:val="00EF2A23"/>
    <w:rsid w:val="00EF35BF"/>
    <w:rsid w:val="00EF381C"/>
    <w:rsid w:val="00EF47A4"/>
    <w:rsid w:val="00EF685F"/>
    <w:rsid w:val="00F00755"/>
    <w:rsid w:val="00F00C37"/>
    <w:rsid w:val="00F034AC"/>
    <w:rsid w:val="00F04275"/>
    <w:rsid w:val="00F1590F"/>
    <w:rsid w:val="00F160D2"/>
    <w:rsid w:val="00F27395"/>
    <w:rsid w:val="00F31CFB"/>
    <w:rsid w:val="00F339A4"/>
    <w:rsid w:val="00F33C22"/>
    <w:rsid w:val="00F42177"/>
    <w:rsid w:val="00F42DCD"/>
    <w:rsid w:val="00F4484F"/>
    <w:rsid w:val="00F45638"/>
    <w:rsid w:val="00F4748D"/>
    <w:rsid w:val="00F50E9C"/>
    <w:rsid w:val="00F51116"/>
    <w:rsid w:val="00F5117A"/>
    <w:rsid w:val="00F51FA3"/>
    <w:rsid w:val="00F52F33"/>
    <w:rsid w:val="00F53841"/>
    <w:rsid w:val="00F53B21"/>
    <w:rsid w:val="00F60ACD"/>
    <w:rsid w:val="00F612B3"/>
    <w:rsid w:val="00F650BC"/>
    <w:rsid w:val="00F653FF"/>
    <w:rsid w:val="00F66078"/>
    <w:rsid w:val="00F67EF6"/>
    <w:rsid w:val="00F7064A"/>
    <w:rsid w:val="00F7198E"/>
    <w:rsid w:val="00F7311F"/>
    <w:rsid w:val="00F747AD"/>
    <w:rsid w:val="00F8260F"/>
    <w:rsid w:val="00F83279"/>
    <w:rsid w:val="00F87F11"/>
    <w:rsid w:val="00F90B2E"/>
    <w:rsid w:val="00F91302"/>
    <w:rsid w:val="00F942CA"/>
    <w:rsid w:val="00F9452C"/>
    <w:rsid w:val="00F9689B"/>
    <w:rsid w:val="00F97395"/>
    <w:rsid w:val="00F97508"/>
    <w:rsid w:val="00FA0160"/>
    <w:rsid w:val="00FA3503"/>
    <w:rsid w:val="00FA590B"/>
    <w:rsid w:val="00FA5C42"/>
    <w:rsid w:val="00FA68AB"/>
    <w:rsid w:val="00FB021F"/>
    <w:rsid w:val="00FB0A9F"/>
    <w:rsid w:val="00FB2C5B"/>
    <w:rsid w:val="00FB33E0"/>
    <w:rsid w:val="00FB52EB"/>
    <w:rsid w:val="00FB7206"/>
    <w:rsid w:val="00FB7367"/>
    <w:rsid w:val="00FB77F3"/>
    <w:rsid w:val="00FC1D72"/>
    <w:rsid w:val="00FC309B"/>
    <w:rsid w:val="00FC62C4"/>
    <w:rsid w:val="00FD17AA"/>
    <w:rsid w:val="00FE0C92"/>
    <w:rsid w:val="00FE0D29"/>
    <w:rsid w:val="00FE35E0"/>
    <w:rsid w:val="00FE4173"/>
    <w:rsid w:val="00FE4DD2"/>
    <w:rsid w:val="00FE5577"/>
    <w:rsid w:val="00FE78A3"/>
    <w:rsid w:val="00FF2A56"/>
    <w:rsid w:val="00FF3133"/>
    <w:rsid w:val="00FF34CA"/>
    <w:rsid w:val="00FF39DE"/>
    <w:rsid w:val="00FF3AA8"/>
    <w:rsid w:val="00FF5E0F"/>
    <w:rsid w:val="00FF63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6369"/>
    <o:shapelayout v:ext="edit">
      <o:idmap v:ext="edit" data="1"/>
    </o:shapelayout>
  </w:shapeDefaults>
  <w:decimalSymbol w:val=","/>
  <w:listSeparator w:val=";"/>
  <w14:docId w14:val="533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7"/>
  </w:style>
  <w:style w:type="paragraph" w:styleId="Heading1">
    <w:name w:val="heading 1"/>
    <w:aliases w:val="Cover title white"/>
    <w:basedOn w:val="Normal"/>
    <w:next w:val="Normal"/>
    <w:link w:val="Heading1Char"/>
    <w:uiPriority w:val="9"/>
    <w:qFormat/>
    <w:rsid w:val="00F42177"/>
    <w:pPr>
      <w:keepNext/>
      <w:keepLines/>
      <w:spacing w:before="320" w:after="0" w:line="240" w:lineRule="auto"/>
      <w:outlineLvl w:val="0"/>
    </w:pPr>
    <w:rPr>
      <w:rFonts w:asciiTheme="majorHAnsi" w:eastAsiaTheme="majorEastAsia" w:hAnsiTheme="majorHAnsi" w:cstheme="majorBidi"/>
      <w:color w:val="234156" w:themeColor="accent1" w:themeShade="BF"/>
      <w:sz w:val="30"/>
      <w:szCs w:val="30"/>
    </w:rPr>
  </w:style>
  <w:style w:type="paragraph" w:styleId="Heading2">
    <w:name w:val="heading 2"/>
    <w:basedOn w:val="Normal"/>
    <w:next w:val="Normal"/>
    <w:link w:val="Heading2Char"/>
    <w:uiPriority w:val="9"/>
    <w:semiHidden/>
    <w:unhideWhenUsed/>
    <w:qFormat/>
    <w:rsid w:val="00940030"/>
    <w:pPr>
      <w:keepNext/>
      <w:keepLines/>
      <w:spacing w:before="40" w:after="0" w:line="240" w:lineRule="auto"/>
      <w:outlineLvl w:val="1"/>
    </w:pPr>
    <w:rPr>
      <w:rFonts w:asciiTheme="majorHAnsi" w:eastAsiaTheme="majorEastAsia" w:hAnsiTheme="majorHAnsi" w:cstheme="majorBidi"/>
      <w:b/>
      <w:sz w:val="28"/>
      <w:szCs w:val="28"/>
    </w:rPr>
  </w:style>
  <w:style w:type="paragraph" w:styleId="Heading3">
    <w:name w:val="heading 3"/>
    <w:aliases w:val="Title 2"/>
    <w:basedOn w:val="Normal"/>
    <w:next w:val="Normal"/>
    <w:link w:val="Heading3Char"/>
    <w:uiPriority w:val="9"/>
    <w:semiHidden/>
    <w:unhideWhenUsed/>
    <w:qFormat/>
    <w:rsid w:val="00F42177"/>
    <w:pPr>
      <w:keepNext/>
      <w:keepLines/>
      <w:spacing w:before="40" w:after="0" w:line="240" w:lineRule="auto"/>
      <w:outlineLvl w:val="2"/>
    </w:pPr>
    <w:rPr>
      <w:rFonts w:asciiTheme="majorHAnsi" w:eastAsiaTheme="majorEastAsia" w:hAnsiTheme="majorHAnsi" w:cstheme="majorBidi"/>
      <w:color w:val="102B43" w:themeColor="accent6" w:themeShade="BF"/>
      <w:sz w:val="26"/>
      <w:szCs w:val="26"/>
    </w:rPr>
  </w:style>
  <w:style w:type="paragraph" w:styleId="Heading4">
    <w:name w:val="heading 4"/>
    <w:basedOn w:val="Normal"/>
    <w:next w:val="Normal"/>
    <w:link w:val="Heading4Char"/>
    <w:uiPriority w:val="9"/>
    <w:semiHidden/>
    <w:unhideWhenUsed/>
    <w:qFormat/>
    <w:rsid w:val="00F42177"/>
    <w:pPr>
      <w:keepNext/>
      <w:keepLines/>
      <w:spacing w:before="40" w:after="0"/>
      <w:outlineLvl w:val="3"/>
    </w:pPr>
    <w:rPr>
      <w:rFonts w:asciiTheme="majorHAnsi" w:eastAsiaTheme="majorEastAsia" w:hAnsiTheme="majorHAnsi" w:cstheme="majorBidi"/>
      <w:i/>
      <w:iCs/>
      <w:color w:val="3D4C52" w:themeColor="accent5" w:themeShade="BF"/>
      <w:sz w:val="25"/>
      <w:szCs w:val="25"/>
    </w:rPr>
  </w:style>
  <w:style w:type="paragraph" w:styleId="Heading5">
    <w:name w:val="heading 5"/>
    <w:aliases w:val="Cover subtitle white"/>
    <w:basedOn w:val="Normal"/>
    <w:next w:val="Normal"/>
    <w:link w:val="Heading5Char"/>
    <w:uiPriority w:val="9"/>
    <w:semiHidden/>
    <w:unhideWhenUsed/>
    <w:qFormat/>
    <w:rsid w:val="00F42177"/>
    <w:pPr>
      <w:keepNext/>
      <w:keepLines/>
      <w:spacing w:before="40" w:after="0"/>
      <w:outlineLvl w:val="4"/>
    </w:pPr>
    <w:rPr>
      <w:rFonts w:asciiTheme="majorHAnsi" w:eastAsiaTheme="majorEastAsia" w:hAnsiTheme="majorHAnsi" w:cstheme="majorBidi"/>
      <w:i/>
      <w:iCs/>
      <w:color w:val="84490E" w:themeColor="accent2" w:themeShade="80"/>
      <w:sz w:val="24"/>
      <w:szCs w:val="24"/>
    </w:rPr>
  </w:style>
  <w:style w:type="paragraph" w:styleId="Heading6">
    <w:name w:val="heading 6"/>
    <w:basedOn w:val="Normal"/>
    <w:next w:val="Normal"/>
    <w:link w:val="Heading6Char"/>
    <w:uiPriority w:val="9"/>
    <w:semiHidden/>
    <w:unhideWhenUsed/>
    <w:qFormat/>
    <w:rsid w:val="00F42177"/>
    <w:pPr>
      <w:keepNext/>
      <w:keepLines/>
      <w:spacing w:before="40" w:after="0"/>
      <w:outlineLvl w:val="5"/>
    </w:pPr>
    <w:rPr>
      <w:rFonts w:asciiTheme="majorHAnsi" w:eastAsiaTheme="majorEastAsia" w:hAnsiTheme="majorHAnsi" w:cstheme="majorBidi"/>
      <w:i/>
      <w:iCs/>
      <w:color w:val="0B1C2C" w:themeColor="accent6" w:themeShade="80"/>
      <w:sz w:val="23"/>
      <w:szCs w:val="23"/>
    </w:rPr>
  </w:style>
  <w:style w:type="paragraph" w:styleId="Heading7">
    <w:name w:val="heading 7"/>
    <w:basedOn w:val="Normal"/>
    <w:next w:val="Normal"/>
    <w:link w:val="Heading7Char"/>
    <w:uiPriority w:val="9"/>
    <w:semiHidden/>
    <w:unhideWhenUsed/>
    <w:qFormat/>
    <w:rsid w:val="00F42177"/>
    <w:pPr>
      <w:keepNext/>
      <w:keepLines/>
      <w:spacing w:before="40" w:after="0"/>
      <w:outlineLvl w:val="6"/>
    </w:pPr>
    <w:rPr>
      <w:rFonts w:asciiTheme="majorHAnsi" w:eastAsiaTheme="majorEastAsia" w:hAnsiTheme="majorHAnsi" w:cstheme="majorBidi"/>
      <w:color w:val="172B39" w:themeColor="accent1" w:themeShade="80"/>
    </w:rPr>
  </w:style>
  <w:style w:type="paragraph" w:styleId="Heading8">
    <w:name w:val="heading 8"/>
    <w:basedOn w:val="Normal"/>
    <w:next w:val="Normal"/>
    <w:link w:val="Heading8Char"/>
    <w:uiPriority w:val="9"/>
    <w:semiHidden/>
    <w:unhideWhenUsed/>
    <w:qFormat/>
    <w:rsid w:val="00F42177"/>
    <w:pPr>
      <w:keepNext/>
      <w:keepLines/>
      <w:spacing w:before="40" w:after="0"/>
      <w:outlineLvl w:val="7"/>
    </w:pPr>
    <w:rPr>
      <w:rFonts w:asciiTheme="majorHAnsi" w:eastAsiaTheme="majorEastAsia" w:hAnsiTheme="majorHAnsi" w:cstheme="majorBidi"/>
      <w:color w:val="84490E" w:themeColor="accent2" w:themeShade="80"/>
      <w:sz w:val="21"/>
      <w:szCs w:val="21"/>
    </w:rPr>
  </w:style>
  <w:style w:type="paragraph" w:styleId="Heading9">
    <w:name w:val="heading 9"/>
    <w:basedOn w:val="Normal"/>
    <w:next w:val="Normal"/>
    <w:link w:val="Heading9Char"/>
    <w:uiPriority w:val="9"/>
    <w:semiHidden/>
    <w:unhideWhenUsed/>
    <w:qFormat/>
    <w:rsid w:val="00F42177"/>
    <w:pPr>
      <w:keepNext/>
      <w:keepLines/>
      <w:spacing w:before="40" w:after="0"/>
      <w:outlineLvl w:val="8"/>
    </w:pPr>
    <w:rPr>
      <w:rFonts w:asciiTheme="majorHAnsi" w:eastAsiaTheme="majorEastAsia" w:hAnsiTheme="majorHAnsi" w:cstheme="majorBidi"/>
      <w:color w:val="0B1C2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9"/>
    <w:rsid w:val="00F42177"/>
    <w:rPr>
      <w:rFonts w:asciiTheme="majorHAnsi" w:eastAsiaTheme="majorEastAsia" w:hAnsiTheme="majorHAnsi" w:cstheme="majorBidi"/>
      <w:color w:val="234156" w:themeColor="accent1" w:themeShade="BF"/>
      <w:sz w:val="30"/>
      <w:szCs w:val="30"/>
    </w:rPr>
  </w:style>
  <w:style w:type="paragraph" w:customStyle="1" w:styleId="Numberedtilelevel1">
    <w:name w:val="Numbered tile level 1"/>
    <w:basedOn w:val="Titlelevel1"/>
    <w:link w:val="Numberedtilelevel1Char"/>
    <w:qFormat/>
    <w:rsid w:val="00482FB6"/>
  </w:style>
  <w:style w:type="character" w:customStyle="1" w:styleId="Heading2Char">
    <w:name w:val="Heading 2 Char"/>
    <w:basedOn w:val="DefaultParagraphFont"/>
    <w:link w:val="Heading2"/>
    <w:uiPriority w:val="9"/>
    <w:semiHidden/>
    <w:rsid w:val="00940030"/>
    <w:rPr>
      <w:rFonts w:asciiTheme="majorHAnsi" w:eastAsiaTheme="majorEastAsia" w:hAnsiTheme="majorHAnsi" w:cstheme="majorBidi"/>
      <w:b/>
      <w:sz w:val="28"/>
      <w:szCs w:val="28"/>
    </w:rPr>
  </w:style>
  <w:style w:type="paragraph" w:customStyle="1" w:styleId="Numberedtitlelevel2">
    <w:name w:val="Numbered title level 2"/>
    <w:basedOn w:val="Titlelevel2"/>
    <w:next w:val="body"/>
    <w:rsid w:val="00482FB6"/>
    <w:pPr>
      <w:numPr>
        <w:ilvl w:val="1"/>
        <w:numId w:val="6"/>
      </w:numPr>
    </w:pPr>
  </w:style>
  <w:style w:type="paragraph" w:customStyle="1" w:styleId="Titlelevel2">
    <w:name w:val="Title level 2"/>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style>
  <w:style w:type="character" w:customStyle="1" w:styleId="Heading3Char">
    <w:name w:val="Heading 3 Char"/>
    <w:aliases w:val="Title 2 Char"/>
    <w:basedOn w:val="DefaultParagraphFont"/>
    <w:link w:val="Heading3"/>
    <w:uiPriority w:val="9"/>
    <w:semiHidden/>
    <w:rsid w:val="00F42177"/>
    <w:rPr>
      <w:rFonts w:asciiTheme="majorHAnsi" w:eastAsiaTheme="majorEastAsia" w:hAnsiTheme="majorHAnsi" w:cstheme="majorBidi"/>
      <w:color w:val="102B43" w:themeColor="accent6" w:themeShade="BF"/>
      <w:sz w:val="26"/>
      <w:szCs w:val="26"/>
    </w:rPr>
  </w:style>
  <w:style w:type="character" w:customStyle="1" w:styleId="Heading4Char">
    <w:name w:val="Heading 4 Char"/>
    <w:basedOn w:val="DefaultParagraphFont"/>
    <w:link w:val="Heading4"/>
    <w:uiPriority w:val="9"/>
    <w:semiHidden/>
    <w:rsid w:val="00F42177"/>
    <w:rPr>
      <w:rFonts w:asciiTheme="majorHAnsi" w:eastAsiaTheme="majorEastAsia" w:hAnsiTheme="majorHAnsi" w:cstheme="majorBidi"/>
      <w:i/>
      <w:iCs/>
      <w:color w:val="3D4C52" w:themeColor="accent5" w:themeShade="BF"/>
      <w:sz w:val="25"/>
      <w:szCs w:val="25"/>
    </w:rPr>
  </w:style>
  <w:style w:type="character" w:customStyle="1" w:styleId="Heading5Char">
    <w:name w:val="Heading 5 Char"/>
    <w:aliases w:val="Cover subtitle white Char"/>
    <w:basedOn w:val="DefaultParagraphFont"/>
    <w:link w:val="Heading5"/>
    <w:uiPriority w:val="9"/>
    <w:semiHidden/>
    <w:rsid w:val="00F42177"/>
    <w:rPr>
      <w:rFonts w:asciiTheme="majorHAnsi" w:eastAsiaTheme="majorEastAsia" w:hAnsiTheme="majorHAnsi" w:cstheme="majorBidi"/>
      <w:i/>
      <w:iCs/>
      <w:color w:val="84490E" w:themeColor="accent2" w:themeShade="80"/>
      <w:sz w:val="24"/>
      <w:szCs w:val="24"/>
    </w:rPr>
  </w:style>
  <w:style w:type="character" w:customStyle="1" w:styleId="Heading6Char">
    <w:name w:val="Heading 6 Char"/>
    <w:basedOn w:val="DefaultParagraphFont"/>
    <w:link w:val="Heading6"/>
    <w:uiPriority w:val="9"/>
    <w:semiHidden/>
    <w:rsid w:val="00F42177"/>
    <w:rPr>
      <w:rFonts w:asciiTheme="majorHAnsi" w:eastAsiaTheme="majorEastAsia" w:hAnsiTheme="majorHAnsi" w:cstheme="majorBidi"/>
      <w:i/>
      <w:iCs/>
      <w:color w:val="0B1C2C" w:themeColor="accent6" w:themeShade="80"/>
      <w:sz w:val="23"/>
      <w:szCs w:val="23"/>
    </w:rPr>
  </w:style>
  <w:style w:type="character" w:customStyle="1" w:styleId="Heading7Char">
    <w:name w:val="Heading 7 Char"/>
    <w:basedOn w:val="DefaultParagraphFont"/>
    <w:link w:val="Heading7"/>
    <w:uiPriority w:val="9"/>
    <w:semiHidden/>
    <w:rsid w:val="00F42177"/>
    <w:rPr>
      <w:rFonts w:asciiTheme="majorHAnsi" w:eastAsiaTheme="majorEastAsia" w:hAnsiTheme="majorHAnsi" w:cstheme="majorBidi"/>
      <w:color w:val="172B39" w:themeColor="accent1" w:themeShade="80"/>
    </w:rPr>
  </w:style>
  <w:style w:type="character" w:customStyle="1" w:styleId="Heading8Char">
    <w:name w:val="Heading 8 Char"/>
    <w:basedOn w:val="DefaultParagraphFont"/>
    <w:link w:val="Heading8"/>
    <w:uiPriority w:val="9"/>
    <w:semiHidden/>
    <w:rsid w:val="00F42177"/>
    <w:rPr>
      <w:rFonts w:asciiTheme="majorHAnsi" w:eastAsiaTheme="majorEastAsia" w:hAnsiTheme="majorHAnsi" w:cstheme="majorBidi"/>
      <w:color w:val="84490E" w:themeColor="accent2" w:themeShade="80"/>
      <w:sz w:val="21"/>
      <w:szCs w:val="21"/>
    </w:rPr>
  </w:style>
  <w:style w:type="character" w:customStyle="1" w:styleId="Heading9Char">
    <w:name w:val="Heading 9 Char"/>
    <w:basedOn w:val="DefaultParagraphFont"/>
    <w:link w:val="Heading9"/>
    <w:uiPriority w:val="9"/>
    <w:semiHidden/>
    <w:rsid w:val="00F42177"/>
    <w:rPr>
      <w:rFonts w:asciiTheme="majorHAnsi" w:eastAsiaTheme="majorEastAsia" w:hAnsiTheme="majorHAnsi" w:cstheme="majorBidi"/>
      <w:color w:val="0B1C2C" w:themeColor="accent6" w:themeShade="8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rsid w:val="00813BAC"/>
    <w:pPr>
      <w:spacing w:after="80"/>
    </w:pPr>
    <w:rPr>
      <w:rFonts w:ascii="Calibri" w:eastAsia="Times New Roman" w:hAnsi="Calibri" w:cs="Times New Roman"/>
      <w:b/>
      <w:color w:val="000000"/>
    </w:rPr>
  </w:style>
  <w:style w:type="paragraph" w:customStyle="1" w:styleId="Tabledata">
    <w:name w:val="Table data"/>
    <w:basedOn w:val="body"/>
    <w:rsid w:val="00455E0E"/>
    <w:pPr>
      <w:spacing w:before="120" w:line="240" w:lineRule="auto"/>
    </w:pPr>
    <w:rPr>
      <w:rFonts w:eastAsia="Times New Roman" w:cstheme="minorHAnsi"/>
      <w:bCs/>
      <w:color w:val="000000"/>
      <w:sz w:val="20"/>
      <w:lang w:val="lt-LT" w:eastAsia="en-GB"/>
    </w:rPr>
  </w:style>
  <w:style w:type="paragraph" w:customStyle="1" w:styleId="List1">
    <w:name w:val="List1"/>
    <w:autoRedefine/>
    <w:rsid w:val="008F3908"/>
    <w:pPr>
      <w:numPr>
        <w:numId w:val="4"/>
      </w:numPr>
    </w:p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aliases w:val="Tabla CUADROS"/>
    <w:basedOn w:val="TableProfessional"/>
    <w:uiPriority w:val="59"/>
    <w:rsid w:val="00A14332"/>
    <w:rPr>
      <w:sz w:val="20"/>
      <w:szCs w:val="20"/>
      <w:lang w:val="lt-LT"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rsid w:val="007A0054"/>
    <w:pPr>
      <w:numPr>
        <w:numId w:val="5"/>
      </w:numPr>
      <w:spacing w:before="240" w:after="120"/>
      <w:contextualSpacing/>
    </w:pPr>
  </w:style>
  <w:style w:type="paragraph" w:customStyle="1" w:styleId="Titlelevel1">
    <w:name w:val="Title level 1"/>
    <w:link w:val="Titlelevel1Char"/>
    <w:autoRedefine/>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rsid w:val="005D4005"/>
    <w:pPr>
      <w:spacing w:before="240" w:after="240"/>
    </w:pPr>
    <w:rPr>
      <w:b/>
      <w:color w:val="2F5773" w:themeColor="text2"/>
    </w:rPr>
  </w:style>
  <w:style w:type="paragraph" w:customStyle="1" w:styleId="Titlelevel4">
    <w:name w:val="Title level 4"/>
    <w:next w:val="body"/>
    <w:rsid w:val="00AE55F6"/>
    <w:pPr>
      <w:spacing w:before="240" w:after="240"/>
    </w:pPr>
    <w:rPr>
      <w:color w:val="E98E31" w:themeColor="background2"/>
    </w:rPr>
  </w:style>
  <w:style w:type="paragraph" w:customStyle="1" w:styleId="Figuretitle">
    <w:name w:val="Figure title"/>
    <w:basedOn w:val="body"/>
    <w:next w:val="Normal"/>
    <w:autoRedefine/>
    <w:rsid w:val="003221EF"/>
    <w:pPr>
      <w:keepNext/>
      <w:spacing w:before="360" w:after="360"/>
    </w:pPr>
    <w:rPr>
      <w:rFonts w:eastAsia="Times New Roman" w:cs="Times New Roman"/>
      <w:bCs/>
      <w:noProof/>
      <w:color w:val="2F5773" w:themeColor="text2"/>
      <w:szCs w:val="20"/>
      <w:lang w:val="lt-LT"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rsid w:val="009F53AF"/>
    <w:rPr>
      <w:caps/>
      <w:sz w:val="16"/>
      <w:szCs w:val="18"/>
    </w:rPr>
  </w:style>
  <w:style w:type="paragraph" w:styleId="FootnoteText">
    <w:name w:val="footnote text"/>
    <w:basedOn w:val="body"/>
    <w:link w:val="FootnoteTextChar"/>
    <w:autoRedefine/>
    <w:rsid w:val="00DB5E8F"/>
    <w:pPr>
      <w:spacing w:before="80" w:after="0" w:line="200" w:lineRule="exact"/>
    </w:pPr>
    <w:rPr>
      <w:sz w:val="18"/>
      <w:szCs w:val="18"/>
    </w:rPr>
  </w:style>
  <w:style w:type="character" w:customStyle="1" w:styleId="FootnoteTextChar">
    <w:name w:val="Footnote Text Char"/>
    <w:basedOn w:val="DefaultParagraphFont"/>
    <w:link w:val="FootnoteText"/>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rsid w:val="00B13C87"/>
    <w:rPr>
      <w:rFonts w:asciiTheme="minorHAnsi" w:hAnsiTheme="minorHAnsi"/>
      <w:sz w:val="22"/>
      <w:szCs w:val="18"/>
      <w:vertAlign w:val="superscript"/>
    </w:rPr>
  </w:style>
  <w:style w:type="paragraph" w:customStyle="1" w:styleId="bullet1">
    <w:name w:val="bullet 1"/>
    <w:basedOn w:val="body"/>
    <w:next w:val="body"/>
    <w:rsid w:val="001C5BC2"/>
    <w:pPr>
      <w:numPr>
        <w:numId w:val="2"/>
      </w:numPr>
    </w:pPr>
  </w:style>
  <w:style w:type="paragraph" w:styleId="TOC1">
    <w:name w:val="toc 1"/>
    <w:autoRedefine/>
    <w:uiPriority w:val="39"/>
    <w:rsid w:val="001F4C02"/>
    <w:pPr>
      <w:tabs>
        <w:tab w:val="right" w:pos="8771"/>
      </w:tabs>
      <w:spacing w:before="120" w:after="120"/>
      <w:ind w:left="426" w:hanging="426"/>
      <w:outlineLvl w:val="0"/>
    </w:pPr>
    <w:rPr>
      <w:b/>
      <w:bCs/>
      <w:noProof/>
      <w:color w:val="2F5773" w:themeColor="text2"/>
    </w:rPr>
  </w:style>
  <w:style w:type="paragraph" w:styleId="TOC2">
    <w:name w:val="toc 2"/>
    <w:next w:val="Normal"/>
    <w:autoRedefine/>
    <w:uiPriority w:val="39"/>
    <w:rsid w:val="00C41927"/>
    <w:pPr>
      <w:tabs>
        <w:tab w:val="left" w:pos="529"/>
        <w:tab w:val="right" w:pos="8771"/>
      </w:tabs>
      <w:spacing w:before="80" w:after="80"/>
    </w:pPr>
    <w:rPr>
      <w:noProof/>
    </w:rPr>
  </w:style>
  <w:style w:type="paragraph" w:styleId="TOC3">
    <w:name w:val="toc 3"/>
    <w:basedOn w:val="Normal"/>
    <w:next w:val="Normal"/>
    <w:autoRedefine/>
    <w:uiPriority w:val="39"/>
    <w:rsid w:val="00663B0A"/>
    <w:pPr>
      <w:tabs>
        <w:tab w:val="right" w:pos="8771"/>
      </w:tabs>
      <w:ind w:left="567"/>
    </w:pPr>
  </w:style>
  <w:style w:type="paragraph" w:styleId="TOC4">
    <w:name w:val="toc 4"/>
    <w:basedOn w:val="Normal"/>
    <w:next w:val="Normal"/>
    <w:autoRedefine/>
    <w:uiPriority w:val="39"/>
    <w:rsid w:val="00EE456B"/>
    <w:pPr>
      <w:tabs>
        <w:tab w:val="right" w:pos="8771"/>
      </w:tabs>
      <w:ind w:left="1134"/>
    </w:pPr>
  </w:style>
  <w:style w:type="paragraph" w:customStyle="1" w:styleId="bullet2">
    <w:name w:val="bullet 2"/>
    <w:basedOn w:val="body"/>
    <w:rsid w:val="001C5BC2"/>
    <w:pPr>
      <w:numPr>
        <w:numId w:val="1"/>
      </w:numPr>
    </w:pPr>
  </w:style>
  <w:style w:type="paragraph" w:customStyle="1" w:styleId="Numberedtitlelevel3">
    <w:name w:val="Numbered title level 3"/>
    <w:basedOn w:val="Titlelevel3"/>
    <w:next w:val="body"/>
    <w:rsid w:val="008F3908"/>
    <w:pPr>
      <w:numPr>
        <w:ilvl w:val="2"/>
        <w:numId w:val="6"/>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rsid w:val="00172007"/>
  </w:style>
  <w:style w:type="paragraph" w:customStyle="1" w:styleId="Numberedtitlelevel4">
    <w:name w:val="Numbered title level 4"/>
    <w:basedOn w:val="Titlelevel4"/>
    <w:rsid w:val="005D4005"/>
    <w:pPr>
      <w:numPr>
        <w:numId w:val="3"/>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uiPriority w:val="10"/>
    <w:qFormat/>
    <w:rsid w:val="00F42177"/>
    <w:pPr>
      <w:spacing w:after="0" w:line="240" w:lineRule="auto"/>
      <w:contextualSpacing/>
    </w:pPr>
    <w:rPr>
      <w:rFonts w:asciiTheme="majorHAnsi" w:eastAsiaTheme="majorEastAsia" w:hAnsiTheme="majorHAnsi" w:cstheme="majorBidi"/>
      <w:color w:val="234156" w:themeColor="accent1" w:themeShade="BF"/>
      <w:spacing w:val="-10"/>
      <w:sz w:val="52"/>
      <w:szCs w:val="52"/>
    </w:rPr>
  </w:style>
  <w:style w:type="character" w:customStyle="1" w:styleId="TitleChar">
    <w:name w:val="Title Char"/>
    <w:basedOn w:val="DefaultParagraphFont"/>
    <w:link w:val="Title"/>
    <w:uiPriority w:val="10"/>
    <w:rsid w:val="00F42177"/>
    <w:rPr>
      <w:rFonts w:asciiTheme="majorHAnsi" w:eastAsiaTheme="majorEastAsia" w:hAnsiTheme="majorHAnsi" w:cstheme="majorBidi"/>
      <w:color w:val="234156" w:themeColor="accent1" w:themeShade="BF"/>
      <w:spacing w:val="-10"/>
      <w:sz w:val="52"/>
      <w:szCs w:val="52"/>
    </w:rPr>
  </w:style>
  <w:style w:type="paragraph" w:styleId="TableofFigures">
    <w:name w:val="table of figures"/>
    <w:basedOn w:val="Normal"/>
    <w:next w:val="Normal"/>
    <w:autoRedefine/>
    <w:uiPriority w:val="99"/>
    <w:rsid w:val="00172007"/>
    <w:pPr>
      <w:spacing w:before="160"/>
    </w:pPr>
  </w:style>
  <w:style w:type="paragraph" w:styleId="Subtitle">
    <w:name w:val="Subtitle"/>
    <w:basedOn w:val="Normal"/>
    <w:next w:val="Normal"/>
    <w:link w:val="SubtitleChar"/>
    <w:uiPriority w:val="11"/>
    <w:qFormat/>
    <w:rsid w:val="00F4217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177"/>
    <w:rPr>
      <w:rFonts w:asciiTheme="majorHAnsi" w:eastAsiaTheme="majorEastAsia" w:hAnsiTheme="majorHAnsi" w:cstheme="majorBidi"/>
    </w:rPr>
  </w:style>
  <w:style w:type="character" w:styleId="BookTitle">
    <w:name w:val="Book Title"/>
    <w:basedOn w:val="DefaultParagraphFont"/>
    <w:uiPriority w:val="33"/>
    <w:qFormat/>
    <w:rsid w:val="00F42177"/>
    <w:rPr>
      <w:b/>
      <w:bCs/>
      <w:smallCaps/>
    </w:rPr>
  </w:style>
  <w:style w:type="character" w:customStyle="1" w:styleId="Highlighttext">
    <w:name w:val="Highlight text"/>
    <w:basedOn w:val="DefaultParagraphFont"/>
    <w:uiPriority w:val="1"/>
    <w:semiHidden/>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rsid w:val="00455E0E"/>
    <w:rPr>
      <w:bCs/>
      <w:lang w:val="lt-LT" w:eastAsia="en-GB"/>
    </w:rPr>
  </w:style>
  <w:style w:type="paragraph" w:styleId="ListBullet">
    <w:name w:val="List Bullet"/>
    <w:basedOn w:val="Normal"/>
    <w:semiHidden/>
    <w:rsid w:val="00A304D0"/>
    <w:pPr>
      <w:numPr>
        <w:numId w:val="8"/>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lang w:val="lt-LT"/>
    </w:rPr>
  </w:style>
  <w:style w:type="paragraph" w:styleId="TOCHeading">
    <w:name w:val="TOC Heading"/>
    <w:basedOn w:val="Heading1"/>
    <w:next w:val="Normal"/>
    <w:uiPriority w:val="39"/>
    <w:unhideWhenUsed/>
    <w:qFormat/>
    <w:rsid w:val="00F42177"/>
    <w:pPr>
      <w:outlineLvl w:val="9"/>
    </w:p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lang w:val="lt-LT"/>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lang w:val="lt-LT"/>
    </w:rPr>
  </w:style>
  <w:style w:type="paragraph" w:customStyle="1" w:styleId="Considrant">
    <w:name w:val="Considérant"/>
    <w:basedOn w:val="Normal"/>
    <w:rsid w:val="00B43E07"/>
    <w:pPr>
      <w:numPr>
        <w:numId w:val="9"/>
      </w:numPr>
      <w:spacing w:before="120" w:after="120"/>
      <w:jc w:val="both"/>
    </w:pPr>
    <w:rPr>
      <w:rFonts w:ascii="Times New Roman" w:eastAsia="Times New Roman" w:hAnsi="Times New Roman" w:cs="Times New Roman"/>
      <w:sz w:val="24"/>
      <w:lang w:val="lt-LT"/>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lang w:val="lt-LT"/>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lang w:val="lt-LT"/>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lang w:val="lt-LT"/>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lang w:val="lt-LT"/>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lang w:val="lt-LT"/>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lang w:val="lt-LT"/>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lang w:val="lt-LT"/>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lang w:val="lt-LT"/>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lang w:val="lt-LT"/>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lang w:val="lt-LT"/>
    </w:rPr>
  </w:style>
  <w:style w:type="paragraph" w:styleId="ListParagraph">
    <w:name w:val="List Paragraph"/>
    <w:basedOn w:val="Normal"/>
    <w:uiPriority w:val="34"/>
    <w:qFormat/>
    <w:rsid w:val="009F12DA"/>
    <w:pPr>
      <w:ind w:left="720"/>
      <w:contextualSpacing/>
    </w:pPr>
  </w:style>
  <w:style w:type="character" w:styleId="CommentReference">
    <w:name w:val="annotation reference"/>
    <w:basedOn w:val="DefaultParagraphFont"/>
    <w:uiPriority w:val="99"/>
    <w:semiHidden/>
    <w:unhideWhenUsed/>
    <w:rsid w:val="00E7159B"/>
    <w:rPr>
      <w:sz w:val="16"/>
      <w:szCs w:val="16"/>
    </w:rPr>
  </w:style>
  <w:style w:type="paragraph" w:styleId="CommentText">
    <w:name w:val="annotation text"/>
    <w:basedOn w:val="Normal"/>
    <w:link w:val="CommentTextChar"/>
    <w:uiPriority w:val="99"/>
    <w:unhideWhenUsed/>
    <w:rsid w:val="00E7159B"/>
    <w:rPr>
      <w:sz w:val="20"/>
      <w:szCs w:val="20"/>
    </w:rPr>
  </w:style>
  <w:style w:type="character" w:customStyle="1" w:styleId="CommentTextChar">
    <w:name w:val="Comment Text Char"/>
    <w:basedOn w:val="DefaultParagraphFont"/>
    <w:link w:val="CommentText"/>
    <w:uiPriority w:val="99"/>
    <w:rsid w:val="00E7159B"/>
    <w:rPr>
      <w:sz w:val="20"/>
      <w:szCs w:val="20"/>
    </w:rPr>
  </w:style>
  <w:style w:type="paragraph" w:styleId="CommentSubject">
    <w:name w:val="annotation subject"/>
    <w:basedOn w:val="CommentText"/>
    <w:next w:val="CommentText"/>
    <w:link w:val="CommentSubjectChar"/>
    <w:uiPriority w:val="99"/>
    <w:semiHidden/>
    <w:unhideWhenUsed/>
    <w:rsid w:val="00E7159B"/>
    <w:rPr>
      <w:b/>
      <w:bCs/>
    </w:rPr>
  </w:style>
  <w:style w:type="character" w:customStyle="1" w:styleId="CommentSubjectChar">
    <w:name w:val="Comment Subject Char"/>
    <w:basedOn w:val="CommentTextChar"/>
    <w:link w:val="CommentSubject"/>
    <w:uiPriority w:val="99"/>
    <w:semiHidden/>
    <w:rsid w:val="00E7159B"/>
    <w:rPr>
      <w:b/>
      <w:bCs/>
      <w:sz w:val="20"/>
      <w:szCs w:val="20"/>
    </w:rPr>
  </w:style>
  <w:style w:type="paragraph" w:styleId="Caption">
    <w:name w:val="caption"/>
    <w:basedOn w:val="Normal"/>
    <w:next w:val="Normal"/>
    <w:uiPriority w:val="35"/>
    <w:unhideWhenUsed/>
    <w:qFormat/>
    <w:rsid w:val="00F42177"/>
    <w:pPr>
      <w:spacing w:line="240" w:lineRule="auto"/>
    </w:pPr>
    <w:rPr>
      <w:b/>
      <w:bCs/>
      <w:smallCaps/>
      <w:color w:val="2F5773" w:themeColor="accent1"/>
      <w:spacing w:val="6"/>
    </w:rPr>
  </w:style>
  <w:style w:type="paragraph" w:customStyle="1" w:styleId="Point1letter">
    <w:name w:val="Point 1 (letter)"/>
    <w:basedOn w:val="Normal"/>
    <w:rsid w:val="003956D6"/>
    <w:pPr>
      <w:widowControl w:val="0"/>
      <w:tabs>
        <w:tab w:val="left" w:pos="709"/>
      </w:tabs>
      <w:adjustRightInd w:val="0"/>
      <w:spacing w:before="120" w:after="120"/>
      <w:jc w:val="both"/>
      <w:textAlignment w:val="baseline"/>
    </w:pPr>
    <w:rPr>
      <w:rFonts w:ascii="Times New Roman" w:eastAsia="Times New Roman" w:hAnsi="Times New Roman" w:cs="Times New Roman"/>
      <w:color w:val="000000"/>
      <w:sz w:val="24"/>
      <w:szCs w:val="20"/>
      <w:lang w:val="lt-LT" w:eastAsia="en-GB"/>
    </w:rPr>
  </w:style>
  <w:style w:type="paragraph" w:customStyle="1" w:styleId="Point2number">
    <w:name w:val="Point 2 (number)"/>
    <w:basedOn w:val="Normal"/>
    <w:rsid w:val="003956D6"/>
    <w:pPr>
      <w:widowControl w:val="0"/>
      <w:adjustRightInd w:val="0"/>
      <w:spacing w:after="240"/>
      <w:ind w:left="1418" w:hanging="709"/>
      <w:jc w:val="both"/>
      <w:textAlignment w:val="baseline"/>
    </w:pPr>
    <w:rPr>
      <w:rFonts w:ascii="Times New Roman" w:eastAsia="Times New Roman" w:hAnsi="Times New Roman" w:cs="Times New Roman"/>
      <w:sz w:val="24"/>
      <w:szCs w:val="20"/>
      <w:lang w:val="lt-LT" w:eastAsia="en-GB"/>
    </w:rPr>
  </w:style>
  <w:style w:type="paragraph" w:customStyle="1" w:styleId="CM1">
    <w:name w:val="CM1"/>
    <w:basedOn w:val="Default"/>
    <w:next w:val="Default"/>
    <w:uiPriority w:val="99"/>
    <w:rsid w:val="00597146"/>
    <w:rPr>
      <w:rFonts w:ascii="EUAlbertina" w:eastAsiaTheme="minorEastAsia" w:hAnsi="EUAlbertina" w:cstheme="minorBidi"/>
      <w:color w:val="auto"/>
      <w:lang w:val="lt-LT"/>
    </w:rPr>
  </w:style>
  <w:style w:type="paragraph" w:customStyle="1" w:styleId="CM3">
    <w:name w:val="CM3"/>
    <w:basedOn w:val="Default"/>
    <w:next w:val="Default"/>
    <w:uiPriority w:val="99"/>
    <w:rsid w:val="00597146"/>
    <w:rPr>
      <w:rFonts w:ascii="EUAlbertina" w:eastAsiaTheme="minorEastAsia" w:hAnsi="EUAlbertina" w:cstheme="minorBidi"/>
      <w:color w:val="auto"/>
      <w:lang w:val="lt-LT"/>
    </w:rPr>
  </w:style>
  <w:style w:type="table" w:customStyle="1" w:styleId="Grilledetableauclaire1">
    <w:name w:val="Grille de tableau claire1"/>
    <w:basedOn w:val="TableNormal"/>
    <w:uiPriority w:val="40"/>
    <w:rsid w:val="00A760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int0number">
    <w:name w:val="Point 0 (number)"/>
    <w:basedOn w:val="Normal"/>
    <w:rsid w:val="00A76095"/>
    <w:pPr>
      <w:spacing w:before="120" w:after="120"/>
      <w:ind w:left="720" w:hanging="360"/>
      <w:jc w:val="both"/>
    </w:pPr>
    <w:rPr>
      <w:rFonts w:ascii="Times New Roman" w:eastAsia="Calibri" w:hAnsi="Times New Roman" w:cs="Times New Roman"/>
      <w:sz w:val="24"/>
      <w:lang w:val="lt-LT"/>
    </w:rPr>
  </w:style>
  <w:style w:type="paragraph" w:customStyle="1" w:styleId="Point1number">
    <w:name w:val="Point 1 (number)"/>
    <w:basedOn w:val="Normal"/>
    <w:rsid w:val="00A76095"/>
    <w:pPr>
      <w:spacing w:before="120" w:after="120"/>
      <w:ind w:left="2160" w:hanging="360"/>
      <w:jc w:val="both"/>
    </w:pPr>
    <w:rPr>
      <w:rFonts w:ascii="Times New Roman" w:eastAsia="Calibri" w:hAnsi="Times New Roman" w:cs="Times New Roman"/>
      <w:sz w:val="24"/>
      <w:lang w:val="lt-LT"/>
    </w:rPr>
  </w:style>
  <w:style w:type="paragraph" w:customStyle="1" w:styleId="Point3number">
    <w:name w:val="Point 3 (number)"/>
    <w:basedOn w:val="Normal"/>
    <w:rsid w:val="00A76095"/>
    <w:pPr>
      <w:spacing w:before="120" w:after="120"/>
      <w:ind w:left="5040" w:hanging="360"/>
      <w:jc w:val="both"/>
    </w:pPr>
    <w:rPr>
      <w:rFonts w:ascii="Times New Roman" w:eastAsia="Calibri" w:hAnsi="Times New Roman" w:cs="Times New Roman"/>
      <w:sz w:val="24"/>
      <w:lang w:val="lt-LT"/>
    </w:rPr>
  </w:style>
  <w:style w:type="character" w:styleId="Strong">
    <w:name w:val="Strong"/>
    <w:basedOn w:val="DefaultParagraphFont"/>
    <w:uiPriority w:val="22"/>
    <w:qFormat/>
    <w:rsid w:val="00F42177"/>
    <w:rPr>
      <w:b/>
      <w:bCs/>
    </w:rPr>
  </w:style>
  <w:style w:type="character" w:styleId="Emphasis">
    <w:name w:val="Emphasis"/>
    <w:basedOn w:val="DefaultParagraphFont"/>
    <w:uiPriority w:val="20"/>
    <w:qFormat/>
    <w:rsid w:val="00F42177"/>
    <w:rPr>
      <w:i/>
      <w:iCs/>
    </w:rPr>
  </w:style>
  <w:style w:type="paragraph" w:styleId="NoSpacing">
    <w:name w:val="No Spacing"/>
    <w:uiPriority w:val="1"/>
    <w:qFormat/>
    <w:rsid w:val="00F42177"/>
    <w:pPr>
      <w:spacing w:after="0" w:line="240" w:lineRule="auto"/>
    </w:pPr>
  </w:style>
  <w:style w:type="paragraph" w:styleId="Quote">
    <w:name w:val="Quote"/>
    <w:basedOn w:val="Normal"/>
    <w:next w:val="Normal"/>
    <w:link w:val="QuoteChar"/>
    <w:uiPriority w:val="29"/>
    <w:qFormat/>
    <w:rsid w:val="00F42177"/>
    <w:pPr>
      <w:spacing w:before="120"/>
      <w:ind w:left="720" w:right="720"/>
      <w:jc w:val="center"/>
    </w:pPr>
    <w:rPr>
      <w:i/>
      <w:iCs/>
    </w:rPr>
  </w:style>
  <w:style w:type="character" w:customStyle="1" w:styleId="QuoteChar">
    <w:name w:val="Quote Char"/>
    <w:basedOn w:val="DefaultParagraphFont"/>
    <w:link w:val="Quote"/>
    <w:uiPriority w:val="29"/>
    <w:rsid w:val="00F42177"/>
    <w:rPr>
      <w:i/>
      <w:iCs/>
    </w:rPr>
  </w:style>
  <w:style w:type="paragraph" w:styleId="IntenseQuote">
    <w:name w:val="Intense Quote"/>
    <w:basedOn w:val="Normal"/>
    <w:next w:val="Normal"/>
    <w:link w:val="IntenseQuoteChar"/>
    <w:uiPriority w:val="30"/>
    <w:qFormat/>
    <w:rsid w:val="00F42177"/>
    <w:pPr>
      <w:spacing w:before="120" w:line="300" w:lineRule="auto"/>
      <w:ind w:left="576" w:right="576"/>
      <w:jc w:val="center"/>
    </w:pPr>
    <w:rPr>
      <w:rFonts w:asciiTheme="majorHAnsi" w:eastAsiaTheme="majorEastAsia" w:hAnsiTheme="majorHAnsi" w:cstheme="majorBidi"/>
      <w:color w:val="2F5773" w:themeColor="accent1"/>
      <w:sz w:val="24"/>
      <w:szCs w:val="24"/>
    </w:rPr>
  </w:style>
  <w:style w:type="character" w:customStyle="1" w:styleId="IntenseQuoteChar">
    <w:name w:val="Intense Quote Char"/>
    <w:basedOn w:val="DefaultParagraphFont"/>
    <w:link w:val="IntenseQuote"/>
    <w:uiPriority w:val="30"/>
    <w:rsid w:val="00F42177"/>
    <w:rPr>
      <w:rFonts w:asciiTheme="majorHAnsi" w:eastAsiaTheme="majorEastAsia" w:hAnsiTheme="majorHAnsi" w:cstheme="majorBidi"/>
      <w:color w:val="2F5773" w:themeColor="accent1"/>
      <w:sz w:val="24"/>
      <w:szCs w:val="24"/>
    </w:rPr>
  </w:style>
  <w:style w:type="character" w:styleId="SubtleEmphasis">
    <w:name w:val="Subtle Emphasis"/>
    <w:basedOn w:val="DefaultParagraphFont"/>
    <w:uiPriority w:val="19"/>
    <w:qFormat/>
    <w:rsid w:val="00F42177"/>
    <w:rPr>
      <w:i/>
      <w:iCs/>
      <w:color w:val="404040" w:themeColor="text1" w:themeTint="BF"/>
    </w:rPr>
  </w:style>
  <w:style w:type="character" w:styleId="IntenseEmphasis">
    <w:name w:val="Intense Emphasis"/>
    <w:basedOn w:val="DefaultParagraphFont"/>
    <w:uiPriority w:val="21"/>
    <w:qFormat/>
    <w:rsid w:val="00F42177"/>
    <w:rPr>
      <w:b w:val="0"/>
      <w:bCs w:val="0"/>
      <w:i/>
      <w:iCs/>
      <w:color w:val="2F5773" w:themeColor="accent1"/>
    </w:rPr>
  </w:style>
  <w:style w:type="character" w:styleId="SubtleReference">
    <w:name w:val="Subtle Reference"/>
    <w:basedOn w:val="DefaultParagraphFont"/>
    <w:uiPriority w:val="31"/>
    <w:qFormat/>
    <w:rsid w:val="00F42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2177"/>
    <w:rPr>
      <w:b/>
      <w:bCs/>
      <w:smallCaps/>
      <w:color w:val="2F5773" w:themeColor="accent1"/>
      <w:spacing w:val="5"/>
      <w:u w:val="single"/>
    </w:rPr>
  </w:style>
  <w:style w:type="paragraph" w:customStyle="1" w:styleId="InstructionsText">
    <w:name w:val="Instructions Text"/>
    <w:basedOn w:val="Normal"/>
    <w:link w:val="InstructionsTextChar"/>
    <w:autoRedefine/>
    <w:rsid w:val="00B62DC9"/>
    <w:pPr>
      <w:spacing w:after="120" w:line="240" w:lineRule="auto"/>
    </w:pPr>
    <w:rPr>
      <w:rFonts w:ascii="Times New Roman" w:eastAsia="Times New Roman" w:hAnsi="Times New Roman" w:cs="Times New Roman"/>
      <w:noProof/>
      <w:sz w:val="24"/>
      <w:szCs w:val="24"/>
      <w:lang w:val="lt-LT" w:eastAsia="de-DE"/>
    </w:rPr>
  </w:style>
  <w:style w:type="character" w:customStyle="1" w:styleId="FormatvorlageInstructionsTabelleText">
    <w:name w:val="Formatvorlage Instructions Tabelle Text"/>
    <w:uiPriority w:val="99"/>
    <w:qFormat/>
    <w:rsid w:val="00807127"/>
    <w:rPr>
      <w:rFonts w:ascii="Verdana" w:hAnsi="Verdana" w:cs="Times New Roman"/>
      <w:bCs/>
      <w:sz w:val="20"/>
      <w:u w:val="none"/>
    </w:rPr>
  </w:style>
  <w:style w:type="character" w:customStyle="1" w:styleId="InstructionsTextChar">
    <w:name w:val="Instructions Text Char"/>
    <w:link w:val="InstructionsText"/>
    <w:locked/>
    <w:rsid w:val="00B62DC9"/>
    <w:rPr>
      <w:rFonts w:ascii="Times New Roman" w:eastAsia="Times New Roman" w:hAnsi="Times New Roman" w:cs="Times New Roman"/>
      <w:noProof/>
      <w:sz w:val="24"/>
      <w:szCs w:val="24"/>
      <w:lang w:val="lt-LT" w:eastAsia="de-DE"/>
    </w:rPr>
  </w:style>
  <w:style w:type="paragraph" w:styleId="Revision">
    <w:name w:val="Revision"/>
    <w:hidden/>
    <w:uiPriority w:val="99"/>
    <w:semiHidden/>
    <w:rsid w:val="00510C0E"/>
    <w:pPr>
      <w:spacing w:after="0" w:line="240" w:lineRule="auto"/>
    </w:pPr>
  </w:style>
  <w:style w:type="paragraph" w:customStyle="1" w:styleId="Heading">
    <w:name w:val="Heading"/>
    <w:basedOn w:val="Numberedtilelevel1"/>
    <w:link w:val="HeadingChar"/>
    <w:qFormat/>
    <w:rsid w:val="001F4C02"/>
    <w:pPr>
      <w:ind w:left="709" w:hanging="709"/>
    </w:pPr>
    <w:rPr>
      <w:rFonts w:ascii="Times New Roman" w:hAnsi="Times New Roman" w:cs="Times New Roman"/>
      <w:sz w:val="24"/>
      <w:szCs w:val="24"/>
    </w:rPr>
  </w:style>
  <w:style w:type="character" w:customStyle="1" w:styleId="Titlelevel1Char">
    <w:name w:val="Title level 1 Char"/>
    <w:basedOn w:val="DefaultParagraphFont"/>
    <w:link w:val="Titlelevel1"/>
    <w:rsid w:val="00FD17AA"/>
    <w:rPr>
      <w:rFonts w:asciiTheme="majorHAnsi" w:eastAsiaTheme="majorEastAsia" w:hAnsiTheme="majorHAnsi" w:cstheme="majorBidi"/>
      <w:color w:val="2F5773" w:themeColor="text2"/>
      <w:spacing w:val="5"/>
      <w:kern w:val="28"/>
      <w:sz w:val="52"/>
      <w:szCs w:val="52"/>
    </w:rPr>
  </w:style>
  <w:style w:type="character" w:customStyle="1" w:styleId="Numberedtilelevel1Char">
    <w:name w:val="Numbered tile level 1 Char"/>
    <w:basedOn w:val="Titlelevel1Char"/>
    <w:link w:val="Numberedtilelevel1"/>
    <w:rsid w:val="00FD17AA"/>
    <w:rPr>
      <w:rFonts w:asciiTheme="majorHAnsi" w:eastAsiaTheme="majorEastAsia" w:hAnsiTheme="majorHAnsi" w:cstheme="majorBidi"/>
      <w:color w:val="2F5773" w:themeColor="text2"/>
      <w:spacing w:val="5"/>
      <w:kern w:val="28"/>
      <w:sz w:val="52"/>
      <w:szCs w:val="52"/>
    </w:rPr>
  </w:style>
  <w:style w:type="character" w:customStyle="1" w:styleId="HeadingChar">
    <w:name w:val="Heading Char"/>
    <w:basedOn w:val="Numberedtilelevel1Char"/>
    <w:link w:val="Heading"/>
    <w:rsid w:val="001F4C02"/>
    <w:rPr>
      <w:rFonts w:ascii="Times New Roman" w:eastAsiaTheme="majorEastAsia" w:hAnsi="Times New Roman" w:cs="Times New Roman"/>
      <w:color w:val="2F5773" w:themeColor="text2"/>
      <w:spacing w:val="5"/>
      <w:kern w:val="28"/>
      <w:sz w:val="24"/>
      <w:szCs w:val="24"/>
    </w:rPr>
  </w:style>
  <w:style w:type="paragraph" w:customStyle="1" w:styleId="Instructionsberschrift2">
    <w:name w:val="Instructions Überschrift 2"/>
    <w:basedOn w:val="Heading2"/>
    <w:rsid w:val="0065594A"/>
    <w:pPr>
      <w:keepLines w:val="0"/>
      <w:numPr>
        <w:numId w:val="14"/>
      </w:numPr>
      <w:spacing w:before="240" w:after="240"/>
      <w:jc w:val="both"/>
    </w:pPr>
    <w:rPr>
      <w:rFonts w:ascii="Verdana" w:eastAsia="Arial" w:hAnsi="Verdana" w:cs="Arial"/>
      <w:sz w:val="20"/>
      <w:szCs w:val="24"/>
      <w:u w:val="single"/>
      <w:lang w:eastAsia="x-none"/>
    </w:rPr>
  </w:style>
  <w:style w:type="paragraph" w:customStyle="1" w:styleId="InstructionsText2">
    <w:name w:val="Instructions Text 2"/>
    <w:basedOn w:val="InstructionsText"/>
    <w:qFormat/>
    <w:rsid w:val="0065594A"/>
    <w:pPr>
      <w:spacing w:after="240"/>
    </w:pPr>
  </w:style>
  <w:style w:type="character" w:customStyle="1" w:styleId="InstructionsTabelleberschrift">
    <w:name w:val="Instructions Tabelle Überschrift"/>
    <w:qFormat/>
    <w:rsid w:val="00A47BCD"/>
    <w:rPr>
      <w:rFonts w:ascii="Verdana" w:hAnsi="Verdana" w:cs="Times New Roman"/>
      <w:b/>
      <w:bCs/>
      <w:sz w:val="20"/>
      <w:u w:val="single"/>
    </w:rPr>
  </w:style>
  <w:style w:type="character" w:styleId="FollowedHyperlink">
    <w:name w:val="FollowedHyperlink"/>
    <w:basedOn w:val="DefaultParagraphFont"/>
    <w:uiPriority w:val="99"/>
    <w:semiHidden/>
    <w:unhideWhenUsed/>
    <w:rsid w:val="005B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851">
      <w:bodyDiv w:val="1"/>
      <w:marLeft w:val="0"/>
      <w:marRight w:val="0"/>
      <w:marTop w:val="0"/>
      <w:marBottom w:val="0"/>
      <w:divBdr>
        <w:top w:val="none" w:sz="0" w:space="0" w:color="auto"/>
        <w:left w:val="none" w:sz="0" w:space="0" w:color="auto"/>
        <w:bottom w:val="none" w:sz="0" w:space="0" w:color="auto"/>
        <w:right w:val="none" w:sz="0" w:space="0" w:color="auto"/>
      </w:divBdr>
    </w:div>
    <w:div w:id="194852131">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61452164">
      <w:bodyDiv w:val="1"/>
      <w:marLeft w:val="0"/>
      <w:marRight w:val="0"/>
      <w:marTop w:val="0"/>
      <w:marBottom w:val="0"/>
      <w:divBdr>
        <w:top w:val="none" w:sz="0" w:space="0" w:color="auto"/>
        <w:left w:val="none" w:sz="0" w:space="0" w:color="auto"/>
        <w:bottom w:val="none" w:sz="0" w:space="0" w:color="auto"/>
        <w:right w:val="none" w:sz="0" w:space="0" w:color="auto"/>
      </w:divBdr>
    </w:div>
    <w:div w:id="495071054">
      <w:bodyDiv w:val="1"/>
      <w:marLeft w:val="0"/>
      <w:marRight w:val="0"/>
      <w:marTop w:val="0"/>
      <w:marBottom w:val="0"/>
      <w:divBdr>
        <w:top w:val="none" w:sz="0" w:space="0" w:color="auto"/>
        <w:left w:val="none" w:sz="0" w:space="0" w:color="auto"/>
        <w:bottom w:val="none" w:sz="0" w:space="0" w:color="auto"/>
        <w:right w:val="none" w:sz="0" w:space="0" w:color="auto"/>
      </w:divBdr>
    </w:div>
    <w:div w:id="579288300">
      <w:bodyDiv w:val="1"/>
      <w:marLeft w:val="0"/>
      <w:marRight w:val="0"/>
      <w:marTop w:val="0"/>
      <w:marBottom w:val="0"/>
      <w:divBdr>
        <w:top w:val="none" w:sz="0" w:space="0" w:color="auto"/>
        <w:left w:val="none" w:sz="0" w:space="0" w:color="auto"/>
        <w:bottom w:val="none" w:sz="0" w:space="0" w:color="auto"/>
        <w:right w:val="none" w:sz="0" w:space="0" w:color="auto"/>
      </w:divBdr>
    </w:div>
    <w:div w:id="596407262">
      <w:bodyDiv w:val="1"/>
      <w:marLeft w:val="0"/>
      <w:marRight w:val="0"/>
      <w:marTop w:val="0"/>
      <w:marBottom w:val="0"/>
      <w:divBdr>
        <w:top w:val="none" w:sz="0" w:space="0" w:color="auto"/>
        <w:left w:val="none" w:sz="0" w:space="0" w:color="auto"/>
        <w:bottom w:val="none" w:sz="0" w:space="0" w:color="auto"/>
        <w:right w:val="none" w:sz="0" w:space="0" w:color="auto"/>
      </w:divBdr>
    </w:div>
    <w:div w:id="768937124">
      <w:bodyDiv w:val="1"/>
      <w:marLeft w:val="0"/>
      <w:marRight w:val="0"/>
      <w:marTop w:val="0"/>
      <w:marBottom w:val="0"/>
      <w:divBdr>
        <w:top w:val="none" w:sz="0" w:space="0" w:color="auto"/>
        <w:left w:val="none" w:sz="0" w:space="0" w:color="auto"/>
        <w:bottom w:val="none" w:sz="0" w:space="0" w:color="auto"/>
        <w:right w:val="none" w:sz="0" w:space="0" w:color="auto"/>
      </w:divBdr>
    </w:div>
    <w:div w:id="968825126">
      <w:bodyDiv w:val="1"/>
      <w:marLeft w:val="0"/>
      <w:marRight w:val="0"/>
      <w:marTop w:val="0"/>
      <w:marBottom w:val="0"/>
      <w:divBdr>
        <w:top w:val="none" w:sz="0" w:space="0" w:color="auto"/>
        <w:left w:val="none" w:sz="0" w:space="0" w:color="auto"/>
        <w:bottom w:val="none" w:sz="0" w:space="0" w:color="auto"/>
        <w:right w:val="none" w:sz="0" w:space="0" w:color="auto"/>
      </w:divBdr>
    </w:div>
    <w:div w:id="980379001">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613584015">
      <w:bodyDiv w:val="1"/>
      <w:marLeft w:val="0"/>
      <w:marRight w:val="0"/>
      <w:marTop w:val="0"/>
      <w:marBottom w:val="0"/>
      <w:divBdr>
        <w:top w:val="none" w:sz="0" w:space="0" w:color="auto"/>
        <w:left w:val="none" w:sz="0" w:space="0" w:color="auto"/>
        <w:bottom w:val="none" w:sz="0" w:space="0" w:color="auto"/>
        <w:right w:val="none" w:sz="0" w:space="0" w:color="auto"/>
      </w:divBdr>
    </w:div>
    <w:div w:id="2008171406">
      <w:bodyDiv w:val="1"/>
      <w:marLeft w:val="0"/>
      <w:marRight w:val="0"/>
      <w:marTop w:val="0"/>
      <w:marBottom w:val="0"/>
      <w:divBdr>
        <w:top w:val="none" w:sz="0" w:space="0" w:color="auto"/>
        <w:left w:val="none" w:sz="0" w:space="0" w:color="auto"/>
        <w:bottom w:val="none" w:sz="0" w:space="0" w:color="auto"/>
        <w:right w:val="none" w:sz="0" w:space="0" w:color="auto"/>
      </w:divBdr>
    </w:div>
    <w:div w:id="202952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F79D-63F7-42D0-8F31-2808AF242F8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8333</Words>
  <Characters>44166</Characters>
  <Application>Microsoft Office Word</Application>
  <DocSecurity>4</DocSecurity>
  <Lines>1003</Lines>
  <Paragraphs>570</Paragraphs>
  <ScaleCrop>false</ScaleCrop>
  <Company/>
  <LinksUpToDate>false</LinksUpToDate>
  <CharactersWithSpaces>51929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2024-04-05T10:29:00Z</dcterms:created>
  <dcterms:modified xsi:type="dcterms:W3CDTF">2024-04-05T10:29:00Z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2024-03-04T17:54:16Z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91b58fde-dfad-47dc-b1e2-20839b75e6a2</vt:lpwstr>
  </property>
  <property fmtid="{D5CDD505-2E9C-101B-9397-08002B2CF9AE}" pid="8" name="MSIP_Label_6bd9ddd1-4d20-43f6-abfa-fc3c07406f94_ContentBits">
    <vt:lpwstr>0</vt:lpwstr>
  </property>
</Properties>
</file>