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01617D" w:rsidRDefault="00676354" w:rsidP="0099485B">
      <w:pPr>
        <w:jc w:val="center"/>
        <w:rPr>
          <w:rFonts w:ascii="Times New Roman" w:hAnsi="Times New Roman"/>
          <w:b/>
          <w:sz w:val="24"/>
          <w:u w:val="singl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Pr>
          <w:rFonts w:ascii="Times New Roman" w:hAnsi="Times New Roman"/>
          <w:b/>
          <w:sz w:val="24"/>
          <w:u w:val="single"/>
        </w:rPr>
        <w:t>EL</w:t>
      </w:r>
    </w:p>
    <w:p w14:paraId="39DA4C9C" w14:textId="5F2E6493" w:rsidR="00385DE1" w:rsidRPr="0001617D" w:rsidRDefault="00385DE1" w:rsidP="0099485B">
      <w:pPr>
        <w:jc w:val="center"/>
        <w:rPr>
          <w:rFonts w:ascii="Times New Roman" w:hAnsi="Times New Roman"/>
          <w:b/>
          <w:sz w:val="24"/>
          <w:u w:val="single"/>
        </w:rPr>
      </w:pPr>
      <w:r>
        <w:rPr>
          <w:rFonts w:ascii="Times New Roman" w:hAnsi="Times New Roman"/>
          <w:b/>
          <w:sz w:val="24"/>
          <w:u w:val="single"/>
        </w:rPr>
        <w:t>ΠΑΡΑΡΤΗΜΑ IV</w:t>
      </w:r>
    </w:p>
    <w:p w14:paraId="66B07866" w14:textId="77777777" w:rsidR="00385DE1" w:rsidRPr="00265073" w:rsidRDefault="00385DE1" w:rsidP="0099485B">
      <w:pPr>
        <w:jc w:val="center"/>
        <w:rPr>
          <w:rFonts w:ascii="Times New Roman" w:hAnsi="Times New Roman"/>
          <w:b/>
          <w:sz w:val="24"/>
        </w:rPr>
      </w:pPr>
    </w:p>
    <w:p w14:paraId="1D3B5C40" w14:textId="50B78FAF" w:rsidR="0001617D" w:rsidRPr="0001617D" w:rsidRDefault="0001617D" w:rsidP="0001617D">
      <w:pPr>
        <w:spacing w:before="120" w:after="120" w:line="240" w:lineRule="auto"/>
        <w:jc w:val="center"/>
        <w:rPr>
          <w:rFonts w:ascii="Times New Roman" w:eastAsia="Times New Roman" w:hAnsi="Times New Roman" w:cs="Times New Roman"/>
          <w:b/>
          <w:sz w:val="24"/>
          <w:szCs w:val="24"/>
        </w:rPr>
      </w:pPr>
      <w:r>
        <w:rPr>
          <w:rFonts w:ascii="Times New Roman" w:hAnsi="Times New Roman"/>
          <w:b/>
          <w:sz w:val="24"/>
        </w:rPr>
        <w:t>ΔΗΜΟΣΙΟΠΟΙΗΣΗ ΣΧΕΤΙΚΑ ΜΕ ΤΗΝ ΕΛΑΧΙΣΤΗ ΑΠΑΙΤΗΣΗ ΙΔΙΩΝ ΚΕΦΑΛΑΙΩΝ ΚΑΙ ΕΠΙΛΕΞΙΜΩΝ ΥΠΟΧΡΕΩΣΕΩΝ — ΟΔΗΓΙΕΣ</w:t>
      </w:r>
    </w:p>
    <w:p w14:paraId="7E4782B7" w14:textId="77777777" w:rsidR="00940030" w:rsidRPr="00265073" w:rsidRDefault="00940030" w:rsidP="00940030"/>
    <w:p w14:paraId="6E12AAF5" w14:textId="3E457CEA"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r>
        <w:rPr>
          <w:rFonts w:ascii="Times New Roman" w:hAnsi="Times New Roman"/>
          <w:color w:val="auto"/>
          <w:sz w:val="24"/>
        </w:rPr>
        <w:t>1.</w:t>
      </w:r>
      <w:r>
        <w:rPr>
          <w:rFonts w:ascii="Times New Roman" w:hAnsi="Times New Roman"/>
          <w:color w:val="auto"/>
          <w:sz w:val="24"/>
        </w:rPr>
        <w:tab/>
        <w:t>Γενικές οδηγίες: Δομή και συμβάσεις</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0" w:name="_Toc360188319"/>
      <w:bookmarkStart w:id="11" w:name="_Toc473560867"/>
      <w:bookmarkStart w:id="12" w:name="_Toc15294522"/>
      <w:bookmarkStart w:id="13" w:name="_Toc264038399"/>
      <w:bookmarkStart w:id="14" w:name="_Toc294018834"/>
      <w:r>
        <w:rPr>
          <w:rFonts w:ascii="Times New Roman" w:hAnsi="Times New Roman"/>
          <w:color w:val="auto"/>
          <w:sz w:val="24"/>
        </w:rPr>
        <w:t>1.1</w:t>
      </w:r>
      <w:r>
        <w:rPr>
          <w:rFonts w:ascii="Times New Roman" w:hAnsi="Times New Roman"/>
          <w:color w:val="auto"/>
          <w:sz w:val="24"/>
        </w:rPr>
        <w:tab/>
        <w:t>Δομή</w:t>
      </w:r>
      <w:bookmarkEnd w:id="10"/>
      <w:bookmarkEnd w:id="11"/>
      <w:bookmarkEnd w:id="12"/>
    </w:p>
    <w:p w14:paraId="038BA668" w14:textId="1D5FE25B" w:rsidR="0065594A" w:rsidRPr="0008623B" w:rsidRDefault="0065594A" w:rsidP="00B62DC9">
      <w:pPr>
        <w:pStyle w:val="InstructionsText2"/>
        <w:numPr>
          <w:ilvl w:val="0"/>
          <w:numId w:val="12"/>
        </w:numPr>
      </w:pPr>
      <w:r>
        <w:t>Το πλαίσιο αυτό για τις δημοσιοποιήσεις σχετικά με τη MREL και την TLAC αποτελείται από τρεις ομάδες υποδειγμάτων:</w:t>
      </w:r>
    </w:p>
    <w:p w14:paraId="160EDC16" w14:textId="77777777" w:rsidR="00AB77FD" w:rsidRPr="0008623B" w:rsidRDefault="00AB77FD" w:rsidP="00B62DC9">
      <w:pPr>
        <w:pStyle w:val="InstructionsText2"/>
        <w:numPr>
          <w:ilvl w:val="1"/>
          <w:numId w:val="15"/>
        </w:numPr>
      </w:pPr>
      <w:r>
        <w:t>MREL και TLAC ομίλων εξυγίανσης και οντοτήτων εξυγίανσης·</w:t>
      </w:r>
    </w:p>
    <w:p w14:paraId="531DF249" w14:textId="0719D053" w:rsidR="00AB77FD" w:rsidRPr="0008623B" w:rsidRDefault="00AB77FD" w:rsidP="00B62DC9">
      <w:pPr>
        <w:pStyle w:val="InstructionsText2"/>
        <w:numPr>
          <w:ilvl w:val="1"/>
          <w:numId w:val="15"/>
        </w:numPr>
      </w:pPr>
      <w:r>
        <w:t>MREL και TLAC οντοτήτων που δεν είναι οντότητες εξυγίανσης και σημαντικών θυγατρικών παγκόσμιων συστημικώς σημαντικών ιδρυμάτων (G-SII) εκτός ΕΕ·</w:t>
      </w:r>
    </w:p>
    <w:p w14:paraId="3EE4CEDD" w14:textId="5B2484DA" w:rsidR="00AB77FD" w:rsidRPr="0008623B" w:rsidRDefault="00AB77FD" w:rsidP="00B62DC9">
      <w:pPr>
        <w:pStyle w:val="InstructionsText2"/>
        <w:numPr>
          <w:ilvl w:val="1"/>
          <w:numId w:val="15"/>
        </w:numPr>
      </w:pPr>
      <w:r>
        <w:t>κατάταξη των πιστωτών των εκδιδουσών οντοτήτων.</w:t>
      </w:r>
    </w:p>
    <w:p w14:paraId="1ED5F5C4" w14:textId="551A7AA0" w:rsidR="0065594A" w:rsidRPr="0008623B" w:rsidRDefault="0065594A" w:rsidP="00B62DC9">
      <w:pPr>
        <w:pStyle w:val="InstructionsText2"/>
        <w:numPr>
          <w:ilvl w:val="0"/>
          <w:numId w:val="12"/>
        </w:numPr>
      </w:pPr>
      <w:r>
        <w:t>Για κάθε υπόδειγμα υπάρχουν παραπομπές σε νομικά κείμενα αναφοράς. Στο παρόν παράρτημα περιλαμβάνονται αναλυτικότερες πληροφορίες σχετικά με γενικότερες πτυχές της υποβολής αναφορών για κάθε σύνολο υποδειγμάτων, καθώς και οδηγίες σχετικά με συγκεκριμένες θέσεις.</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5" w:name="_Toc360188320"/>
      <w:bookmarkStart w:id="16" w:name="_Toc473560868"/>
      <w:bookmarkStart w:id="17" w:name="_Toc15294523"/>
      <w:r>
        <w:rPr>
          <w:rFonts w:ascii="Times New Roman" w:hAnsi="Times New Roman"/>
          <w:color w:val="auto"/>
          <w:sz w:val="24"/>
        </w:rPr>
        <w:t>1.</w:t>
      </w:r>
      <w:bookmarkStart w:id="18" w:name="_Toc15294525"/>
      <w:bookmarkEnd w:id="13"/>
      <w:bookmarkEnd w:id="14"/>
      <w:bookmarkEnd w:id="15"/>
      <w:bookmarkEnd w:id="16"/>
      <w:bookmarkEnd w:id="17"/>
      <w:r>
        <w:rPr>
          <w:rFonts w:ascii="Times New Roman" w:hAnsi="Times New Roman"/>
          <w:color w:val="auto"/>
          <w:sz w:val="24"/>
        </w:rPr>
        <w:t>2</w:t>
      </w:r>
      <w:r>
        <w:rPr>
          <w:rFonts w:ascii="Times New Roman" w:hAnsi="Times New Roman"/>
          <w:color w:val="auto"/>
          <w:sz w:val="24"/>
        </w:rPr>
        <w:tab/>
        <w:t>Συντομογραφίες</w:t>
      </w:r>
      <w:bookmarkEnd w:id="18"/>
    </w:p>
    <w:p w14:paraId="7F56C9B4" w14:textId="1EA8178A" w:rsidR="0065594A" w:rsidRPr="0008623B" w:rsidRDefault="0065594A" w:rsidP="00B62DC9">
      <w:pPr>
        <w:pStyle w:val="InstructionsText2"/>
        <w:numPr>
          <w:ilvl w:val="0"/>
          <w:numId w:val="12"/>
        </w:numPr>
      </w:pPr>
      <w:r>
        <w:t>Για τους σκοπούς των παραρτημάτων του παρόντος κανονισμού ισχύουν οι ακόλουθες συντομογραφίες:</w:t>
      </w:r>
    </w:p>
    <w:p w14:paraId="7AA24AF3" w14:textId="4E2F4B2C" w:rsidR="0065594A" w:rsidRPr="0008623B" w:rsidRDefault="00B96861" w:rsidP="00B62DC9">
      <w:pPr>
        <w:pStyle w:val="InstructionsText2"/>
        <w:numPr>
          <w:ilvl w:val="0"/>
          <w:numId w:val="31"/>
        </w:numPr>
      </w:pPr>
      <w:r>
        <w:t xml:space="preserve"> «MREL»: αναφέρεται στην ελάχιστη απαίτηση ιδίων κεφαλαίων και επιλέξιμων υποχρεώσεων σύμφωνα με το άρθρο 45 της οδηγίας 2014/59/ΕΕ·</w:t>
      </w:r>
    </w:p>
    <w:p w14:paraId="3F223F84" w14:textId="14E43992" w:rsidR="0065594A" w:rsidRPr="0008623B" w:rsidRDefault="0065594A" w:rsidP="00B62DC9">
      <w:pPr>
        <w:pStyle w:val="InstructionsText2"/>
        <w:numPr>
          <w:ilvl w:val="0"/>
          <w:numId w:val="31"/>
        </w:numPr>
      </w:pPr>
      <w:r>
        <w:t>«TLAC»: αναφέρεται στην απαίτηση ιδίων κεφαλαίων και επιλέξιμων υποχρεώσεων για G-SII σύμφωνα με το άρθρο 92α του κανονισμού (ΕΕ) αριθ. 575/2013·</w:t>
      </w:r>
    </w:p>
    <w:p w14:paraId="1FEB92E2" w14:textId="1715F9BB" w:rsidR="0065594A" w:rsidRPr="0008623B" w:rsidRDefault="0065594A" w:rsidP="00B62DC9">
      <w:pPr>
        <w:pStyle w:val="InstructionsText2"/>
        <w:numPr>
          <w:ilvl w:val="0"/>
          <w:numId w:val="31"/>
        </w:numPr>
      </w:pPr>
      <w:r>
        <w:t>«εσωτερική TLAC»: αναφέρεται στην απαίτηση ιδίων κεφαλαίων και επιλέξιμων υποχρεώσεων για G-SII εκτός ΕΕ, σύμφωνα με το άρθρο 92β του κανονισμού (ΕΕ) αριθ. 575/2013·</w:t>
      </w:r>
    </w:p>
    <w:p w14:paraId="41F598D3" w14:textId="411A41F7" w:rsidR="0097126E" w:rsidRPr="0008623B" w:rsidRDefault="0097126E" w:rsidP="0073688E">
      <w:pPr>
        <w:pStyle w:val="ListParagraph"/>
        <w:numPr>
          <w:ilvl w:val="0"/>
          <w:numId w:val="31"/>
        </w:numPr>
      </w:pPr>
      <w:r>
        <w:rPr>
          <w:rFonts w:ascii="Times New Roman" w:hAnsi="Times New Roman"/>
          <w:sz w:val="24"/>
        </w:rPr>
        <w:t xml:space="preserve">«εσωτερική MREL»: αναφέρεται στη MREL που εφαρμόζεται σε οντότητες που δεν είναι οι ίδιες οντότητες εξυγίανσης σύμφωνα με το άρθρο 45στ της οδηγίας 2014/59/ΕΕ. </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9" w:name="_Toc264033192"/>
      <w:bookmarkEnd w:id="19"/>
      <w:r>
        <w:rPr>
          <w:rFonts w:ascii="Times New Roman" w:hAnsi="Times New Roman"/>
          <w:color w:val="auto"/>
          <w:sz w:val="24"/>
        </w:rPr>
        <w:lastRenderedPageBreak/>
        <w:t>2.</w:t>
      </w:r>
      <w:r>
        <w:rPr>
          <w:rFonts w:ascii="Times New Roman" w:hAnsi="Times New Roman"/>
          <w:color w:val="auto"/>
          <w:sz w:val="24"/>
        </w:rPr>
        <w:tab/>
      </w:r>
      <w:bookmarkStart w:id="20" w:name="_Toc45266923"/>
      <w:bookmarkStart w:id="21" w:name="_Toc45266924"/>
      <w:bookmarkStart w:id="22" w:name="_Toc45266925"/>
      <w:bookmarkStart w:id="23" w:name="_Toc14770635"/>
      <w:bookmarkStart w:id="24" w:name="_Toc45266926"/>
      <w:bookmarkEnd w:id="20"/>
      <w:bookmarkEnd w:id="21"/>
      <w:bookmarkEnd w:id="22"/>
      <w:r>
        <w:rPr>
          <w:rFonts w:ascii="Times New Roman" w:hAnsi="Times New Roman"/>
          <w:color w:val="auto"/>
          <w:sz w:val="24"/>
        </w:rPr>
        <w:t>EU KM2: Βασικές μετρήσεις — MREL και, κατά περίπτωση, απαίτηση ιδίων κεφαλαίων και επιλέξιμων υποχρεώσεων για G-SII</w:t>
      </w:r>
      <w:bookmarkEnd w:id="23"/>
      <w:bookmarkEnd w:id="24"/>
    </w:p>
    <w:p w14:paraId="7C25FB3D" w14:textId="5B7ACB83" w:rsidR="001D5361" w:rsidRPr="0008623B" w:rsidRDefault="00CB1021" w:rsidP="00B62DC9">
      <w:pPr>
        <w:pStyle w:val="InstructionsText2"/>
        <w:numPr>
          <w:ilvl w:val="0"/>
          <w:numId w:val="12"/>
        </w:numPr>
      </w:pPr>
      <w:r>
        <w:t>Οι οντότητες εξηγούν στο αφηγηματικό κείμενο που συνοδεύει το υπόδειγμα κάθε σημαντική διαφορά μεταξύ των ποσών ιδίων κεφαλαίων που δημοσιοποιούνται και του ποσού που προκύπτει από την πλήρη εφαρμογή του ΔΠΧΑ 9 σε επίπεδο ομίλου εξυγίανσης. Εξηγούν επίσης κάθε σημαντική διαφορά μεταξύ του ποσού που προκύπτει από την πλήρη εφαρμογή του ΔΠΧΑ 9 σε επίπεδο ομίλου εξυγίανσης σε σύγκριση με το ποσό που προκύπτει από την πλήρη εφαρμογή του ΔΠΧΑ 9 σε επίπεδο εποπτικού ομίλου.</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Στήλες</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Νομικά κείμενα αναφοράς και οδηγίες</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Pr>
                <w:color w:val="000000" w:themeColor="text1"/>
              </w:rPr>
              <w:t>α</w:t>
            </w:r>
          </w:p>
        </w:tc>
        <w:tc>
          <w:tcPr>
            <w:tcW w:w="7655" w:type="dxa"/>
          </w:tcPr>
          <w:p w14:paraId="67A0C6A1" w14:textId="614E3ECA" w:rsidR="00BB516B" w:rsidRPr="0008623B" w:rsidRDefault="008C2E99" w:rsidP="00807127">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Οι οντότητες δημοσιοποιούν στη στήλη αυτή τις σχετικές πληροφορίες για τη MREL σύμφωνα με τα άρθρα 45 και 45ε της οδηγίας 2014/59/ΕΕ.</w:t>
            </w:r>
          </w:p>
          <w:p w14:paraId="430CD6A3" w14:textId="4273F292" w:rsidR="00BB516B" w:rsidRPr="0008623B" w:rsidRDefault="008C2E99" w:rsidP="008C2E99">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Οι οντότητες δημοσιοποιούν την τιμή κατά τη λήξη της περιόδου δημοσιοποίησης.</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Pr>
                <w:color w:val="000000" w:themeColor="text1"/>
              </w:rPr>
              <w:t>β έως στ</w:t>
            </w:r>
          </w:p>
        </w:tc>
        <w:tc>
          <w:tcPr>
            <w:tcW w:w="7655" w:type="dxa"/>
          </w:tcPr>
          <w:p w14:paraId="330BD29E" w14:textId="441C1E3B" w:rsidR="00DE6BC1" w:rsidRPr="0008623B" w:rsidRDefault="008C2E99" w:rsidP="00DE6BC1">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 xml:space="preserve">Οι οντότητες που είναι G-SII και υπόκεινται στην απαίτηση TLAC σύμφωνα με το άρθρο 92α του κανονισμού (ΕΕ) αριθ. 575/2013 δημοσιοποιούν στις στήλες αυτές τις σχετικές πληροφορίες για την εν λόγω απαίτηση. </w:t>
            </w:r>
          </w:p>
          <w:p w14:paraId="34389FB0" w14:textId="7C26C455" w:rsidR="00DE6BC1" w:rsidRPr="0008623B" w:rsidRDefault="00DE6BC1" w:rsidP="00401ED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sz w:val="24"/>
              </w:rPr>
              <w:t>Οι περίοδοι δημοσιοποίησης T, T-1, T-2, T-3 και T-4 είναι τριμηνιαίες περίοδοι. Οι οντότητες δημοσιοποιούν τις ημερομηνίες που αντιστοιχούν στις περιόδους δημοσιοποίησης. Οι οντότητες που δημοσιοποιούν τις πληροφορίες αυτές σε τριμηνιαία βάση παρέχουν δεδομένα για τις περιόδους T, T-1, T-2, T-3 και T-4· οι οντότητες που δημοσιοποιούν τις πληροφορίες αυτές σε εξαμηνιαία βάση παρέχουν δεδομένα για τις περιόδους T, T-2 και T-4· και οι οντότητες που δημοσιοποιούν τις πληροφορίες αυτές σε ετήσια βάση παρέχουν δεδομένα για τις περιόδους T και T-4.</w:t>
            </w:r>
          </w:p>
        </w:tc>
      </w:tr>
    </w:tbl>
    <w:p w14:paraId="33309394" w14:textId="77777777" w:rsidR="009C13C2" w:rsidRPr="00265073" w:rsidRDefault="009C13C2" w:rsidP="006D4640">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Γραμμές</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Νομικά κείμενα αναφοράς και οδηγίες</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Pr>
                <w:color w:val="000000" w:themeColor="text1"/>
              </w:rPr>
              <w:t>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Pr>
                <w:b/>
                <w:color w:val="000000" w:themeColor="text1"/>
              </w:rPr>
              <w:t>Ίδια κεφάλαια και επιλέξιμες υποχρεώσεις</w:t>
            </w:r>
          </w:p>
          <w:p w14:paraId="0A140E20" w14:textId="2DF06A7B" w:rsidR="00DF735F" w:rsidRPr="0008623B" w:rsidRDefault="00DF735F" w:rsidP="00812B3B">
            <w:pPr>
              <w:spacing w:before="120" w:after="120" w:line="240" w:lineRule="auto"/>
              <w:jc w:val="both"/>
              <w:rPr>
                <w:rFonts w:ascii="Times New Roman" w:hAnsi="Times New Roman" w:cs="Times New Roman"/>
                <w:bCs/>
                <w:sz w:val="24"/>
              </w:rPr>
            </w:pPr>
            <w:r>
              <w:rPr>
                <w:rFonts w:ascii="Times New Roman" w:hAnsi="Times New Roman"/>
                <w:color w:val="000000" w:themeColor="text1"/>
                <w:sz w:val="24"/>
              </w:rPr>
              <w:t>Ισούται με τις τιμές που δημοσιοποιούνται στο υπόδειγμα δημοσιοποίησης EU TLAC1 στη γραμμή 22.</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Pr>
                <w:color w:val="000000" w:themeColor="text1"/>
              </w:rPr>
              <w:t>EU-1α</w:t>
            </w:r>
          </w:p>
        </w:tc>
        <w:tc>
          <w:tcPr>
            <w:tcW w:w="7655" w:type="dxa"/>
          </w:tcPr>
          <w:p w14:paraId="3D396CEE" w14:textId="278C4C7F" w:rsidR="00962389" w:rsidRPr="0008623B"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Ίδια κεφάλαια και επιλέξιμες υποχρεώσεις — Εκ των οποίων ίδια κεφάλαια και υποχρεώσεις μειωμένης εξασφάλισης</w:t>
            </w:r>
          </w:p>
          <w:p w14:paraId="729B564A" w14:textId="00537292" w:rsidR="00AF2AB2" w:rsidRPr="0008623B"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Ισούται με την τιμή που δημοσιοποιείται στο υπόδειγμα δημοσιοποίησης EU TLAC1 στη γραμμή EU-22α.</w:t>
            </w:r>
          </w:p>
          <w:p w14:paraId="6E8661C5" w14:textId="06556E77" w:rsidR="00AF2AB2" w:rsidRPr="0008623B" w:rsidRDefault="00AF2AB2" w:rsidP="00B96861">
            <w:pPr>
              <w:rPr>
                <w:rFonts w:ascii="Times New Roman" w:hAnsi="Times New Roman" w:cs="Times New Roman"/>
                <w:b/>
                <w:color w:val="000000" w:themeColor="text1"/>
                <w:sz w:val="24"/>
                <w:szCs w:val="24"/>
              </w:rPr>
            </w:pPr>
            <w:r>
              <w:rPr>
                <w:rFonts w:ascii="Times New Roman" w:hAnsi="Times New Roman"/>
                <w:sz w:val="24"/>
              </w:rPr>
              <w:t xml:space="preserve">Ίδια κεφάλαια και επιλέξιμες υποχρεώσεις που συμπεριλαμβάνονται στο ποσό των ιδίων κεφαλαίων και επιλέξιμων υποχρεώσεων σύμφωνα με το άρθρο 45β της οδηγίας 2014/59/ΕΕ και είναι επιλέξιμα μέσα μειωμένης </w:t>
            </w:r>
            <w:r>
              <w:rPr>
                <w:rFonts w:ascii="Times New Roman" w:hAnsi="Times New Roman"/>
                <w:sz w:val="24"/>
              </w:rPr>
              <w:lastRenderedPageBreak/>
              <w:t>εξασφάλισης, όπως ορίζονται στο άρθρο 2 παράγραφος 1 σημείο 71β) της εν λόγω οδηγίας, και υποχρεώσεις που συμπεριλαμβάνονται στο ποσό των ιδίων κεφαλαίων και επιλέξιμων υποχρεώσεων σύμφωνα με το άρθρο 45β παράγραφος 3 της οδηγίας 2014/59/ΕΕ.</w:t>
            </w:r>
            <w:r>
              <w:rPr>
                <w:rStyle w:val="FormatvorlageInstructionsTabelleText"/>
                <w:rFonts w:ascii="Times New Roman" w:hAnsi="Times New Roman"/>
                <w:sz w:val="24"/>
              </w:rPr>
              <w:t xml:space="preserve"> Στην περίπτωση των μέσων που διέπονται από το δίκαιο τρίτης χώρας, το μέσο συμπεριλαμβάνεται στη γραμμή αυτή μόνον εφόσον πληροί τις απαιτήσεις που καθορίζονται στο άρθρο 55 της οδηγίας 2014/59/ΕΕ.</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Pr>
                <w:color w:val="000000" w:themeColor="text1"/>
              </w:rPr>
              <w:lastRenderedPageBreak/>
              <w:t>2</w:t>
            </w:r>
          </w:p>
        </w:tc>
        <w:tc>
          <w:tcPr>
            <w:tcW w:w="7655" w:type="dxa"/>
          </w:tcPr>
          <w:p w14:paraId="7C401856" w14:textId="7B8EEDE3" w:rsidR="006D4640" w:rsidRPr="0008623B"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Συνολικό ποσό ανοίγματος σε κίνδυνο (TREA) του ομίλου εξυγίανσης </w:t>
            </w:r>
          </w:p>
          <w:p w14:paraId="147C8558" w14:textId="2D445D5F" w:rsidR="006D4640" w:rsidRPr="0008623B"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Ισούται με την τιμή που δημοσιοποιείται στο υπόδειγμα δημοσιοποίησης EU TLAC1 στη γραμμή 23.</w:t>
            </w:r>
          </w:p>
          <w:p w14:paraId="10BE5322" w14:textId="167B6DDA" w:rsidR="00705FB0" w:rsidRPr="0008623B" w:rsidRDefault="003D0BF6" w:rsidP="00FB021F">
            <w:pPr>
              <w:autoSpaceDE w:val="0"/>
              <w:autoSpaceDN w:val="0"/>
              <w:adjustRightInd w:val="0"/>
              <w:spacing w:before="120" w:after="120"/>
              <w:jc w:val="both"/>
              <w:rPr>
                <w:rFonts w:ascii="Times New Roman" w:hAnsi="Times New Roman" w:cs="Times New Roman"/>
                <w:bCs/>
                <w:sz w:val="24"/>
              </w:rPr>
            </w:pPr>
            <w:r>
              <w:rPr>
                <w:rStyle w:val="FormatvorlageInstructionsTabelleText"/>
                <w:rFonts w:ascii="Times New Roman" w:hAnsi="Times New Roman"/>
                <w:sz w:val="24"/>
              </w:rPr>
              <w:t>Άρθρο 45 παράγραφος 2 στοιχείο α) της οδηγίας 2014/59/ΕΕ, άρθρο 92 παράγραφος 3 του κανονισμού (ΕΕ) αριθ. 575/2013.</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3</w:t>
            </w:r>
          </w:p>
        </w:tc>
        <w:tc>
          <w:tcPr>
            <w:tcW w:w="7655" w:type="dxa"/>
          </w:tcPr>
          <w:p w14:paraId="038AB6D4" w14:textId="14BCE5D0" w:rsidR="00DF735F" w:rsidRPr="0008623B"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Ίδια κεφάλαια και επιλέξιμες υποχρεώσεις ως ποσοστό του TREA</w:t>
            </w:r>
          </w:p>
          <w:p w14:paraId="7B949D15" w14:textId="2BA6D31F" w:rsidR="00DF735F" w:rsidRPr="0008623B"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Ισούται με τις τιμές που δημοσιοποιούνται στο υπόδειγμα δημοσιοποίησης EU TLAC1 στη γραμμή 25. </w:t>
            </w:r>
          </w:p>
          <w:p w14:paraId="0F5B2611" w14:textId="00BEB708" w:rsidR="00DF735F" w:rsidRPr="0008623B"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Για τους σκοπούς της γραμμής αυτής, το ποσό των ιδίων κεφαλαίων και επιλέξιμων υποχρεώσεων που δημοσιοποιείται στη γραμμή 1 εκφράζεται ως ποσοστό του συνολικού ποσού ανοίγματος σε κίνδυνο που υπολογίζεται σύμφωνα με το άρθρο 92 παράγραφος 3 του κανονισμού (ΕΕ) αριθ. 575/2013.</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Pr>
                <w:color w:val="000000" w:themeColor="text1"/>
              </w:rPr>
              <w:t>EU-3α</w:t>
            </w:r>
          </w:p>
        </w:tc>
        <w:tc>
          <w:tcPr>
            <w:tcW w:w="7655" w:type="dxa"/>
          </w:tcPr>
          <w:p w14:paraId="44E29BD6" w14:textId="2EF98522" w:rsidR="00000DE2" w:rsidRPr="0008623B"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Ίδια κεφάλαια και επιλέξιμες υποχρεώσεις ως ποσοστό του TREA — Εκ των οποίων: ίδια κεφάλαια και υποχρεώσεις μειωμένης εξασφάλισης</w:t>
            </w:r>
          </w:p>
          <w:p w14:paraId="6CBFF6B4" w14:textId="23321C0B" w:rsidR="00000DE2" w:rsidRPr="0008623B"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Ισούται με την τιμή που δημοσιοποιείται στο υπόδειγμα δημοσιοποίησης EU TLAC1 στη γραμμή EU-25α.</w:t>
            </w:r>
          </w:p>
          <w:p w14:paraId="5209AA08" w14:textId="5CE53966" w:rsidR="00000DE2" w:rsidRPr="0008623B" w:rsidRDefault="00705FB0" w:rsidP="00AA4A01">
            <w:pPr>
              <w:pStyle w:val="Institutionquisigne"/>
              <w:spacing w:before="100" w:beforeAutospacing="1"/>
              <w:rPr>
                <w:b/>
                <w:i w:val="0"/>
                <w:color w:val="000000" w:themeColor="text1"/>
                <w:szCs w:val="24"/>
              </w:rPr>
            </w:pPr>
            <w:r>
              <w:rPr>
                <w:i w:val="0"/>
                <w:color w:val="000000" w:themeColor="text1"/>
              </w:rPr>
              <w:t>Για τους σκοπούς της γραμμής αυτής, το ποσό των ιδίων κεφαλαίων και επιλέξιμων υποχρεώσεων μειωμένης εξασφάλισης που παρουσιάζεται στη γραμμή EU-1α εκφράζεται ως ποσοστό του συνολικού ποσού ανοίγματος σε κίνδυνο που υπολογίζεται σύμφωνα με το άρθρο 92 παράγραφος 3 του κανονισμού (ΕΕ) αριθ. 575/2013.</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Pr>
                <w:color w:val="000000" w:themeColor="text1"/>
              </w:rPr>
              <w:t>4</w:t>
            </w:r>
          </w:p>
        </w:tc>
        <w:tc>
          <w:tcPr>
            <w:tcW w:w="7655" w:type="dxa"/>
          </w:tcPr>
          <w:p w14:paraId="21BFF265" w14:textId="5070F7DC" w:rsidR="006D4640" w:rsidRPr="0008623B"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Μέτρο συνολικού ανοίγματος (TEM) του ομίλου εξυγίανσης</w:t>
            </w:r>
          </w:p>
          <w:p w14:paraId="252377B7" w14:textId="103F2793" w:rsidR="006D4640" w:rsidRPr="0008623B" w:rsidRDefault="006D4640" w:rsidP="00936956">
            <w:pPr>
              <w:pStyle w:val="Applicationdirecte"/>
              <w:spacing w:before="120"/>
              <w:rPr>
                <w:color w:val="000000" w:themeColor="text1"/>
                <w:szCs w:val="24"/>
              </w:rPr>
            </w:pPr>
            <w:r>
              <w:rPr>
                <w:color w:val="000000" w:themeColor="text1"/>
              </w:rPr>
              <w:t>Ισούται με την τιμή που δημοσιοποιείται στο υπόδειγμα δημοσιοποίησης EU TLAC1 στη γραμμή 24.</w:t>
            </w:r>
          </w:p>
          <w:p w14:paraId="5BC2C1BD" w14:textId="4F7E9896" w:rsidR="00705FB0" w:rsidRPr="0008623B" w:rsidRDefault="003D0BF6" w:rsidP="00FB021F">
            <w:pPr>
              <w:pStyle w:val="Fait"/>
            </w:pPr>
            <w:r>
              <w:t>Άρθρο 45 παράγραφος 2 στοιχείο β) της οδηγίας 2014/59/ΕΕ, άρθρο 429 παράγραφος 4 και άρθρο 429α του κανονισμού (ΕΕ) αριθ. 575/2013.</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5</w:t>
            </w:r>
          </w:p>
        </w:tc>
        <w:tc>
          <w:tcPr>
            <w:tcW w:w="7655" w:type="dxa"/>
          </w:tcPr>
          <w:p w14:paraId="55ACA309" w14:textId="5203CF48"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Ίδια κεφάλαια και επιλέξιμες υποχρεώσεις ως ποσοστό του TEM</w:t>
            </w:r>
          </w:p>
          <w:p w14:paraId="5AF77D83" w14:textId="1205FA3D"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lastRenderedPageBreak/>
              <w:t>Ισούται με την τιμή που δημοσιοποιείται στο υπόδειγμα δημοσιοποίησης EU TLAC1 στη γραμμή 26.</w:t>
            </w:r>
          </w:p>
          <w:p w14:paraId="63970459" w14:textId="46B09F83" w:rsidR="00150101" w:rsidRPr="0008623B"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Για τους σκοπούς της γραμμής αυτής, το ποσό των ιδίων κεφαλαίων και επιλέξιμων υποχρεώσεων που παρουσιάζεται στη γραμμή 1 εκφράζεται ως ποσοστό του μέτρου συνολικού ανοίγματος που υπολογίζεται σύμφωνα με το άρθρο 429 παράγραφος 4 και το άρθρο 429α του κανονισμού (ΕΕ) αριθ. 575/2013.</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Pr>
                <w:color w:val="000000" w:themeColor="text1"/>
              </w:rPr>
              <w:lastRenderedPageBreak/>
              <w:t>EU-5α</w:t>
            </w:r>
          </w:p>
        </w:tc>
        <w:tc>
          <w:tcPr>
            <w:tcW w:w="7655" w:type="dxa"/>
          </w:tcPr>
          <w:p w14:paraId="677C4852" w14:textId="7733E767" w:rsidR="0037295D" w:rsidRPr="0008623B"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Ίδια κεφάλαια και επιλέξιμες υποχρεώσεις ως ποσοστό του TEM — Εκ των οποίων: ίδια κεφάλαια και υποχρεώσεις μειωμένης εξασφάλισης</w:t>
            </w:r>
          </w:p>
          <w:p w14:paraId="25EF5991" w14:textId="1725162F" w:rsidR="0037295D" w:rsidRPr="0008623B"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Ισούται με την τιμή που δημοσιοποιείται στο υπόδειγμα δημοσιοποίησης EU TLAC1 στη γραμμή EU-26α.</w:t>
            </w:r>
          </w:p>
          <w:p w14:paraId="4E14C375" w14:textId="17204913" w:rsidR="0037295D" w:rsidRPr="0008623B" w:rsidRDefault="00705FB0" w:rsidP="00FB021F">
            <w:pPr>
              <w:pStyle w:val="Fait"/>
              <w:spacing w:before="0"/>
              <w:rPr>
                <w:b/>
                <w:color w:val="000000" w:themeColor="text1"/>
                <w:szCs w:val="24"/>
              </w:rPr>
            </w:pPr>
            <w:r>
              <w:rPr>
                <w:color w:val="000000" w:themeColor="text1"/>
              </w:rPr>
              <w:t>Για τους σκοπούς της γραμμής αυτής, το ποσό των ιδίων κεφαλαίων και επιλέξιμων υποχρεώσεων μειωμένης εξασφάλισης που παρουσιάζεται στη γραμμή EU-1α εκφράζεται ως ποσοστό του μέτρου συνολικού ανοίγματος που υπολογίζεται σύμφωνα με το άρθρο 429 παράγραφος 4 και το άρθρο 429α του κανονισμού (ΕΕ) αριθ. 575/2013.</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6α</w:t>
            </w:r>
          </w:p>
        </w:tc>
        <w:tc>
          <w:tcPr>
            <w:tcW w:w="7655" w:type="dxa"/>
          </w:tcPr>
          <w:p w14:paraId="2E8BDE31" w14:textId="16D0165F" w:rsidR="0064224B" w:rsidRPr="0008623B"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Εφαρμόζεται η εξαίρεση χαμηλότερης εξοφλητικής προτεραιότητας του άρθρου 72β παράγραφος 4 του κανονισμού (ΕΕ) αριθ. 575/2013; (εξαίρεση 5 %)</w:t>
            </w:r>
          </w:p>
          <w:p w14:paraId="46D7CE6C" w14:textId="47F6F9D3"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Η γραμμή αυτή δημοσιοποιείται μόνον από οντότητες που υπόκεινται στην απαίτηση ιδίων κεφαλαίων και επιλέξιμων υποχρεώσεων για G-SII.</w:t>
            </w:r>
          </w:p>
          <w:p w14:paraId="6016F028" w14:textId="34A18C3F"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Εάν η αρχή εξυγίανσης επιτρέπει να είναι αποδεκτές οι υποχρεώσεις ως μέσα επιλέξιμων υποχρεώσεων σύμφωνα με το άρθρο 72β παράγραφος 4 του κανονισμού (ΕΕ) αριθ. 575/2013, η αναφέρουσα οντότητα δηλώνει «ναι».</w:t>
            </w:r>
          </w:p>
          <w:p w14:paraId="6B081016" w14:textId="4812518D"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Εάν η αρχή εξυγίανσης δεν επιτρέπει να είναι αποδεκτές οι υποχρεώσεις ως μέσα επιλέξιμων υποχρεώσεων σύμφωνα με το άρθρο 72β παράγραφος 4 του κανονισμού (ΕΕ) αριθ. 575/2013, ο όμιλος εξυγίανσης ή η οντότητα εξυγίανσης δηλώνει «όχι».</w:t>
            </w:r>
          </w:p>
          <w:p w14:paraId="2F5E08DD" w14:textId="726ED396" w:rsidR="0064224B" w:rsidRPr="0008623B"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Δεδομένου ότι οι εξαιρέσεις που προβλέπονται στο άρθρο 72β παράγραφοι 3 και 4 του κανονισμού (ΕΕ) αριθ. 575/2013 αλληλοαποκλείονται, η γραμμή αυτή παραμένει κενή εάν η αναφέρουσα οντότητα έχει συμπληρώσει τη γραμμή 6β.</w:t>
            </w:r>
          </w:p>
        </w:tc>
      </w:tr>
      <w:tr w:rsidR="008B1AF1" w:rsidRPr="0008623B" w14:paraId="03F999DF" w14:textId="77777777" w:rsidTr="00915305">
        <w:trPr>
          <w:trHeight w:val="316"/>
        </w:trPr>
        <w:tc>
          <w:tcPr>
            <w:tcW w:w="1384" w:type="dxa"/>
          </w:tcPr>
          <w:p w14:paraId="4B73F7B3" w14:textId="14E09A1B"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w:t>
            </w:r>
            <w:r w:rsidR="007E7E40">
              <w:rPr>
                <w:rFonts w:ascii="Times New Roman" w:hAnsi="Times New Roman"/>
                <w:sz w:val="24"/>
              </w:rPr>
              <w:t>β</w:t>
            </w:r>
          </w:p>
        </w:tc>
        <w:tc>
          <w:tcPr>
            <w:tcW w:w="7655" w:type="dxa"/>
          </w:tcPr>
          <w:p w14:paraId="41C2E586" w14:textId="6CC03437" w:rsidR="00BB35EA" w:rsidRPr="0008623B"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Συνολικό ποσό επιτρεπόμενων μέσων επιλέξιμων υποχρεώσεων χωρίς μειωμένη εξασφάλιση, εάν εφαρμόζεται η διακριτική ευχέρεια χαμηλότερης εξοφλητικής προτεραιότητας σύμφωνα με το άρθρο 72β παράγραφος 3 του κανονισμού (ΕΕ) αριθ. 575/2013 (μέγιστη εξαίρεση 3,5 %)</w:t>
            </w:r>
          </w:p>
          <w:p w14:paraId="564101D0" w14:textId="5C7DA717" w:rsidR="00705FB0" w:rsidRPr="0008623B"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lastRenderedPageBreak/>
              <w:t>Η γραμμή αυτή δημοσιοποιείται μόνον από οντότητες που υπόκεινται στην απαίτηση ιδίων κεφαλαίων και επιλέξιμων υποχρεώσεων για G-SII.</w:t>
            </w:r>
          </w:p>
          <w:p w14:paraId="00AD85CC" w14:textId="318F6AC9" w:rsidR="002A5279" w:rsidRPr="0008623B" w:rsidRDefault="002A5279" w:rsidP="002A5279">
            <w:pPr>
              <w:rPr>
                <w:rStyle w:val="FormatvorlageInstructionsTabelleText"/>
                <w:rFonts w:ascii="Times New Roman" w:hAnsi="Times New Roman"/>
                <w:sz w:val="24"/>
              </w:rPr>
            </w:pPr>
            <w:r>
              <w:rPr>
                <w:rStyle w:val="FormatvorlageInstructionsTabelleText"/>
                <w:rFonts w:ascii="Times New Roman" w:hAnsi="Times New Roman"/>
                <w:sz w:val="24"/>
              </w:rPr>
              <w:t>Συνολικό ποσό των μέσων επιλέξιμων υποχρεώσεων χωρίς μειωμένη εξασφάλιση που η αρχή εξυγίανσης έχει επιτρέψει να είναι αποδεκτά ως μέσα επιλέξιμων υποχρεώσεων για τους σκοπούς της TLAC σύμφωνα με το άρθρο 72β παράγραφος 3 του κανονισμού (ΕΕ) αριθ. 575/2013.</w:t>
            </w:r>
          </w:p>
          <w:p w14:paraId="24CA67B7" w14:textId="04F0B6BC" w:rsidR="008B1AF1" w:rsidRPr="0008623B"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Δεδομένου ότι οι εξαιρέσεις που προβλέπονται στο άρθρο 72β παράγραφοι 3 και 4 του κανονισμού (ΕΕ) αριθ. 575/2013 αλληλοαποκλείονται, η γραμμή αυτή παραμένει κενή εάν η οντότητα δηλώσει «ναι» στη γραμμή 6α.</w:t>
            </w:r>
          </w:p>
        </w:tc>
      </w:tr>
      <w:tr w:rsidR="008B1AF1" w:rsidRPr="0008623B" w14:paraId="2D64923D" w14:textId="77777777" w:rsidTr="00915305">
        <w:trPr>
          <w:trHeight w:val="316"/>
        </w:trPr>
        <w:tc>
          <w:tcPr>
            <w:tcW w:w="1384" w:type="dxa"/>
          </w:tcPr>
          <w:p w14:paraId="6C3622AD" w14:textId="0B01D322"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6</w:t>
            </w:r>
            <w:r w:rsidR="007E7E40">
              <w:rPr>
                <w:rFonts w:ascii="Times New Roman" w:hAnsi="Times New Roman"/>
                <w:sz w:val="24"/>
              </w:rPr>
              <w:t>γ</w:t>
            </w:r>
          </w:p>
        </w:tc>
        <w:tc>
          <w:tcPr>
            <w:tcW w:w="7655" w:type="dxa"/>
          </w:tcPr>
          <w:p w14:paraId="73DD47A6" w14:textId="24A022DC"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Εάν εφαρμόζεται εξαίρεση χαμηλότερης εξοφλητικής προτεραιότητας με ανώτατο όριο σύμφωνα με το άρθρο 72β παράγραφος 3 του κανονισμού (ΕΕ) αριθ. 575/2013, το ποσό της εκδοθείσας χρηματοδότησης που έχει την ίδια εξοφλητική προτεραιότητα με τις εξαιρούμενες υποχρεώσεις και αναγνωρίζεται στη γραμμή 1, διαιρούμενο με την εκδοθείσα χρηματοδότηση που έχει την ίδια εξοφλητική προτεραιότητα με τις εξαιρούμενες υποχρεώσεις και που θα αναγνωριζόταν στη γραμμή 1 εάν δεν εφαρμοζόταν ανώτατο όριο (%)</w:t>
            </w:r>
          </w:p>
          <w:p w14:paraId="02910CB6" w14:textId="36BCF0A1" w:rsidR="00CF21D0" w:rsidRPr="0008623B"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Η γραμμή αυτή δημοσιοποιείται μόνον από οντότητες που υπόκεινται στην απαίτηση ιδίων κεφαλαίων και επιλέξιμων υποχρεώσεων για G-SII.</w:t>
            </w:r>
          </w:p>
          <w:p w14:paraId="27823EE1" w14:textId="65D1AB03" w:rsidR="008B1AF1" w:rsidRPr="0008623B"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Η γραμμή αυτή ενημερώνει τους ιδιοκτήτες χρεωστικών τίτλων με εξοφλητική προτεραιότητα που έχουν εκδοθεί από την οντότητα εξυγίανσης σχετικά με το ποσοστό μη εξαιρούμενου χρέους με υψηλή εξοφλητική προτεραιότητα που έχει κριθεί επιλέξιμο, ώστε, κατά περίπτωση, να είναι σε θέση να εφαρμόζουν το καθεστώς αφαιρέσεων που προβλέπεται στο άρθρο 72ε του κανονισμού (ΕΕ) αριθ. 575/2013.</w:t>
            </w:r>
          </w:p>
          <w:p w14:paraId="69CB0A17" w14:textId="58CD2CDA" w:rsidR="00CF21D0" w:rsidRPr="0008623B" w:rsidRDefault="00F66078"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Όταν εφαρμόζεται εξαίρεση χαμηλότερης εξοφλητικής προτεραιότητας με ανώτατο όριο, σύμφωνα με το άρθρο 72β παράγραφος 3 του κανονισμού (ΕΕ) αριθ. 575/2013, οι οντότητες αναφέρουν:</w:t>
            </w:r>
          </w:p>
          <w:p w14:paraId="2D4EFCF5" w14:textId="674F215C" w:rsidR="00CF21D0" w:rsidRPr="0008623B" w:rsidRDefault="00F66078" w:rsidP="0073688E">
            <w:pPr>
              <w:spacing w:before="120" w:after="120" w:line="240" w:lineRule="auto"/>
              <w:jc w:val="both"/>
              <w:rPr>
                <w:rStyle w:val="InstructionsTabelleberschrift"/>
                <w:rFonts w:ascii="Times New Roman" w:hAnsi="Times New Roman"/>
                <w:b w:val="0"/>
                <w:sz w:val="24"/>
                <w:szCs w:val="24"/>
                <w:u w:val="none"/>
              </w:rPr>
            </w:pPr>
            <w:r>
              <w:rPr>
                <w:rStyle w:val="InstructionsTabelleberschrift"/>
                <w:rFonts w:ascii="Times New Roman" w:hAnsi="Times New Roman"/>
                <w:b w:val="0"/>
                <w:sz w:val="24"/>
                <w:u w:val="none"/>
              </w:rPr>
              <w:t>α) το ποσό της εκδοθείσας χρηματοδότησης που έχει την ίδια εξοφλητική προτεραιότητα με τις εξαιρούμενες υποχρεώσεις, όπως αναφέρονται στο άρθρο 72α παράγραφος 2 του κανονισμού (ΕΕ) αριθ. 575/2013, και συμπεριλαμβάνεται στο ποσό που παρουσιάζεται στη γραμμή 1·</w:t>
            </w:r>
          </w:p>
          <w:p w14:paraId="61EF1E26" w14:textId="12BB5640" w:rsidR="00CF21D0" w:rsidRPr="0008623B" w:rsidRDefault="00F66078" w:rsidP="0073688E">
            <w:pPr>
              <w:spacing w:before="120" w:after="120" w:line="240" w:lineRule="auto"/>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β) διαιρούμενο διά του ποσού της εκδοθείσας χρηματοδότησης που έχει την ίδια εξοφλητική προτεραιότητα με τις εξαιρούμενες υποχρεώσεις, όπως αναφέρονται στο άρθρο 72α παράγραφος 2 του κανονισμού (ΕΕ) αριθ. 575/2013, και που θα αναγνωριζόταν στη γραμμή 1 εάν δεν εφαρμοζόταν ανώτατο όριο.</w:t>
            </w:r>
          </w:p>
        </w:tc>
      </w:tr>
      <w:tr w:rsidR="008B1AF1" w:rsidRPr="0008623B" w14:paraId="3397A407" w14:textId="77777777" w:rsidTr="00915305">
        <w:trPr>
          <w:trHeight w:val="316"/>
        </w:trPr>
        <w:tc>
          <w:tcPr>
            <w:tcW w:w="1384" w:type="dxa"/>
          </w:tcPr>
          <w:p w14:paraId="064B005C" w14:textId="65B49825" w:rsidR="008B1AF1" w:rsidRPr="00265073" w:rsidDel="00CD7CA4" w:rsidRDefault="008B1AF1" w:rsidP="008B1AF1">
            <w:pPr>
              <w:autoSpaceDE w:val="0"/>
              <w:autoSpaceDN w:val="0"/>
              <w:adjustRightInd w:val="0"/>
              <w:rPr>
                <w:rFonts w:ascii="Times New Roman" w:hAnsi="Times New Roman" w:cs="Times New Roman"/>
                <w:color w:val="000000" w:themeColor="text1"/>
                <w:sz w:val="24"/>
                <w:szCs w:val="24"/>
              </w:rPr>
            </w:pPr>
          </w:p>
        </w:tc>
        <w:tc>
          <w:tcPr>
            <w:tcW w:w="7655" w:type="dxa"/>
          </w:tcPr>
          <w:p w14:paraId="065986DE" w14:textId="77777777"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Ελάχιστη απαίτηση ιδίων κεφαλαίων και επιλέξιμων υποχρεώσεων (MREL)</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lastRenderedPageBreak/>
              <w:t>EU-7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Pr>
                <w:b/>
                <w:color w:val="000000" w:themeColor="text1"/>
              </w:rPr>
              <w:t>MREL εκφραζόμενη ως ποσοστό του TREA</w:t>
            </w:r>
          </w:p>
          <w:p w14:paraId="5D62407D" w14:textId="1D56CFCB" w:rsidR="006453C4" w:rsidRPr="0008623B" w:rsidRDefault="006453C4" w:rsidP="00D33D65">
            <w:pPr>
              <w:pStyle w:val="Fait"/>
            </w:pPr>
            <w:r>
              <w:rPr>
                <w:color w:val="000000" w:themeColor="text1"/>
              </w:rPr>
              <w:t>Η ελάχιστη απαίτηση ιδίων κεφαλαίων και επιλέξιμων υποχρεώσεων της οντότητας, όπως καθορίζεται από την αρχή εξυγίανσης σύμφωνα με το άρθρο 45ε της οδηγίας 2014/59/ΕΕ, εκφραζόμενη ως ποσοστό του συνολικού ποσού ανοίγματος σε κίνδυνο που υπολογίζεται σύμφωνα με το άρθρο 92 παράγραφος 3 του κανονισμού (ΕΕ) αριθ. 575/2013.</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Pr>
                <w:b/>
                <w:color w:val="000000" w:themeColor="text1"/>
              </w:rPr>
              <w:t>MREL εκφραζόμενη ως ποσοστό του TREA — Εκ των οποίων: καλύπτεται με ίδια κεφάλαια ή υποχρεώσεις μειωμένης εξασφάλισης</w:t>
            </w:r>
          </w:p>
          <w:p w14:paraId="33EFDD9D" w14:textId="00E44973" w:rsidR="008B1AF1" w:rsidRPr="0008623B" w:rsidRDefault="00D819D9" w:rsidP="00D33D65">
            <w:pPr>
              <w:rPr>
                <w:color w:val="000000" w:themeColor="text1"/>
                <w:szCs w:val="24"/>
              </w:rPr>
            </w:pPr>
            <w:r>
              <w:rPr>
                <w:rFonts w:ascii="Times New Roman" w:hAnsi="Times New Roman"/>
                <w:sz w:val="24"/>
              </w:rPr>
              <w:t>Κατά περίπτωση, το μέρος της MREL το οποίο, σύμφωνα με το άρθρο 45β παράγραφοι 4 έως 8 της οδηγίας 2014/59/ΕΕ, καλύπτεται κατ’ απαίτηση της αρχής εξυγίανσης με τη χρήση ιδίων κεφαλαίων, επιλέξιμων μέσων μειωμένης εξασφάλισης ή υποχρεώσεων, όπως αναφέρονται στην παράγραφο 3 του εν λόγω άρθρου, εκφραζόμενο ως ποσοστό του συνολικού ποσού ανοίγματος σε κίνδυνο που υπολογίζεται σύμφωνα με το άρθρο 92 παράγραφος 3 του κανονισμού (ΕΕ) αριθ. 575/2013.</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Pr>
                <w:b/>
                <w:color w:val="000000" w:themeColor="text1"/>
              </w:rPr>
              <w:t>MREL εκφραζόμενη ως ποσοστό του TEM</w:t>
            </w:r>
          </w:p>
          <w:p w14:paraId="7ABED549" w14:textId="5EF36813" w:rsidR="006453C4" w:rsidRPr="0008623B" w:rsidRDefault="006453C4" w:rsidP="00717DB0">
            <w:pPr>
              <w:pStyle w:val="Fait"/>
            </w:pPr>
            <w:r>
              <w:t>Η ελάχιστη απαίτηση ιδίων κεφαλαίων και επιλέξιμων υποχρεώσεων της αναφέρουσας οντότητας, όπως καθορίζεται από την αρχή εξυγίανσης σύμφωνα με το άρθρο 45ε της οδηγίας 2014/59/ΕΕ, εκφραζόμενη ως ποσοστό του μέτρου συνολικού ανοίγματος που υπολογίζεται σύμφωνα με το άρθρο 429 παράγραφος 4 και το άρθρο 429α του κανονισμού (ΕΕ) αριθ. 575/2013.</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EU-10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Pr>
                <w:b/>
                <w:color w:val="000000" w:themeColor="text1"/>
              </w:rPr>
              <w:t>MREL εκφραζόμενη ως ποσοστό του TEM — Εκ των οποίων: καλύπτεται με ίδια κεφάλαια ή υποχρεώσεις μειωμένης εξασφάλισης</w:t>
            </w:r>
          </w:p>
          <w:p w14:paraId="366BA2A0" w14:textId="50E2609F" w:rsidR="008B1AF1" w:rsidRPr="0008623B" w:rsidRDefault="00D819D9" w:rsidP="00E1386E">
            <w:pPr>
              <w:rPr>
                <w:color w:val="000000" w:themeColor="text1"/>
                <w:szCs w:val="24"/>
              </w:rPr>
            </w:pPr>
            <w:r>
              <w:rPr>
                <w:rStyle w:val="FormatvorlageInstructionsTabelleText"/>
                <w:rFonts w:ascii="Times New Roman" w:hAnsi="Times New Roman"/>
                <w:sz w:val="24"/>
              </w:rPr>
              <w:t>Κατά περίπτωση, το μέρος της MREL το οποίο, σύμφωνα με το άρθρο 45β παράγραφοι 4 έως 8 της οδηγίας 2014/59/ΕΕ, καλύπτεται κατ’ απαίτηση της αρχής εξυγίανσης με τη χρήση ιδίων κεφαλαίων, επιλέξιμων μέσων μειωμένης εξασφάλισης ή υποχρεώσεων, όπως αναφέρονται στην παράγραφο 3 του εν λόγω άρθρου,</w:t>
            </w:r>
            <w:r>
              <w:rPr>
                <w:rFonts w:ascii="Times New Roman" w:hAnsi="Times New Roman"/>
                <w:sz w:val="24"/>
              </w:rPr>
              <w:t xml:space="preserve"> εκφραζόμενο ως ποσοστό του μέτρου συνολικού ανοίγματος που υπολογίζεται σύμφωνα με το άρθρο 429 παράγραφος 4 και το άρθρο 429α του κανονισμού (ΕΕ) αριθ. 575/2013</w:t>
            </w:r>
            <w:r>
              <w:rPr>
                <w:rStyle w:val="FormatvorlageInstructionsTabelleText"/>
                <w:rFonts w:ascii="Times New Roman" w:hAnsi="Times New Roman"/>
                <w:sz w:val="24"/>
              </w:rPr>
              <w:t>.</w:t>
            </w:r>
          </w:p>
        </w:tc>
      </w:tr>
    </w:tbl>
    <w:p w14:paraId="38CEC33F" w14:textId="77777777" w:rsidR="005673AC" w:rsidRPr="0008623B" w:rsidRDefault="005673AC" w:rsidP="00E258D8">
      <w:pPr>
        <w:rPr>
          <w:rFonts w:ascii="Times New Roman" w:hAnsi="Times New Roman" w:cs="Times New Roman"/>
          <w:noProof/>
          <w:color w:val="000000" w:themeColor="text1"/>
          <w:sz w:val="24"/>
          <w:szCs w:val="24"/>
          <w:lang w:val="en-GB"/>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Times New Roman" w:hAnsi="Times New Roman"/>
          <w:color w:val="auto"/>
          <w:sz w:val="24"/>
        </w:rPr>
        <w:t>3.</w:t>
      </w:r>
      <w:r>
        <w:rPr>
          <w:rFonts w:ascii="Times New Roman" w:hAnsi="Times New Roman"/>
          <w:color w:val="auto"/>
          <w:sz w:val="24"/>
        </w:rPr>
        <w:tab/>
      </w:r>
      <w:bookmarkStart w:id="186" w:name="_Toc14770783"/>
      <w:bookmarkStart w:id="187" w:name="_Toc45266927"/>
      <w:r>
        <w:rPr>
          <w:rFonts w:ascii="Times New Roman" w:hAnsi="Times New Roman"/>
          <w:color w:val="auto"/>
          <w:sz w:val="24"/>
        </w:rPr>
        <w:t>EU TLAC 1: Σύνθεση — MREL και, κατά περίπτωση, απαίτηση ιδίων κεφαλαίων και επιλέξιμων υποχρεώσεων για G-SII</w:t>
      </w:r>
      <w:bookmarkEnd w:id="186"/>
      <w:bookmarkEnd w:id="187"/>
    </w:p>
    <w:p w14:paraId="5FDEB8AD" w14:textId="17A1952C" w:rsidR="00021E4F" w:rsidRPr="0008623B" w:rsidRDefault="00021E4F" w:rsidP="00B62DC9">
      <w:pPr>
        <w:pStyle w:val="InstructionsText2"/>
        <w:numPr>
          <w:ilvl w:val="0"/>
          <w:numId w:val="12"/>
        </w:numPr>
      </w:pPr>
      <w:r>
        <w:t xml:space="preserve">Η θέση ιδίων κεφαλαίων και επιλέξιμων υποχρεώσεων σε σχέση με τον όμιλο εξυγίανσης περιλαμβάνει μόνο κεφαλαιακά μέσα και επιλέξιμες υποχρεώσεις που εκδίδονται από την οντότητα εξυγίανσης και, εφόσον συμμορφώνονται με το άρθρο 45β παράγραφος 3 της οδηγίας 2014/59/ΕΕ ή το άρθρο 88α του κανονισμού (ΕΕ) αριθ. 575/2013, κατά περίπτωση, από θυγατρικές της οντότητας εξυγίανσης, εξαιρουμένων των οντοτήτων εκτός του ομίλου εξυγίανσης. Ομοίως, η θέση ιδίων κεφαλαίων και επιλέξιμων υποχρεώσεων βασίζεται στο συνολικό ποσό ανοίγματος </w:t>
      </w:r>
      <w:r>
        <w:lastRenderedPageBreak/>
        <w:t>σε κίνδυνο (προσαρμοσμένο όπως επιτρέπεται σύμφωνα με το άρθρο 45η παράγραφος 2 της οδηγίας 2014/59/ΕΕ) και στο μέτρο συνολικού ανοίγματος που υπολογίζεται στο επίπεδο του ομίλου εξυγίανσης.</w:t>
      </w:r>
    </w:p>
    <w:p w14:paraId="31AA4E2B" w14:textId="5FF6ED9D" w:rsidR="00B00CC4" w:rsidRPr="0008623B" w:rsidRDefault="00021E4F" w:rsidP="00B62DC9">
      <w:pPr>
        <w:pStyle w:val="InstructionsText2"/>
        <w:numPr>
          <w:ilvl w:val="0"/>
          <w:numId w:val="12"/>
        </w:numPr>
      </w:pPr>
      <w:r>
        <w:t>Όσον αφορά τις κανονιστικές προσαρμογές, οι οντότητες δημοσιοποιούν τις αφαιρέσεις από ίδια κεφάλαια και επιλέξιμες υποχρεώσεις ως αρνητικούς αριθμούς και τις προσθέσεις στα ίδια κεφάλαια και στις επιλέξιμες υποχρεώσεις ως θετικούς αριθμούς.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Στήλες</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Νομικά κείμενα αναφοράς και οδηγίες</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Pr>
                <w:color w:val="000000" w:themeColor="text1"/>
              </w:rPr>
              <w:t>α</w:t>
            </w:r>
          </w:p>
        </w:tc>
        <w:tc>
          <w:tcPr>
            <w:tcW w:w="7655" w:type="dxa"/>
          </w:tcPr>
          <w:p w14:paraId="436FCBC7" w14:textId="60418D16" w:rsidR="00807127" w:rsidRPr="0008623B" w:rsidRDefault="008C2E99" w:rsidP="003C10CA">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Οι οντότητες δημοσιοποιούν στη στήλη αυτή τις σχετικές πληροφορίες για τη MREL σύμφωνα με τα άρθρα 45 και 45ε της οδηγίας 2014/59/ΕΕ.</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Pr>
                <w:color w:val="000000" w:themeColor="text1"/>
              </w:rPr>
              <w:t>β</w:t>
            </w:r>
          </w:p>
        </w:tc>
        <w:tc>
          <w:tcPr>
            <w:tcW w:w="7655" w:type="dxa"/>
          </w:tcPr>
          <w:p w14:paraId="1B5C7CCC" w14:textId="65BA9065" w:rsidR="00807127" w:rsidRPr="0008623B" w:rsidRDefault="008C2E99" w:rsidP="00F60AC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Οι οντότητες που είναι G-SII και υπόκεινται σε απαίτηση TLAC σύμφωνα με το άρθρο 92α του κανονισμού (ΕΕ) αριθ. 575/2013 δημοσιοποιούν στη στήλη αυτή τις σχετικές πληροφορίες για την εν λόγω απαίτηση.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Pr>
                <w:color w:val="000000" w:themeColor="text1"/>
              </w:rPr>
              <w:t>γ</w:t>
            </w:r>
          </w:p>
        </w:tc>
        <w:tc>
          <w:tcPr>
            <w:tcW w:w="7655" w:type="dxa"/>
          </w:tcPr>
          <w:p w14:paraId="77906683" w14:textId="414268DB" w:rsidR="00807127" w:rsidRPr="0008623B" w:rsidRDefault="00807127" w:rsidP="00B62DC9">
            <w:pPr>
              <w:pStyle w:val="InstructionsText"/>
            </w:pPr>
            <w:r>
              <w:rPr>
                <w:rStyle w:val="FormatvorlageInstructionsTabelleText"/>
                <w:rFonts w:ascii="Times New Roman" w:hAnsi="Times New Roman"/>
                <w:sz w:val="24"/>
              </w:rPr>
              <w:t>Η στήλη αυτή συμπληρώνεται μόνον από οντότητες που υπόκεινται στην απαίτηση TLAC.</w:t>
            </w:r>
            <w:r>
              <w:t xml:space="preserve"> </w:t>
            </w:r>
          </w:p>
          <w:p w14:paraId="1B6D4BC4" w14:textId="410E4195" w:rsidR="00807127" w:rsidRPr="0008623B" w:rsidRDefault="00807127" w:rsidP="00B62DC9">
            <w:pPr>
              <w:pStyle w:val="InstructionsText"/>
            </w:pPr>
            <w:r>
              <w:t>Η στήλη αυτή αντικατοπτρίζει τη διαφορά μεταξύ των ποσών που εφαρμόζονται στο πλαίσιο της απαίτησης του άρθρου 45 της οδηγίας 2014/59/ΕΕ και των ποσών που εφαρμόζονται στο πλαίσιο της απαίτησης του άρθρου 92α του κανονισμού (ΕΕ) αριθ. 575/2013.</w:t>
            </w:r>
          </w:p>
        </w:tc>
      </w:tr>
    </w:tbl>
    <w:p w14:paraId="3AC1888A" w14:textId="77777777" w:rsidR="00807127" w:rsidRPr="0008623B" w:rsidRDefault="00807127" w:rsidP="00807127">
      <w:pPr>
        <w:jc w:val="both"/>
        <w:rPr>
          <w:rFonts w:ascii="Times New Roman" w:hAnsi="Times New Roman" w:cs="Times New Roman"/>
          <w:i/>
          <w:noProof/>
          <w:color w:val="000000" w:themeColor="text1"/>
          <w:sz w:val="24"/>
          <w:szCs w:val="24"/>
          <w:lang w:val="en-GB"/>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40"/>
        <w:gridCol w:w="772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 xml:space="preserve">Γραμμή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7E7E40" w:rsidRDefault="00E46262" w:rsidP="00915305">
            <w:pPr>
              <w:rPr>
                <w:rFonts w:ascii="Times New Roman" w:hAnsi="Times New Roman" w:cs="Times New Roman"/>
                <w:noProof/>
                <w:color w:val="000000" w:themeColor="text1"/>
                <w:sz w:val="24"/>
                <w:szCs w:val="24"/>
                <w:lang w:val="el-GR"/>
              </w:rPr>
            </w:pPr>
            <w:r w:rsidRPr="007E7E40">
              <w:rPr>
                <w:rFonts w:ascii="Times New Roman" w:hAnsi="Times New Roman"/>
                <w:b/>
                <w:color w:val="000000" w:themeColor="text1"/>
                <w:sz w:val="24"/>
                <w:lang w:val="el-GR"/>
              </w:rPr>
              <w:t>Νομικά κείμενα αναφοράς και οδηγίες</w:t>
            </w:r>
          </w:p>
        </w:tc>
      </w:tr>
      <w:tr w:rsidR="00026FC1" w:rsidRPr="0008623B" w14:paraId="614F9517" w14:textId="77777777" w:rsidTr="00E46262">
        <w:tc>
          <w:tcPr>
            <w:tcW w:w="1030" w:type="dxa"/>
          </w:tcPr>
          <w:p w14:paraId="7EE06B6D"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w:t>
            </w:r>
          </w:p>
        </w:tc>
        <w:tc>
          <w:tcPr>
            <w:tcW w:w="7736" w:type="dxa"/>
          </w:tcPr>
          <w:p w14:paraId="709BFA1D" w14:textId="0A17EB42" w:rsidR="00021E4F" w:rsidRPr="007E7E40" w:rsidRDefault="00021E4F" w:rsidP="00915305">
            <w:pPr>
              <w:rPr>
                <w:rFonts w:ascii="Times New Roman" w:hAnsi="Times New Roman" w:cs="Times New Roman"/>
                <w:noProof/>
                <w:color w:val="000000" w:themeColor="text1"/>
                <w:sz w:val="24"/>
                <w:szCs w:val="24"/>
                <w:lang w:val="el-GR"/>
              </w:rPr>
            </w:pPr>
            <w:r w:rsidRPr="007E7E40">
              <w:rPr>
                <w:rFonts w:ascii="Times New Roman" w:hAnsi="Times New Roman"/>
                <w:b/>
                <w:color w:val="000000" w:themeColor="text1"/>
                <w:sz w:val="24"/>
                <w:lang w:val="el-GR"/>
              </w:rPr>
              <w:t>Κεφάλαιο κοινών μετοχών της κατηγορίας 1 (</w:t>
            </w:r>
            <w:r>
              <w:rPr>
                <w:rFonts w:ascii="Times New Roman" w:hAnsi="Times New Roman"/>
                <w:b/>
                <w:color w:val="000000" w:themeColor="text1"/>
                <w:sz w:val="24"/>
              </w:rPr>
              <w:t>CET</w:t>
            </w:r>
            <w:r w:rsidRPr="007E7E40">
              <w:rPr>
                <w:rFonts w:ascii="Times New Roman" w:hAnsi="Times New Roman"/>
                <w:b/>
                <w:color w:val="000000" w:themeColor="text1"/>
                <w:sz w:val="24"/>
                <w:lang w:val="el-GR"/>
              </w:rPr>
              <w:t>1)</w:t>
            </w:r>
          </w:p>
          <w:p w14:paraId="0C38277D" w14:textId="1D578338" w:rsidR="00021E4F" w:rsidRPr="0008623B" w:rsidRDefault="00021E4F" w:rsidP="0097126E">
            <w:pPr>
              <w:rPr>
                <w:rFonts w:ascii="Times New Roman" w:hAnsi="Times New Roman" w:cs="Times New Roman"/>
                <w:noProof/>
                <w:color w:val="000000" w:themeColor="text1"/>
                <w:sz w:val="24"/>
                <w:szCs w:val="24"/>
              </w:rPr>
            </w:pPr>
            <w:r w:rsidRPr="007E7E40">
              <w:rPr>
                <w:rFonts w:ascii="Times New Roman" w:hAnsi="Times New Roman"/>
                <w:color w:val="000000" w:themeColor="text1"/>
                <w:sz w:val="24"/>
                <w:lang w:val="el-GR"/>
              </w:rPr>
              <w:t xml:space="preserve">Κεφάλαιο </w:t>
            </w:r>
            <w:r>
              <w:rPr>
                <w:rFonts w:ascii="Times New Roman" w:hAnsi="Times New Roman"/>
                <w:color w:val="000000" w:themeColor="text1"/>
                <w:sz w:val="24"/>
              </w:rPr>
              <w:t>CET</w:t>
            </w:r>
            <w:r w:rsidRPr="007E7E40">
              <w:rPr>
                <w:rFonts w:ascii="Times New Roman" w:hAnsi="Times New Roman"/>
                <w:color w:val="000000" w:themeColor="text1"/>
                <w:sz w:val="24"/>
                <w:lang w:val="el-GR"/>
              </w:rPr>
              <w:t xml:space="preserve">1 του ομίλου εξυγίανσης, που υπολογίζεται σύμφωνα με το άρθρο 50 του κανονισμού (ΕΕ) αριθ. </w:t>
            </w:r>
            <w:r>
              <w:rPr>
                <w:rFonts w:ascii="Times New Roman" w:hAnsi="Times New Roman"/>
                <w:color w:val="000000" w:themeColor="text1"/>
                <w:sz w:val="24"/>
              </w:rPr>
              <w:t>575/2013.</w:t>
            </w:r>
          </w:p>
        </w:tc>
      </w:tr>
      <w:tr w:rsidR="00026FC1" w:rsidRPr="0008623B" w14:paraId="0AC96626" w14:textId="77777777" w:rsidTr="00E46262">
        <w:tc>
          <w:tcPr>
            <w:tcW w:w="1030" w:type="dxa"/>
          </w:tcPr>
          <w:p w14:paraId="4517736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2</w:t>
            </w:r>
          </w:p>
        </w:tc>
        <w:tc>
          <w:tcPr>
            <w:tcW w:w="7736" w:type="dxa"/>
          </w:tcPr>
          <w:p w14:paraId="2FB37E1A" w14:textId="007BDD23" w:rsidR="00021E4F" w:rsidRPr="007E7E40" w:rsidRDefault="00021E4F" w:rsidP="00915305">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Πρόσθετο κεφάλαιο της κατηγορίας 1 (</w:t>
            </w:r>
            <w:r>
              <w:rPr>
                <w:rFonts w:ascii="Times New Roman" w:hAnsi="Times New Roman"/>
                <w:b/>
                <w:color w:val="000000" w:themeColor="text1"/>
                <w:sz w:val="24"/>
              </w:rPr>
              <w:t>AT</w:t>
            </w:r>
            <w:r w:rsidRPr="007E7E40">
              <w:rPr>
                <w:rFonts w:ascii="Times New Roman" w:hAnsi="Times New Roman"/>
                <w:b/>
                <w:color w:val="000000" w:themeColor="text1"/>
                <w:sz w:val="24"/>
                <w:lang w:val="el-GR"/>
              </w:rPr>
              <w:t xml:space="preserve">1) </w:t>
            </w:r>
          </w:p>
          <w:p w14:paraId="05B0D3DA" w14:textId="4151C42D" w:rsidR="00E94218" w:rsidRPr="007E7E40" w:rsidRDefault="00021E4F">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Κεφάλαιο </w:t>
            </w:r>
            <w:r>
              <w:rPr>
                <w:rFonts w:ascii="Times New Roman" w:hAnsi="Times New Roman"/>
                <w:color w:val="000000" w:themeColor="text1"/>
                <w:sz w:val="24"/>
              </w:rPr>
              <w:t>AT</w:t>
            </w:r>
            <w:r w:rsidRPr="007E7E40">
              <w:rPr>
                <w:rFonts w:ascii="Times New Roman" w:hAnsi="Times New Roman"/>
                <w:color w:val="000000" w:themeColor="text1"/>
                <w:sz w:val="24"/>
                <w:lang w:val="el-GR"/>
              </w:rPr>
              <w:t>1 του ομίλου εξυγίανσης, που υπολογίζεται σύμφωνα με το άρθρο 61 του κανονισμού (ΕΕ) αριθ. 575/2013.</w:t>
            </w:r>
          </w:p>
          <w:p w14:paraId="66E56E67" w14:textId="5AF6C892" w:rsidR="00021E4F" w:rsidRPr="007E7E40" w:rsidRDefault="00E94218" w:rsidP="00E94218">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Στην περίπτωση της </w:t>
            </w:r>
            <w:r>
              <w:rPr>
                <w:rFonts w:ascii="Times New Roman" w:hAnsi="Times New Roman"/>
                <w:color w:val="000000" w:themeColor="text1"/>
                <w:sz w:val="24"/>
              </w:rPr>
              <w:t>MREL</w:t>
            </w:r>
            <w:r w:rsidRPr="007E7E40">
              <w:rPr>
                <w:rFonts w:ascii="Times New Roman" w:hAnsi="Times New Roman"/>
                <w:color w:val="000000" w:themeColor="text1"/>
                <w:sz w:val="24"/>
                <w:lang w:val="el-GR"/>
              </w:rPr>
              <w:t>, τα μέσα που διέπονται από το δίκαιο τρίτης χώρας συμπεριλαμβάνονται στη γραμμή αυτή μόνον εφόσον πληρούν τις απαιτήσεις του άρθρου</w:t>
            </w:r>
            <w:r>
              <w:rPr>
                <w:rFonts w:ascii="Times New Roman" w:hAnsi="Times New Roman"/>
                <w:color w:val="000000" w:themeColor="text1"/>
                <w:sz w:val="24"/>
              </w:rPr>
              <w:t> </w:t>
            </w:r>
            <w:r w:rsidRPr="007E7E40">
              <w:rPr>
                <w:rFonts w:ascii="Times New Roman" w:hAnsi="Times New Roman"/>
                <w:color w:val="000000" w:themeColor="text1"/>
                <w:sz w:val="24"/>
                <w:lang w:val="el-GR"/>
              </w:rPr>
              <w:t>55 της οδηγίας 2014/59/ΕΕ.</w:t>
            </w:r>
          </w:p>
        </w:tc>
      </w:tr>
      <w:tr w:rsidR="00026FC1" w:rsidRPr="0008623B" w14:paraId="2781CFBF" w14:textId="77777777" w:rsidTr="00E46262">
        <w:tc>
          <w:tcPr>
            <w:tcW w:w="1030" w:type="dxa"/>
          </w:tcPr>
          <w:p w14:paraId="6B607587" w14:textId="58DB8643"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6</w:t>
            </w:r>
          </w:p>
        </w:tc>
        <w:tc>
          <w:tcPr>
            <w:tcW w:w="7736" w:type="dxa"/>
          </w:tcPr>
          <w:p w14:paraId="30A3A120" w14:textId="05F7C1CC" w:rsidR="00021E4F" w:rsidRPr="007E7E40" w:rsidRDefault="00021E4F" w:rsidP="00915305">
            <w:pPr>
              <w:rPr>
                <w:rFonts w:ascii="Times New Roman" w:hAnsi="Times New Roman" w:cs="Times New Roman"/>
                <w:noProof/>
                <w:color w:val="000000" w:themeColor="text1"/>
                <w:sz w:val="24"/>
                <w:szCs w:val="24"/>
                <w:lang w:val="el-GR"/>
              </w:rPr>
            </w:pPr>
            <w:r w:rsidRPr="007E7E40">
              <w:rPr>
                <w:rFonts w:ascii="Times New Roman" w:hAnsi="Times New Roman"/>
                <w:b/>
                <w:color w:val="000000" w:themeColor="text1"/>
                <w:sz w:val="24"/>
                <w:lang w:val="el-GR"/>
              </w:rPr>
              <w:t>Κεφάλαιο της κατηγορίας 2 (</w:t>
            </w:r>
            <w:r>
              <w:rPr>
                <w:rFonts w:ascii="Times New Roman" w:hAnsi="Times New Roman"/>
                <w:b/>
                <w:color w:val="000000" w:themeColor="text1"/>
                <w:sz w:val="24"/>
              </w:rPr>
              <w:t>T</w:t>
            </w:r>
            <w:r w:rsidRPr="007E7E40">
              <w:rPr>
                <w:rFonts w:ascii="Times New Roman" w:hAnsi="Times New Roman"/>
                <w:b/>
                <w:color w:val="000000" w:themeColor="text1"/>
                <w:sz w:val="24"/>
                <w:lang w:val="el-GR"/>
              </w:rPr>
              <w:t>2)</w:t>
            </w:r>
          </w:p>
          <w:p w14:paraId="6F849BF3" w14:textId="3A19BC99" w:rsidR="00021E4F" w:rsidRPr="007E7E40" w:rsidRDefault="00021E4F" w:rsidP="001F75A3">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Κεφάλαιο της κατηγορίας 2 του ομίλου εξυγίανσης, που υπολογίζεται σύμφωνα με το άρθρο 71 του κανονισμού (ΕΕ) αριθ. 575/2013.</w:t>
            </w:r>
          </w:p>
          <w:p w14:paraId="2C50816C" w14:textId="487961E7" w:rsidR="00E94218" w:rsidRPr="007E7E40" w:rsidRDefault="00E94218" w:rsidP="001F75A3">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lastRenderedPageBreak/>
              <w:t xml:space="preserve">Στην περίπτωση της </w:t>
            </w:r>
            <w:r>
              <w:rPr>
                <w:rFonts w:ascii="Times New Roman" w:hAnsi="Times New Roman"/>
                <w:color w:val="000000" w:themeColor="text1"/>
                <w:sz w:val="24"/>
              </w:rPr>
              <w:t>MREL</w:t>
            </w:r>
            <w:r w:rsidRPr="007E7E40">
              <w:rPr>
                <w:rFonts w:ascii="Times New Roman" w:hAnsi="Times New Roman"/>
                <w:color w:val="000000" w:themeColor="text1"/>
                <w:sz w:val="24"/>
                <w:lang w:val="el-GR"/>
              </w:rPr>
              <w:t>, τα μέσα που διέπονται από το δίκαιο τρίτης χώρας συμπεριλαμβάνονται στη γραμμή αυτή μόνον εφόσον πληρούν τις απαιτήσεις του άρθρου</w:t>
            </w:r>
            <w:r>
              <w:rPr>
                <w:rFonts w:ascii="Times New Roman" w:hAnsi="Times New Roman"/>
                <w:color w:val="000000" w:themeColor="text1"/>
                <w:sz w:val="24"/>
              </w:rPr>
              <w:t> </w:t>
            </w:r>
            <w:r w:rsidRPr="007E7E40">
              <w:rPr>
                <w:rFonts w:ascii="Times New Roman" w:hAnsi="Times New Roman"/>
                <w:color w:val="000000" w:themeColor="text1"/>
                <w:sz w:val="24"/>
                <w:lang w:val="el-GR"/>
              </w:rPr>
              <w:t>55 της οδηγίας 2014/59/ΕΕ.</w:t>
            </w:r>
          </w:p>
        </w:tc>
      </w:tr>
      <w:tr w:rsidR="00026FC1" w:rsidRPr="0008623B" w14:paraId="77060B4B" w14:textId="77777777" w:rsidTr="00E46262">
        <w:tc>
          <w:tcPr>
            <w:tcW w:w="1030" w:type="dxa"/>
          </w:tcPr>
          <w:p w14:paraId="62D73831" w14:textId="2A91E8D9"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11</w:t>
            </w:r>
          </w:p>
        </w:tc>
        <w:tc>
          <w:tcPr>
            <w:tcW w:w="7736" w:type="dxa"/>
          </w:tcPr>
          <w:p w14:paraId="3A0853BF" w14:textId="73ADC517" w:rsidR="00021E4F" w:rsidRPr="007E7E40" w:rsidRDefault="00021E4F" w:rsidP="00915305">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Ίδια κεφάλαια για τους σκοπούς του άρθρου 92α του κανονισμού (ΕΕ) αριθ. 575/2013 και του άρθρου 45 της οδηγίας 2014/59/ΕΕ </w:t>
            </w:r>
          </w:p>
          <w:p w14:paraId="61FB0BF1" w14:textId="6C6EEBF4" w:rsidR="00021E4F" w:rsidRPr="007E7E40" w:rsidRDefault="00021E4F" w:rsidP="00503590">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Ίδια κεφάλαια για τους σκοπούς του άρθρου 92α του κανονισμού (ΕΕ) αριθ. 575/2013 και του άρθρου 45 της οδηγίας 2014/59/ΕΕ, τα οποία υπολογίζονται ως το άθροισμα της γραμμής 1 συν τη γραμμή 2 συν τη γραμμή 6.</w:t>
            </w:r>
          </w:p>
        </w:tc>
      </w:tr>
      <w:tr w:rsidR="00026FC1" w:rsidRPr="0008623B" w14:paraId="5B3A8911" w14:textId="77777777" w:rsidTr="00E46262">
        <w:tc>
          <w:tcPr>
            <w:tcW w:w="1030" w:type="dxa"/>
          </w:tcPr>
          <w:p w14:paraId="3865D42E" w14:textId="14C5B714"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12</w:t>
            </w:r>
          </w:p>
        </w:tc>
        <w:tc>
          <w:tcPr>
            <w:tcW w:w="7736" w:type="dxa"/>
          </w:tcPr>
          <w:p w14:paraId="5BC74910" w14:textId="5B101009" w:rsidR="00BD6570" w:rsidRPr="007E7E40" w:rsidRDefault="00021E4F" w:rsidP="00BD6570">
            <w:pPr>
              <w:rPr>
                <w:rFonts w:ascii="Times New Roman" w:hAnsi="Times New Roman" w:cs="Times New Roman"/>
                <w:noProof/>
                <w:color w:val="000000" w:themeColor="text1"/>
                <w:sz w:val="24"/>
                <w:szCs w:val="24"/>
                <w:lang w:val="el-GR"/>
              </w:rPr>
            </w:pPr>
            <w:r w:rsidRPr="007E7E40">
              <w:rPr>
                <w:rFonts w:ascii="Times New Roman" w:hAnsi="Times New Roman"/>
                <w:b/>
                <w:color w:val="000000" w:themeColor="text1"/>
                <w:sz w:val="24"/>
                <w:lang w:val="el-GR"/>
              </w:rPr>
              <w:t>Μέσα επιλέξιμων υποχρεώσεων που εκδίδονται απευθείας από την οντότητα εξυγίανσης και κατατάσσονται μετά τις εξαιρούμενες υποχρεώσεις (μη προϋφιστάμενο καθεστώς)</w:t>
            </w:r>
          </w:p>
          <w:p w14:paraId="074ADC7C" w14:textId="77777777" w:rsidR="00BD6570" w:rsidRPr="007E7E40" w:rsidRDefault="00BD6570" w:rsidP="00B62DC9">
            <w:pPr>
              <w:pStyle w:val="InstructionsText"/>
              <w:rPr>
                <w:rStyle w:val="FormatvorlageInstructionsTabelleText"/>
                <w:rFonts w:ascii="Times New Roman" w:hAnsi="Times New Roman"/>
                <w:sz w:val="24"/>
                <w:lang w:val="el-GR"/>
              </w:rPr>
            </w:pPr>
            <w:r>
              <w:rPr>
                <w:rStyle w:val="FormatvorlageInstructionsTabelleText"/>
                <w:rFonts w:ascii="Times New Roman" w:hAnsi="Times New Roman"/>
                <w:i/>
                <w:sz w:val="24"/>
              </w:rPr>
              <w:t>MREL</w:t>
            </w:r>
          </w:p>
          <w:p w14:paraId="5DF92336" w14:textId="765EDF5B" w:rsidR="00BD6570" w:rsidRPr="007E7E40" w:rsidRDefault="00BD6570" w:rsidP="00B62DC9">
            <w:pPr>
              <w:pStyle w:val="InstructionsText"/>
              <w:rPr>
                <w:rStyle w:val="FormatvorlageInstructionsTabelleText"/>
                <w:rFonts w:ascii="Times New Roman" w:hAnsi="Times New Roman"/>
                <w:sz w:val="24"/>
                <w:lang w:val="el-GR"/>
              </w:rPr>
            </w:pPr>
            <w:r w:rsidRPr="007E7E40">
              <w:rPr>
                <w:lang w:val="el-GR"/>
              </w:rPr>
              <w:t>Επιλέξιμες υποχρεώσεις που συμπεριλαμβάνονται στο ποσό των ιδίων κεφαλαίων και επιλέξιμων υποχρεώσεων σύμφωνα με το άρθρο 45β της οδηγίας 2014/59/ΕΕ, οι οποίες είναι επιλέξιμα μέσα μειωμένης εξασφάλισης, όπως ορίζονται στο άρθρο 2 παράγραφος 1 σημείο 71β) της οδηγίας 2014/59/ΕΕ, και οι οποίες εκδίδονται απευθείας από την οντότητα εξυγίανσης.</w:t>
            </w:r>
          </w:p>
          <w:p w14:paraId="26CA1F30" w14:textId="30AB9FAB" w:rsidR="00A97842" w:rsidRPr="007E7E40" w:rsidRDefault="00A97842" w:rsidP="00B62DC9">
            <w:pPr>
              <w:pStyle w:val="InstructionsText"/>
              <w:rPr>
                <w:rStyle w:val="FormatvorlageInstructionsTabelleText"/>
                <w:rFonts w:ascii="Times New Roman" w:hAnsi="Times New Roman"/>
                <w:i/>
                <w:sz w:val="24"/>
                <w:lang w:val="el-GR"/>
              </w:rPr>
            </w:pPr>
            <w:r w:rsidRPr="007E7E40">
              <w:rPr>
                <w:rStyle w:val="FormatvorlageInstructionsTabelleText"/>
                <w:rFonts w:ascii="Times New Roman" w:hAnsi="Times New Roman"/>
                <w:sz w:val="24"/>
                <w:lang w:val="el-GR"/>
              </w:rPr>
              <w:t>Στην περίπτωση των μέσων που διέπονται από το δίκαιο τρίτης χώρας, το μέσο συμπεριλαμβάνεται στη γραμμή αυτή μόνον εφόσον πληροί τις απαιτήσεις που καθορίζονται στο άρθρο</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55 της οδηγίας 2014/59/ΕΕ.</w:t>
            </w:r>
          </w:p>
          <w:p w14:paraId="39C8C83A" w14:textId="77777777" w:rsidR="00BD6570" w:rsidRPr="007E7E40" w:rsidRDefault="00BD6570" w:rsidP="00B62DC9">
            <w:pPr>
              <w:pStyle w:val="InstructionsText"/>
              <w:rPr>
                <w:rStyle w:val="FormatvorlageInstructionsTabelleText"/>
                <w:rFonts w:ascii="Times New Roman" w:hAnsi="Times New Roman"/>
                <w:b/>
                <w:sz w:val="24"/>
                <w:lang w:val="el-GR"/>
              </w:rPr>
            </w:pPr>
            <w:r>
              <w:rPr>
                <w:rStyle w:val="FormatvorlageInstructionsTabelleText"/>
                <w:rFonts w:ascii="Times New Roman" w:hAnsi="Times New Roman"/>
                <w:i/>
                <w:sz w:val="24"/>
              </w:rPr>
              <w:t>TLAC</w:t>
            </w:r>
          </w:p>
          <w:p w14:paraId="66B62B57" w14:textId="0743E841" w:rsidR="00BD6570" w:rsidRPr="007E7E40" w:rsidRDefault="00BD6570" w:rsidP="00B62DC9">
            <w:pPr>
              <w:pStyle w:val="InstructionsText"/>
              <w:rPr>
                <w:rStyle w:val="FormatvorlageInstructionsTabelleText"/>
                <w:rFonts w:ascii="Times New Roman" w:hAnsi="Times New Roman"/>
                <w:b/>
                <w:sz w:val="24"/>
                <w:lang w:val="el-GR"/>
              </w:rPr>
            </w:pPr>
            <w:r w:rsidRPr="007E7E40">
              <w:rPr>
                <w:rStyle w:val="FormatvorlageInstructionsTabelleText"/>
                <w:rFonts w:ascii="Times New Roman" w:hAnsi="Times New Roman"/>
                <w:sz w:val="24"/>
                <w:lang w:val="el-GR"/>
              </w:rPr>
              <w:t>Επιλέξιμες υποχρεώσεις οι οποίες συμμορφώνονται με όλες τις απαιτήσεις που ορίζονται στα άρθρα 72α έως 72δ του κανονισμού (ΕΕ) αριθ. 575/2013, εξαιρουμένων των υποχρεώσεων που επιτρέπεται να είναι αποδεκτές ως μέσα επιλέξιμων υποχρεώσεων σύμφωνα με το άρθρο 72β παράγραφος 3</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ή 4 του εν λόγω κανονισμού, και οι οποίες εκδίδονται απευθείας από την οντότητα εξυγίανσης.</w:t>
            </w:r>
          </w:p>
          <w:p w14:paraId="1DC64B11" w14:textId="43193578" w:rsidR="00021E4F" w:rsidRPr="0008623B" w:rsidRDefault="00BD6570" w:rsidP="002A1CB5">
            <w:pPr>
              <w:rPr>
                <w:rFonts w:ascii="Times New Roman" w:hAnsi="Times New Roman" w:cs="Times New Roman"/>
                <w:noProof/>
                <w:color w:val="000000" w:themeColor="text1"/>
                <w:sz w:val="24"/>
                <w:szCs w:val="24"/>
              </w:rPr>
            </w:pPr>
            <w:r w:rsidRPr="007E7E40">
              <w:rPr>
                <w:rStyle w:val="FormatvorlageInstructionsTabelleText"/>
                <w:rFonts w:ascii="Times New Roman" w:hAnsi="Times New Roman"/>
                <w:sz w:val="24"/>
                <w:lang w:val="el-GR"/>
              </w:rPr>
              <w:t xml:space="preserve">Στη γραμμή αυτή δεν συμπεριλαμβάνονται ούτε το αποσβεσμένο τμήμα των μέσων της κατηγορίας 2, εφόσον η εναπομένουσα ληκτότητα είναι μεγαλύτερη του ενός έτους [άρθρο 72α παράγραφος 1 στοιχείο β) του κανονισμού (ΕΕ) αριθ. 575/2013], ούτε οι επιλέξιμες υποχρεώσεις βάσει της αποδοχής του προϋφιστάμενου καθεστώτος σύμφωνα με το άρθρο 494β του κανονισμού (ΕΕ) αριθ. </w:t>
            </w:r>
            <w:r>
              <w:rPr>
                <w:rStyle w:val="FormatvorlageInstructionsTabelleText"/>
                <w:rFonts w:ascii="Times New Roman" w:hAnsi="Times New Roman"/>
                <w:sz w:val="24"/>
              </w:rPr>
              <w:t>575/2013.</w:t>
            </w:r>
          </w:p>
        </w:tc>
      </w:tr>
      <w:tr w:rsidR="00026FC1" w:rsidRPr="0008623B" w14:paraId="138E2D9C" w14:textId="77777777" w:rsidTr="00E46262">
        <w:tc>
          <w:tcPr>
            <w:tcW w:w="1030" w:type="dxa"/>
          </w:tcPr>
          <w:p w14:paraId="6FA92C5C" w14:textId="69DE2A40" w:rsidR="00021E4F" w:rsidRPr="0008623B" w:rsidRDefault="00D571F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EU-12α</w:t>
            </w:r>
          </w:p>
        </w:tc>
        <w:tc>
          <w:tcPr>
            <w:tcW w:w="7736" w:type="dxa"/>
          </w:tcPr>
          <w:p w14:paraId="5358B90C" w14:textId="357A9C41" w:rsidR="00021E4F" w:rsidRPr="007E7E40" w:rsidRDefault="00021E4F" w:rsidP="00915305">
            <w:pPr>
              <w:rPr>
                <w:rFonts w:ascii="Times New Roman" w:hAnsi="Times New Roman" w:cs="Times New Roman"/>
                <w:noProof/>
                <w:color w:val="000000" w:themeColor="text1"/>
                <w:sz w:val="24"/>
                <w:szCs w:val="24"/>
                <w:lang w:val="el-GR"/>
              </w:rPr>
            </w:pPr>
            <w:r w:rsidRPr="007E7E40">
              <w:rPr>
                <w:rFonts w:ascii="Times New Roman" w:hAnsi="Times New Roman"/>
                <w:b/>
                <w:color w:val="000000" w:themeColor="text1"/>
                <w:sz w:val="24"/>
                <w:lang w:val="el-GR"/>
              </w:rPr>
              <w:t>Μέσα επιλέξιμων υποχρεώσεων που εκδίδονται απευθείας από άλλες οντότητες εντός του ομίλου εξυγίανσης και κατατάσσονται μετά τις εξαιρούμενες υποχρεώσεις (μη προϋφιστάμενο καθεστώς)</w:t>
            </w:r>
          </w:p>
          <w:p w14:paraId="57A6D73A" w14:textId="77777777" w:rsidR="00BD6570" w:rsidRPr="007E7E40" w:rsidRDefault="00BD6570" w:rsidP="00B62DC9">
            <w:pPr>
              <w:pStyle w:val="InstructionsText"/>
              <w:rPr>
                <w:rStyle w:val="FormatvorlageInstructionsTabelleText"/>
                <w:rFonts w:ascii="Times New Roman" w:hAnsi="Times New Roman"/>
                <w:i/>
                <w:sz w:val="24"/>
                <w:lang w:val="el-GR"/>
              </w:rPr>
            </w:pPr>
            <w:r>
              <w:rPr>
                <w:rStyle w:val="FormatvorlageInstructionsTabelleText"/>
                <w:rFonts w:ascii="Times New Roman" w:hAnsi="Times New Roman"/>
                <w:i/>
                <w:sz w:val="24"/>
              </w:rPr>
              <w:t>MREL</w:t>
            </w:r>
          </w:p>
          <w:p w14:paraId="369BA2B0" w14:textId="05CA7721" w:rsidR="00BD6570" w:rsidRPr="007E7E40" w:rsidRDefault="00BD6570" w:rsidP="00B62DC9">
            <w:pPr>
              <w:pStyle w:val="InstructionsText"/>
              <w:rPr>
                <w:rStyle w:val="FormatvorlageInstructionsTabelleText"/>
                <w:rFonts w:ascii="Times New Roman" w:hAnsi="Times New Roman"/>
                <w:sz w:val="24"/>
                <w:lang w:val="el-GR"/>
              </w:rPr>
            </w:pPr>
            <w:r w:rsidRPr="007E7E40">
              <w:rPr>
                <w:rStyle w:val="FormatvorlageInstructionsTabelleText"/>
                <w:rFonts w:ascii="Times New Roman" w:hAnsi="Times New Roman"/>
                <w:sz w:val="24"/>
                <w:lang w:val="el-GR"/>
              </w:rPr>
              <w:lastRenderedPageBreak/>
              <w:t xml:space="preserve">Επιλέξιμες υποχρεώσεις που συμπεριλαμβάνονται στο ποσό των ιδίων κεφαλαίων και επιλέξιμων υποχρεώσεων σύμφωνα με το άρθρο 45β της οδηγίας 2014/59/ΕΕ, οι οποίες εκδίδονται από θυγατρικές και συμπεριλαμβάνονται στη </w:t>
            </w:r>
            <w:r>
              <w:rPr>
                <w:rStyle w:val="FormatvorlageInstructionsTabelleText"/>
                <w:rFonts w:ascii="Times New Roman" w:hAnsi="Times New Roman"/>
                <w:sz w:val="24"/>
              </w:rPr>
              <w:t>MREL</w:t>
            </w:r>
            <w:r w:rsidRPr="007E7E40">
              <w:rPr>
                <w:rStyle w:val="FormatvorlageInstructionsTabelleText"/>
                <w:rFonts w:ascii="Times New Roman" w:hAnsi="Times New Roman"/>
                <w:sz w:val="24"/>
                <w:lang w:val="el-GR"/>
              </w:rPr>
              <w:t xml:space="preserve"> σύμφωνα με το άρθρο 45β παράγραφος 3 της εν λόγω οδηγίας.</w:t>
            </w:r>
          </w:p>
          <w:p w14:paraId="02BD22DB" w14:textId="392507F9" w:rsidR="003E4404" w:rsidRPr="007E7E40" w:rsidRDefault="003E4404" w:rsidP="00B62DC9">
            <w:pPr>
              <w:pStyle w:val="InstructionsText"/>
              <w:rPr>
                <w:rStyle w:val="FormatvorlageInstructionsTabelleText"/>
                <w:rFonts w:ascii="Times New Roman" w:hAnsi="Times New Roman"/>
                <w:i/>
                <w:sz w:val="24"/>
                <w:lang w:val="el-GR"/>
              </w:rPr>
            </w:pPr>
            <w:r w:rsidRPr="007E7E40">
              <w:rPr>
                <w:rStyle w:val="FormatvorlageInstructionsTabelleText"/>
                <w:rFonts w:ascii="Times New Roman" w:hAnsi="Times New Roman"/>
                <w:sz w:val="24"/>
                <w:lang w:val="el-GR"/>
              </w:rPr>
              <w:t>Στην περίπτωση των μέσων που διέπονται από το δίκαιο τρίτης χώρας, το μέσο συμπεριλαμβάνεται στη γραμμή αυτή μόνον εφόσον πληροί τις απαιτήσεις που καθορίζονται στο άρθρο</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55 της οδηγίας 2014/59/ΕΕ.</w:t>
            </w:r>
          </w:p>
          <w:p w14:paraId="0BBD12E2" w14:textId="7EA7B44E" w:rsidR="00BD6570" w:rsidRPr="007E7E40" w:rsidRDefault="00BD6570" w:rsidP="00B62DC9">
            <w:pPr>
              <w:pStyle w:val="InstructionsText"/>
              <w:rPr>
                <w:rStyle w:val="FormatvorlageInstructionsTabelleText"/>
                <w:rFonts w:ascii="Times New Roman" w:hAnsi="Times New Roman"/>
                <w:sz w:val="24"/>
                <w:lang w:val="el-GR"/>
              </w:rPr>
            </w:pPr>
            <w:r>
              <w:rPr>
                <w:rStyle w:val="FormatvorlageInstructionsTabelleText"/>
                <w:rFonts w:ascii="Times New Roman" w:hAnsi="Times New Roman"/>
                <w:i/>
                <w:sz w:val="24"/>
              </w:rPr>
              <w:t>TLAC</w:t>
            </w:r>
          </w:p>
          <w:p w14:paraId="6F8A0C84" w14:textId="0CA61C04" w:rsidR="00BD6570" w:rsidRPr="007E7E40" w:rsidRDefault="00BD6570" w:rsidP="00B62DC9">
            <w:pPr>
              <w:pStyle w:val="InstructionsText"/>
              <w:rPr>
                <w:rStyle w:val="FormatvorlageInstructionsTabelleText"/>
                <w:rFonts w:ascii="Times New Roman" w:hAnsi="Times New Roman"/>
                <w:b/>
                <w:sz w:val="24"/>
                <w:lang w:val="el-GR"/>
              </w:rPr>
            </w:pPr>
            <w:r w:rsidRPr="007E7E40">
              <w:rPr>
                <w:rStyle w:val="FormatvorlageInstructionsTabelleText"/>
                <w:rFonts w:ascii="Times New Roman" w:hAnsi="Times New Roman"/>
                <w:sz w:val="24"/>
                <w:lang w:val="el-GR"/>
              </w:rPr>
              <w:t>Επιλέξιμες υποχρεώσεις οι οποίες συμμορφώνονται με όλες τις απαιτήσεις που ορίζονται στα άρθρα 72α έως 72δ του κανονισμού (ΕΕ) αριθ. 575/2013, εξαιρουμένων των υποχρεώσεων που επιτρέπεται να είναι αποδεκτές ως μέσα επιλέξιμων υποχρεώσεων σύμφωνα με το άρθρο 72β παράγραφος 3</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ή 4 του εν λόγω κανονισμού, οι οποίες εκδίδονται από θυγατρικές και είναι αποδεκτές για υπαγωγή στα μέσα ενοποιημένων επιλέξιμων υποχρεώσεων μιας οντότητας σύμφωνα με το άρθρο 88α του κανονισμού (ΕΕ) αριθ. 575/2013.</w:t>
            </w:r>
          </w:p>
          <w:p w14:paraId="0DBFD655" w14:textId="5A3E4820" w:rsidR="00021E4F" w:rsidRPr="0008623B" w:rsidRDefault="00BD6570" w:rsidP="002A1CB5">
            <w:pPr>
              <w:rPr>
                <w:rFonts w:ascii="Times New Roman" w:hAnsi="Times New Roman" w:cs="Times New Roman"/>
                <w:noProof/>
                <w:color w:val="000000" w:themeColor="text1"/>
                <w:sz w:val="24"/>
                <w:szCs w:val="24"/>
              </w:rPr>
            </w:pPr>
            <w:r w:rsidRPr="007E7E40">
              <w:rPr>
                <w:rStyle w:val="FormatvorlageInstructionsTabelleText"/>
                <w:rFonts w:ascii="Times New Roman" w:hAnsi="Times New Roman"/>
                <w:sz w:val="24"/>
                <w:lang w:val="el-GR"/>
              </w:rPr>
              <w:t xml:space="preserve">Στη γραμμή αυτή δεν συμπεριλαμβάνονται ούτε το αποσβεσμένο τμήμα των μέσων της κατηγορίας 2, εφόσον η εναπομένουσα ληκτότητα είναι μεγαλύτερη του ενός έτους [άρθρο 72α παράγραφος 1 στοιχείο β) του κανονισμού (ΕΕ) αριθ. 575/2013], ούτε οι επιλέξιμες υποχρεώσεις βάσει της αποδοχής του προϋφιστάμενου καθεστώτος σύμφωνα με το άρθρο 494β του κανονισμού (ΕΕ) αριθ. </w:t>
            </w:r>
            <w:r>
              <w:rPr>
                <w:rStyle w:val="FormatvorlageInstructionsTabelleText"/>
                <w:rFonts w:ascii="Times New Roman" w:hAnsi="Times New Roman"/>
                <w:sz w:val="24"/>
              </w:rPr>
              <w:t>575/2013.</w:t>
            </w:r>
          </w:p>
        </w:tc>
      </w:tr>
      <w:tr w:rsidR="00922937" w:rsidRPr="0008623B" w14:paraId="128E215B" w14:textId="77777777" w:rsidTr="00E46262">
        <w:tc>
          <w:tcPr>
            <w:tcW w:w="1030" w:type="dxa"/>
          </w:tcPr>
          <w:p w14:paraId="59505232" w14:textId="6BA871E1"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EU-12β</w:t>
            </w:r>
          </w:p>
        </w:tc>
        <w:tc>
          <w:tcPr>
            <w:tcW w:w="7736" w:type="dxa"/>
          </w:tcPr>
          <w:p w14:paraId="120C20CA" w14:textId="0D51C3A9" w:rsidR="00922937" w:rsidRPr="007E7E40" w:rsidRDefault="00922937" w:rsidP="00915305">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Μέσα επιλέξιμων υποχρεώσεων που κατατάσσονται μετά τις εξαιρούμενες υποχρεώσεις που έχουν εκδοθεί πριν από τις 27 Ιουνίου 2019 (μειωμένης εξασφάλισης, προϋφιστάμενο καθεστώς)</w:t>
            </w:r>
          </w:p>
          <w:p w14:paraId="31DC06A4" w14:textId="77777777" w:rsidR="00BD6570" w:rsidRPr="007E7E40" w:rsidRDefault="00BD6570" w:rsidP="00B62DC9">
            <w:pPr>
              <w:pStyle w:val="InstructionsText"/>
              <w:rPr>
                <w:rStyle w:val="FormatvorlageInstructionsTabelleText"/>
                <w:rFonts w:ascii="Times New Roman" w:hAnsi="Times New Roman"/>
                <w:i/>
                <w:sz w:val="24"/>
                <w:lang w:val="el-GR"/>
              </w:rPr>
            </w:pPr>
            <w:r>
              <w:rPr>
                <w:rStyle w:val="FormatvorlageInstructionsTabelleText"/>
                <w:rFonts w:ascii="Times New Roman" w:hAnsi="Times New Roman"/>
                <w:i/>
                <w:sz w:val="24"/>
              </w:rPr>
              <w:t>MREL</w:t>
            </w:r>
          </w:p>
          <w:p w14:paraId="60F78D8E" w14:textId="77777777" w:rsidR="00BD6570" w:rsidRPr="007E7E40" w:rsidRDefault="00BD6570" w:rsidP="00B62DC9">
            <w:pPr>
              <w:pStyle w:val="InstructionsText"/>
              <w:rPr>
                <w:rStyle w:val="InstructionsTabelleberschrift"/>
                <w:rFonts w:ascii="Times New Roman" w:hAnsi="Times New Roman"/>
                <w:b w:val="0"/>
                <w:sz w:val="24"/>
                <w:u w:val="none"/>
                <w:lang w:val="el-GR"/>
              </w:rPr>
            </w:pPr>
            <w:r w:rsidRPr="007E7E40">
              <w:rPr>
                <w:rStyle w:val="InstructionsTabelleberschrift"/>
                <w:rFonts w:ascii="Times New Roman" w:hAnsi="Times New Roman"/>
                <w:b w:val="0"/>
                <w:sz w:val="24"/>
                <w:u w:val="none"/>
                <w:lang w:val="el-GR"/>
              </w:rPr>
              <w:t>Επιλέξιμες υποχρεώσεις που πληρούν τις ακόλουθες προϋποθέσεις:</w:t>
            </w:r>
          </w:p>
          <w:p w14:paraId="13FE6179" w14:textId="7E1CDD80" w:rsidR="00BD6570" w:rsidRPr="007E7E40" w:rsidRDefault="00BD6570" w:rsidP="00B62DC9">
            <w:pPr>
              <w:pStyle w:val="InstructionsText"/>
              <w:numPr>
                <w:ilvl w:val="0"/>
                <w:numId w:val="16"/>
              </w:numPr>
              <w:rPr>
                <w:rStyle w:val="InstructionsTabelleberschrift"/>
                <w:rFonts w:ascii="Times New Roman" w:hAnsi="Times New Roman"/>
                <w:b w:val="0"/>
                <w:sz w:val="24"/>
                <w:u w:val="none"/>
                <w:lang w:val="el-GR"/>
              </w:rPr>
            </w:pPr>
            <w:r w:rsidRPr="007E7E40">
              <w:rPr>
                <w:rStyle w:val="InstructionsTabelleberschrift"/>
                <w:rFonts w:ascii="Times New Roman" w:hAnsi="Times New Roman"/>
                <w:b w:val="0"/>
                <w:sz w:val="24"/>
                <w:u w:val="none"/>
                <w:lang w:val="el-GR"/>
              </w:rPr>
              <w:t>έχουν εκδοθεί πριν από τις 27 Ιουνίου 2019·</w:t>
            </w:r>
          </w:p>
          <w:p w14:paraId="20EE0D1D" w14:textId="2261ECA3" w:rsidR="00BD6570" w:rsidRPr="007E7E40" w:rsidRDefault="00BD6570" w:rsidP="00B62DC9">
            <w:pPr>
              <w:pStyle w:val="InstructionsText"/>
              <w:numPr>
                <w:ilvl w:val="0"/>
                <w:numId w:val="16"/>
              </w:numPr>
              <w:rPr>
                <w:rStyle w:val="FormatvorlageInstructionsTabelleText"/>
                <w:rFonts w:ascii="Times New Roman" w:hAnsi="Times New Roman"/>
                <w:sz w:val="24"/>
                <w:lang w:val="el-GR"/>
              </w:rPr>
            </w:pPr>
            <w:r w:rsidRPr="007E7E40">
              <w:rPr>
                <w:lang w:val="el-GR"/>
              </w:rPr>
              <w:t>είναι επιλέξιμα μέσα μειωμένης εξασφάλισης, όπως ορίζονται στο άρθρο 2 παράγραφος 1 σημείο 71β) της οδηγίας 2014/59/ΕΕ·</w:t>
            </w:r>
            <w:r w:rsidRPr="007E7E40">
              <w:rPr>
                <w:rStyle w:val="FormatvorlageInstructionsTabelleText"/>
                <w:rFonts w:ascii="Times New Roman" w:hAnsi="Times New Roman"/>
                <w:sz w:val="24"/>
                <w:lang w:val="el-GR"/>
              </w:rPr>
              <w:t xml:space="preserve"> </w:t>
            </w:r>
          </w:p>
          <w:p w14:paraId="6779E72D" w14:textId="44987C71" w:rsidR="00BD6570" w:rsidRPr="0008623B" w:rsidRDefault="00BD6570" w:rsidP="00B62DC9">
            <w:pPr>
              <w:pStyle w:val="InstructionsText"/>
              <w:numPr>
                <w:ilvl w:val="0"/>
                <w:numId w:val="16"/>
              </w:numPr>
              <w:rPr>
                <w:rStyle w:val="FormatvorlageInstructionsTabelleText"/>
                <w:rFonts w:ascii="Times New Roman" w:hAnsi="Times New Roman"/>
                <w:sz w:val="24"/>
              </w:rPr>
            </w:pPr>
            <w:r w:rsidRPr="007E7E40">
              <w:rPr>
                <w:lang w:val="el-GR"/>
              </w:rPr>
              <w:t xml:space="preserve">συμπεριλαμβάνονται στα ίδια κεφάλαια και στις επιλέξιμες υποχρεώσεις σύμφωνα με το άρθρο 494β παράγραφος 3 του κανονισμού (ΕΕ) αριθ. </w:t>
            </w:r>
            <w:r>
              <w:t>575/2013.</w:t>
            </w:r>
          </w:p>
          <w:p w14:paraId="3997A101" w14:textId="21BFEA1B" w:rsidR="003E4404" w:rsidRPr="007E7E40" w:rsidRDefault="003E4404" w:rsidP="00B62DC9">
            <w:pPr>
              <w:pStyle w:val="InstructionsText"/>
              <w:rPr>
                <w:rStyle w:val="FormatvorlageInstructionsTabelleText"/>
                <w:rFonts w:ascii="Times New Roman" w:hAnsi="Times New Roman"/>
                <w:sz w:val="24"/>
                <w:lang w:val="el-GR"/>
              </w:rPr>
            </w:pPr>
            <w:r w:rsidRPr="007E7E40">
              <w:rPr>
                <w:rStyle w:val="FormatvorlageInstructionsTabelleText"/>
                <w:rFonts w:ascii="Times New Roman" w:hAnsi="Times New Roman"/>
                <w:sz w:val="24"/>
                <w:lang w:val="el-GR"/>
              </w:rPr>
              <w:t>Στην περίπτωση των μέσων που διέπονται από το δίκαιο τρίτης χώρας, το μέσο συμπεριλαμβάνεται στη γραμμή αυτή μόνον εφόσον πληροί τις απαιτήσεις που καθορίζονται στο άρθρο</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55 της οδηγίας 2014/59/ΕΕ.</w:t>
            </w:r>
          </w:p>
          <w:p w14:paraId="4AA69ACA" w14:textId="77777777" w:rsidR="00BD6570" w:rsidRPr="007E7E40" w:rsidRDefault="00BD6570" w:rsidP="00B62DC9">
            <w:pPr>
              <w:pStyle w:val="InstructionsText"/>
              <w:rPr>
                <w:rStyle w:val="FormatvorlageInstructionsTabelleText"/>
                <w:rFonts w:ascii="Times New Roman" w:hAnsi="Times New Roman"/>
                <w:i/>
                <w:sz w:val="24"/>
                <w:lang w:val="el-GR"/>
              </w:rPr>
            </w:pPr>
            <w:r>
              <w:rPr>
                <w:rStyle w:val="FormatvorlageInstructionsTabelleText"/>
                <w:rFonts w:ascii="Times New Roman" w:hAnsi="Times New Roman"/>
                <w:i/>
                <w:sz w:val="24"/>
              </w:rPr>
              <w:t>TLAC</w:t>
            </w:r>
          </w:p>
          <w:p w14:paraId="748D115E" w14:textId="77777777" w:rsidR="00BD6570" w:rsidRPr="007E7E40" w:rsidRDefault="00BD6570" w:rsidP="00B62DC9">
            <w:pPr>
              <w:pStyle w:val="InstructionsText"/>
              <w:rPr>
                <w:rStyle w:val="FormatvorlageInstructionsTabelleText"/>
                <w:rFonts w:ascii="Times New Roman" w:hAnsi="Times New Roman"/>
                <w:sz w:val="24"/>
                <w:lang w:val="el-GR"/>
              </w:rPr>
            </w:pPr>
            <w:r w:rsidRPr="007E7E40">
              <w:rPr>
                <w:rStyle w:val="FormatvorlageInstructionsTabelleText"/>
                <w:rFonts w:ascii="Times New Roman" w:hAnsi="Times New Roman"/>
                <w:sz w:val="24"/>
                <w:lang w:val="el-GR"/>
              </w:rPr>
              <w:t>Υποχρεώσεις που πληρούν τις ακόλουθες προϋποθέσεις:</w:t>
            </w:r>
          </w:p>
          <w:p w14:paraId="62E0491E" w14:textId="7B8C3AD6" w:rsidR="00BD6570" w:rsidRPr="007E7E40" w:rsidRDefault="00BD6570" w:rsidP="00B62DC9">
            <w:pPr>
              <w:pStyle w:val="InstructionsText"/>
              <w:numPr>
                <w:ilvl w:val="0"/>
                <w:numId w:val="16"/>
              </w:numPr>
              <w:rPr>
                <w:rStyle w:val="FormatvorlageInstructionsTabelleText"/>
                <w:rFonts w:ascii="Times New Roman" w:hAnsi="Times New Roman"/>
                <w:b/>
                <w:sz w:val="24"/>
                <w:lang w:val="el-GR"/>
              </w:rPr>
            </w:pPr>
            <w:r w:rsidRPr="007E7E40">
              <w:rPr>
                <w:rStyle w:val="FormatvorlageInstructionsTabelleText"/>
                <w:rFonts w:ascii="Times New Roman" w:hAnsi="Times New Roman"/>
                <w:sz w:val="24"/>
                <w:lang w:val="el-GR"/>
              </w:rPr>
              <w:t>έχουν εκδοθεί πριν από τις 27 Ιουνίου 2019·</w:t>
            </w:r>
          </w:p>
          <w:p w14:paraId="5161FB69" w14:textId="33B28B47" w:rsidR="00BD6570" w:rsidRPr="0008623B" w:rsidRDefault="00BD6570" w:rsidP="00B62DC9">
            <w:pPr>
              <w:pStyle w:val="InstructionsText"/>
              <w:numPr>
                <w:ilvl w:val="0"/>
                <w:numId w:val="16"/>
              </w:numPr>
              <w:rPr>
                <w:rStyle w:val="FormatvorlageInstructionsTabelleText"/>
                <w:rFonts w:ascii="Times New Roman" w:hAnsi="Times New Roman"/>
                <w:b/>
                <w:sz w:val="24"/>
              </w:rPr>
            </w:pPr>
            <w:r w:rsidRPr="007E7E40">
              <w:rPr>
                <w:rStyle w:val="FormatvorlageInstructionsTabelleText"/>
                <w:rFonts w:ascii="Times New Roman" w:hAnsi="Times New Roman"/>
                <w:sz w:val="24"/>
                <w:lang w:val="el-GR"/>
              </w:rPr>
              <w:lastRenderedPageBreak/>
              <w:t xml:space="preserve">συμμορφώνονται με το άρθρο 72β παράγραφος 2 στοιχείο δ) του κανονισμού (ΕΕ) αριθ. </w:t>
            </w:r>
            <w:r>
              <w:rPr>
                <w:rStyle w:val="FormatvorlageInstructionsTabelleText"/>
                <w:rFonts w:ascii="Times New Roman" w:hAnsi="Times New Roman"/>
                <w:sz w:val="24"/>
              </w:rPr>
              <w:t>575/2013·</w:t>
            </w:r>
          </w:p>
          <w:p w14:paraId="796E2BAA" w14:textId="102908EC" w:rsidR="00922937" w:rsidRPr="0008623B" w:rsidRDefault="00BD6570" w:rsidP="00C4776A">
            <w:pPr>
              <w:pStyle w:val="ListParagraph"/>
              <w:numPr>
                <w:ilvl w:val="0"/>
                <w:numId w:val="16"/>
              </w:numPr>
              <w:rPr>
                <w:rFonts w:ascii="Times New Roman" w:hAnsi="Times New Roman" w:cs="Times New Roman"/>
                <w:b/>
                <w:noProof/>
                <w:color w:val="000000" w:themeColor="text1"/>
                <w:sz w:val="24"/>
                <w:szCs w:val="24"/>
              </w:rPr>
            </w:pPr>
            <w:r w:rsidRPr="007E7E40">
              <w:rPr>
                <w:rStyle w:val="FormatvorlageInstructionsTabelleText"/>
                <w:rFonts w:ascii="Times New Roman" w:hAnsi="Times New Roman"/>
                <w:sz w:val="24"/>
                <w:lang w:val="el-GR"/>
              </w:rPr>
              <w:t xml:space="preserve">είναι αποδεκτές ως επιλέξιμες υποχρεώσεις ως αποτέλεσμα της αποδοχής του προϋφιστάμενου καθεστώτος που προβλέπεται στο άρθρο 494β παράγραφος 3 του κανονισμού (ΕΕ) αριθ. </w:t>
            </w:r>
            <w:r>
              <w:rPr>
                <w:rStyle w:val="FormatvorlageInstructionsTabelleText"/>
                <w:rFonts w:ascii="Times New Roman" w:hAnsi="Times New Roman"/>
                <w:sz w:val="24"/>
              </w:rPr>
              <w:t>575/2013.</w:t>
            </w:r>
          </w:p>
        </w:tc>
      </w:tr>
      <w:tr w:rsidR="00BA315F" w:rsidRPr="0008623B" w14:paraId="5089A67B" w14:textId="77777777" w:rsidTr="00E46262">
        <w:tc>
          <w:tcPr>
            <w:tcW w:w="1030" w:type="dxa"/>
          </w:tcPr>
          <w:p w14:paraId="4A7EDDF2" w14:textId="7325896B" w:rsidR="00BA315F" w:rsidRPr="0008623B" w:rsidRDefault="00BA315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EU-12γ</w:t>
            </w:r>
          </w:p>
        </w:tc>
        <w:tc>
          <w:tcPr>
            <w:tcW w:w="7736" w:type="dxa"/>
          </w:tcPr>
          <w:p w14:paraId="278B1172" w14:textId="77777777" w:rsidR="00BA315F" w:rsidRPr="007E7E40" w:rsidRDefault="00BA315F" w:rsidP="00915305">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Μέσα της κατηγορίας 2 με εναπομένουσα ληκτότητα τουλάχιστον ενός έτους, στον βαθμό που δεν είναι αποδεκτά ως στοιχεία της κατηγορίας 2</w:t>
            </w:r>
          </w:p>
          <w:p w14:paraId="6F3FB28E" w14:textId="6395E75A" w:rsidR="00334BA5" w:rsidRPr="007E7E40" w:rsidRDefault="00334BA5" w:rsidP="00915305">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Αποσβεσμένο τμήμα των μέσων της κατηγορίας 2, εφόσον η εναπομένουσα ληκτότητα είναι μεγαλύτερη του ενός έτους [άρθρο 72α παράγραφος 1 στοιχείο β) του κανονισμού (ΕΕ) αριθ. 575/2013].</w:t>
            </w:r>
          </w:p>
          <w:p w14:paraId="4FD8D86D" w14:textId="2C5E3644" w:rsidR="00BA315F" w:rsidRPr="007E7E40" w:rsidRDefault="00BA315F" w:rsidP="006501CC">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Στη γραμμή αυτή παρουσιάζεται μόνο το ποσό που δεν αναγνωρίζεται στα ίδια κεφάλαια, αλλά πληροί όλα τα κριτήρια επιλεξιμότητας που καθορίζονται στο άρθρο 72β του κανονισμού (ΕΕ) αριθ. 575/2013.</w:t>
            </w:r>
          </w:p>
          <w:p w14:paraId="001569D4" w14:textId="08D94941" w:rsidR="003E4404" w:rsidRPr="007E7E40" w:rsidRDefault="003E4404" w:rsidP="003E4404">
            <w:pPr>
              <w:rPr>
                <w:rFonts w:ascii="Times New Roman" w:hAnsi="Times New Roman" w:cs="Times New Roman"/>
                <w:b/>
                <w:noProof/>
                <w:color w:val="000000" w:themeColor="text1"/>
                <w:sz w:val="24"/>
                <w:szCs w:val="24"/>
                <w:lang w:val="el-GR"/>
              </w:rPr>
            </w:pPr>
            <w:r w:rsidRPr="007E7E40">
              <w:rPr>
                <w:rStyle w:val="FormatvorlageInstructionsTabelleText"/>
                <w:rFonts w:ascii="Times New Roman" w:hAnsi="Times New Roman"/>
                <w:sz w:val="24"/>
                <w:lang w:val="el-GR"/>
              </w:rPr>
              <w:t xml:space="preserve">Στην περίπτωση της </w:t>
            </w:r>
            <w:r>
              <w:rPr>
                <w:rStyle w:val="FormatvorlageInstructionsTabelleText"/>
                <w:rFonts w:ascii="Times New Roman" w:hAnsi="Times New Roman"/>
                <w:sz w:val="24"/>
              </w:rPr>
              <w:t>MREL</w:t>
            </w:r>
            <w:r w:rsidRPr="007E7E40">
              <w:rPr>
                <w:rStyle w:val="FormatvorlageInstructionsTabelleText"/>
                <w:rFonts w:ascii="Times New Roman" w:hAnsi="Times New Roman"/>
                <w:sz w:val="24"/>
                <w:lang w:val="el-GR"/>
              </w:rPr>
              <w:t>, τα μέσα που διέπονται από το δίκαιο τρίτης χώρας συμπεριλαμβάνονται στη γραμμή αυτή μόνον εφόσον πληρούν τις απαιτήσεις του άρθρου</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55 της οδηγίας 2014/59/ΕΕ.</w:t>
            </w:r>
          </w:p>
        </w:tc>
      </w:tr>
      <w:tr w:rsidR="00026FC1" w:rsidRPr="0008623B" w14:paraId="64D6FD96" w14:textId="77777777" w:rsidTr="00E46262">
        <w:tc>
          <w:tcPr>
            <w:tcW w:w="1030" w:type="dxa"/>
          </w:tcPr>
          <w:p w14:paraId="50786C06" w14:textId="52DA5E60"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13</w:t>
            </w:r>
          </w:p>
        </w:tc>
        <w:tc>
          <w:tcPr>
            <w:tcW w:w="7736" w:type="dxa"/>
          </w:tcPr>
          <w:p w14:paraId="5D613CA9" w14:textId="2F1AE58A" w:rsidR="009B2422" w:rsidRPr="007E7E40" w:rsidRDefault="009B2422" w:rsidP="00E96304">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Επιλέξιμες υποχρεώσεις που δεν κατατάσσονται μετά τις εξαιρούμενες υποχρεώσεις (μη προϋφιστάμενο καθεστώς, πριν από την εφαρμογή του ανώτατου ορίου)</w:t>
            </w:r>
          </w:p>
          <w:p w14:paraId="7660F6FC" w14:textId="77777777" w:rsidR="009B2422" w:rsidRPr="007E7E40" w:rsidRDefault="009B2422" w:rsidP="00B62DC9">
            <w:pPr>
              <w:pStyle w:val="InstructionsText"/>
              <w:rPr>
                <w:rStyle w:val="FormatvorlageInstructionsTabelleText"/>
                <w:rFonts w:ascii="Times New Roman" w:hAnsi="Times New Roman"/>
                <w:i/>
                <w:sz w:val="24"/>
                <w:lang w:val="el-GR"/>
              </w:rPr>
            </w:pPr>
            <w:r>
              <w:rPr>
                <w:rStyle w:val="FormatvorlageInstructionsTabelleText"/>
                <w:rFonts w:ascii="Times New Roman" w:hAnsi="Times New Roman"/>
                <w:i/>
                <w:sz w:val="24"/>
              </w:rPr>
              <w:t>MREL</w:t>
            </w:r>
          </w:p>
          <w:p w14:paraId="00F0085A" w14:textId="242F8AE9" w:rsidR="009B2422" w:rsidRPr="007E7E40" w:rsidRDefault="009B2422" w:rsidP="00B62DC9">
            <w:pPr>
              <w:pStyle w:val="InstructionsText"/>
              <w:rPr>
                <w:rStyle w:val="FormatvorlageInstructionsTabelleText"/>
                <w:rFonts w:ascii="Times New Roman" w:hAnsi="Times New Roman"/>
                <w:sz w:val="24"/>
                <w:lang w:val="el-GR"/>
              </w:rPr>
            </w:pPr>
            <w:r w:rsidRPr="007E7E40">
              <w:rPr>
                <w:rStyle w:val="FormatvorlageInstructionsTabelleText"/>
                <w:rFonts w:ascii="Times New Roman" w:hAnsi="Times New Roman"/>
                <w:sz w:val="24"/>
                <w:lang w:val="el-GR"/>
              </w:rPr>
              <w:t>Υποχρεώσεις οι οποίες πληρούν τις προϋποθέσεις που καθορίζονται στο άρθρο 45β της οδηγίας 2014/59/ΕΕ και δεν κατατάσσονται εξολοκλήρου μετά τις απαιτήσεις που προκύπτουν από τις εξαιρούμενες υποχρεώσεις που αναφέρονται στο άρθρο 72α παράγραφος 2 του κανονισμού (ΕΕ) αριθ. 575/2013.</w:t>
            </w:r>
          </w:p>
          <w:p w14:paraId="2C657BAC" w14:textId="12DC0920" w:rsidR="003E4404" w:rsidRPr="007E7E40" w:rsidRDefault="003E4404" w:rsidP="00B62DC9">
            <w:pPr>
              <w:pStyle w:val="InstructionsText"/>
              <w:rPr>
                <w:rStyle w:val="FormatvorlageInstructionsTabelleText"/>
                <w:rFonts w:ascii="Times New Roman" w:hAnsi="Times New Roman"/>
                <w:sz w:val="24"/>
                <w:lang w:val="el-GR"/>
              </w:rPr>
            </w:pPr>
            <w:r w:rsidRPr="007E7E40">
              <w:rPr>
                <w:rStyle w:val="FormatvorlageInstructionsTabelleText"/>
                <w:rFonts w:ascii="Times New Roman" w:hAnsi="Times New Roman"/>
                <w:sz w:val="24"/>
                <w:lang w:val="el-GR"/>
              </w:rPr>
              <w:t>Στην περίπτωση των μέσων που διέπονται από το δίκαιο τρίτης χώρας, το μέσο συμπεριλαμβάνεται στη γραμμή αυτή μόνον εφόσον πληροί τις απαιτήσεις που καθορίζονται στο άρθρο</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55 της οδηγίας 2014/59/ΕΕ.</w:t>
            </w:r>
          </w:p>
          <w:p w14:paraId="137D2044" w14:textId="77777777" w:rsidR="009B2422" w:rsidRPr="007E7E40" w:rsidRDefault="009B2422" w:rsidP="00B62DC9">
            <w:pPr>
              <w:pStyle w:val="InstructionsText"/>
              <w:rPr>
                <w:rStyle w:val="FormatvorlageInstructionsTabelleText"/>
                <w:rFonts w:ascii="Times New Roman" w:hAnsi="Times New Roman"/>
                <w:i/>
                <w:sz w:val="24"/>
                <w:lang w:val="el-GR"/>
              </w:rPr>
            </w:pPr>
            <w:r>
              <w:rPr>
                <w:rStyle w:val="FormatvorlageInstructionsTabelleText"/>
                <w:rFonts w:ascii="Times New Roman" w:hAnsi="Times New Roman"/>
                <w:i/>
                <w:sz w:val="24"/>
              </w:rPr>
              <w:t>TLAC</w:t>
            </w:r>
          </w:p>
          <w:p w14:paraId="424B93B1" w14:textId="013DD02A" w:rsidR="009B2422" w:rsidRPr="007E7E40" w:rsidRDefault="009B2422" w:rsidP="00B62DC9">
            <w:pPr>
              <w:pStyle w:val="InstructionsText"/>
              <w:rPr>
                <w:rStyle w:val="FormatvorlageInstructionsTabelleText"/>
                <w:rFonts w:ascii="Times New Roman" w:hAnsi="Times New Roman"/>
                <w:sz w:val="24"/>
                <w:lang w:val="el-GR"/>
              </w:rPr>
            </w:pPr>
            <w:r w:rsidRPr="007E7E40">
              <w:rPr>
                <w:lang w:val="el-GR"/>
              </w:rPr>
              <w:t>Επιλέξιμες υποχρεώσεις οι οποίες συμμορφώνονται με τις απαιτήσεις που καθορίζονται στα άρθρα 72α έως 72δ του κανονισμού (ΕΕ) αριθ. 575/2013, εκτός από το άρθρο 72β παράγραφος 2 στοιχείο δ) του εν λόγω κανονισμού, και θα μπορούσε να επιτραπεί να είναι αποδεκτές ως μέσα επιλέξιμων υποχρεώσεων σύμφωνα με το άρθρο 72β παράγραφος 3 του εν λόγω κανονισμού ή επιτρέπεται να είναι αποδεκτές ως μέσα επιλέξιμων υποχρεώσεων σύμφωνα με το άρθρο 72β παράγραφος 4 του εν λόγω κανονισμού.</w:t>
            </w:r>
          </w:p>
          <w:p w14:paraId="686DBB1D" w14:textId="3C40B2C0" w:rsidR="009B2422" w:rsidRPr="007E7E40" w:rsidRDefault="004B3067" w:rsidP="00B62DC9">
            <w:pPr>
              <w:pStyle w:val="InstructionsText"/>
              <w:rPr>
                <w:rStyle w:val="FormatvorlageInstructionsTabelleText"/>
                <w:rFonts w:ascii="Times New Roman" w:hAnsi="Times New Roman"/>
                <w:sz w:val="24"/>
                <w:lang w:val="el-GR"/>
              </w:rPr>
            </w:pPr>
            <w:r w:rsidRPr="007E7E40">
              <w:rPr>
                <w:rStyle w:val="FormatvorlageInstructionsTabelleText"/>
                <w:rFonts w:ascii="Times New Roman" w:hAnsi="Times New Roman"/>
                <w:sz w:val="24"/>
                <w:lang w:val="el-GR"/>
              </w:rPr>
              <w:t>Όταν εφαρμόζεται το άρθρο 72β παράγραφος 3 του κανονισμού (ΕΕ) αριθ. 575/2013</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 xml:space="preserve">ή το άρθρο 494 παράγραφος 2 του κανονισμού (ΕΕ) αριθ. </w:t>
            </w:r>
            <w:r w:rsidRPr="007E7E40">
              <w:rPr>
                <w:rStyle w:val="FormatvorlageInstructionsTabelleText"/>
                <w:rFonts w:ascii="Times New Roman" w:hAnsi="Times New Roman"/>
                <w:sz w:val="24"/>
                <w:lang w:val="el-GR"/>
              </w:rPr>
              <w:lastRenderedPageBreak/>
              <w:t>575/2013, στη γραμμή αυτή δημοσιοποιείται το πλήρες ποσό χωρίς εφαρμογή των ανώτατων ορίων του 3,5</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 και του 2,5</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 αντίστοιχα.</w:t>
            </w:r>
          </w:p>
          <w:p w14:paraId="2AE31630" w14:textId="5BBA380B" w:rsidR="009B2422" w:rsidRPr="0008623B" w:rsidRDefault="009B2422" w:rsidP="009B2422">
            <w:pPr>
              <w:rPr>
                <w:rFonts w:ascii="Times New Roman" w:hAnsi="Times New Roman" w:cs="Times New Roman"/>
                <w:noProof/>
                <w:color w:val="000000" w:themeColor="text1"/>
                <w:sz w:val="24"/>
                <w:szCs w:val="24"/>
              </w:rPr>
            </w:pPr>
            <w:r w:rsidRPr="007E7E40">
              <w:rPr>
                <w:rStyle w:val="FormatvorlageInstructionsTabelleText"/>
                <w:rFonts w:ascii="Times New Roman" w:hAnsi="Times New Roman"/>
                <w:sz w:val="24"/>
                <w:lang w:val="el-GR"/>
              </w:rPr>
              <w:t>Στη γραμμή αυτή δεν συμπεριλαμβάνονται ποσά αναγνωρίσιμα σε μεταβατική βάση σύμφωνα με το άρθρο</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494β παράγραφος</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3 του κανονισμού (ΕΕ) αριθ.</w:t>
            </w:r>
            <w:r>
              <w:rPr>
                <w:rStyle w:val="FormatvorlageInstructionsTabelleText"/>
                <w:rFonts w:ascii="Times New Roman" w:hAnsi="Times New Roman"/>
                <w:sz w:val="24"/>
              </w:rPr>
              <w:t> 575/2013.</w:t>
            </w:r>
          </w:p>
        </w:tc>
      </w:tr>
      <w:tr w:rsidR="00922937" w:rsidRPr="0008623B" w14:paraId="54947575" w14:textId="77777777" w:rsidTr="00E46262">
        <w:tc>
          <w:tcPr>
            <w:tcW w:w="1030" w:type="dxa"/>
          </w:tcPr>
          <w:p w14:paraId="034E19A1" w14:textId="2AE4D60C"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EU-13α</w:t>
            </w:r>
          </w:p>
        </w:tc>
        <w:tc>
          <w:tcPr>
            <w:tcW w:w="7736" w:type="dxa"/>
          </w:tcPr>
          <w:p w14:paraId="69BC0D22" w14:textId="6A00E4CF" w:rsidR="00922937" w:rsidRPr="007E7E40" w:rsidRDefault="00922937" w:rsidP="00915305">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Επιλέξιμες υποχρεώσεις που δεν κατατάσσονται μετά τις εξαιρούμενες υποχρεώσεις που εκδόθηκαν πριν από τις 27 Ιουνίου 2019 (πριν από την εφαρμογή του ανώτατου ορίου)</w:t>
            </w:r>
          </w:p>
          <w:p w14:paraId="56BE4571" w14:textId="77777777" w:rsidR="009B2422" w:rsidRPr="007E7E40" w:rsidRDefault="009B2422" w:rsidP="009B2422">
            <w:pPr>
              <w:rPr>
                <w:rFonts w:ascii="Times New Roman" w:hAnsi="Times New Roman" w:cs="Times New Roman"/>
                <w:i/>
                <w:noProof/>
                <w:color w:val="000000" w:themeColor="text1"/>
                <w:sz w:val="24"/>
                <w:szCs w:val="24"/>
                <w:lang w:val="el-GR"/>
              </w:rPr>
            </w:pPr>
            <w:r>
              <w:rPr>
                <w:rFonts w:ascii="Times New Roman" w:hAnsi="Times New Roman"/>
                <w:i/>
                <w:color w:val="000000" w:themeColor="text1"/>
                <w:sz w:val="24"/>
              </w:rPr>
              <w:t>MREL</w:t>
            </w:r>
          </w:p>
          <w:p w14:paraId="5C7AEC52" w14:textId="77777777" w:rsidR="009B2422" w:rsidRPr="007E7E40" w:rsidRDefault="009B2422" w:rsidP="009B2422">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Επιλέξιμες υποχρεώσεις που πληρούν τις ακόλουθες προϋποθέσεις:</w:t>
            </w:r>
          </w:p>
          <w:p w14:paraId="72C8F1AF" w14:textId="72479061" w:rsidR="009B2422" w:rsidRPr="007E7E40" w:rsidRDefault="009B2422" w:rsidP="00C4776A">
            <w:pPr>
              <w:pStyle w:val="ListParagraph"/>
              <w:numPr>
                <w:ilvl w:val="0"/>
                <w:numId w:val="16"/>
              </w:num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εκδόθηκαν πριν από τις 27 Ιουνίου 2019·</w:t>
            </w:r>
          </w:p>
          <w:p w14:paraId="21ECB5FF" w14:textId="573F7AE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sidRPr="007E7E40">
              <w:rPr>
                <w:rFonts w:ascii="Times New Roman" w:hAnsi="Times New Roman"/>
                <w:color w:val="000000" w:themeColor="text1"/>
                <w:sz w:val="24"/>
                <w:lang w:val="el-GR"/>
              </w:rPr>
              <w:t xml:space="preserve">πληρούν τις προϋποθέσεις που καθορίζονται στο άρθρο 45β της οδηγίας 2014/59/ΕΕ και δεν κατατάσσονται εξολοκλήρου μετά τις απαιτήσεις που προκύπτουν από τις εξαιρούμενες υποχρεώσεις που αναφέρονται στο άρθρο 72α παράγραφος 2 του κανονισμού (ΕΕ) αριθ. </w:t>
            </w:r>
            <w:r>
              <w:rPr>
                <w:rFonts w:ascii="Times New Roman" w:hAnsi="Times New Roman"/>
                <w:color w:val="000000" w:themeColor="text1"/>
                <w:sz w:val="24"/>
              </w:rPr>
              <w:t>575/2013·</w:t>
            </w:r>
          </w:p>
          <w:p w14:paraId="110EAF03" w14:textId="6715760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sidRPr="007E7E40">
              <w:rPr>
                <w:rFonts w:ascii="Times New Roman" w:hAnsi="Times New Roman"/>
                <w:color w:val="000000" w:themeColor="text1"/>
                <w:sz w:val="24"/>
                <w:lang w:val="el-GR"/>
              </w:rPr>
              <w:t xml:space="preserve">είναι αποδεκτές ως επιλέξιμες υποχρεώσεις ως αποτέλεσμα της αποδοχής του προϋφιστάμενου καθεστώτος που προβλέπεται στο άρθρο 494β παράγραφος 3 του κανονισμού (ΕΕ) αριθ. </w:t>
            </w:r>
            <w:r>
              <w:rPr>
                <w:rFonts w:ascii="Times New Roman" w:hAnsi="Times New Roman"/>
                <w:color w:val="000000" w:themeColor="text1"/>
                <w:sz w:val="24"/>
              </w:rPr>
              <w:t>575/2013.</w:t>
            </w:r>
          </w:p>
          <w:p w14:paraId="0E373313" w14:textId="3B67958D" w:rsidR="003E4404" w:rsidRPr="007E7E40" w:rsidRDefault="003E4404" w:rsidP="005F391D">
            <w:pPr>
              <w:rPr>
                <w:rFonts w:ascii="Times New Roman" w:hAnsi="Times New Roman" w:cs="Times New Roman"/>
                <w:noProof/>
                <w:color w:val="000000" w:themeColor="text1"/>
                <w:sz w:val="24"/>
                <w:szCs w:val="24"/>
                <w:lang w:val="el-GR"/>
              </w:rPr>
            </w:pPr>
            <w:r w:rsidRPr="007E7E40">
              <w:rPr>
                <w:rStyle w:val="FormatvorlageInstructionsTabelleText"/>
                <w:rFonts w:ascii="Times New Roman" w:hAnsi="Times New Roman"/>
                <w:sz w:val="24"/>
                <w:lang w:val="el-GR"/>
              </w:rPr>
              <w:t>Στην περίπτωση των μέσων που διέπονται από το δίκαιο τρίτης χώρας, το μέσο συμπεριλαμβάνεται στη γραμμή αυτή μόνον εφόσον πληροί τις απαιτήσεις που καθορίζονται στο άρθρο</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55 της οδηγίας 2014/59/ΕΕ.</w:t>
            </w:r>
          </w:p>
          <w:p w14:paraId="7B5CC27B" w14:textId="77777777" w:rsidR="009B2422" w:rsidRPr="007E7E40" w:rsidRDefault="009B2422" w:rsidP="009B2422">
            <w:pPr>
              <w:rPr>
                <w:rFonts w:ascii="Times New Roman" w:hAnsi="Times New Roman" w:cs="Times New Roman"/>
                <w:i/>
                <w:noProof/>
                <w:color w:val="000000" w:themeColor="text1"/>
                <w:sz w:val="24"/>
                <w:szCs w:val="24"/>
                <w:lang w:val="el-GR"/>
              </w:rPr>
            </w:pPr>
            <w:r>
              <w:rPr>
                <w:rFonts w:ascii="Times New Roman" w:hAnsi="Times New Roman"/>
                <w:i/>
                <w:color w:val="000000" w:themeColor="text1"/>
                <w:sz w:val="24"/>
              </w:rPr>
              <w:t>TLAC</w:t>
            </w:r>
          </w:p>
          <w:p w14:paraId="309DD1F6" w14:textId="730AFC17" w:rsidR="009B2422" w:rsidRPr="007E7E40" w:rsidRDefault="008E71C3" w:rsidP="009B2422">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Επιλέξιμες υποχρεώσεις που πληρούν τις ακόλουθες προϋποθέσεις:</w:t>
            </w:r>
          </w:p>
          <w:p w14:paraId="318C85C9" w14:textId="7DED1DBB" w:rsidR="009B2422" w:rsidRPr="007E7E40" w:rsidRDefault="009B2422" w:rsidP="00C4776A">
            <w:pPr>
              <w:pStyle w:val="ListParagraph"/>
              <w:numPr>
                <w:ilvl w:val="0"/>
                <w:numId w:val="16"/>
              </w:num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εκδόθηκαν πριν από τις 27 Ιουνίου 2019·</w:t>
            </w:r>
          </w:p>
          <w:p w14:paraId="76F54B6E" w14:textId="0FE12834"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sidRPr="007E7E40">
              <w:rPr>
                <w:rFonts w:ascii="Times New Roman" w:hAnsi="Times New Roman"/>
                <w:color w:val="000000" w:themeColor="text1"/>
                <w:sz w:val="24"/>
                <w:lang w:val="el-GR"/>
              </w:rPr>
              <w:t xml:space="preserve">συμμορφώνονται με τις απαιτήσεις που ορίζονται στα άρθρα 72α έως 72δ του κανονισμού (ΕΕ) αριθ. 575/2013, εκτός από το άρθρο 72β παράγραφος 2 στοιχείο δ) του εν λόγω κανονισμού, και θα μπορούσε να επιτραπεί να είναι αποδεκτές ως μέσα επιλέξιμων υποχρεώσεων σύμφωνα με το άρθρο 72β παράγραφος 3 του εν λόγω κανονισμού ή επιτρέπεται να είναι αποδεκτές ως μέσα επιλέξιμων υποχρεώσεων σύμφωνα με το άρθρο 72β παράγραφος 4 του κανονισμού (ΕΕ) αριθ. </w:t>
            </w:r>
            <w:r>
              <w:rPr>
                <w:rFonts w:ascii="Times New Roman" w:hAnsi="Times New Roman"/>
                <w:color w:val="000000" w:themeColor="text1"/>
                <w:sz w:val="24"/>
              </w:rPr>
              <w:t>575/2013·</w:t>
            </w:r>
          </w:p>
          <w:p w14:paraId="2DB1E71A" w14:textId="66F98C46" w:rsidR="003312F4"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sidRPr="007E7E40">
              <w:rPr>
                <w:rFonts w:ascii="Times New Roman" w:hAnsi="Times New Roman"/>
                <w:color w:val="000000" w:themeColor="text1"/>
                <w:sz w:val="24"/>
                <w:lang w:val="el-GR"/>
              </w:rPr>
              <w:t xml:space="preserve">είναι αποδεκτές ως επιλέξιμες υποχρεώσεις ως αποτέλεσμα της αποδοχής του προϋφιστάμενου καθεστώτος που προβλέπεται στο άρθρο 494β παράγραφος 3 του κανονισμού (ΕΕ) αριθ. </w:t>
            </w:r>
            <w:r>
              <w:rPr>
                <w:rFonts w:ascii="Times New Roman" w:hAnsi="Times New Roman"/>
                <w:color w:val="000000" w:themeColor="text1"/>
                <w:sz w:val="24"/>
              </w:rPr>
              <w:t>575/2013.</w:t>
            </w:r>
          </w:p>
          <w:p w14:paraId="6639DB06" w14:textId="22A4459E" w:rsidR="009B2422" w:rsidRPr="007E7E40" w:rsidRDefault="00A150DD" w:rsidP="00A150DD">
            <w:pPr>
              <w:rPr>
                <w:rFonts w:ascii="Times New Roman" w:hAnsi="Times New Roman" w:cs="Times New Roman"/>
                <w:b/>
                <w:noProof/>
                <w:color w:val="000000" w:themeColor="text1"/>
                <w:sz w:val="24"/>
                <w:szCs w:val="24"/>
                <w:lang w:val="el-GR"/>
              </w:rPr>
            </w:pPr>
            <w:r w:rsidRPr="007E7E40">
              <w:rPr>
                <w:rStyle w:val="FormatvorlageInstructionsTabelleText"/>
                <w:rFonts w:ascii="Times New Roman" w:hAnsi="Times New Roman"/>
                <w:sz w:val="24"/>
                <w:lang w:val="el-GR"/>
              </w:rPr>
              <w:t>Όταν εφαρμόζεται το άρθρο 72β παράγραφος 3 του κανονισμού (ΕΕ) αριθ. 575/2013</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 xml:space="preserve">ή το άρθρο 494 παράγραφος 2 του κανονισμού (ΕΕ) αριθ. </w:t>
            </w:r>
            <w:r w:rsidRPr="007E7E40">
              <w:rPr>
                <w:rStyle w:val="FormatvorlageInstructionsTabelleText"/>
                <w:rFonts w:ascii="Times New Roman" w:hAnsi="Times New Roman"/>
                <w:sz w:val="24"/>
                <w:lang w:val="el-GR"/>
              </w:rPr>
              <w:lastRenderedPageBreak/>
              <w:t>575/2013, στη γραμμή αυτή αναφέρεται το πλήρες ποσό χωρίς εφαρμογή των ανώτατων ορίων του 3,5</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 και του 2,5</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 αντίστοιχα.</w:t>
            </w:r>
          </w:p>
        </w:tc>
      </w:tr>
      <w:tr w:rsidR="00026FC1" w:rsidRPr="0008623B" w14:paraId="219A8816" w14:textId="77777777" w:rsidTr="00E46262">
        <w:tc>
          <w:tcPr>
            <w:tcW w:w="1030" w:type="dxa"/>
          </w:tcPr>
          <w:p w14:paraId="26CB4EA4" w14:textId="1E635F7F"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14</w:t>
            </w:r>
          </w:p>
        </w:tc>
        <w:tc>
          <w:tcPr>
            <w:tcW w:w="7736" w:type="dxa"/>
          </w:tcPr>
          <w:p w14:paraId="6094B9AD" w14:textId="53C6E214" w:rsidR="00021E4F" w:rsidRPr="007E7E40" w:rsidRDefault="00922937" w:rsidP="00915305">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Ποσό μέσων επιλέξιμων υποχρεώσεων χωρίς μειωμένη εξασφάλιση, κατά περίπτωση, μετά την εφαρμογή του άρθρου 72β παράγραφος 3 του κανονισμού (ΕΕ) αριθ. 575/2013</w:t>
            </w:r>
          </w:p>
          <w:p w14:paraId="78F7998F" w14:textId="77777777" w:rsidR="000C6F8C" w:rsidRPr="007E7E40" w:rsidRDefault="000C6F8C" w:rsidP="008E71C3">
            <w:pPr>
              <w:rPr>
                <w:rFonts w:ascii="Times New Roman" w:hAnsi="Times New Roman" w:cs="Times New Roman"/>
                <w:i/>
                <w:noProof/>
                <w:color w:val="000000" w:themeColor="text1"/>
                <w:sz w:val="24"/>
                <w:szCs w:val="24"/>
                <w:lang w:val="el-GR"/>
              </w:rPr>
            </w:pPr>
            <w:r>
              <w:rPr>
                <w:rFonts w:ascii="Times New Roman" w:hAnsi="Times New Roman"/>
                <w:i/>
                <w:color w:val="000000" w:themeColor="text1"/>
                <w:sz w:val="24"/>
              </w:rPr>
              <w:t>MREL</w:t>
            </w:r>
          </w:p>
          <w:p w14:paraId="02BBE4C9" w14:textId="6CA91799" w:rsidR="000C6F8C" w:rsidRPr="007E7E40" w:rsidRDefault="000C6F8C" w:rsidP="008E71C3">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Η γραμμή αυτή ισούται με το άθροισμα της γραμμής 13 συν τη γραμμή </w:t>
            </w:r>
            <w:r>
              <w:rPr>
                <w:rFonts w:ascii="Times New Roman" w:hAnsi="Times New Roman"/>
                <w:color w:val="000000" w:themeColor="text1"/>
                <w:sz w:val="24"/>
              </w:rPr>
              <w:t>EU</w:t>
            </w:r>
            <w:r w:rsidRPr="007E7E40">
              <w:rPr>
                <w:rFonts w:ascii="Times New Roman" w:hAnsi="Times New Roman"/>
                <w:color w:val="000000" w:themeColor="text1"/>
                <w:sz w:val="24"/>
                <w:lang w:val="el-GR"/>
              </w:rPr>
              <w:t>-13α.</w:t>
            </w:r>
          </w:p>
          <w:p w14:paraId="03898B83" w14:textId="77777777" w:rsidR="000C6F8C" w:rsidRPr="007E7E40" w:rsidRDefault="000C6F8C" w:rsidP="008E71C3">
            <w:pPr>
              <w:rPr>
                <w:rFonts w:ascii="Times New Roman" w:hAnsi="Times New Roman" w:cs="Times New Roman"/>
                <w:i/>
                <w:noProof/>
                <w:color w:val="000000" w:themeColor="text1"/>
                <w:sz w:val="24"/>
                <w:szCs w:val="24"/>
                <w:lang w:val="el-GR"/>
              </w:rPr>
            </w:pPr>
            <w:r>
              <w:rPr>
                <w:rFonts w:ascii="Times New Roman" w:hAnsi="Times New Roman"/>
                <w:i/>
                <w:color w:val="000000" w:themeColor="text1"/>
                <w:sz w:val="24"/>
              </w:rPr>
              <w:t>TLAC</w:t>
            </w:r>
          </w:p>
          <w:p w14:paraId="34E50C43" w14:textId="098233F1" w:rsidR="000C6F8C" w:rsidRPr="007E7E40" w:rsidRDefault="003E4404" w:rsidP="008E71C3">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Σε περίπτωση εφαρμογής του άρθρου 72β παράγραφος 3 του κανονισμού (ΕΕ) αριθ. 575/2013, στη γραμμή αυτή εμφανίζεται το άθροισμα των ποσών που δημοσιοποιούνται στις γραμμές 13 και 13α ανωτέρω μετά την εφαρμογή του άρθρου 72β παράγραφος 3 του εν λόγω κανονισμού και του άρθρου 494 παράγραφος 2, αντίστοιχα, του εν λόγω κανονισμού. </w:t>
            </w:r>
          </w:p>
          <w:p w14:paraId="5A30EA54" w14:textId="5EC0D4FB" w:rsidR="00021E4F" w:rsidRPr="007E7E40" w:rsidRDefault="000C6F8C" w:rsidP="00503590">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Όταν δεν εφαρμόζεται το άρθρο 72β παράγραφος 3 του κανονισμού (ΕΕ) αριθ. 575/2013, αλλά η οντότητα επωφελείται από την εφαρμογή του άρθρου 72β παράγραφος 4 του κανονισμού (ΕΕ) αριθ. 575/2013, η γραμμή αυτή ισούται με το άθροισμα της γραμμής 13 συν τη γραμμή </w:t>
            </w:r>
            <w:r>
              <w:rPr>
                <w:rFonts w:ascii="Times New Roman" w:hAnsi="Times New Roman"/>
                <w:color w:val="000000" w:themeColor="text1"/>
                <w:sz w:val="24"/>
              </w:rPr>
              <w:t>EU</w:t>
            </w:r>
            <w:r w:rsidRPr="007E7E40">
              <w:rPr>
                <w:rFonts w:ascii="Times New Roman" w:hAnsi="Times New Roman"/>
                <w:color w:val="000000" w:themeColor="text1"/>
                <w:sz w:val="24"/>
                <w:lang w:val="el-GR"/>
              </w:rPr>
              <w:t>-13α.</w:t>
            </w:r>
          </w:p>
        </w:tc>
      </w:tr>
      <w:tr w:rsidR="00026FC1" w:rsidRPr="0008623B" w14:paraId="329EB7E3" w14:textId="77777777" w:rsidTr="00E46262">
        <w:tc>
          <w:tcPr>
            <w:tcW w:w="1030" w:type="dxa"/>
          </w:tcPr>
          <w:p w14:paraId="0D278793" w14:textId="45736042"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17</w:t>
            </w:r>
          </w:p>
        </w:tc>
        <w:tc>
          <w:tcPr>
            <w:tcW w:w="7736" w:type="dxa"/>
          </w:tcPr>
          <w:p w14:paraId="4088C906" w14:textId="78FD4FAE" w:rsidR="00021E4F" w:rsidRPr="007E7E40" w:rsidRDefault="00021E4F" w:rsidP="00915305">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Στοιχεία επιλέξιμων υποχρεώσεων πριν από τις προσαρμογές</w:t>
            </w:r>
          </w:p>
          <w:p w14:paraId="22690983" w14:textId="2BAD1B47" w:rsidR="00021E4F" w:rsidRPr="007E7E40" w:rsidRDefault="00021E4F" w:rsidP="00503590">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Στοιχεία επιλέξιμων υποχρεώσεων πριν από τις προσαρμογές. Υπολογίζεται ως το άθροισμα της γραμμής 12 συν τη γραμμή </w:t>
            </w:r>
            <w:r>
              <w:rPr>
                <w:rFonts w:ascii="Times New Roman" w:hAnsi="Times New Roman"/>
                <w:color w:val="000000" w:themeColor="text1"/>
                <w:sz w:val="24"/>
              </w:rPr>
              <w:t>EU</w:t>
            </w:r>
            <w:r w:rsidRPr="007E7E40">
              <w:rPr>
                <w:rFonts w:ascii="Times New Roman" w:hAnsi="Times New Roman"/>
                <w:color w:val="000000" w:themeColor="text1"/>
                <w:sz w:val="24"/>
                <w:lang w:val="el-GR"/>
              </w:rPr>
              <w:t xml:space="preserve">-12α συν τη γραμμή </w:t>
            </w:r>
            <w:r>
              <w:rPr>
                <w:rFonts w:ascii="Times New Roman" w:hAnsi="Times New Roman"/>
                <w:color w:val="000000" w:themeColor="text1"/>
                <w:sz w:val="24"/>
              </w:rPr>
              <w:t>EU</w:t>
            </w:r>
            <w:r w:rsidRPr="007E7E40">
              <w:rPr>
                <w:rFonts w:ascii="Times New Roman" w:hAnsi="Times New Roman"/>
                <w:color w:val="000000" w:themeColor="text1"/>
                <w:sz w:val="24"/>
                <w:lang w:val="el-GR"/>
              </w:rPr>
              <w:t xml:space="preserve">-12β συν τη γραμμή </w:t>
            </w:r>
            <w:r>
              <w:rPr>
                <w:rFonts w:ascii="Times New Roman" w:hAnsi="Times New Roman"/>
                <w:color w:val="000000" w:themeColor="text1"/>
                <w:sz w:val="24"/>
              </w:rPr>
              <w:t>EU</w:t>
            </w:r>
            <w:r w:rsidRPr="007E7E40">
              <w:rPr>
                <w:rFonts w:ascii="Times New Roman" w:hAnsi="Times New Roman"/>
                <w:color w:val="000000" w:themeColor="text1"/>
                <w:sz w:val="24"/>
                <w:lang w:val="el-GR"/>
              </w:rPr>
              <w:t>-12γ συν τη γραμμή 14.</w:t>
            </w:r>
          </w:p>
        </w:tc>
      </w:tr>
      <w:tr w:rsidR="00633625" w:rsidRPr="0008623B" w14:paraId="2D0BC40A" w14:textId="77777777" w:rsidTr="00E46262">
        <w:tc>
          <w:tcPr>
            <w:tcW w:w="1030" w:type="dxa"/>
          </w:tcPr>
          <w:p w14:paraId="2FC5E554" w14:textId="764C5877" w:rsidR="00633625" w:rsidRPr="0008623B" w:rsidRDefault="0063362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EU-17α</w:t>
            </w:r>
          </w:p>
        </w:tc>
        <w:tc>
          <w:tcPr>
            <w:tcW w:w="7736" w:type="dxa"/>
          </w:tcPr>
          <w:p w14:paraId="1A128FD1" w14:textId="1FF7039A" w:rsidR="00633625" w:rsidRPr="007E7E40" w:rsidRDefault="00B80F7C" w:rsidP="00915305">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Στοιχεία επιλέξιμων υποχρεώσεων πριν από τις προσαρμογές — εκ των οποίων: στοιχεία υποχρεώσεων μειωμένης εξασφάλισης</w:t>
            </w:r>
          </w:p>
          <w:p w14:paraId="4B5B9304" w14:textId="77777777" w:rsidR="002432DE" w:rsidRPr="007E7E40" w:rsidRDefault="002432DE" w:rsidP="00915305">
            <w:pPr>
              <w:rPr>
                <w:rStyle w:val="InstructionsTabelleberschrift"/>
                <w:rFonts w:ascii="Times New Roman" w:hAnsi="Times New Roman"/>
                <w:b w:val="0"/>
                <w:i/>
                <w:sz w:val="24"/>
                <w:szCs w:val="24"/>
                <w:u w:val="none"/>
                <w:lang w:val="el-GR"/>
              </w:rPr>
            </w:pPr>
            <w:r>
              <w:rPr>
                <w:rStyle w:val="InstructionsTabelleberschrift"/>
                <w:rFonts w:ascii="Times New Roman" w:hAnsi="Times New Roman"/>
                <w:b w:val="0"/>
                <w:i/>
                <w:sz w:val="24"/>
                <w:u w:val="none"/>
              </w:rPr>
              <w:t>MREL</w:t>
            </w:r>
          </w:p>
          <w:p w14:paraId="2089EA6F" w14:textId="630F5208" w:rsidR="00DB779A" w:rsidRPr="007E7E40" w:rsidRDefault="00DB779A" w:rsidP="00915305">
            <w:pPr>
              <w:rPr>
                <w:rStyle w:val="FormatvorlageInstructionsTabelleText"/>
                <w:rFonts w:ascii="Times New Roman" w:hAnsi="Times New Roman"/>
                <w:sz w:val="24"/>
                <w:szCs w:val="24"/>
                <w:lang w:val="el-GR"/>
              </w:rPr>
            </w:pPr>
            <w:r w:rsidRPr="007E7E40">
              <w:rPr>
                <w:rFonts w:ascii="Times New Roman" w:hAnsi="Times New Roman"/>
                <w:sz w:val="24"/>
                <w:lang w:val="el-GR"/>
              </w:rPr>
              <w:t xml:space="preserve">Επιλέξιμες υποχρεώσεις που συμπεριλαμβάνονται στο ποσό των ιδίων κεφαλαίων και επιλέξιμων υποχρεώσεων σύμφωνα με το άρθρο 45β της οδηγίας 2014/59/ΕΕ, οι οποίες είναι επιλέξιμα μέσα μειωμένης εξασφάλισης, όπως ορίζονται στο άρθρο 2 παράγραφος 1 σημείο 71β) της εν λόγω οδηγίας, και υποχρεώσεις οι οποίες εκδίδονται από θυγατρικές και συμπεριλαμβάνονται στη </w:t>
            </w:r>
            <w:r>
              <w:rPr>
                <w:rFonts w:ascii="Times New Roman" w:hAnsi="Times New Roman"/>
                <w:sz w:val="24"/>
              </w:rPr>
              <w:t>MREL</w:t>
            </w:r>
            <w:r w:rsidRPr="007E7E40">
              <w:rPr>
                <w:rFonts w:ascii="Times New Roman" w:hAnsi="Times New Roman"/>
                <w:sz w:val="24"/>
                <w:lang w:val="el-GR"/>
              </w:rPr>
              <w:t xml:space="preserve"> σύμφωνα με το άρθρο 45β παράγραφος 3 της εν λόγω οδηγίας.</w:t>
            </w:r>
          </w:p>
          <w:p w14:paraId="69D83FC1" w14:textId="5DCAE08F" w:rsidR="003E4404" w:rsidRPr="007E7E40" w:rsidRDefault="003E4404" w:rsidP="00915305">
            <w:pPr>
              <w:rPr>
                <w:rStyle w:val="FormatvorlageInstructionsTabelleText"/>
                <w:rFonts w:ascii="Times New Roman" w:hAnsi="Times New Roman"/>
                <w:sz w:val="24"/>
                <w:szCs w:val="24"/>
                <w:lang w:val="el-GR"/>
              </w:rPr>
            </w:pPr>
            <w:r w:rsidRPr="007E7E40">
              <w:rPr>
                <w:rStyle w:val="FormatvorlageInstructionsTabelleText"/>
                <w:rFonts w:ascii="Times New Roman" w:hAnsi="Times New Roman"/>
                <w:sz w:val="24"/>
                <w:lang w:val="el-GR"/>
              </w:rPr>
              <w:t>Στην περίπτωση των μέσων που διέπονται από το δίκαιο τρίτης χώρας, το μέσο συμπεριλαμβάνεται στη γραμμή αυτή μόνον εφόσον πληροί τις απαιτήσεις που καθορίζονται στο άρθρο</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55 της οδηγίας 2014/59/ΕΕ.</w:t>
            </w:r>
          </w:p>
          <w:p w14:paraId="740C1237" w14:textId="77777777" w:rsidR="002432DE" w:rsidRPr="007E7E40" w:rsidRDefault="002432DE" w:rsidP="00915305">
            <w:pPr>
              <w:rPr>
                <w:rStyle w:val="InstructionsTabelleberschrift"/>
                <w:rFonts w:ascii="Times New Roman" w:hAnsi="Times New Roman"/>
                <w:b w:val="0"/>
                <w:i/>
                <w:sz w:val="24"/>
                <w:szCs w:val="24"/>
                <w:u w:val="none"/>
                <w:lang w:val="el-GR"/>
              </w:rPr>
            </w:pPr>
            <w:r>
              <w:rPr>
                <w:rStyle w:val="InstructionsTabelleberschrift"/>
                <w:rFonts w:ascii="Times New Roman" w:hAnsi="Times New Roman"/>
                <w:b w:val="0"/>
                <w:i/>
                <w:sz w:val="24"/>
                <w:u w:val="none"/>
              </w:rPr>
              <w:t>TLAC</w:t>
            </w:r>
          </w:p>
          <w:p w14:paraId="04429143" w14:textId="6BD51A61" w:rsidR="002432DE" w:rsidRPr="007E7E40" w:rsidRDefault="002432DE" w:rsidP="00B62DC9">
            <w:pPr>
              <w:pStyle w:val="InstructionsText"/>
              <w:rPr>
                <w:rStyle w:val="FormatvorlageInstructionsTabelleText"/>
                <w:rFonts w:ascii="Times New Roman" w:hAnsi="Times New Roman"/>
                <w:sz w:val="24"/>
                <w:lang w:val="el-GR"/>
              </w:rPr>
            </w:pPr>
            <w:r w:rsidRPr="007E7E40">
              <w:rPr>
                <w:rStyle w:val="FormatvorlageInstructionsTabelleText"/>
                <w:rFonts w:ascii="Times New Roman" w:hAnsi="Times New Roman"/>
                <w:sz w:val="24"/>
                <w:lang w:val="el-GR"/>
              </w:rPr>
              <w:lastRenderedPageBreak/>
              <w:t>Επιλέξιμες υποχρεώσεις οι οποίες συμμορφώνονται με όλες τις απαιτήσεις που ορίζονται στα άρθρα 72α έως 72δ του κανονισμού (ΕΕ) αριθ. 575/2013, εξαιρουμένων των υποχρεώσεων που επιτρέπεται να είναι αποδεκτές ως μέσα επιλέξιμων υποχρεώσεων σύμφωνα με το άρθρο 72β παράγραφος 3</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ή 4 του εν λόγω κανονισμού.</w:t>
            </w:r>
          </w:p>
          <w:p w14:paraId="2EEECCE3" w14:textId="4B15BE1E" w:rsidR="002432DE" w:rsidRPr="007E7E40" w:rsidRDefault="002432DE" w:rsidP="00B62DC9">
            <w:pPr>
              <w:pStyle w:val="InstructionsText"/>
              <w:rPr>
                <w:rStyle w:val="FormatvorlageInstructionsTabelleText"/>
                <w:rFonts w:ascii="Times New Roman" w:hAnsi="Times New Roman"/>
                <w:sz w:val="24"/>
                <w:lang w:val="el-GR"/>
              </w:rPr>
            </w:pPr>
            <w:r w:rsidRPr="007E7E40">
              <w:rPr>
                <w:rStyle w:val="FormatvorlageInstructionsTabelleText"/>
                <w:rFonts w:ascii="Times New Roman" w:hAnsi="Times New Roman"/>
                <w:sz w:val="24"/>
                <w:lang w:val="el-GR"/>
              </w:rPr>
              <w:t>Στη γραμμή αυτή συμπεριλαμβάνονται οι υποχρεώσεις μειωμένης εξασφάλισης που είναι επιλέξιμες ως αποτέλεσμα της αποδοχής του προϋφιστάμενου καθεστώτος σύμφωνα με το άρθρο 494β του κανονισμού (ΕΕ) αριθ. 575/2013 και το αποσβεσμένο τμήμα των μέσων της κατηγορίας 2, εφόσον η εναπομένουσα ληκτότητα είναι μεγαλύτερη του ενός έτους [άρθρο 72α παράγραφος 1 στοιχείο β) του κανονισμού (ΕΕ) αριθ. 575/2013].</w:t>
            </w:r>
          </w:p>
          <w:p w14:paraId="55FB8435" w14:textId="63FEC689" w:rsidR="002432DE" w:rsidRPr="007E7E40" w:rsidRDefault="002432DE" w:rsidP="00B62DC9">
            <w:pPr>
              <w:pStyle w:val="InstructionsText"/>
              <w:rPr>
                <w:lang w:val="el-GR"/>
              </w:rPr>
            </w:pPr>
            <w:r w:rsidRPr="007E7E40">
              <w:rPr>
                <w:rStyle w:val="FormatvorlageInstructionsTabelleText"/>
                <w:rFonts w:ascii="Times New Roman" w:hAnsi="Times New Roman"/>
                <w:sz w:val="24"/>
                <w:lang w:val="el-GR"/>
              </w:rPr>
              <w:t xml:space="preserve">Υπολογίζεται ως το άθροισμα της γραμμής 12 συν τη γραμμή </w:t>
            </w:r>
            <w:r>
              <w:rPr>
                <w:rStyle w:val="FormatvorlageInstructionsTabelleText"/>
                <w:rFonts w:ascii="Times New Roman" w:hAnsi="Times New Roman"/>
                <w:sz w:val="24"/>
              </w:rPr>
              <w:t>EU</w:t>
            </w:r>
            <w:r w:rsidRPr="007E7E40">
              <w:rPr>
                <w:rStyle w:val="FormatvorlageInstructionsTabelleText"/>
                <w:rFonts w:ascii="Times New Roman" w:hAnsi="Times New Roman"/>
                <w:sz w:val="24"/>
                <w:lang w:val="el-GR"/>
              </w:rPr>
              <w:t xml:space="preserve">-12α συν τη γραμμή </w:t>
            </w:r>
            <w:r>
              <w:rPr>
                <w:rStyle w:val="FormatvorlageInstructionsTabelleText"/>
                <w:rFonts w:ascii="Times New Roman" w:hAnsi="Times New Roman"/>
                <w:sz w:val="24"/>
              </w:rPr>
              <w:t>EU</w:t>
            </w:r>
            <w:r w:rsidRPr="007E7E40">
              <w:rPr>
                <w:rStyle w:val="FormatvorlageInstructionsTabelleText"/>
                <w:rFonts w:ascii="Times New Roman" w:hAnsi="Times New Roman"/>
                <w:sz w:val="24"/>
                <w:lang w:val="el-GR"/>
              </w:rPr>
              <w:t xml:space="preserve">-12β συν τη γραμμή </w:t>
            </w:r>
            <w:r>
              <w:rPr>
                <w:rStyle w:val="FormatvorlageInstructionsTabelleText"/>
                <w:rFonts w:ascii="Times New Roman" w:hAnsi="Times New Roman"/>
                <w:sz w:val="24"/>
              </w:rPr>
              <w:t>EU</w:t>
            </w:r>
            <w:r w:rsidRPr="007E7E40">
              <w:rPr>
                <w:rStyle w:val="FormatvorlageInstructionsTabelleText"/>
                <w:rFonts w:ascii="Times New Roman" w:hAnsi="Times New Roman"/>
                <w:sz w:val="24"/>
                <w:lang w:val="el-GR"/>
              </w:rPr>
              <w:t>-12γ.</w:t>
            </w:r>
          </w:p>
        </w:tc>
      </w:tr>
      <w:tr w:rsidR="00026FC1" w:rsidRPr="0008623B" w14:paraId="45424BEE" w14:textId="77777777" w:rsidTr="00E46262">
        <w:tc>
          <w:tcPr>
            <w:tcW w:w="1030" w:type="dxa"/>
          </w:tcPr>
          <w:p w14:paraId="747BC26F" w14:textId="022289A3"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18</w:t>
            </w:r>
          </w:p>
        </w:tc>
        <w:tc>
          <w:tcPr>
            <w:tcW w:w="7736" w:type="dxa"/>
          </w:tcPr>
          <w:p w14:paraId="4ADF1782" w14:textId="77777777" w:rsidR="00702377" w:rsidRPr="007E7E40" w:rsidRDefault="00702377" w:rsidP="00702377">
            <w:pPr>
              <w:rPr>
                <w:rFonts w:ascii="Times New Roman" w:hAnsi="Times New Roman" w:cs="Times New Roman"/>
                <w:b/>
                <w:color w:val="000000" w:themeColor="text1"/>
                <w:sz w:val="24"/>
                <w:szCs w:val="24"/>
                <w:lang w:val="el-GR"/>
              </w:rPr>
            </w:pPr>
            <w:r w:rsidRPr="007E7E40">
              <w:rPr>
                <w:rFonts w:ascii="Times New Roman" w:hAnsi="Times New Roman"/>
                <w:b/>
                <w:color w:val="000000" w:themeColor="text1"/>
                <w:sz w:val="24"/>
                <w:lang w:val="el-GR"/>
              </w:rPr>
              <w:t>Στοιχεία ιδίων κεφαλαίων και επιλέξιμων υποχρεώσεων πριν από τις προσαρμογές</w:t>
            </w:r>
          </w:p>
          <w:p w14:paraId="151E44CE" w14:textId="2369C944" w:rsidR="00702377" w:rsidRPr="0008623B" w:rsidRDefault="00702377" w:rsidP="00503590">
            <w:pPr>
              <w:rPr>
                <w:rFonts w:ascii="Times New Roman" w:hAnsi="Times New Roman" w:cs="Times New Roman"/>
                <w:noProof/>
                <w:color w:val="000000" w:themeColor="text1"/>
                <w:sz w:val="24"/>
                <w:szCs w:val="24"/>
              </w:rPr>
            </w:pPr>
            <w:r w:rsidRPr="007E7E40">
              <w:rPr>
                <w:rFonts w:ascii="Times New Roman" w:hAnsi="Times New Roman"/>
                <w:color w:val="000000" w:themeColor="text1"/>
                <w:sz w:val="24"/>
                <w:lang w:val="el-GR"/>
              </w:rPr>
              <w:t xml:space="preserve">Στοιχεία ιδίων κεφαλαίων και επιλέξιμων υποχρεώσεων πριν από τις προσαρμογές. </w:t>
            </w:r>
            <w:r>
              <w:rPr>
                <w:rFonts w:ascii="Times New Roman" w:hAnsi="Times New Roman"/>
                <w:color w:val="000000" w:themeColor="text1"/>
                <w:sz w:val="24"/>
              </w:rPr>
              <w:t>Υπολογίζεται ως το άθροισμα της γραμμής 11 συν τη γραμμή 17.</w:t>
            </w:r>
          </w:p>
        </w:tc>
      </w:tr>
      <w:tr w:rsidR="00026FC1" w:rsidRPr="0008623B" w14:paraId="74F69B7A" w14:textId="77777777" w:rsidTr="00E46262">
        <w:tc>
          <w:tcPr>
            <w:tcW w:w="1030" w:type="dxa"/>
          </w:tcPr>
          <w:p w14:paraId="1B67D30A" w14:textId="6055FAE6"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19</w:t>
            </w:r>
          </w:p>
        </w:tc>
        <w:tc>
          <w:tcPr>
            <w:tcW w:w="7736" w:type="dxa"/>
          </w:tcPr>
          <w:p w14:paraId="7917D77C" w14:textId="37BD1628" w:rsidR="00702377" w:rsidRPr="007E7E40" w:rsidRDefault="00D413AD" w:rsidP="00702377">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[Αφαίρεση των ανοιγμάτων μεταξύ ομίλων εξυγίανσης πολλαπλών σημείων έναρξης (</w:t>
            </w:r>
            <w:r>
              <w:rPr>
                <w:rFonts w:ascii="Times New Roman" w:hAnsi="Times New Roman"/>
                <w:b/>
                <w:color w:val="000000" w:themeColor="text1"/>
                <w:sz w:val="24"/>
              </w:rPr>
              <w:t>MPE</w:t>
            </w:r>
            <w:r w:rsidRPr="007E7E40">
              <w:rPr>
                <w:rFonts w:ascii="Times New Roman" w:hAnsi="Times New Roman"/>
                <w:b/>
                <w:color w:val="000000" w:themeColor="text1"/>
                <w:sz w:val="24"/>
                <w:lang w:val="el-GR"/>
              </w:rPr>
              <w:t>)]</w:t>
            </w:r>
          </w:p>
          <w:p w14:paraId="36A58FE6" w14:textId="45D80DF4" w:rsidR="00A9426B" w:rsidRPr="007E7E40" w:rsidRDefault="00A9426B" w:rsidP="00702377">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Αρνητικό ποσό</w:t>
            </w:r>
          </w:p>
          <w:p w14:paraId="0D579B89" w14:textId="657876CE" w:rsidR="00702377" w:rsidRPr="0008623B" w:rsidRDefault="00702377" w:rsidP="00480FBC">
            <w:pPr>
              <w:rPr>
                <w:rFonts w:ascii="Times New Roman" w:hAnsi="Times New Roman" w:cs="Times New Roman"/>
                <w:noProof/>
                <w:color w:val="000000" w:themeColor="text1"/>
                <w:sz w:val="24"/>
                <w:szCs w:val="24"/>
              </w:rPr>
            </w:pPr>
            <w:r w:rsidRPr="007E7E40">
              <w:rPr>
                <w:rFonts w:ascii="Times New Roman" w:hAnsi="Times New Roman"/>
                <w:color w:val="000000" w:themeColor="text1"/>
                <w:sz w:val="24"/>
                <w:lang w:val="el-GR"/>
              </w:rPr>
              <w:t xml:space="preserve">Αφαιρέσεις ανοιγμάτων μεταξύ ομίλων εξυγίανσης </w:t>
            </w:r>
            <w:r>
              <w:rPr>
                <w:rFonts w:ascii="Times New Roman" w:hAnsi="Times New Roman"/>
                <w:color w:val="000000" w:themeColor="text1"/>
                <w:sz w:val="24"/>
              </w:rPr>
              <w:t>G</w:t>
            </w:r>
            <w:r w:rsidRPr="007E7E40">
              <w:rPr>
                <w:rFonts w:ascii="Times New Roman" w:hAnsi="Times New Roman"/>
                <w:color w:val="000000" w:themeColor="text1"/>
                <w:sz w:val="24"/>
                <w:lang w:val="el-GR"/>
              </w:rPr>
              <w:t>-</w:t>
            </w:r>
            <w:r>
              <w:rPr>
                <w:rFonts w:ascii="Times New Roman" w:hAnsi="Times New Roman"/>
                <w:color w:val="000000" w:themeColor="text1"/>
                <w:sz w:val="24"/>
              </w:rPr>
              <w:t>SII</w:t>
            </w:r>
            <w:r w:rsidRPr="007E7E40">
              <w:rPr>
                <w:rFonts w:ascii="Times New Roman" w:hAnsi="Times New Roman"/>
                <w:color w:val="000000" w:themeColor="text1"/>
                <w:sz w:val="24"/>
                <w:lang w:val="el-GR"/>
              </w:rPr>
              <w:t xml:space="preserve"> πολλαπλών σημείων έναρξης, που αντιστοιχούν σε άμεσες, έμμεσες ή σύνθετες συμμετοχές σε μέσα ιδίων κεφαλαίων ή μέσα επιλέξιμων υποχρεώσεων από μία ή περισσότερες θυγατρικές που δεν ανήκουν στον ίδιο όμιλο εξυγίανσης με την οντότητα εξυγίανσης, σύμφωνα με το άρθρο 72ε παράγραφος 4 του κανονισμού (ΕΕ) αριθ. </w:t>
            </w:r>
            <w:r>
              <w:rPr>
                <w:rFonts w:ascii="Times New Roman" w:hAnsi="Times New Roman"/>
                <w:color w:val="000000" w:themeColor="text1"/>
                <w:sz w:val="24"/>
              </w:rPr>
              <w:t>575/2013.</w:t>
            </w:r>
          </w:p>
        </w:tc>
      </w:tr>
      <w:tr w:rsidR="00026FC1" w:rsidRPr="0008623B" w14:paraId="34D251D0" w14:textId="77777777" w:rsidTr="00E46262">
        <w:tc>
          <w:tcPr>
            <w:tcW w:w="1030" w:type="dxa"/>
          </w:tcPr>
          <w:p w14:paraId="33B786D1" w14:textId="62F68C2B"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20</w:t>
            </w:r>
          </w:p>
        </w:tc>
        <w:tc>
          <w:tcPr>
            <w:tcW w:w="7736" w:type="dxa"/>
          </w:tcPr>
          <w:p w14:paraId="22BBBE31" w14:textId="44D9E160" w:rsidR="00702377" w:rsidRPr="007E7E40" w:rsidRDefault="00D413AD" w:rsidP="00702377">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(Αφαίρεση επενδύσεων σε άλλα μέσα επιλέξιμων υποχρεώσεων)</w:t>
            </w:r>
          </w:p>
          <w:p w14:paraId="36E83D5C" w14:textId="77777777" w:rsidR="00A9426B" w:rsidRPr="007E7E40" w:rsidRDefault="00A9426B" w:rsidP="00A9426B">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Αρνητικό ποσό</w:t>
            </w:r>
          </w:p>
          <w:p w14:paraId="5109AFDE" w14:textId="3A888804" w:rsidR="00D36DC6" w:rsidRPr="007E7E40" w:rsidRDefault="00D36DC6" w:rsidP="00B24DB1">
            <w:pPr>
              <w:rPr>
                <w:rFonts w:ascii="Times New Roman" w:hAnsi="Times New Roman" w:cs="Times New Roman"/>
                <w:i/>
                <w:iCs/>
                <w:noProof/>
                <w:color w:val="000000" w:themeColor="text1"/>
                <w:sz w:val="24"/>
                <w:szCs w:val="24"/>
                <w:lang w:val="el-GR"/>
              </w:rPr>
            </w:pPr>
            <w:r>
              <w:rPr>
                <w:rFonts w:ascii="Times New Roman" w:hAnsi="Times New Roman"/>
                <w:i/>
                <w:color w:val="000000" w:themeColor="text1"/>
                <w:sz w:val="24"/>
              </w:rPr>
              <w:t>TLAC</w:t>
            </w:r>
          </w:p>
          <w:p w14:paraId="160C4AD3" w14:textId="5E7F7684" w:rsidR="00702377" w:rsidRPr="007E7E40" w:rsidRDefault="00702377" w:rsidP="00B24DB1">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Αφαιρέσεις επενδύσεων σε άλλα μέσα επιλέξιμων υποχρεώσεων σύμφωνα με το άρθρο 72ε παράγραφοι 1, 2 και 3 και τα άρθρα 72στ έως 72ι του κανονισμού (ΕΕ) αριθ. 575/2013. Ποσό που αφαιρείται από τα στοιχεία επιλέξιμων υποχρεώσεων σύμφωνα με το δεύτερο μέρος τίτλος </w:t>
            </w:r>
            <w:r>
              <w:rPr>
                <w:rFonts w:ascii="Times New Roman" w:hAnsi="Times New Roman"/>
                <w:color w:val="000000" w:themeColor="text1"/>
                <w:sz w:val="24"/>
              </w:rPr>
              <w:t>I</w:t>
            </w:r>
            <w:r w:rsidRPr="007E7E40">
              <w:rPr>
                <w:rFonts w:ascii="Times New Roman" w:hAnsi="Times New Roman"/>
                <w:color w:val="000000" w:themeColor="text1"/>
                <w:sz w:val="24"/>
                <w:lang w:val="el-GR"/>
              </w:rPr>
              <w:t xml:space="preserve"> κεφάλαιο 5α τμήμα 2 του κανονισμού (ΕΕ) αριθ. 575/2013.</w:t>
            </w:r>
          </w:p>
          <w:p w14:paraId="58A38F14" w14:textId="027B8532" w:rsidR="00D36DC6" w:rsidRPr="007E7E40" w:rsidRDefault="00D36DC6" w:rsidP="00B24DB1">
            <w:pPr>
              <w:rPr>
                <w:rFonts w:ascii="Times New Roman" w:hAnsi="Times New Roman" w:cs="Times New Roman"/>
                <w:i/>
                <w:iCs/>
                <w:noProof/>
                <w:color w:val="000000" w:themeColor="text1"/>
                <w:sz w:val="24"/>
                <w:szCs w:val="24"/>
                <w:lang w:val="el-GR"/>
              </w:rPr>
            </w:pPr>
            <w:r>
              <w:rPr>
                <w:rFonts w:ascii="Times New Roman" w:hAnsi="Times New Roman"/>
                <w:i/>
                <w:color w:val="000000" w:themeColor="text1"/>
                <w:sz w:val="24"/>
              </w:rPr>
              <w:t>MREL</w:t>
            </w:r>
            <w:r w:rsidRPr="007E7E40">
              <w:rPr>
                <w:rFonts w:ascii="Times New Roman" w:hAnsi="Times New Roman"/>
                <w:i/>
                <w:color w:val="000000" w:themeColor="text1"/>
                <w:sz w:val="24"/>
                <w:lang w:val="el-GR"/>
              </w:rPr>
              <w:t xml:space="preserve"> και </w:t>
            </w:r>
            <w:r>
              <w:rPr>
                <w:rFonts w:ascii="Times New Roman" w:hAnsi="Times New Roman"/>
                <w:i/>
                <w:color w:val="000000" w:themeColor="text1"/>
                <w:sz w:val="24"/>
              </w:rPr>
              <w:t>TLAC</w:t>
            </w:r>
          </w:p>
          <w:p w14:paraId="131C0401" w14:textId="7FBC18FB" w:rsidR="00BF16DB" w:rsidRPr="007E7E40" w:rsidRDefault="00BF16DB" w:rsidP="00B24DB1">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Στη γραμμή αυτή περιλαμβάνονται επίσης ποσά που καλύπτονται από άδεια για την ανάκληση, εξόφληση, αποπληρωμή ή επαναγορά μέσων επιλέξιμων υποχρεώσεων σύμφωνα με το άρθρο 78α του κανονισμού (ΕΕ) αριθ. </w:t>
            </w:r>
            <w:r w:rsidRPr="007E7E40">
              <w:rPr>
                <w:rFonts w:ascii="Times New Roman" w:hAnsi="Times New Roman"/>
                <w:color w:val="000000" w:themeColor="text1"/>
                <w:sz w:val="24"/>
                <w:lang w:val="el-GR"/>
              </w:rPr>
              <w:lastRenderedPageBreak/>
              <w:t>575/2013, στον βαθμό που η οντότητα που προβαίνει στη δημοσιοποίηση δεν έχει ακόμη χρησιμοποιήσει πλήρως το εν λόγω ποσό για την ανάκληση, εξόφληση, αποπληρωμή ή επαναγορά μέσων.</w:t>
            </w:r>
          </w:p>
        </w:tc>
      </w:tr>
      <w:tr w:rsidR="00026FC1" w:rsidRPr="0008623B" w14:paraId="739A1A6D" w14:textId="77777777" w:rsidTr="00E46262">
        <w:tc>
          <w:tcPr>
            <w:tcW w:w="1030" w:type="dxa"/>
          </w:tcPr>
          <w:p w14:paraId="03995BED" w14:textId="59572D69"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22</w:t>
            </w:r>
          </w:p>
        </w:tc>
        <w:tc>
          <w:tcPr>
            <w:tcW w:w="7736" w:type="dxa"/>
          </w:tcPr>
          <w:p w14:paraId="2D6851E4" w14:textId="5FE3EEF7" w:rsidR="00702377" w:rsidRPr="007E7E40" w:rsidRDefault="000B4D72" w:rsidP="00702377">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Ίδια κεφάλαια και επιλέξιμες υποχρεώσεις μετά τις προσαρμογές</w:t>
            </w:r>
          </w:p>
          <w:p w14:paraId="69BED263" w14:textId="4E69A591" w:rsidR="00702377" w:rsidRPr="007E7E40" w:rsidRDefault="00702377" w:rsidP="00A9426B">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Ίδια κεφάλαια και επιλέξιμες υποχρεώσεις, όπως ορίζονται στο άρθρο 72ιβ του κανονισμού (ΕΕ) αριθ. 575/2013. Υπολογίζεται ως το άθροισμα της γραμμής 18 συν τη γραμμή 19 συν τη γραμμή 20.</w:t>
            </w:r>
          </w:p>
          <w:p w14:paraId="5794043B" w14:textId="1C4A8682" w:rsidR="003E4404" w:rsidRPr="007E7E40" w:rsidRDefault="003E4404" w:rsidP="00A9426B">
            <w:pPr>
              <w:rPr>
                <w:rFonts w:ascii="Times New Roman" w:hAnsi="Times New Roman" w:cs="Times New Roman"/>
                <w:i/>
                <w:noProof/>
                <w:color w:val="000000" w:themeColor="text1"/>
                <w:sz w:val="24"/>
                <w:szCs w:val="24"/>
                <w:lang w:val="el-GR"/>
              </w:rPr>
            </w:pPr>
            <w:r>
              <w:rPr>
                <w:rFonts w:ascii="Times New Roman" w:hAnsi="Times New Roman"/>
                <w:i/>
                <w:color w:val="000000" w:themeColor="text1"/>
                <w:sz w:val="24"/>
              </w:rPr>
              <w:t>MREL</w:t>
            </w:r>
          </w:p>
          <w:p w14:paraId="0DCEFD91" w14:textId="77777777" w:rsidR="005B765F" w:rsidRPr="007E7E40" w:rsidRDefault="005B765F" w:rsidP="005B765F">
            <w:pPr>
              <w:rPr>
                <w:rStyle w:val="FormatvorlageInstructionsTabelleText"/>
                <w:rFonts w:ascii="Times New Roman" w:hAnsi="Times New Roman"/>
                <w:sz w:val="24"/>
                <w:lang w:val="el-GR"/>
              </w:rPr>
            </w:pPr>
            <w:r w:rsidRPr="007E7E40">
              <w:rPr>
                <w:rStyle w:val="FormatvorlageInstructionsTabelleText"/>
                <w:rFonts w:ascii="Times New Roman" w:hAnsi="Times New Roman"/>
                <w:sz w:val="24"/>
                <w:lang w:val="el-GR"/>
              </w:rPr>
              <w:t xml:space="preserve">Το ποσό των ιδίων κεφαλαίων και επιλέξιμων υποχρεώσεων που συνυπολογίζεται στη </w:t>
            </w:r>
            <w:r>
              <w:rPr>
                <w:rStyle w:val="FormatvorlageInstructionsTabelleText"/>
                <w:rFonts w:ascii="Times New Roman" w:hAnsi="Times New Roman"/>
                <w:sz w:val="24"/>
              </w:rPr>
              <w:t>MREL</w:t>
            </w:r>
            <w:r w:rsidRPr="007E7E40">
              <w:rPr>
                <w:rStyle w:val="FormatvorlageInstructionsTabelleText"/>
                <w:rFonts w:ascii="Times New Roman" w:hAnsi="Times New Roman"/>
                <w:sz w:val="24"/>
                <w:lang w:val="el-GR"/>
              </w:rPr>
              <w:t xml:space="preserve"> δημοσιοποιείται ως το άθροισμα:</w:t>
            </w:r>
          </w:p>
          <w:p w14:paraId="58E25068" w14:textId="71FF99F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sidRPr="007E7E40">
              <w:rPr>
                <w:rStyle w:val="FormatvorlageInstructionsTabelleText"/>
                <w:rFonts w:ascii="Times New Roman" w:hAnsi="Times New Roman"/>
                <w:sz w:val="24"/>
                <w:lang w:val="el-GR"/>
              </w:rPr>
              <w:t xml:space="preserve">των ιδίων κεφαλαίων, όπως καθορίζονται στο άρθρο 4 παράγραφος 1 σημείο 118) και στο άρθρο 72 του κανονισμού (ΕΕ) αριθ. </w:t>
            </w:r>
            <w:r>
              <w:rPr>
                <w:rStyle w:val="FormatvorlageInstructionsTabelleText"/>
                <w:rFonts w:ascii="Times New Roman" w:hAnsi="Times New Roman"/>
                <w:sz w:val="24"/>
              </w:rPr>
              <w:t xml:space="preserve">575/2013· </w:t>
            </w:r>
          </w:p>
          <w:p w14:paraId="7D33907A" w14:textId="75C17250" w:rsidR="005B765F" w:rsidRPr="007E7E40"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lang w:val="el-GR"/>
              </w:rPr>
            </w:pPr>
            <w:r w:rsidRPr="007E7E40">
              <w:rPr>
                <w:rStyle w:val="FormatvorlageInstructionsTabelleText"/>
                <w:rFonts w:ascii="Times New Roman" w:hAnsi="Times New Roman"/>
                <w:sz w:val="24"/>
                <w:lang w:val="el-GR"/>
              </w:rPr>
              <w:t>των επιλέξιμων υποχρεώσεων, όπως ορίζονται στο άρθρο 2 παράγραφος 1 σημείο 71α) της οδηγίας 2014/59/ΕΕ.</w:t>
            </w:r>
          </w:p>
          <w:p w14:paraId="38858668" w14:textId="194B5715" w:rsidR="003E4404" w:rsidRPr="007E7E40" w:rsidRDefault="003E4404" w:rsidP="005F391D">
            <w:pPr>
              <w:spacing w:before="120" w:after="120" w:line="240" w:lineRule="auto"/>
              <w:jc w:val="both"/>
              <w:rPr>
                <w:rStyle w:val="FormatvorlageInstructionsTabelleText"/>
                <w:rFonts w:ascii="Times New Roman" w:hAnsi="Times New Roman"/>
                <w:sz w:val="24"/>
                <w:lang w:val="el-GR"/>
              </w:rPr>
            </w:pPr>
            <w:r w:rsidRPr="007E7E40">
              <w:rPr>
                <w:rStyle w:val="FormatvorlageInstructionsTabelleText"/>
                <w:rFonts w:ascii="Times New Roman" w:hAnsi="Times New Roman"/>
                <w:sz w:val="24"/>
                <w:lang w:val="el-GR"/>
              </w:rPr>
              <w:t>Στην περίπτωση των μέσων που διέπονται από το δίκαιο τρίτης χώρας, το μέσο συμπεριλαμβάνεται στη γραμμή αυτή μόνον εφόσον πληροί τις απαιτήσεις που καθορίζονται στο άρθρο</w:t>
            </w:r>
            <w:r>
              <w:rPr>
                <w:rStyle w:val="FormatvorlageInstructionsTabelleText"/>
                <w:rFonts w:ascii="Times New Roman" w:hAnsi="Times New Roman"/>
                <w:sz w:val="24"/>
              </w:rPr>
              <w:t> </w:t>
            </w:r>
            <w:r w:rsidRPr="007E7E40">
              <w:rPr>
                <w:rStyle w:val="FormatvorlageInstructionsTabelleText"/>
                <w:rFonts w:ascii="Times New Roman" w:hAnsi="Times New Roman"/>
                <w:sz w:val="24"/>
                <w:lang w:val="el-GR"/>
              </w:rPr>
              <w:t>55 της οδηγίας 2014/59/ΕΕ.</w:t>
            </w:r>
          </w:p>
          <w:p w14:paraId="7E3B34F5" w14:textId="546FE87E" w:rsidR="003E4404" w:rsidRPr="007E7E40" w:rsidRDefault="003E4404" w:rsidP="005F391D">
            <w:pPr>
              <w:spacing w:before="120" w:after="120" w:line="240" w:lineRule="auto"/>
              <w:jc w:val="both"/>
              <w:rPr>
                <w:rStyle w:val="FormatvorlageInstructionsTabelleText"/>
                <w:rFonts w:ascii="Times New Roman" w:hAnsi="Times New Roman"/>
                <w:i/>
                <w:sz w:val="24"/>
                <w:lang w:val="el-GR"/>
              </w:rPr>
            </w:pPr>
            <w:r>
              <w:rPr>
                <w:rStyle w:val="FormatvorlageInstructionsTabelleText"/>
                <w:rFonts w:ascii="Times New Roman" w:hAnsi="Times New Roman"/>
                <w:i/>
                <w:sz w:val="24"/>
              </w:rPr>
              <w:t>TLAC</w:t>
            </w:r>
          </w:p>
          <w:p w14:paraId="3E3A8B56" w14:textId="3FF85A2A" w:rsidR="005B765F" w:rsidRPr="0008623B" w:rsidRDefault="005B765F" w:rsidP="005B765F">
            <w:pPr>
              <w:rPr>
                <w:rStyle w:val="FormatvorlageInstructionsTabelleText"/>
                <w:rFonts w:ascii="Times New Roman" w:hAnsi="Times New Roman"/>
                <w:sz w:val="24"/>
              </w:rPr>
            </w:pPr>
            <w:r w:rsidRPr="007E7E40">
              <w:rPr>
                <w:rStyle w:val="FormatvorlageInstructionsTabelleText"/>
                <w:rFonts w:ascii="Times New Roman" w:hAnsi="Times New Roman"/>
                <w:sz w:val="24"/>
                <w:lang w:val="el-GR"/>
              </w:rPr>
              <w:t xml:space="preserve">Το ποσό των ιδίων κεφαλαίων και επιλέξιμων υποχρεώσεων που συνυπολογίζεται στην </w:t>
            </w:r>
            <w:r>
              <w:rPr>
                <w:rStyle w:val="FormatvorlageInstructionsTabelleText"/>
                <w:rFonts w:ascii="Times New Roman" w:hAnsi="Times New Roman"/>
                <w:sz w:val="24"/>
              </w:rPr>
              <w:t>TLAC</w:t>
            </w:r>
            <w:r w:rsidRPr="007E7E40">
              <w:rPr>
                <w:rStyle w:val="FormatvorlageInstructionsTabelleText"/>
                <w:rFonts w:ascii="Times New Roman" w:hAnsi="Times New Roman"/>
                <w:sz w:val="24"/>
                <w:lang w:val="el-GR"/>
              </w:rPr>
              <w:t xml:space="preserve"> είναι το ποσό που αναφέρεται στο άρθρο 72ιβ του κανονισμού (ΕΕ) αριθ. </w:t>
            </w:r>
            <w:r>
              <w:rPr>
                <w:rStyle w:val="FormatvorlageInstructionsTabelleText"/>
                <w:rFonts w:ascii="Times New Roman" w:hAnsi="Times New Roman"/>
                <w:sz w:val="24"/>
              </w:rPr>
              <w:t>575/2013, το οποίο αποτελείται από:</w:t>
            </w:r>
          </w:p>
          <w:p w14:paraId="1CDBC2DF" w14:textId="319B5CC1" w:rsidR="00DB779A" w:rsidRPr="0008623B" w:rsidRDefault="005B765F" w:rsidP="003D0BF6">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rPr>
            </w:pPr>
            <w:r w:rsidRPr="007E7E40">
              <w:rPr>
                <w:rStyle w:val="FormatvorlageInstructionsTabelleText"/>
                <w:rFonts w:ascii="Times New Roman" w:hAnsi="Times New Roman"/>
                <w:sz w:val="24"/>
                <w:lang w:val="el-GR"/>
              </w:rPr>
              <w:t xml:space="preserve">ίδια κεφάλαια, όπως καθορίζονται στο άρθρο 4 παράγραφος 1 σημείο 118) και στο άρθρο 72 του κανονισμού (ΕΕ) αριθ. </w:t>
            </w:r>
            <w:r>
              <w:rPr>
                <w:rStyle w:val="FormatvorlageInstructionsTabelleText"/>
                <w:rFonts w:ascii="Times New Roman" w:hAnsi="Times New Roman"/>
                <w:sz w:val="24"/>
              </w:rPr>
              <w:t>575/2013·</w:t>
            </w:r>
          </w:p>
          <w:p w14:paraId="3185C317" w14:textId="14AD01AB" w:rsidR="005B765F" w:rsidRPr="0008623B" w:rsidRDefault="005B765F" w:rsidP="005B627B">
            <w:pPr>
              <w:pStyle w:val="ListParagraph"/>
              <w:numPr>
                <w:ilvl w:val="0"/>
                <w:numId w:val="22"/>
              </w:numPr>
              <w:spacing w:before="120" w:after="120" w:line="240" w:lineRule="auto"/>
              <w:contextualSpacing w:val="0"/>
              <w:jc w:val="both"/>
              <w:rPr>
                <w:rFonts w:ascii="Times New Roman" w:hAnsi="Times New Roman" w:cs="Times New Roman"/>
                <w:noProof/>
                <w:color w:val="000000" w:themeColor="text1"/>
                <w:sz w:val="24"/>
                <w:szCs w:val="24"/>
              </w:rPr>
            </w:pPr>
            <w:r w:rsidRPr="007E7E40">
              <w:rPr>
                <w:rStyle w:val="FormatvorlageInstructionsTabelleText"/>
                <w:rFonts w:ascii="Times New Roman" w:hAnsi="Times New Roman"/>
                <w:sz w:val="24"/>
                <w:lang w:val="el-GR"/>
              </w:rPr>
              <w:t xml:space="preserve">επιλέξιμες υποχρεώσεις, όπως αναφέρονται στο άρθρο 72ια του κανονισμού (ΕΕ) αριθ. </w:t>
            </w:r>
            <w:r>
              <w:rPr>
                <w:rStyle w:val="FormatvorlageInstructionsTabelleText"/>
                <w:rFonts w:ascii="Times New Roman" w:hAnsi="Times New Roman"/>
                <w:sz w:val="24"/>
              </w:rPr>
              <w:t>575/2013.</w:t>
            </w:r>
          </w:p>
        </w:tc>
      </w:tr>
      <w:tr w:rsidR="00633625" w:rsidRPr="0008623B" w14:paraId="3C365839" w14:textId="77777777" w:rsidTr="00E46262">
        <w:tc>
          <w:tcPr>
            <w:tcW w:w="1030" w:type="dxa"/>
          </w:tcPr>
          <w:p w14:paraId="13AA7EE3" w14:textId="302E8B20" w:rsidR="00633625" w:rsidRPr="0008623B" w:rsidRDefault="00633625"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EU-22α</w:t>
            </w:r>
          </w:p>
        </w:tc>
        <w:tc>
          <w:tcPr>
            <w:tcW w:w="7736" w:type="dxa"/>
          </w:tcPr>
          <w:p w14:paraId="05DA41C9" w14:textId="77777777" w:rsidR="00633625" w:rsidRPr="007E7E40" w:rsidRDefault="00633625" w:rsidP="00702377">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Εκ των οποίων: ίδια κεφάλαια και υποχρεώσεις μειωμένης εξασφάλισης</w:t>
            </w:r>
          </w:p>
          <w:p w14:paraId="0ED27DF2" w14:textId="30421E2C" w:rsidR="00DB779A" w:rsidRPr="007E7E40" w:rsidRDefault="00DB779A" w:rsidP="00E06D47">
            <w:pPr>
              <w:rPr>
                <w:rFonts w:ascii="Times New Roman" w:hAnsi="Times New Roman" w:cs="Times New Roman"/>
                <w:b/>
                <w:noProof/>
                <w:color w:val="000000" w:themeColor="text1"/>
                <w:sz w:val="24"/>
                <w:szCs w:val="24"/>
                <w:lang w:val="el-GR"/>
              </w:rPr>
            </w:pPr>
            <w:r w:rsidRPr="007E7E40">
              <w:rPr>
                <w:rFonts w:ascii="Times New Roman" w:hAnsi="Times New Roman"/>
                <w:sz w:val="24"/>
                <w:lang w:val="el-GR"/>
              </w:rPr>
              <w:t>Ίδια κεφάλαια και επιλέξιμες υποχρεώσεις που συμπεριλαμβάνονται στο ποσό των ιδίων κεφαλαίων και επιλέξιμων υποχρεώσεων σύμφωνα με το άρθρο 45β της οδηγίας 2014/59/ΕΕ και είναι επιλέξιμα μέσα μειωμένης εξασφάλισης, όπως ορίζονται στο άρθρο 2 παράγραφος 1 σημείο 71β) της εν λόγω οδηγίας, και υποχρεώσεις που συμπεριλαμβάνονται στο ποσό των ιδίων κεφαλαίων και επιλέξιμων υποχρεώσεων σύμφωνα με το άρθρο 45β παράγραφος 3 της οδηγίας 2014/59/ΕΕ.</w:t>
            </w:r>
          </w:p>
        </w:tc>
      </w:tr>
      <w:tr w:rsidR="00026FC1" w:rsidRPr="0008623B" w14:paraId="129D2D8D" w14:textId="77777777" w:rsidTr="00E46262">
        <w:tc>
          <w:tcPr>
            <w:tcW w:w="1030" w:type="dxa"/>
          </w:tcPr>
          <w:p w14:paraId="1B5B041C" w14:textId="4E1F9AEC" w:rsidR="00702377" w:rsidRPr="0008623B" w:rsidRDefault="00D571F6"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23</w:t>
            </w:r>
          </w:p>
        </w:tc>
        <w:tc>
          <w:tcPr>
            <w:tcW w:w="7736" w:type="dxa"/>
          </w:tcPr>
          <w:p w14:paraId="0DB96856" w14:textId="3D3296F4" w:rsidR="00702377" w:rsidRPr="007E7E40" w:rsidRDefault="00702377" w:rsidP="00702377">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Συνολικό ποσό ανοίγματος σε κίνδυνο (</w:t>
            </w:r>
            <w:r>
              <w:rPr>
                <w:rFonts w:ascii="Times New Roman" w:hAnsi="Times New Roman"/>
                <w:b/>
                <w:color w:val="000000" w:themeColor="text1"/>
                <w:sz w:val="24"/>
              </w:rPr>
              <w:t>TREA</w:t>
            </w:r>
            <w:r w:rsidRPr="007E7E40">
              <w:rPr>
                <w:rFonts w:ascii="Times New Roman" w:hAnsi="Times New Roman"/>
                <w:b/>
                <w:color w:val="000000" w:themeColor="text1"/>
                <w:sz w:val="24"/>
                <w:lang w:val="el-GR"/>
              </w:rPr>
              <w:t>)</w:t>
            </w:r>
          </w:p>
          <w:p w14:paraId="58889E7E" w14:textId="691DB651" w:rsidR="008149F0" w:rsidRPr="007E7E40" w:rsidRDefault="00702377" w:rsidP="007E12BA">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Συνολικό ποσό ανοίγματος σε κίνδυνο του ομίλου εξυγίανσης σύμφωνα με το άρθρο 18 παράγραφος 1 δεύτερο εδάφιο του κανονισμού (ΕΕ) αριθ. 575/2013.</w:t>
            </w:r>
          </w:p>
          <w:p w14:paraId="1B151396" w14:textId="33E81FE9" w:rsidR="00702377" w:rsidRPr="0008623B" w:rsidRDefault="008149F0" w:rsidP="00E54D7F">
            <w:pPr>
              <w:rPr>
                <w:rFonts w:ascii="Times New Roman" w:hAnsi="Times New Roman" w:cs="Times New Roman"/>
                <w:noProof/>
                <w:color w:val="000000" w:themeColor="text1"/>
                <w:sz w:val="24"/>
                <w:szCs w:val="24"/>
              </w:rPr>
            </w:pPr>
            <w:r w:rsidRPr="007E7E40">
              <w:rPr>
                <w:rStyle w:val="FormatvorlageInstructionsTabelleText"/>
                <w:rFonts w:ascii="Times New Roman" w:hAnsi="Times New Roman"/>
                <w:sz w:val="24"/>
                <w:lang w:val="el-GR"/>
              </w:rPr>
              <w:t xml:space="preserve">Το συνολικό ποσό ανοίγματος σε κίνδυνο που δημοσιοποιείται στη γραμμή αυτή είναι το συνολικό ποσό ανοίγματος σε κίνδυνο που αποτελεί τη βάση για τη συμμόρφωση με τις απαιτήσεις του άρθρου 45 της οδηγίας 2014/59/ΕΕ ή του άρθρου 92α του κανονισμού (ΕΕ) αριθ. </w:t>
            </w:r>
            <w:r>
              <w:rPr>
                <w:rStyle w:val="FormatvorlageInstructionsTabelleText"/>
                <w:rFonts w:ascii="Times New Roman" w:hAnsi="Times New Roman"/>
                <w:sz w:val="24"/>
              </w:rPr>
              <w:t>575/2013, ανάλογα με την περίπτωση.</w:t>
            </w:r>
          </w:p>
        </w:tc>
      </w:tr>
      <w:tr w:rsidR="00026FC1" w:rsidRPr="0008623B" w14:paraId="28440368" w14:textId="77777777" w:rsidTr="00E46262">
        <w:tc>
          <w:tcPr>
            <w:tcW w:w="1030" w:type="dxa"/>
          </w:tcPr>
          <w:p w14:paraId="32E92C5A" w14:textId="7CF5EC98"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24</w:t>
            </w:r>
          </w:p>
        </w:tc>
        <w:tc>
          <w:tcPr>
            <w:tcW w:w="7736" w:type="dxa"/>
          </w:tcPr>
          <w:p w14:paraId="36574007" w14:textId="1B8A459D" w:rsidR="00702377" w:rsidRPr="007E7E40" w:rsidRDefault="00516561" w:rsidP="00702377">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Μέτρο συνολικού ανοίγματος (</w:t>
            </w:r>
            <w:r>
              <w:rPr>
                <w:rFonts w:ascii="Times New Roman" w:hAnsi="Times New Roman"/>
                <w:b/>
                <w:color w:val="000000" w:themeColor="text1"/>
                <w:sz w:val="24"/>
              </w:rPr>
              <w:t>TEM</w:t>
            </w:r>
            <w:r w:rsidRPr="007E7E40">
              <w:rPr>
                <w:rFonts w:ascii="Times New Roman" w:hAnsi="Times New Roman"/>
                <w:b/>
                <w:color w:val="000000" w:themeColor="text1"/>
                <w:sz w:val="24"/>
                <w:lang w:val="el-GR"/>
              </w:rPr>
              <w:t>)</w:t>
            </w:r>
          </w:p>
          <w:p w14:paraId="778066F0" w14:textId="53FCCE7C" w:rsidR="00702377" w:rsidRPr="007E7E40" w:rsidRDefault="00DB779A" w:rsidP="003D0BF6">
            <w:pPr>
              <w:rPr>
                <w:rFonts w:ascii="Times New Roman" w:hAnsi="Times New Roman" w:cs="Times New Roman"/>
                <w:sz w:val="24"/>
                <w:szCs w:val="24"/>
                <w:lang w:val="el-GR"/>
              </w:rPr>
            </w:pPr>
            <w:r w:rsidRPr="007E7E40">
              <w:rPr>
                <w:rFonts w:ascii="Times New Roman" w:hAnsi="Times New Roman"/>
                <w:sz w:val="24"/>
                <w:lang w:val="el-GR"/>
              </w:rPr>
              <w:t>Σύμφωνα με το άρθρο 45 παράγραφος 2 στοιχείο β) της οδηγίας 2014/59/ΕΕ, το μέτρο του συνολικού ανοίγματος υπολογίζεται σύμφωνα με το άρθρο 429 παράγραφος 4 και το άρθρο 429α του κανονισμού (ΕΕ) αριθ. 575/2013.</w:t>
            </w:r>
          </w:p>
          <w:p w14:paraId="62A67E31" w14:textId="3AEA2863" w:rsidR="008149F0" w:rsidRPr="0008623B" w:rsidRDefault="008149F0" w:rsidP="00E54D7F">
            <w:pPr>
              <w:rPr>
                <w:rFonts w:ascii="Times New Roman" w:hAnsi="Times New Roman" w:cs="Times New Roman"/>
                <w:noProof/>
                <w:color w:val="000000" w:themeColor="text1"/>
                <w:sz w:val="24"/>
                <w:szCs w:val="24"/>
              </w:rPr>
            </w:pPr>
            <w:r w:rsidRPr="007E7E40">
              <w:rPr>
                <w:rStyle w:val="FormatvorlageInstructionsTabelleText"/>
                <w:rFonts w:ascii="Times New Roman" w:hAnsi="Times New Roman"/>
                <w:sz w:val="24"/>
                <w:lang w:val="el-GR"/>
              </w:rPr>
              <w:t xml:space="preserve">Το μέτρο συνολικού ανοίγματος που αναφέρεται στη γραμμή αυτή είναι το μέτρο συνολικού ανοίγματος που αποτελεί τη βάση για τη συμμόρφωση με τις απαιτήσεις του άρθρου 45 της οδηγίας 2014/59/ΕΕ ή του άρθρου 92α του κανονισμού (ΕΕ) αριθ. </w:t>
            </w:r>
            <w:r>
              <w:rPr>
                <w:rStyle w:val="FormatvorlageInstructionsTabelleText"/>
                <w:rFonts w:ascii="Times New Roman" w:hAnsi="Times New Roman"/>
                <w:sz w:val="24"/>
              </w:rPr>
              <w:t>575/2013, ανάλογα με την περίπτωση.</w:t>
            </w:r>
          </w:p>
        </w:tc>
      </w:tr>
      <w:tr w:rsidR="00D571F6" w:rsidRPr="0008623B" w14:paraId="13300665" w14:textId="77777777" w:rsidTr="00E46262">
        <w:tc>
          <w:tcPr>
            <w:tcW w:w="1030" w:type="dxa"/>
            <w:vAlign w:val="top"/>
          </w:tcPr>
          <w:p w14:paraId="0F988C86" w14:textId="06ED188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25</w:t>
            </w:r>
          </w:p>
        </w:tc>
        <w:tc>
          <w:tcPr>
            <w:tcW w:w="7736" w:type="dxa"/>
          </w:tcPr>
          <w:p w14:paraId="2C833139" w14:textId="0A4AF6D0" w:rsidR="00D77E54" w:rsidRPr="007E7E40" w:rsidRDefault="00D571F6" w:rsidP="00DB779A">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Ίδια κεφάλαια και επιλέξιμες υποχρεώσεις ως ποσοστό του </w:t>
            </w:r>
            <w:r>
              <w:rPr>
                <w:rFonts w:ascii="Times New Roman" w:hAnsi="Times New Roman"/>
                <w:b/>
                <w:color w:val="000000" w:themeColor="text1"/>
                <w:sz w:val="24"/>
              </w:rPr>
              <w:t>TREA</w:t>
            </w:r>
          </w:p>
          <w:p w14:paraId="7AB95F7A" w14:textId="6941F5F6" w:rsidR="00DB779A" w:rsidRPr="007E7E40" w:rsidRDefault="00DB779A" w:rsidP="00DB779A">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Για τους σκοπούς της γραμμής αυτής, σύμφωνα με το άρθρο 45 παράγραφος 2 στοιχείο α) της οδηγίας 2014/59/ΕΕ και το άρθρο 92α του κανονισμού (ΕΕ) αριθ. 575/2013, το ποσό των ιδίων κεφαλαίων και επιλέξιμων υποχρεώσεων που συνυπολογίζεται στη </w:t>
            </w:r>
            <w:r>
              <w:rPr>
                <w:rFonts w:ascii="Times New Roman" w:hAnsi="Times New Roman"/>
                <w:color w:val="000000" w:themeColor="text1"/>
                <w:sz w:val="24"/>
              </w:rPr>
              <w:t>MREL</w:t>
            </w:r>
            <w:r w:rsidRPr="007E7E40">
              <w:rPr>
                <w:rFonts w:ascii="Times New Roman" w:hAnsi="Times New Roman"/>
                <w:color w:val="000000" w:themeColor="text1"/>
                <w:sz w:val="24"/>
                <w:lang w:val="el-GR"/>
              </w:rPr>
              <w:t xml:space="preserve"> ή στην </w:t>
            </w:r>
            <w:r>
              <w:rPr>
                <w:rFonts w:ascii="Times New Roman" w:hAnsi="Times New Roman"/>
                <w:color w:val="000000" w:themeColor="text1"/>
                <w:sz w:val="24"/>
              </w:rPr>
              <w:t>TLAC</w:t>
            </w:r>
            <w:r w:rsidRPr="007E7E40">
              <w:rPr>
                <w:rFonts w:ascii="Times New Roman" w:hAnsi="Times New Roman"/>
                <w:color w:val="000000" w:themeColor="text1"/>
                <w:sz w:val="24"/>
                <w:lang w:val="el-GR"/>
              </w:rPr>
              <w:t>, κατά περίπτωση, εκφράζεται ως ποσοστό του συνολικού ποσού ανοίγματος σε κίνδυνο που υπολογίζεται σύμφωνα με το άρθρο 92 παράγραφος 3 του κανονισμού (ΕΕ) αριθ. 575/2013.</w:t>
            </w:r>
          </w:p>
          <w:p w14:paraId="7EB8D0D2" w14:textId="458D8C7A" w:rsidR="00D571F6" w:rsidRPr="007E7E40" w:rsidRDefault="00E06D47" w:rsidP="00E06D47">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Υπολογίζεται ως το πηλίκο της γραμμής 22 διαιρούμενης διά της γραμμής 23.</w:t>
            </w:r>
          </w:p>
        </w:tc>
      </w:tr>
      <w:tr w:rsidR="00DD64EE" w:rsidRPr="0008623B" w14:paraId="344FACA7" w14:textId="77777777" w:rsidTr="00E46262">
        <w:tc>
          <w:tcPr>
            <w:tcW w:w="1030" w:type="dxa"/>
            <w:vAlign w:val="top"/>
          </w:tcPr>
          <w:p w14:paraId="79C19FE6" w14:textId="5B9A3D69" w:rsidR="00DD64EE" w:rsidRPr="0008623B" w:rsidRDefault="00DD64EE" w:rsidP="00DD64EE">
            <w:pPr>
              <w:rPr>
                <w:rFonts w:ascii="Times New Roman" w:hAnsi="Times New Roman" w:cs="Times New Roman"/>
                <w:sz w:val="24"/>
                <w:szCs w:val="24"/>
              </w:rPr>
            </w:pPr>
            <w:r>
              <w:rPr>
                <w:rFonts w:ascii="Times New Roman" w:hAnsi="Times New Roman"/>
                <w:sz w:val="24"/>
              </w:rPr>
              <w:t>EU-25α</w:t>
            </w:r>
          </w:p>
        </w:tc>
        <w:tc>
          <w:tcPr>
            <w:tcW w:w="7736" w:type="dxa"/>
            <w:vAlign w:val="top"/>
          </w:tcPr>
          <w:p w14:paraId="29460D13" w14:textId="6252FCF5" w:rsidR="00DD64EE" w:rsidRPr="007E7E40" w:rsidRDefault="00DD64EE" w:rsidP="00DD64EE">
            <w:pPr>
              <w:rPr>
                <w:rFonts w:ascii="Times New Roman" w:hAnsi="Times New Roman" w:cs="Times New Roman"/>
                <w:b/>
                <w:sz w:val="24"/>
                <w:szCs w:val="24"/>
                <w:lang w:val="el-GR"/>
              </w:rPr>
            </w:pPr>
            <w:r w:rsidRPr="007E7E40">
              <w:rPr>
                <w:rFonts w:ascii="Times New Roman" w:hAnsi="Times New Roman"/>
                <w:b/>
                <w:sz w:val="24"/>
                <w:lang w:val="el-GR"/>
              </w:rPr>
              <w:t>Εκ των οποίων: ίδια κεφάλαια και υποχρεώσεις μειωμένης εξασφάλισης</w:t>
            </w:r>
          </w:p>
          <w:p w14:paraId="3177CD5E" w14:textId="4C559037" w:rsidR="00282ED2" w:rsidRPr="007E7E40" w:rsidRDefault="00DD64EE" w:rsidP="00DD64EE">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Για τους σκοπούς της γραμμής αυτής, το ποσό των ιδίων κεφαλαίων και επιλέξιμων υποχρεώσεων μειωμένης εξασφάλισης που συνυπολογίζεται στη </w:t>
            </w:r>
            <w:r>
              <w:rPr>
                <w:rFonts w:ascii="Times New Roman" w:hAnsi="Times New Roman"/>
                <w:color w:val="000000" w:themeColor="text1"/>
                <w:sz w:val="24"/>
              </w:rPr>
              <w:t>MREL</w:t>
            </w:r>
            <w:r w:rsidRPr="007E7E40">
              <w:rPr>
                <w:rFonts w:ascii="Times New Roman" w:hAnsi="Times New Roman"/>
                <w:color w:val="000000" w:themeColor="text1"/>
                <w:sz w:val="24"/>
                <w:lang w:val="el-GR"/>
              </w:rPr>
              <w:t xml:space="preserve"> εκφράζεται ως ποσοστό του συνολικού ποσού ανοίγματος σε κίνδυνο που υπολογίζεται σύμφωνα με το άρθρο 92 παράγραφος 3 του κανονισμού (ΕΕ) αριθ. 575/2013.</w:t>
            </w:r>
          </w:p>
          <w:p w14:paraId="1420404E" w14:textId="486A4F7A" w:rsidR="00DD64EE" w:rsidRPr="007E7E40" w:rsidRDefault="00633625" w:rsidP="00DD64EE">
            <w:pPr>
              <w:rPr>
                <w:rFonts w:ascii="Times New Roman" w:hAnsi="Times New Roman" w:cs="Times New Roman"/>
                <w:b/>
                <w:sz w:val="24"/>
                <w:szCs w:val="24"/>
                <w:lang w:val="el-GR"/>
              </w:rPr>
            </w:pPr>
            <w:r w:rsidRPr="007E7E40">
              <w:rPr>
                <w:rFonts w:ascii="Times New Roman" w:hAnsi="Times New Roman"/>
                <w:color w:val="000000" w:themeColor="text1"/>
                <w:sz w:val="24"/>
                <w:lang w:val="el-GR"/>
              </w:rPr>
              <w:t>Υπολογίζεται ως το πηλίκο της γραμμής 22α διαιρούμενης διά της γραμμής 23.</w:t>
            </w:r>
          </w:p>
        </w:tc>
      </w:tr>
      <w:tr w:rsidR="00D571F6" w:rsidRPr="0008623B" w14:paraId="36017B22" w14:textId="77777777" w:rsidTr="00E46262">
        <w:tc>
          <w:tcPr>
            <w:tcW w:w="1030" w:type="dxa"/>
            <w:vAlign w:val="top"/>
          </w:tcPr>
          <w:p w14:paraId="34721F24" w14:textId="1ACC2AE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26</w:t>
            </w:r>
          </w:p>
        </w:tc>
        <w:tc>
          <w:tcPr>
            <w:tcW w:w="7736" w:type="dxa"/>
          </w:tcPr>
          <w:p w14:paraId="36877A46" w14:textId="7121B65E" w:rsidR="00D571F6" w:rsidRPr="007E7E40" w:rsidRDefault="00D571F6" w:rsidP="00D571F6">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Ίδια κεφάλαια και επιλέξιμες υποχρεώσεις ως ποσοστό του </w:t>
            </w:r>
            <w:r>
              <w:rPr>
                <w:rFonts w:ascii="Times New Roman" w:hAnsi="Times New Roman"/>
                <w:b/>
                <w:color w:val="000000" w:themeColor="text1"/>
                <w:sz w:val="24"/>
              </w:rPr>
              <w:t>TEM</w:t>
            </w:r>
          </w:p>
          <w:p w14:paraId="00EB744D" w14:textId="4F8F3490" w:rsidR="00F31CFB" w:rsidRPr="007E7E40" w:rsidRDefault="00F31CFB" w:rsidP="00D571F6">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lastRenderedPageBreak/>
              <w:t xml:space="preserve">Για τους σκοπούς της γραμμής αυτής, σύμφωνα με το άρθρο 45 παράγραφος 2 στοιχείο β) της οδηγίας 2014/59/ΕΕ και το άρθρο 92α του κανονισμού (ΕΕ) αριθ. 575/2013, το ποσό των ιδίων κεφαλαίων και επιλέξιμων υποχρεώσεων που συνυπολογίζεται στη </w:t>
            </w:r>
            <w:r>
              <w:rPr>
                <w:rFonts w:ascii="Times New Roman" w:hAnsi="Times New Roman"/>
                <w:color w:val="000000" w:themeColor="text1"/>
                <w:sz w:val="24"/>
              </w:rPr>
              <w:t>MREL</w:t>
            </w:r>
            <w:r w:rsidRPr="007E7E40">
              <w:rPr>
                <w:rFonts w:ascii="Times New Roman" w:hAnsi="Times New Roman"/>
                <w:color w:val="000000" w:themeColor="text1"/>
                <w:sz w:val="24"/>
                <w:lang w:val="el-GR"/>
              </w:rPr>
              <w:t xml:space="preserve"> ή στην </w:t>
            </w:r>
            <w:r>
              <w:rPr>
                <w:rFonts w:ascii="Times New Roman" w:hAnsi="Times New Roman"/>
                <w:color w:val="000000" w:themeColor="text1"/>
                <w:sz w:val="24"/>
              </w:rPr>
              <w:t>TLAC</w:t>
            </w:r>
            <w:r w:rsidRPr="007E7E40">
              <w:rPr>
                <w:rFonts w:ascii="Times New Roman" w:hAnsi="Times New Roman"/>
                <w:color w:val="000000" w:themeColor="text1"/>
                <w:sz w:val="24"/>
                <w:lang w:val="el-GR"/>
              </w:rPr>
              <w:t>, κατά περίπτωση, εκφράζεται ως ποσοστό του μέτρου συνολικού ανοίγματος που υπολογίζεται σύμφωνα με το άρθρο 429 παράγραφος 4 και το άρθρο 429α του κανονισμού (ΕΕ) αριθ. 575/2013.</w:t>
            </w:r>
          </w:p>
          <w:p w14:paraId="4625DFA4" w14:textId="11EAD745" w:rsidR="00D571F6" w:rsidRPr="007E7E40" w:rsidRDefault="00F31CFB" w:rsidP="00F31CFB">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Υπολογίζεται ως το πηλίκο της γραμμής 22 διαιρούμενης διά της γραμμής 24.</w:t>
            </w:r>
          </w:p>
        </w:tc>
      </w:tr>
      <w:tr w:rsidR="00DD64EE" w:rsidRPr="0008623B" w14:paraId="6226AC49" w14:textId="77777777" w:rsidTr="00E46262">
        <w:tc>
          <w:tcPr>
            <w:tcW w:w="1030" w:type="dxa"/>
          </w:tcPr>
          <w:p w14:paraId="0551FE26" w14:textId="5A7C8577" w:rsidR="00DD64EE" w:rsidRPr="0008623B" w:rsidRDefault="00DD64EE" w:rsidP="00DD64EE">
            <w:pPr>
              <w:rPr>
                <w:rFonts w:ascii="Times New Roman" w:hAnsi="Times New Roman" w:cs="Times New Roman"/>
                <w:sz w:val="24"/>
                <w:szCs w:val="24"/>
              </w:rPr>
            </w:pPr>
            <w:r>
              <w:rPr>
                <w:rFonts w:ascii="Times New Roman" w:hAnsi="Times New Roman"/>
                <w:sz w:val="24"/>
              </w:rPr>
              <w:lastRenderedPageBreak/>
              <w:t>EU-26α</w:t>
            </w:r>
          </w:p>
        </w:tc>
        <w:tc>
          <w:tcPr>
            <w:tcW w:w="7736" w:type="dxa"/>
          </w:tcPr>
          <w:p w14:paraId="20A52E81" w14:textId="3A7027C7" w:rsidR="00DD64EE" w:rsidRPr="007E7E40" w:rsidRDefault="00DD64EE" w:rsidP="00DD64EE">
            <w:pPr>
              <w:rPr>
                <w:rFonts w:ascii="Times New Roman" w:hAnsi="Times New Roman" w:cs="Times New Roman"/>
                <w:b/>
                <w:sz w:val="24"/>
                <w:szCs w:val="24"/>
                <w:lang w:val="el-GR"/>
              </w:rPr>
            </w:pPr>
            <w:r w:rsidRPr="007E7E40">
              <w:rPr>
                <w:rFonts w:ascii="Times New Roman" w:hAnsi="Times New Roman"/>
                <w:b/>
                <w:sz w:val="24"/>
                <w:lang w:val="el-GR"/>
              </w:rPr>
              <w:t>Εκ των οποίων: ίδια κεφάλαια και υποχρεώσεις μειωμένης εξασφάλισης</w:t>
            </w:r>
          </w:p>
          <w:p w14:paraId="45B16E43" w14:textId="10BF2834" w:rsidR="00CF449E" w:rsidRPr="007E7E40" w:rsidRDefault="00CF449E" w:rsidP="001B5DB5">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Για τους σκοπούς της γραμμής αυτής, το ποσό των ιδίων κεφαλαίων και επιλέξιμων υποχρεώσεων μειωμένης εξασφάλισης που συνυπολογίζεται στη </w:t>
            </w:r>
            <w:r>
              <w:rPr>
                <w:rFonts w:ascii="Times New Roman" w:hAnsi="Times New Roman"/>
                <w:color w:val="000000" w:themeColor="text1"/>
                <w:sz w:val="24"/>
              </w:rPr>
              <w:t>MREL</w:t>
            </w:r>
            <w:r w:rsidRPr="007E7E40">
              <w:rPr>
                <w:rFonts w:ascii="Times New Roman" w:hAnsi="Times New Roman"/>
                <w:color w:val="000000" w:themeColor="text1"/>
                <w:sz w:val="24"/>
                <w:lang w:val="el-GR"/>
              </w:rPr>
              <w:t xml:space="preserve"> εκφράζεται ως ποσοστό του μέτρου συνολικού ανοίγματος που υπολογίζεται σύμφωνα με το άρθρο 429 παράγραφος 4 και το άρθρο 429α του κανονισμού (ΕΕ) αριθ. 575/2013.</w:t>
            </w:r>
          </w:p>
          <w:p w14:paraId="358FA12B" w14:textId="445A7C3B" w:rsidR="00633625" w:rsidRPr="007E7E40" w:rsidRDefault="00633625" w:rsidP="001B5DB5">
            <w:pPr>
              <w:rPr>
                <w:rFonts w:ascii="Times New Roman" w:hAnsi="Times New Roman" w:cs="Times New Roman"/>
                <w:b/>
                <w:sz w:val="24"/>
                <w:szCs w:val="24"/>
                <w:lang w:val="el-GR"/>
              </w:rPr>
            </w:pPr>
            <w:r w:rsidRPr="007E7E40">
              <w:rPr>
                <w:rFonts w:ascii="Times New Roman" w:hAnsi="Times New Roman"/>
                <w:color w:val="000000" w:themeColor="text1"/>
                <w:sz w:val="24"/>
                <w:lang w:val="el-GR"/>
              </w:rPr>
              <w:t>Υπολογίζεται ως το πηλίκο της γραμμής 22α διαιρούμενης διά της γραμμής 24.</w:t>
            </w:r>
          </w:p>
        </w:tc>
      </w:tr>
      <w:tr w:rsidR="00D571F6" w:rsidRPr="0008623B" w14:paraId="097C48C9" w14:textId="77777777" w:rsidTr="00E46262">
        <w:tc>
          <w:tcPr>
            <w:tcW w:w="1030" w:type="dxa"/>
            <w:vAlign w:val="top"/>
          </w:tcPr>
          <w:p w14:paraId="71DD980C" w14:textId="7575C305"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27</w:t>
            </w:r>
          </w:p>
        </w:tc>
        <w:tc>
          <w:tcPr>
            <w:tcW w:w="7736" w:type="dxa"/>
          </w:tcPr>
          <w:p w14:paraId="5D1EF640" w14:textId="01C37C4A" w:rsidR="00D571F6" w:rsidRPr="007E7E40" w:rsidRDefault="00D571F6" w:rsidP="00D571F6">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Κεφάλαιο </w:t>
            </w:r>
            <w:r>
              <w:rPr>
                <w:rFonts w:ascii="Times New Roman" w:hAnsi="Times New Roman"/>
                <w:b/>
                <w:color w:val="000000" w:themeColor="text1"/>
                <w:sz w:val="24"/>
              </w:rPr>
              <w:t>CET</w:t>
            </w:r>
            <w:r w:rsidRPr="007E7E40">
              <w:rPr>
                <w:rFonts w:ascii="Times New Roman" w:hAnsi="Times New Roman"/>
                <w:b/>
                <w:color w:val="000000" w:themeColor="text1"/>
                <w:sz w:val="24"/>
                <w:lang w:val="el-GR"/>
              </w:rPr>
              <w:t xml:space="preserve">1 (ως ποσοστό του </w:t>
            </w:r>
            <w:r>
              <w:rPr>
                <w:rFonts w:ascii="Times New Roman" w:hAnsi="Times New Roman"/>
                <w:b/>
                <w:color w:val="000000" w:themeColor="text1"/>
                <w:sz w:val="24"/>
              </w:rPr>
              <w:t>TREA</w:t>
            </w:r>
            <w:r w:rsidRPr="007E7E40">
              <w:rPr>
                <w:rFonts w:ascii="Times New Roman" w:hAnsi="Times New Roman"/>
                <w:b/>
                <w:color w:val="000000" w:themeColor="text1"/>
                <w:sz w:val="24"/>
                <w:lang w:val="el-GR"/>
              </w:rPr>
              <w:t>) διαθέσιμο μετά την εκπλήρωση των απαιτήσεων του ομίλου εξυγίανσης</w:t>
            </w:r>
          </w:p>
          <w:p w14:paraId="0227909F" w14:textId="1CB6809D" w:rsidR="00A47BCD" w:rsidRPr="007E7E40" w:rsidRDefault="00A47BCD" w:rsidP="00B62DC9">
            <w:pPr>
              <w:pStyle w:val="InstructionsText"/>
              <w:rPr>
                <w:rFonts w:eastAsiaTheme="minorEastAsia"/>
                <w:lang w:val="el-GR"/>
              </w:rPr>
            </w:pPr>
            <w:r w:rsidRPr="007E7E40">
              <w:rPr>
                <w:lang w:val="el-GR"/>
              </w:rPr>
              <w:t xml:space="preserve">Το ποσό του κεφαλαίου </w:t>
            </w:r>
            <w:r>
              <w:t>CET</w:t>
            </w:r>
            <w:r w:rsidRPr="007E7E40">
              <w:rPr>
                <w:lang w:val="el-GR"/>
              </w:rPr>
              <w:t>1, ως ποσοστό του συνολικού ποσού ανοίγματος σε κίνδυνο, μηδενικό ή θετικό, που είναι διαθέσιμο μετά την εκπλήρωση καθεμίας από τις απαιτήσεις που αναφέρονται στο άρθρο 141α στοιχεία α), β) και γ) της οδηγίας 2013/36/ΕΕ και το μεγαλύτερο από τα ακόλουθα ποσά:</w:t>
            </w:r>
          </w:p>
          <w:p w14:paraId="42E3D4EA" w14:textId="2070C8C0" w:rsidR="00A47BCD" w:rsidRPr="007E7E40" w:rsidRDefault="00A47BCD" w:rsidP="00B62DC9">
            <w:pPr>
              <w:pStyle w:val="InstructionsText"/>
              <w:rPr>
                <w:rFonts w:eastAsiaTheme="minorEastAsia"/>
                <w:lang w:val="el-GR"/>
              </w:rPr>
            </w:pPr>
            <w:r w:rsidRPr="007E7E40">
              <w:rPr>
                <w:lang w:val="el-GR"/>
              </w:rPr>
              <w:t xml:space="preserve">α) κατά περίπτωση, την απαίτηση ιδίων κεφαλαίων και επιλέξιμων υποχρεώσεων για </w:t>
            </w:r>
            <w:r>
              <w:t>G</w:t>
            </w:r>
            <w:r w:rsidRPr="007E7E40">
              <w:rPr>
                <w:lang w:val="el-GR"/>
              </w:rPr>
              <w:t>-</w:t>
            </w:r>
            <w:r>
              <w:t>SII</w:t>
            </w:r>
            <w:r w:rsidRPr="007E7E40">
              <w:rPr>
                <w:lang w:val="el-GR"/>
              </w:rPr>
              <w:t xml:space="preserve">, η οποία προβλέπεται στο άρθρο 92α του κανονισμού (ΕΕ) αριθ. 575/2013, όταν υπολογίζεται σύμφωνα με την παράγραφο 1 στοιχείο α) του εν λόγω άρθρου και </w:t>
            </w:r>
          </w:p>
          <w:p w14:paraId="396BF4D8" w14:textId="21D22CB1" w:rsidR="00A47BCD" w:rsidRPr="007E7E40" w:rsidRDefault="00A47BCD" w:rsidP="00B62DC9">
            <w:pPr>
              <w:pStyle w:val="InstructionsText"/>
              <w:rPr>
                <w:rFonts w:eastAsiaTheme="minorEastAsia"/>
                <w:lang w:val="el-GR"/>
              </w:rPr>
            </w:pPr>
            <w:r w:rsidRPr="007E7E40">
              <w:rPr>
                <w:lang w:val="el-GR"/>
              </w:rPr>
              <w:t>β) την ελάχιστη απαίτηση ιδίων κεφαλαίων και επιλέξιμων υποχρεώσεων, η οποία προβλέπεται στο άρθρο 45 της οδηγίας 2014/59/ΕΕ, όταν υπολογίζεται σύμφωνα με την παράγραφο 2 στοιχείο α) του εν λόγω άρθρου.</w:t>
            </w:r>
          </w:p>
          <w:p w14:paraId="7D9CD928" w14:textId="77777777" w:rsidR="00A47BCD" w:rsidRPr="007E7E40" w:rsidRDefault="00A47BCD" w:rsidP="00B62DC9">
            <w:pPr>
              <w:pStyle w:val="InstructionsText"/>
              <w:rPr>
                <w:rFonts w:eastAsiaTheme="minorEastAsia"/>
                <w:lang w:val="el-GR"/>
              </w:rPr>
            </w:pPr>
          </w:p>
          <w:p w14:paraId="0543D9CF" w14:textId="084E2193" w:rsidR="00A47BCD" w:rsidRPr="007E7E40" w:rsidRDefault="00A47BCD" w:rsidP="00B62DC9">
            <w:pPr>
              <w:pStyle w:val="InstructionsText"/>
              <w:rPr>
                <w:rFonts w:eastAsiaTheme="minorEastAsia"/>
                <w:lang w:val="el-GR"/>
              </w:rPr>
            </w:pPr>
            <w:r w:rsidRPr="007E7E40">
              <w:rPr>
                <w:lang w:val="el-GR"/>
              </w:rPr>
              <w:t xml:space="preserve">Το δημοσιοποιούμενο ποσό είναι το ίδιο τόσο στη στήλη </w:t>
            </w:r>
            <w:r>
              <w:t>MREL</w:t>
            </w:r>
            <w:r w:rsidRPr="007E7E40">
              <w:rPr>
                <w:lang w:val="el-GR"/>
              </w:rPr>
              <w:t xml:space="preserve"> όσο και στη στήλη </w:t>
            </w:r>
            <w:r>
              <w:t>TLAC</w:t>
            </w:r>
            <w:r w:rsidRPr="007E7E40">
              <w:rPr>
                <w:lang w:val="el-GR"/>
              </w:rPr>
              <w:t>.</w:t>
            </w:r>
          </w:p>
          <w:p w14:paraId="7018FBAF" w14:textId="3CA720C2" w:rsidR="00D571F6" w:rsidRPr="007E7E40" w:rsidRDefault="00A47BCD" w:rsidP="00940D58">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Στο ποσό αυτό λαμβάνεται υπόψη η επίδραση των μεταβατικών διατάξεων στα ίδια κεφάλαια και στις επιλέξιμες υποχρεώσεις, στο συνολικό ποσό ανοίγματος σε κίνδυνο και στις ίδιες τις απαιτήσεις. Δεν λαμβάνονται υπόψη ούτε η καθοδήγηση ως προς τα πρόσθετα ίδια κεφάλαια, όπως αναφέρεται στο άρθρο 104β της οδηγίας 2013/36/ΕΕ, ούτε η συνδυασμένη απαίτηση αποθέματος ασφαλείας του άρθρου 128 πρώτο εδάφιο σημείο 6) της εν λόγω οδηγίας.</w:t>
            </w:r>
          </w:p>
        </w:tc>
      </w:tr>
      <w:tr w:rsidR="00D571F6" w:rsidRPr="0008623B" w14:paraId="015114DE" w14:textId="77777777" w:rsidTr="00E46262">
        <w:tc>
          <w:tcPr>
            <w:tcW w:w="1030" w:type="dxa"/>
            <w:vAlign w:val="top"/>
          </w:tcPr>
          <w:p w14:paraId="67C0B6E2" w14:textId="23ADC5ED"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28</w:t>
            </w:r>
          </w:p>
        </w:tc>
        <w:tc>
          <w:tcPr>
            <w:tcW w:w="7736" w:type="dxa"/>
          </w:tcPr>
          <w:p w14:paraId="725380F6" w14:textId="27172D98" w:rsidR="00D571F6" w:rsidRPr="007E7E40" w:rsidRDefault="00D571F6" w:rsidP="00D571F6">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Συνδυασμένη απαίτηση αποθέματος ασφαλείας ειδικά για το κάθε ίδρυμα </w:t>
            </w:r>
          </w:p>
          <w:p w14:paraId="4829A94F" w14:textId="10305ADD" w:rsidR="00D571F6" w:rsidRPr="007E7E40" w:rsidRDefault="00D571F6" w:rsidP="00940D58">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Συνδυασμένη απαίτηση αποθέματος ασφαλείας ειδικά για το κάθε ίδρυμα, όπως ορίζεται στο άρθρο 128 πρώτο εδάφιο σημείο 6) της οδηγίας 2013/36/ΕΕ, εκφραζόμενη ως ποσοστό του συνολικού ποσού ανοίγματος σε κίνδυνο, η οποία εφαρμόζεται στον όμιλο εξυγίανσης σύμφωνα με το πρώτο εδάφιο σημείο 6) του εν λόγω άρθρου.</w:t>
            </w:r>
          </w:p>
        </w:tc>
      </w:tr>
      <w:tr w:rsidR="00D571F6" w:rsidRPr="0008623B" w14:paraId="0D814418" w14:textId="77777777" w:rsidTr="00E46262">
        <w:tc>
          <w:tcPr>
            <w:tcW w:w="1030" w:type="dxa"/>
            <w:vAlign w:val="top"/>
          </w:tcPr>
          <w:p w14:paraId="2D747295" w14:textId="712C6D7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29</w:t>
            </w:r>
          </w:p>
        </w:tc>
        <w:tc>
          <w:tcPr>
            <w:tcW w:w="7736" w:type="dxa"/>
            <w:vAlign w:val="top"/>
          </w:tcPr>
          <w:p w14:paraId="793F80F0" w14:textId="2D85B0CB" w:rsidR="00D571F6" w:rsidRPr="007E7E40" w:rsidRDefault="00B80F7C" w:rsidP="00D571F6">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Συνδυασμένη απαίτηση αποθέματος ασφαλείας ειδικά για το κάθε ίδρυμα — Εκ των οποίων: απαίτηση αποθέματος ασφαλείας διατήρησης κεφαλαίου </w:t>
            </w:r>
          </w:p>
          <w:p w14:paraId="5C784879" w14:textId="40A880B0" w:rsidR="00D571F6" w:rsidRPr="007E7E40" w:rsidRDefault="00D571F6" w:rsidP="009B2422">
            <w:pPr>
              <w:rPr>
                <w:rFonts w:ascii="Times New Roman" w:hAnsi="Times New Roman" w:cs="Times New Roman"/>
                <w:noProof/>
                <w:color w:val="000000" w:themeColor="text1"/>
                <w:sz w:val="24"/>
                <w:szCs w:val="24"/>
                <w:lang w:val="el-GR"/>
              </w:rPr>
            </w:pPr>
            <w:r w:rsidRPr="007E7E40">
              <w:rPr>
                <w:rFonts w:ascii="Times New Roman" w:hAnsi="Times New Roman"/>
                <w:sz w:val="24"/>
                <w:lang w:val="el-GR"/>
              </w:rPr>
              <w:t>Το ποσό του συνδυασμένου αποθέματος ασφαλείας ειδικά για το κάθε ίδρυμα (εκφραζόμενο ως ποσοστό του συνολικού ποσού ανοίγματος σε κίνδυνο) που σχετίζεται με την απαίτηση αποθέματος ασφαλείας διατήρησης κεφαλαίου.</w:t>
            </w:r>
          </w:p>
        </w:tc>
      </w:tr>
      <w:tr w:rsidR="00D571F6" w:rsidRPr="0008623B" w14:paraId="63B8627F" w14:textId="77777777" w:rsidTr="00E46262">
        <w:tc>
          <w:tcPr>
            <w:tcW w:w="1030" w:type="dxa"/>
            <w:vAlign w:val="top"/>
          </w:tcPr>
          <w:p w14:paraId="68373BD4" w14:textId="0AC3FF6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30</w:t>
            </w:r>
          </w:p>
        </w:tc>
        <w:tc>
          <w:tcPr>
            <w:tcW w:w="7736" w:type="dxa"/>
            <w:vAlign w:val="top"/>
          </w:tcPr>
          <w:p w14:paraId="369B9330" w14:textId="25965D76" w:rsidR="00D571F6" w:rsidRPr="007E7E40" w:rsidRDefault="00B80F7C" w:rsidP="00D571F6">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Συνδυασμένη απαίτηση αποθέματος ασφαλείας ειδικά για το κάθε ίδρυμα — Εκ των οποίων: απαίτηση αντικυκλικού αποθέματος ασφαλείας </w:t>
            </w:r>
          </w:p>
          <w:p w14:paraId="6E30DDC3" w14:textId="72487262" w:rsidR="00D571F6" w:rsidRPr="007E7E40" w:rsidRDefault="00D571F6" w:rsidP="00D571F6">
            <w:pPr>
              <w:rPr>
                <w:rFonts w:ascii="Times New Roman" w:hAnsi="Times New Roman" w:cs="Times New Roman"/>
                <w:noProof/>
                <w:color w:val="000000" w:themeColor="text1"/>
                <w:sz w:val="24"/>
                <w:szCs w:val="24"/>
                <w:lang w:val="el-GR"/>
              </w:rPr>
            </w:pPr>
            <w:r w:rsidRPr="007E7E40">
              <w:rPr>
                <w:rFonts w:ascii="Times New Roman" w:hAnsi="Times New Roman"/>
                <w:sz w:val="24"/>
                <w:lang w:val="el-GR"/>
              </w:rPr>
              <w:t>Το ποσό του συνδυασμένου αποθέματος ασφαλείας ειδικά για το κάθε ίδρυμα (εκφραζόμενο ως ποσοστό του συνολικού ποσού ανοίγματος σε κίνδυνο) που σχετίζεται με την απαίτηση αντικυκλικού αποθέματος ασφαλείας.</w:t>
            </w:r>
          </w:p>
        </w:tc>
      </w:tr>
      <w:tr w:rsidR="00D571F6" w:rsidRPr="0008623B" w14:paraId="780D8179" w14:textId="77777777" w:rsidTr="00E46262">
        <w:tc>
          <w:tcPr>
            <w:tcW w:w="1030" w:type="dxa"/>
            <w:vAlign w:val="top"/>
          </w:tcPr>
          <w:p w14:paraId="4011938A" w14:textId="6723E0C3"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31</w:t>
            </w:r>
          </w:p>
        </w:tc>
        <w:tc>
          <w:tcPr>
            <w:tcW w:w="7736" w:type="dxa"/>
            <w:vAlign w:val="top"/>
          </w:tcPr>
          <w:p w14:paraId="40BC9FBF" w14:textId="6369FDFB" w:rsidR="00D571F6" w:rsidRPr="007E7E40" w:rsidRDefault="00B80F7C" w:rsidP="00D571F6">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Συνδυασμένη απαίτηση αποθέματος ασφαλείας ειδικά για το κάθε ίδρυμα — Εκ των οποίων: απαίτηση αποθέματος ασφαλείας συστημικού κινδύνου </w:t>
            </w:r>
          </w:p>
          <w:p w14:paraId="2538331C" w14:textId="1E3B6906" w:rsidR="00D571F6" w:rsidRPr="007E7E40" w:rsidRDefault="00D571F6" w:rsidP="009B2422">
            <w:pPr>
              <w:rPr>
                <w:rFonts w:ascii="Times New Roman" w:hAnsi="Times New Roman" w:cs="Times New Roman"/>
                <w:sz w:val="24"/>
                <w:szCs w:val="24"/>
                <w:lang w:val="el-GR"/>
              </w:rPr>
            </w:pPr>
            <w:r w:rsidRPr="007E7E40">
              <w:rPr>
                <w:rFonts w:ascii="Times New Roman" w:hAnsi="Times New Roman"/>
                <w:sz w:val="24"/>
                <w:lang w:val="el-GR"/>
              </w:rPr>
              <w:t>Το ποσό του συνδυασμένου αποθέματος ασφαλείας ειδικά για το κάθε ίδρυμα (εκφραζόμενο ως ποσοστό του συνολικού ποσού ανοίγματος σε κίνδυνο) που σχετίζεται με την απαίτηση αποθέματος ασφαλείας συστημικού κινδύνου.</w:t>
            </w:r>
          </w:p>
        </w:tc>
      </w:tr>
      <w:tr w:rsidR="00D571F6" w:rsidRPr="0008623B" w14:paraId="2321A559" w14:textId="77777777" w:rsidTr="00E46262">
        <w:tc>
          <w:tcPr>
            <w:tcW w:w="1030" w:type="dxa"/>
            <w:vAlign w:val="top"/>
          </w:tcPr>
          <w:p w14:paraId="5B6DF329" w14:textId="537A82C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EU-31α</w:t>
            </w:r>
          </w:p>
        </w:tc>
        <w:tc>
          <w:tcPr>
            <w:tcW w:w="7736" w:type="dxa"/>
            <w:vAlign w:val="top"/>
          </w:tcPr>
          <w:p w14:paraId="2ACB2A11" w14:textId="0C32CAAA" w:rsidR="00D571F6" w:rsidRPr="007E7E40" w:rsidRDefault="00B80F7C" w:rsidP="00D571F6">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Συνδυασμένη απαίτηση αποθέματος ασφαλείας ειδικά για το κάθε ίδρυμα — Εκ των οποίων: απόθεμα ασφαλείας παγκόσμιου συστημικώς σημαντικού ιδρύματος (</w:t>
            </w:r>
            <w:r>
              <w:rPr>
                <w:rFonts w:ascii="Times New Roman" w:hAnsi="Times New Roman"/>
                <w:b/>
                <w:color w:val="000000" w:themeColor="text1"/>
                <w:sz w:val="24"/>
              </w:rPr>
              <w:t>G</w:t>
            </w:r>
            <w:r w:rsidRPr="007E7E40">
              <w:rPr>
                <w:rFonts w:ascii="Times New Roman" w:hAnsi="Times New Roman"/>
                <w:b/>
                <w:color w:val="000000" w:themeColor="text1"/>
                <w:sz w:val="24"/>
                <w:lang w:val="el-GR"/>
              </w:rPr>
              <w:t>-</w:t>
            </w:r>
            <w:r>
              <w:rPr>
                <w:rFonts w:ascii="Times New Roman" w:hAnsi="Times New Roman"/>
                <w:b/>
                <w:color w:val="000000" w:themeColor="text1"/>
                <w:sz w:val="24"/>
              </w:rPr>
              <w:t>SII</w:t>
            </w:r>
            <w:r w:rsidRPr="007E7E40">
              <w:rPr>
                <w:rFonts w:ascii="Times New Roman" w:hAnsi="Times New Roman"/>
                <w:b/>
                <w:color w:val="000000" w:themeColor="text1"/>
                <w:sz w:val="24"/>
                <w:lang w:val="el-GR"/>
              </w:rPr>
              <w:t>) ή άλλου συστημικώς σημαντικού ιδρύματος (</w:t>
            </w:r>
            <w:r>
              <w:rPr>
                <w:rFonts w:ascii="Times New Roman" w:hAnsi="Times New Roman"/>
                <w:b/>
                <w:color w:val="000000" w:themeColor="text1"/>
                <w:sz w:val="24"/>
              </w:rPr>
              <w:t>O</w:t>
            </w:r>
            <w:r w:rsidRPr="007E7E40">
              <w:rPr>
                <w:rFonts w:ascii="Times New Roman" w:hAnsi="Times New Roman"/>
                <w:b/>
                <w:color w:val="000000" w:themeColor="text1"/>
                <w:sz w:val="24"/>
                <w:lang w:val="el-GR"/>
              </w:rPr>
              <w:t>-</w:t>
            </w:r>
            <w:r>
              <w:rPr>
                <w:rFonts w:ascii="Times New Roman" w:hAnsi="Times New Roman"/>
                <w:b/>
                <w:color w:val="000000" w:themeColor="text1"/>
                <w:sz w:val="24"/>
              </w:rPr>
              <w:t>SII</w:t>
            </w:r>
            <w:r w:rsidRPr="007E7E40">
              <w:rPr>
                <w:rFonts w:ascii="Times New Roman" w:hAnsi="Times New Roman"/>
                <w:b/>
                <w:color w:val="000000" w:themeColor="text1"/>
                <w:sz w:val="24"/>
                <w:lang w:val="el-GR"/>
              </w:rPr>
              <w:t>)</w:t>
            </w:r>
          </w:p>
          <w:p w14:paraId="6700C20F" w14:textId="59F7281D" w:rsidR="00D571F6" w:rsidRPr="007E7E40" w:rsidRDefault="00D571F6" w:rsidP="00563C8D">
            <w:pPr>
              <w:rPr>
                <w:rFonts w:ascii="Times New Roman" w:hAnsi="Times New Roman" w:cs="Times New Roman"/>
                <w:noProof/>
                <w:color w:val="000000" w:themeColor="text1"/>
                <w:sz w:val="24"/>
                <w:szCs w:val="24"/>
                <w:lang w:val="el-GR"/>
              </w:rPr>
            </w:pPr>
            <w:r w:rsidRPr="007E7E40">
              <w:rPr>
                <w:rFonts w:ascii="Times New Roman" w:hAnsi="Times New Roman"/>
                <w:sz w:val="24"/>
                <w:lang w:val="el-GR"/>
              </w:rPr>
              <w:t xml:space="preserve">Το ποσό του συνδυασμένου αποθέματος ασφαλείας ειδικά για το κάθε ίδρυμα (εκφραζόμενο ως ποσοστό του συνολικού ποσού ανοίγματος σε κίνδυνο) που σχετίζεται με την απαίτηση αποθέματος ασφαλείας </w:t>
            </w:r>
            <w:r>
              <w:rPr>
                <w:rFonts w:ascii="Times New Roman" w:hAnsi="Times New Roman"/>
                <w:sz w:val="24"/>
              </w:rPr>
              <w:t>G</w:t>
            </w:r>
            <w:r w:rsidRPr="007E7E40">
              <w:rPr>
                <w:rFonts w:ascii="Times New Roman" w:hAnsi="Times New Roman"/>
                <w:sz w:val="24"/>
                <w:lang w:val="el-GR"/>
              </w:rPr>
              <w:t>-</w:t>
            </w:r>
            <w:r>
              <w:rPr>
                <w:rFonts w:ascii="Times New Roman" w:hAnsi="Times New Roman"/>
                <w:sz w:val="24"/>
              </w:rPr>
              <w:t>SII</w:t>
            </w:r>
            <w:r w:rsidRPr="007E7E40">
              <w:rPr>
                <w:rFonts w:ascii="Times New Roman" w:hAnsi="Times New Roman"/>
                <w:sz w:val="24"/>
                <w:lang w:val="el-GR"/>
              </w:rPr>
              <w:t xml:space="preserve"> ή </w:t>
            </w:r>
            <w:r>
              <w:rPr>
                <w:rFonts w:ascii="Times New Roman" w:hAnsi="Times New Roman"/>
                <w:sz w:val="24"/>
              </w:rPr>
              <w:t>O</w:t>
            </w:r>
            <w:r w:rsidRPr="007E7E40">
              <w:rPr>
                <w:rFonts w:ascii="Times New Roman" w:hAnsi="Times New Roman"/>
                <w:sz w:val="24"/>
                <w:lang w:val="el-GR"/>
              </w:rPr>
              <w:t>-</w:t>
            </w:r>
            <w:r>
              <w:rPr>
                <w:rFonts w:ascii="Times New Roman" w:hAnsi="Times New Roman"/>
                <w:sz w:val="24"/>
              </w:rPr>
              <w:t>SII</w:t>
            </w:r>
            <w:r w:rsidRPr="007E7E40">
              <w:rPr>
                <w:rFonts w:ascii="Times New Roman" w:hAnsi="Times New Roman"/>
                <w:sz w:val="24"/>
                <w:lang w:val="el-GR"/>
              </w:rPr>
              <w:t>.</w:t>
            </w:r>
          </w:p>
        </w:tc>
      </w:tr>
      <w:tr w:rsidR="0023278E" w:rsidRPr="0008623B" w14:paraId="08100425" w14:textId="77777777" w:rsidTr="00E46262">
        <w:tc>
          <w:tcPr>
            <w:tcW w:w="1030" w:type="dxa"/>
            <w:vAlign w:val="top"/>
          </w:tcPr>
          <w:p w14:paraId="6C04F598" w14:textId="5E33E643" w:rsidR="0023278E" w:rsidRPr="0008623B" w:rsidRDefault="0023278E" w:rsidP="0023278E">
            <w:pPr>
              <w:rPr>
                <w:rFonts w:ascii="Times New Roman" w:hAnsi="Times New Roman" w:cs="Times New Roman"/>
                <w:sz w:val="24"/>
                <w:szCs w:val="24"/>
              </w:rPr>
            </w:pPr>
            <w:r>
              <w:rPr>
                <w:rFonts w:ascii="Times New Roman" w:hAnsi="Times New Roman"/>
                <w:sz w:val="24"/>
              </w:rPr>
              <w:t>EU-32</w:t>
            </w:r>
          </w:p>
        </w:tc>
        <w:tc>
          <w:tcPr>
            <w:tcW w:w="7736" w:type="dxa"/>
            <w:vAlign w:val="top"/>
          </w:tcPr>
          <w:p w14:paraId="154EB8B0" w14:textId="1395906F" w:rsidR="0023278E" w:rsidRPr="0008623B" w:rsidRDefault="0023278E" w:rsidP="0023278E">
            <w:pPr>
              <w:rPr>
                <w:rFonts w:ascii="Times New Roman" w:hAnsi="Times New Roman" w:cs="Times New Roman"/>
                <w:b/>
                <w:noProof/>
                <w:color w:val="000000" w:themeColor="text1"/>
                <w:sz w:val="24"/>
                <w:szCs w:val="24"/>
              </w:rPr>
            </w:pPr>
            <w:r w:rsidRPr="007E7E40">
              <w:rPr>
                <w:rFonts w:ascii="Times New Roman" w:hAnsi="Times New Roman"/>
                <w:b/>
                <w:color w:val="000000" w:themeColor="text1"/>
                <w:sz w:val="24"/>
                <w:lang w:val="el-GR"/>
              </w:rPr>
              <w:t xml:space="preserve">Συνολικό ποσό των εξαιρούμενων υποχρεώσεων που αναφέρονται στο άρθρο 72α παράγραφος 2 του κανονισμού (ΕΕ) αριθ. </w:t>
            </w:r>
            <w:r>
              <w:rPr>
                <w:rFonts w:ascii="Times New Roman" w:hAnsi="Times New Roman"/>
                <w:b/>
                <w:color w:val="000000" w:themeColor="text1"/>
                <w:sz w:val="24"/>
              </w:rPr>
              <w:t>575/2013</w:t>
            </w:r>
          </w:p>
        </w:tc>
      </w:tr>
    </w:tbl>
    <w:p w14:paraId="79FEC8BB" w14:textId="2A1A82F0" w:rsidR="005C7641"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ascii="Times New Roman" w:hAnsi="Times New Roman"/>
          <w:color w:val="auto"/>
          <w:sz w:val="24"/>
        </w:rPr>
        <w:lastRenderedPageBreak/>
        <w:t>4.</w:t>
      </w:r>
      <w:r>
        <w:rPr>
          <w:rFonts w:ascii="Times New Roman" w:hAnsi="Times New Roman"/>
          <w:color w:val="auto"/>
          <w:sz w:val="24"/>
        </w:rPr>
        <w:tab/>
        <w:t>EU ILAC: Εσωτερική ικανότητα απορρόφησης ζημιών: εσωτερική MREL και, κατά περίπτωση, απαίτηση ιδίων κεφαλαίων και επιλέξιμων υποχρεώσεων για G-SII εκτός ΕΕ</w:t>
      </w:r>
      <w:bookmarkStart w:id="208" w:name="_Toc14770785"/>
      <w:bookmarkEnd w:id="206"/>
      <w:bookmarkEnd w:id="208"/>
      <w:r>
        <w:rPr>
          <w:rFonts w:ascii="Times New Roman" w:hAnsi="Times New Roman"/>
          <w:color w:val="auto"/>
          <w:sz w:val="24"/>
        </w:rPr>
        <w:t xml:space="preserve"> (εσωτερική TLAC)</w:t>
      </w:r>
      <w:bookmarkEnd w:id="207"/>
    </w:p>
    <w:p w14:paraId="4B755467" w14:textId="5E1539C5" w:rsidR="00413CCD" w:rsidRPr="0008623B" w:rsidRDefault="00413CCD" w:rsidP="00B62DC9">
      <w:pPr>
        <w:pStyle w:val="InstructionsText2"/>
        <w:numPr>
          <w:ilvl w:val="0"/>
          <w:numId w:val="12"/>
        </w:numPr>
      </w:pPr>
      <w:r>
        <w:t>Στο παρόν υπόδειγμα παρουσιάζονται τα ίδια κεφάλαια και οι επιλέξιμες υποχρεώσεις των οντοτήτων που δεν είναι οι ίδιες οντότητες εξυγίανσης για τους σκοπούς της απαίτησης ιδίων κεφαλαίων και επιλέξιμων υποχρεώσεων που προβλέπεται στο άρθρο 45στ της οδηγίας 2014/59/ΕΕ (εσωτερική MREL), καθώς και της απαίτησης ιδίων κεφαλαίων και επιλέξιμων υποχρεώσεων για G-SII εκτός ΕΕ που εφαρμόζεται σε σημαντικές θυγατρικές G-SII τρίτων χωρών όπως προβλέπεται στο άρθρο 92β του κανονισμού (ΕΕ) αριθ. 575/2013 (εσωτερική TLAC).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Στήλες</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Νομικά κείμενα αναφοράς και οδηγίες</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α</w:t>
            </w:r>
          </w:p>
        </w:tc>
        <w:tc>
          <w:tcPr>
            <w:tcW w:w="7655" w:type="dxa"/>
          </w:tcPr>
          <w:p w14:paraId="054F4480" w14:textId="09D63B79" w:rsidR="00FF6326" w:rsidRPr="0008623B" w:rsidRDefault="00CB1021" w:rsidP="00F90B2E">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Οι οντότητες δημοσιοποιούν στη στήλη αυτή τις σχετικές πληροφορίες για την εσωτερική MREL σύμφωνα με τα άρθρα 45 και 45στ της οδηγίας 2014/59/ΕΕ.</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Pr>
                <w:color w:val="000000" w:themeColor="text1"/>
              </w:rPr>
              <w:t>β</w:t>
            </w:r>
          </w:p>
        </w:tc>
        <w:tc>
          <w:tcPr>
            <w:tcW w:w="7655" w:type="dxa"/>
          </w:tcPr>
          <w:p w14:paraId="353033F9" w14:textId="2CD18282" w:rsidR="00FF6326" w:rsidRPr="0008623B" w:rsidRDefault="00CB1021" w:rsidP="00F90B2E">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Οι οντότητες που είναι σημαντικές θυγατρικές G-SII εκτός ΕΕ σύμφωνα με το άρθρο 92β του κανονισμού (ΕΕ) αριθ. 575/2013 δημοσιοποιούν στη στήλη αυτή τις σχετικές πληροφορίες για την εσωτερική TLAC σύμφωνα με το άρθρο 92β του κανονισμού (ΕΕ) αριθ. 575/2013.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γ</w:t>
            </w:r>
          </w:p>
        </w:tc>
        <w:tc>
          <w:tcPr>
            <w:tcW w:w="7655" w:type="dxa"/>
          </w:tcPr>
          <w:p w14:paraId="5128BCFA" w14:textId="7C8880AD" w:rsidR="00FF6326" w:rsidRPr="0008623B" w:rsidRDefault="00560736" w:rsidP="00BF6482">
            <w:pPr>
              <w:autoSpaceDE w:val="0"/>
              <w:autoSpaceDN w:val="0"/>
              <w:adjustRightInd w:val="0"/>
              <w:spacing w:before="120" w:after="120"/>
              <w:rPr>
                <w:noProof/>
                <w:sz w:val="24"/>
                <w:szCs w:val="24"/>
              </w:rPr>
            </w:pPr>
            <w:r>
              <w:rPr>
                <w:rFonts w:ascii="Times New Roman" w:hAnsi="Times New Roman"/>
                <w:color w:val="000000" w:themeColor="text1"/>
                <w:sz w:val="24"/>
              </w:rPr>
              <w:t>Ποιοτικές πληροφορίες σχετικά με την εφαρμοστέα απαίτηση και το επίπεδο εφαρμογής.</w:t>
            </w:r>
          </w:p>
        </w:tc>
      </w:tr>
    </w:tbl>
    <w:p w14:paraId="11222185" w14:textId="77777777" w:rsidR="00FF6326" w:rsidRPr="00265073" w:rsidRDefault="00FF6326" w:rsidP="00FF6326">
      <w:pPr>
        <w:jc w:val="both"/>
        <w:rPr>
          <w:rFonts w:ascii="Times New Roman" w:hAnsi="Times New Roman" w:cs="Times New Roman"/>
          <w:bCs/>
          <w:noProof/>
          <w:color w:val="000000" w:themeColor="text1"/>
          <w:sz w:val="24"/>
          <w:szCs w:val="24"/>
        </w:rPr>
      </w:pPr>
    </w:p>
    <w:p w14:paraId="607A36F9" w14:textId="7120601E" w:rsidR="0082003D" w:rsidRPr="00265073" w:rsidRDefault="0082003D" w:rsidP="005C7641">
      <w:pPr>
        <w:jc w:val="both"/>
        <w:rPr>
          <w:rFonts w:ascii="Times New Roman" w:hAnsi="Times New Roman" w:cs="Times New Roman"/>
          <w:bCs/>
          <w:i/>
          <w:noProof/>
          <w:color w:val="000000" w:themeColor="text1"/>
          <w:sz w:val="24"/>
          <w:szCs w:val="24"/>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Γραμμή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7E7E40" w:rsidRDefault="00E46262" w:rsidP="00EF47A4">
            <w:pPr>
              <w:autoSpaceDE w:val="0"/>
              <w:autoSpaceDN w:val="0"/>
              <w:adjustRightInd w:val="0"/>
              <w:rPr>
                <w:rFonts w:ascii="Times New Roman" w:hAnsi="Times New Roman" w:cs="Times New Roman"/>
                <w:b/>
                <w:color w:val="000000" w:themeColor="text1"/>
                <w:sz w:val="24"/>
                <w:szCs w:val="24"/>
                <w:lang w:val="el-GR"/>
              </w:rPr>
            </w:pPr>
            <w:r w:rsidRPr="007E7E40">
              <w:rPr>
                <w:rFonts w:ascii="Times New Roman" w:hAnsi="Times New Roman"/>
                <w:b/>
                <w:color w:val="000000" w:themeColor="text1"/>
                <w:sz w:val="24"/>
                <w:lang w:val="el-GR"/>
              </w:rPr>
              <w:t>Νομικά κείμενα αναφοράς και οδηγίες</w:t>
            </w:r>
          </w:p>
        </w:tc>
      </w:tr>
      <w:tr w:rsidR="005D18F8" w:rsidRPr="0008623B" w14:paraId="4273A8E3" w14:textId="77777777" w:rsidTr="002A065A">
        <w:tc>
          <w:tcPr>
            <w:tcW w:w="1109" w:type="dxa"/>
            <w:vAlign w:val="top"/>
          </w:tcPr>
          <w:p w14:paraId="6FB9A622" w14:textId="17181A2D"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EU-1</w:t>
            </w:r>
          </w:p>
        </w:tc>
        <w:tc>
          <w:tcPr>
            <w:tcW w:w="7642" w:type="dxa"/>
          </w:tcPr>
          <w:p w14:paraId="33FA642D" w14:textId="4C8C035D" w:rsidR="005D18F8" w:rsidRPr="007E7E40" w:rsidRDefault="005D18F8" w:rsidP="005D18F8">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Υπόκειται η οντότητα σε απαίτηση ιδίων κεφαλαίων και επιλέξιμων υποχρεώσεων για </w:t>
            </w:r>
            <w:r>
              <w:rPr>
                <w:rFonts w:ascii="Times New Roman" w:hAnsi="Times New Roman"/>
                <w:b/>
                <w:color w:val="000000" w:themeColor="text1"/>
                <w:sz w:val="24"/>
              </w:rPr>
              <w:t>G</w:t>
            </w:r>
            <w:r w:rsidRPr="007E7E40">
              <w:rPr>
                <w:rFonts w:ascii="Times New Roman" w:hAnsi="Times New Roman"/>
                <w:b/>
                <w:color w:val="000000" w:themeColor="text1"/>
                <w:sz w:val="24"/>
                <w:lang w:val="el-GR"/>
              </w:rPr>
              <w:t>-</w:t>
            </w:r>
            <w:r>
              <w:rPr>
                <w:rFonts w:ascii="Times New Roman" w:hAnsi="Times New Roman"/>
                <w:b/>
                <w:color w:val="000000" w:themeColor="text1"/>
                <w:sz w:val="24"/>
              </w:rPr>
              <w:t>SII</w:t>
            </w:r>
            <w:r w:rsidRPr="007E7E40">
              <w:rPr>
                <w:rFonts w:ascii="Times New Roman" w:hAnsi="Times New Roman"/>
                <w:b/>
                <w:color w:val="000000" w:themeColor="text1"/>
                <w:sz w:val="24"/>
                <w:lang w:val="el-GR"/>
              </w:rPr>
              <w:t xml:space="preserve"> εκτός ΕΕ; (Ν/Ο)</w:t>
            </w:r>
          </w:p>
          <w:p w14:paraId="402765A8" w14:textId="58B96136" w:rsidR="005D18F8" w:rsidRPr="0008623B" w:rsidRDefault="005D18F8" w:rsidP="00F90B2E">
            <w:pPr>
              <w:rPr>
                <w:rFonts w:ascii="Times New Roman" w:hAnsi="Times New Roman" w:cs="Times New Roman"/>
                <w:noProof/>
                <w:color w:val="000000" w:themeColor="text1"/>
                <w:sz w:val="24"/>
                <w:szCs w:val="24"/>
              </w:rPr>
            </w:pPr>
            <w:r w:rsidRPr="007E7E40">
              <w:rPr>
                <w:rFonts w:ascii="Times New Roman" w:hAnsi="Times New Roman"/>
                <w:color w:val="000000" w:themeColor="text1"/>
                <w:sz w:val="24"/>
                <w:lang w:val="el-GR"/>
              </w:rPr>
              <w:t xml:space="preserve">Αν η οντότητα υπόκειται σε απαίτηση για εσωτερική </w:t>
            </w:r>
            <w:r>
              <w:rPr>
                <w:rFonts w:ascii="Times New Roman" w:hAnsi="Times New Roman"/>
                <w:color w:val="000000" w:themeColor="text1"/>
                <w:sz w:val="24"/>
              </w:rPr>
              <w:t>TLAC</w:t>
            </w:r>
            <w:r w:rsidRPr="007E7E40">
              <w:rPr>
                <w:rFonts w:ascii="Times New Roman" w:hAnsi="Times New Roman"/>
                <w:color w:val="000000" w:themeColor="text1"/>
                <w:sz w:val="24"/>
                <w:lang w:val="el-GR"/>
              </w:rPr>
              <w:t xml:space="preserve"> σύμφωνα με το άρθρο 92β του κανονισμού (ΕΕ) αριθ. </w:t>
            </w:r>
            <w:r>
              <w:rPr>
                <w:rFonts w:ascii="Times New Roman" w:hAnsi="Times New Roman"/>
                <w:color w:val="000000" w:themeColor="text1"/>
                <w:sz w:val="24"/>
              </w:rPr>
              <w:t>575/2013.</w:t>
            </w:r>
          </w:p>
        </w:tc>
      </w:tr>
      <w:tr w:rsidR="005D18F8" w:rsidRPr="0008623B" w14:paraId="753D9E0C" w14:textId="77777777" w:rsidTr="002A065A">
        <w:tc>
          <w:tcPr>
            <w:tcW w:w="1109" w:type="dxa"/>
            <w:vAlign w:val="top"/>
          </w:tcPr>
          <w:p w14:paraId="4D6276FA" w14:textId="29D2C84A"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EU-2</w:t>
            </w:r>
          </w:p>
        </w:tc>
        <w:tc>
          <w:tcPr>
            <w:tcW w:w="7642" w:type="dxa"/>
          </w:tcPr>
          <w:p w14:paraId="5580A119" w14:textId="4279FE54" w:rsidR="005D18F8" w:rsidRPr="007E7E40" w:rsidRDefault="005D18F8" w:rsidP="005D18F8">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Εάν η απάντηση στη γραμμή </w:t>
            </w:r>
            <w:r>
              <w:rPr>
                <w:rFonts w:ascii="Times New Roman" w:hAnsi="Times New Roman"/>
                <w:b/>
                <w:color w:val="000000" w:themeColor="text1"/>
                <w:sz w:val="24"/>
              </w:rPr>
              <w:t>EU</w:t>
            </w:r>
            <w:r w:rsidRPr="007E7E40">
              <w:rPr>
                <w:rFonts w:ascii="Times New Roman" w:hAnsi="Times New Roman"/>
                <w:b/>
                <w:color w:val="000000" w:themeColor="text1"/>
                <w:sz w:val="24"/>
                <w:lang w:val="el-GR"/>
              </w:rPr>
              <w:t>-1 είναι «Ναι», η απαίτηση εφαρμόζεται σε ενοποιημένη ή ατομική βάση; (Ε/Α)</w:t>
            </w:r>
          </w:p>
          <w:p w14:paraId="16349591" w14:textId="439F9DE2" w:rsidR="005D18F8" w:rsidRPr="007E7E40" w:rsidRDefault="005D18F8" w:rsidP="005D18F8">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Αν η οντότητα υπόκειται στην απαίτηση για εσωτερική </w:t>
            </w:r>
            <w:r>
              <w:rPr>
                <w:rFonts w:ascii="Times New Roman" w:hAnsi="Times New Roman"/>
                <w:color w:val="000000" w:themeColor="text1"/>
                <w:sz w:val="24"/>
              </w:rPr>
              <w:t>TLAC</w:t>
            </w:r>
            <w:r w:rsidRPr="007E7E40">
              <w:rPr>
                <w:rFonts w:ascii="Times New Roman" w:hAnsi="Times New Roman"/>
                <w:color w:val="000000" w:themeColor="text1"/>
                <w:sz w:val="24"/>
                <w:lang w:val="el-GR"/>
              </w:rPr>
              <w:t xml:space="preserve"> σε ενοποιημένη ή ατομική βάση, σύμφωνα με το άρθρο 18 του κανονισμού (ΕΕ) αριθ. 575/2013.</w:t>
            </w:r>
          </w:p>
          <w:p w14:paraId="557B461D" w14:textId="0A55FA2A" w:rsidR="005D18F8" w:rsidRPr="007E7E40" w:rsidRDefault="005D18F8" w:rsidP="00282ED2">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Όταν η απαίτηση εφαρμόζεται σε ενοποιημένη βάση, ολόκληρο το παρόν υπόδειγμα συμπληρώνεται σε ενοποιημένη βάση. Σε όλες τις άλλες περιπτώσεις, το παρόν υπόδειγμα συμπληρώνεται σε ατομική βάση.</w:t>
            </w:r>
          </w:p>
        </w:tc>
      </w:tr>
      <w:tr w:rsidR="005C4469" w:rsidRPr="0008623B" w14:paraId="3EFBB389" w14:textId="77777777" w:rsidTr="002A065A">
        <w:tc>
          <w:tcPr>
            <w:tcW w:w="1109" w:type="dxa"/>
            <w:vAlign w:val="top"/>
          </w:tcPr>
          <w:p w14:paraId="5EB99A90" w14:textId="2812B76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lastRenderedPageBreak/>
              <w:t>EU-2α</w:t>
            </w:r>
          </w:p>
        </w:tc>
        <w:tc>
          <w:tcPr>
            <w:tcW w:w="7642" w:type="dxa"/>
          </w:tcPr>
          <w:p w14:paraId="116B6FE4" w14:textId="5D78B194" w:rsidR="005C4469" w:rsidRPr="007E7E40" w:rsidRDefault="005C4469" w:rsidP="0067299C">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Υπόκειται η οντότητα σε εσωτερική </w:t>
            </w:r>
            <w:r>
              <w:rPr>
                <w:rFonts w:ascii="Times New Roman" w:hAnsi="Times New Roman"/>
                <w:b/>
                <w:color w:val="000000" w:themeColor="text1"/>
                <w:sz w:val="24"/>
              </w:rPr>
              <w:t>MREL</w:t>
            </w:r>
            <w:r w:rsidRPr="007E7E40">
              <w:rPr>
                <w:rFonts w:ascii="Times New Roman" w:hAnsi="Times New Roman"/>
                <w:b/>
                <w:color w:val="000000" w:themeColor="text1"/>
                <w:sz w:val="24"/>
                <w:lang w:val="el-GR"/>
              </w:rPr>
              <w:t>; (Ν/Ο)</w:t>
            </w:r>
          </w:p>
          <w:p w14:paraId="61B02EAE" w14:textId="61E31496" w:rsidR="005C4469" w:rsidRPr="007E7E40" w:rsidRDefault="005C4469" w:rsidP="00B24DB1">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Αν η οντότητα υπόκειται σε </w:t>
            </w:r>
            <w:r>
              <w:rPr>
                <w:rFonts w:ascii="Times New Roman" w:hAnsi="Times New Roman"/>
                <w:color w:val="000000" w:themeColor="text1"/>
                <w:sz w:val="24"/>
              </w:rPr>
              <w:t>MREL</w:t>
            </w:r>
            <w:r w:rsidRPr="007E7E40">
              <w:rPr>
                <w:rFonts w:ascii="Times New Roman" w:hAnsi="Times New Roman"/>
                <w:color w:val="000000" w:themeColor="text1"/>
                <w:sz w:val="24"/>
                <w:lang w:val="el-GR"/>
              </w:rPr>
              <w:t xml:space="preserve"> σύμφωνα με τα άρθρα 45 και 45στ της οδηγίας 2014/59/ΕΕ.</w:t>
            </w:r>
          </w:p>
        </w:tc>
      </w:tr>
      <w:tr w:rsidR="005C4469" w:rsidRPr="0008623B" w14:paraId="1E79865E" w14:textId="77777777" w:rsidTr="002A065A">
        <w:tc>
          <w:tcPr>
            <w:tcW w:w="1109" w:type="dxa"/>
            <w:vAlign w:val="top"/>
          </w:tcPr>
          <w:p w14:paraId="59235EF1" w14:textId="1C47DD1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EU-2β</w:t>
            </w:r>
          </w:p>
        </w:tc>
        <w:tc>
          <w:tcPr>
            <w:tcW w:w="7642" w:type="dxa"/>
          </w:tcPr>
          <w:p w14:paraId="3CFE2B07" w14:textId="0BF8D801" w:rsidR="005C4469" w:rsidRPr="007E7E40" w:rsidRDefault="005C4469" w:rsidP="0067299C">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Εάν η απάντηση στη γραμμή </w:t>
            </w:r>
            <w:r>
              <w:rPr>
                <w:rFonts w:ascii="Times New Roman" w:hAnsi="Times New Roman"/>
                <w:b/>
                <w:color w:val="000000" w:themeColor="text1"/>
                <w:sz w:val="24"/>
              </w:rPr>
              <w:t>EU</w:t>
            </w:r>
            <w:r w:rsidRPr="007E7E40">
              <w:rPr>
                <w:rFonts w:ascii="Times New Roman" w:hAnsi="Times New Roman"/>
                <w:b/>
                <w:color w:val="000000" w:themeColor="text1"/>
                <w:sz w:val="24"/>
                <w:lang w:val="el-GR"/>
              </w:rPr>
              <w:t>-2α είναι «Ναι», η απαίτηση εφαρμόζεται σε ενοποιημένη ή ατομική βάση; (Ε/Α) (Ε/Α)</w:t>
            </w:r>
          </w:p>
          <w:p w14:paraId="7DC57F76" w14:textId="22478F28" w:rsidR="005C4469" w:rsidRPr="007E7E40" w:rsidRDefault="005C4469" w:rsidP="0067299C">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Αν η οντότητα υπόκειται σε εσωτερική </w:t>
            </w:r>
            <w:r>
              <w:rPr>
                <w:rFonts w:ascii="Times New Roman" w:hAnsi="Times New Roman"/>
                <w:color w:val="000000" w:themeColor="text1"/>
                <w:sz w:val="24"/>
              </w:rPr>
              <w:t>MREL</w:t>
            </w:r>
            <w:r w:rsidRPr="007E7E40">
              <w:rPr>
                <w:rFonts w:ascii="Times New Roman" w:hAnsi="Times New Roman"/>
                <w:color w:val="000000" w:themeColor="text1"/>
                <w:sz w:val="24"/>
                <w:lang w:val="el-GR"/>
              </w:rPr>
              <w:t xml:space="preserve"> σε ενοποιημένη ή ατομική βάση.</w:t>
            </w:r>
          </w:p>
          <w:p w14:paraId="4FC6F388" w14:textId="244D10B7" w:rsidR="005C4469" w:rsidRPr="007E7E40" w:rsidRDefault="005C4469" w:rsidP="0067299C">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Όταν η απαίτηση εφαρμόζεται σε ενοποιημένη βάση, ολόκληρο το παρόν υπόδειγμα συμπληρώνεται σε ενοποιημένη βάση. Σε όλες τις άλλες περιπτώσεις, το παρόν υπόδειγμα συμπληρώνεται σε ατομική βάση.</w:t>
            </w:r>
          </w:p>
        </w:tc>
      </w:tr>
      <w:tr w:rsidR="005D18F8" w:rsidRPr="0008623B" w14:paraId="4F5D32F0" w14:textId="77777777" w:rsidTr="002A065A">
        <w:tc>
          <w:tcPr>
            <w:tcW w:w="1109" w:type="dxa"/>
            <w:vAlign w:val="top"/>
          </w:tcPr>
          <w:p w14:paraId="6EF5BD76" w14:textId="64835762"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EU-3</w:t>
            </w:r>
          </w:p>
        </w:tc>
        <w:tc>
          <w:tcPr>
            <w:tcW w:w="7642" w:type="dxa"/>
          </w:tcPr>
          <w:p w14:paraId="6472530C" w14:textId="5849D3C6" w:rsidR="005D18F8" w:rsidRPr="007E7E40" w:rsidRDefault="005D18F8" w:rsidP="005D18F8">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Κεφάλαιο κοινών μετοχών της κατηγορίας 1 (</w:t>
            </w:r>
            <w:r>
              <w:rPr>
                <w:rFonts w:ascii="Times New Roman" w:hAnsi="Times New Roman"/>
                <w:b/>
                <w:color w:val="000000" w:themeColor="text1"/>
                <w:sz w:val="24"/>
              </w:rPr>
              <w:t>CET</w:t>
            </w:r>
            <w:r w:rsidRPr="007E7E40">
              <w:rPr>
                <w:rFonts w:ascii="Times New Roman" w:hAnsi="Times New Roman"/>
                <w:b/>
                <w:color w:val="000000" w:themeColor="text1"/>
                <w:sz w:val="24"/>
                <w:lang w:val="el-GR"/>
              </w:rPr>
              <w:t>1)</w:t>
            </w:r>
          </w:p>
          <w:p w14:paraId="071B676A" w14:textId="2ECC0EBE" w:rsidR="005D18F8" w:rsidRPr="007E7E40" w:rsidRDefault="003D0BF6" w:rsidP="005D18F8">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Άρθρο</w:t>
            </w:r>
            <w:r>
              <w:rPr>
                <w:rFonts w:ascii="Times New Roman" w:hAnsi="Times New Roman"/>
                <w:color w:val="000000" w:themeColor="text1"/>
                <w:sz w:val="24"/>
              </w:rPr>
              <w:t> </w:t>
            </w:r>
            <w:r w:rsidRPr="007E7E40">
              <w:rPr>
                <w:rFonts w:ascii="Times New Roman" w:hAnsi="Times New Roman"/>
                <w:color w:val="000000" w:themeColor="text1"/>
                <w:sz w:val="24"/>
                <w:lang w:val="el-GR"/>
              </w:rPr>
              <w:t>50 του κανονισμού (ΕΕ) αριθ.</w:t>
            </w:r>
            <w:r>
              <w:rPr>
                <w:rFonts w:ascii="Times New Roman" w:hAnsi="Times New Roman"/>
                <w:color w:val="000000" w:themeColor="text1"/>
                <w:sz w:val="24"/>
              </w:rPr>
              <w:t> </w:t>
            </w:r>
            <w:r w:rsidRPr="007E7E40">
              <w:rPr>
                <w:rFonts w:ascii="Times New Roman" w:hAnsi="Times New Roman"/>
                <w:color w:val="000000" w:themeColor="text1"/>
                <w:sz w:val="24"/>
                <w:lang w:val="el-GR"/>
              </w:rPr>
              <w:t>575/2013</w:t>
            </w:r>
          </w:p>
          <w:p w14:paraId="224515AC" w14:textId="760620BD" w:rsidR="005D18F8" w:rsidRPr="0008623B" w:rsidRDefault="005D18F8" w:rsidP="00FF6326">
            <w:pPr>
              <w:rPr>
                <w:rFonts w:ascii="Times New Roman" w:hAnsi="Times New Roman" w:cs="Times New Roman"/>
                <w:noProof/>
                <w:color w:val="000000" w:themeColor="text1"/>
                <w:sz w:val="24"/>
                <w:szCs w:val="24"/>
              </w:rPr>
            </w:pPr>
            <w:r w:rsidRPr="007E7E40">
              <w:rPr>
                <w:rFonts w:ascii="Times New Roman" w:hAnsi="Times New Roman"/>
                <w:color w:val="000000" w:themeColor="text1"/>
                <w:sz w:val="24"/>
                <w:lang w:val="el-GR"/>
              </w:rPr>
              <w:t xml:space="preserve">Κεφάλαιο </w:t>
            </w:r>
            <w:r>
              <w:rPr>
                <w:rFonts w:ascii="Times New Roman" w:hAnsi="Times New Roman"/>
                <w:color w:val="000000" w:themeColor="text1"/>
                <w:sz w:val="24"/>
              </w:rPr>
              <w:t>CET</w:t>
            </w:r>
            <w:r w:rsidRPr="007E7E40">
              <w:rPr>
                <w:rFonts w:ascii="Times New Roman" w:hAnsi="Times New Roman"/>
                <w:color w:val="000000" w:themeColor="text1"/>
                <w:sz w:val="24"/>
                <w:lang w:val="el-GR"/>
              </w:rPr>
              <w:t xml:space="preserve">1, σε ατομική ή ενοποιημένη βάση, κατά περίπτωση, σύμφωνα με το άρθρο 50 του κανονισμού (ΕΕ) αριθ. </w:t>
            </w:r>
            <w:r>
              <w:rPr>
                <w:rFonts w:ascii="Times New Roman" w:hAnsi="Times New Roman"/>
                <w:color w:val="000000" w:themeColor="text1"/>
                <w:sz w:val="24"/>
              </w:rPr>
              <w:t>575/2013.</w:t>
            </w:r>
          </w:p>
        </w:tc>
      </w:tr>
      <w:tr w:rsidR="005D18F8" w:rsidRPr="0008623B" w14:paraId="65D6A57F" w14:textId="77777777" w:rsidTr="002A065A">
        <w:tc>
          <w:tcPr>
            <w:tcW w:w="1109" w:type="dxa"/>
            <w:vAlign w:val="top"/>
          </w:tcPr>
          <w:p w14:paraId="77011BCF" w14:textId="1DBC2D36" w:rsidR="005D18F8" w:rsidRPr="0008623B" w:rsidRDefault="005D18F8" w:rsidP="006A52ED">
            <w:pPr>
              <w:rPr>
                <w:rFonts w:ascii="Times New Roman" w:hAnsi="Times New Roman" w:cs="Times New Roman"/>
                <w:noProof/>
                <w:color w:val="000000" w:themeColor="text1"/>
                <w:sz w:val="24"/>
                <w:szCs w:val="24"/>
              </w:rPr>
            </w:pPr>
            <w:r>
              <w:rPr>
                <w:rFonts w:ascii="Times New Roman" w:hAnsi="Times New Roman"/>
                <w:sz w:val="24"/>
              </w:rPr>
              <w:t>EU-4</w:t>
            </w:r>
          </w:p>
        </w:tc>
        <w:tc>
          <w:tcPr>
            <w:tcW w:w="7642" w:type="dxa"/>
          </w:tcPr>
          <w:p w14:paraId="38EE0035" w14:textId="22F8D01E" w:rsidR="005D18F8" w:rsidRPr="007E7E40" w:rsidRDefault="008A0AF3" w:rsidP="005D18F8">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Επιλέξιμο πρόσθετο κεφάλαιο της κατηγορίας 1 </w:t>
            </w:r>
          </w:p>
          <w:p w14:paraId="0249C867" w14:textId="75BBE4E4" w:rsidR="00563C8D" w:rsidRPr="007E7E40" w:rsidRDefault="003D0BF6" w:rsidP="00510C0E">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Άρθρο</w:t>
            </w:r>
            <w:r>
              <w:rPr>
                <w:rFonts w:ascii="Times New Roman" w:hAnsi="Times New Roman"/>
                <w:color w:val="000000" w:themeColor="text1"/>
                <w:sz w:val="24"/>
              </w:rPr>
              <w:t> </w:t>
            </w:r>
            <w:r w:rsidRPr="007E7E40">
              <w:rPr>
                <w:rFonts w:ascii="Times New Roman" w:hAnsi="Times New Roman"/>
                <w:color w:val="000000" w:themeColor="text1"/>
                <w:sz w:val="24"/>
                <w:lang w:val="el-GR"/>
              </w:rPr>
              <w:t>61 του κανονισμού (ΕΕ) αριθ.</w:t>
            </w:r>
            <w:r>
              <w:rPr>
                <w:rFonts w:ascii="Times New Roman" w:hAnsi="Times New Roman"/>
                <w:color w:val="000000" w:themeColor="text1"/>
                <w:sz w:val="24"/>
              </w:rPr>
              <w:t> </w:t>
            </w:r>
            <w:r w:rsidRPr="007E7E40">
              <w:rPr>
                <w:rFonts w:ascii="Times New Roman" w:hAnsi="Times New Roman"/>
                <w:color w:val="000000" w:themeColor="text1"/>
                <w:sz w:val="24"/>
                <w:lang w:val="el-GR"/>
              </w:rPr>
              <w:t>575/2013</w:t>
            </w:r>
          </w:p>
          <w:p w14:paraId="5A71C48F" w14:textId="27B14A49" w:rsidR="005D18F8" w:rsidRPr="007E7E40" w:rsidRDefault="00FF6326" w:rsidP="00282ED2">
            <w:pPr>
              <w:rPr>
                <w:rFonts w:ascii="Times New Roman" w:hAnsi="Times New Roman" w:cs="Times New Roman"/>
                <w:noProof/>
                <w:color w:val="000000" w:themeColor="text1"/>
                <w:sz w:val="24"/>
                <w:szCs w:val="24"/>
                <w:lang w:val="el-GR"/>
              </w:rPr>
            </w:pPr>
            <w:r w:rsidRPr="007E7E40">
              <w:rPr>
                <w:rFonts w:ascii="Times New Roman" w:hAnsi="Times New Roman"/>
                <w:sz w:val="24"/>
                <w:lang w:val="el-GR"/>
              </w:rPr>
              <w:t xml:space="preserve">Τα πρόσθετα μέσα της κατηγορίας 1 λαμβάνονται υπόψη μόνον εφόσον πληρούν τα κριτήρια που καθορίζονται στο άρθρο 92β του κανονισμού (ΕΕ) αριθ. 575/2013 και στο άρθρο 45στ παράγραφος 2 στοιχείο β) σημείο </w:t>
            </w:r>
            <w:r>
              <w:rPr>
                <w:rFonts w:ascii="Times New Roman" w:hAnsi="Times New Roman"/>
                <w:sz w:val="24"/>
              </w:rPr>
              <w:t>ii</w:t>
            </w:r>
            <w:r w:rsidRPr="007E7E40">
              <w:rPr>
                <w:rFonts w:ascii="Times New Roman" w:hAnsi="Times New Roman"/>
                <w:sz w:val="24"/>
                <w:lang w:val="el-GR"/>
              </w:rPr>
              <w:t>) της οδηγίας 2014/59/ΕΕ.</w:t>
            </w:r>
          </w:p>
          <w:p w14:paraId="0094C1AC" w14:textId="45113FD1" w:rsidR="007600E9" w:rsidRPr="007E7E40" w:rsidRDefault="007600E9" w:rsidP="00D950BA">
            <w:pPr>
              <w:rPr>
                <w:rFonts w:ascii="Times New Roman" w:hAnsi="Times New Roman" w:cs="Times New Roman"/>
                <w:b/>
                <w:noProof/>
                <w:color w:val="000000" w:themeColor="text1"/>
                <w:sz w:val="24"/>
                <w:szCs w:val="24"/>
                <w:lang w:val="el-GR"/>
              </w:rPr>
            </w:pPr>
            <w:r w:rsidRPr="007E7E40">
              <w:rPr>
                <w:rStyle w:val="FormatvorlageInstructionsTabelleText"/>
                <w:rFonts w:ascii="Times New Roman" w:hAnsi="Times New Roman"/>
                <w:sz w:val="24"/>
                <w:lang w:val="el-GR"/>
              </w:rPr>
              <w:t xml:space="preserve">Στην περίπτωση της εσωτερικής </w:t>
            </w:r>
            <w:r>
              <w:rPr>
                <w:rStyle w:val="FormatvorlageInstructionsTabelleText"/>
                <w:rFonts w:ascii="Times New Roman" w:hAnsi="Times New Roman"/>
                <w:sz w:val="24"/>
              </w:rPr>
              <w:t>MREL</w:t>
            </w:r>
            <w:r w:rsidRPr="007E7E40">
              <w:rPr>
                <w:rStyle w:val="FormatvorlageInstructionsTabelleText"/>
                <w:rFonts w:ascii="Times New Roman" w:hAnsi="Times New Roman"/>
                <w:sz w:val="24"/>
                <w:lang w:val="el-GR"/>
              </w:rPr>
              <w:t>, τα μέσα που αναφέρονται στο άρθρο 89 παράγραφος 2 τέταρτο εδάφιο της οδηγίας 2014/59/ΕΕ συμπεριλαμβάνονται όταν εφαρμόζεται η εν λόγω παράγραφος. Τα μέσα που διέπονται από το δίκαιο τρίτης χώρας συμπεριλαμβάνονται μόνον εφόσον πληρούν τις απαιτήσεις του άρθρου 55 της οδηγίας 2014/59/ΕΕ.</w:t>
            </w:r>
          </w:p>
        </w:tc>
      </w:tr>
      <w:tr w:rsidR="005D18F8" w:rsidRPr="0008623B" w14:paraId="26CF63CA" w14:textId="77777777" w:rsidTr="002A065A">
        <w:tc>
          <w:tcPr>
            <w:tcW w:w="1109" w:type="dxa"/>
          </w:tcPr>
          <w:p w14:paraId="7590CA0F" w14:textId="3E55E188" w:rsidR="005D18F8" w:rsidRPr="0008623B" w:rsidRDefault="006A52ED"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EU-5</w:t>
            </w:r>
          </w:p>
        </w:tc>
        <w:tc>
          <w:tcPr>
            <w:tcW w:w="7642" w:type="dxa"/>
          </w:tcPr>
          <w:p w14:paraId="1D3C1105" w14:textId="5B6AF4D8" w:rsidR="005D18F8" w:rsidRPr="007E7E40" w:rsidRDefault="008A0AF3" w:rsidP="005D18F8">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Επιλέξιμο κεφάλαιο της κατηγορίας 2</w:t>
            </w:r>
          </w:p>
          <w:p w14:paraId="7C05E6B8" w14:textId="2FF703C8" w:rsidR="00282ED2" w:rsidRPr="007E7E40" w:rsidRDefault="003D0BF6" w:rsidP="00282ED2">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Άρθρο</w:t>
            </w:r>
            <w:r>
              <w:rPr>
                <w:rFonts w:ascii="Times New Roman" w:hAnsi="Times New Roman"/>
                <w:color w:val="000000" w:themeColor="text1"/>
                <w:sz w:val="24"/>
              </w:rPr>
              <w:t> </w:t>
            </w:r>
            <w:r w:rsidRPr="007E7E40">
              <w:rPr>
                <w:rFonts w:ascii="Times New Roman" w:hAnsi="Times New Roman"/>
                <w:color w:val="000000" w:themeColor="text1"/>
                <w:sz w:val="24"/>
                <w:lang w:val="el-GR"/>
              </w:rPr>
              <w:t>71 του κανονισμού (ΕΕ) αριθ.</w:t>
            </w:r>
            <w:r>
              <w:rPr>
                <w:rFonts w:ascii="Times New Roman" w:hAnsi="Times New Roman"/>
                <w:color w:val="000000" w:themeColor="text1"/>
                <w:sz w:val="24"/>
              </w:rPr>
              <w:t> </w:t>
            </w:r>
            <w:r w:rsidRPr="007E7E40">
              <w:rPr>
                <w:rFonts w:ascii="Times New Roman" w:hAnsi="Times New Roman"/>
                <w:color w:val="000000" w:themeColor="text1"/>
                <w:sz w:val="24"/>
                <w:lang w:val="el-GR"/>
              </w:rPr>
              <w:t xml:space="preserve">575/2013 </w:t>
            </w:r>
          </w:p>
          <w:p w14:paraId="3807E78A" w14:textId="1358321A" w:rsidR="005D18F8" w:rsidRPr="007E7E40" w:rsidRDefault="002924A2" w:rsidP="00282ED2">
            <w:pPr>
              <w:rPr>
                <w:rFonts w:ascii="Times New Roman" w:hAnsi="Times New Roman" w:cs="Times New Roman"/>
                <w:noProof/>
                <w:color w:val="000000" w:themeColor="text1"/>
                <w:sz w:val="24"/>
                <w:szCs w:val="24"/>
                <w:lang w:val="el-GR"/>
              </w:rPr>
            </w:pPr>
            <w:r w:rsidRPr="007E7E40">
              <w:rPr>
                <w:rFonts w:ascii="Times New Roman" w:hAnsi="Times New Roman"/>
                <w:sz w:val="24"/>
                <w:lang w:val="el-GR"/>
              </w:rPr>
              <w:t xml:space="preserve">Τα μέσα της κατηγορίας 2 λαμβάνονται υπόψη μόνον εφόσον πληρούν τα κριτήρια που καθορίζονται στο άρθρο 92β του κανονισμού (ΕΕ) αριθ. 575/2013 και στο άρθρο 45στ παράγραφος 2 στοιχείο β) σημείο </w:t>
            </w:r>
            <w:r>
              <w:rPr>
                <w:rFonts w:ascii="Times New Roman" w:hAnsi="Times New Roman"/>
                <w:sz w:val="24"/>
              </w:rPr>
              <w:t>ii</w:t>
            </w:r>
            <w:r w:rsidRPr="007E7E40">
              <w:rPr>
                <w:rFonts w:ascii="Times New Roman" w:hAnsi="Times New Roman"/>
                <w:sz w:val="24"/>
                <w:lang w:val="el-GR"/>
              </w:rPr>
              <w:t>) της οδηγίας 2014/59/ΕΕ.</w:t>
            </w:r>
          </w:p>
          <w:p w14:paraId="6CBCECA5" w14:textId="0194AD8C" w:rsidR="007600E9" w:rsidRPr="007E7E40" w:rsidRDefault="007600E9" w:rsidP="00282ED2">
            <w:pPr>
              <w:rPr>
                <w:rFonts w:ascii="Times New Roman" w:hAnsi="Times New Roman" w:cs="Times New Roman"/>
                <w:noProof/>
                <w:color w:val="000000" w:themeColor="text1"/>
                <w:sz w:val="24"/>
                <w:szCs w:val="24"/>
                <w:lang w:val="el-GR"/>
              </w:rPr>
            </w:pPr>
            <w:r w:rsidRPr="007E7E40">
              <w:rPr>
                <w:rStyle w:val="FormatvorlageInstructionsTabelleText"/>
                <w:rFonts w:ascii="Times New Roman" w:hAnsi="Times New Roman"/>
                <w:sz w:val="24"/>
                <w:lang w:val="el-GR"/>
              </w:rPr>
              <w:t xml:space="preserve">Στην περίπτωση της εσωτερικής </w:t>
            </w:r>
            <w:r>
              <w:rPr>
                <w:rStyle w:val="FormatvorlageInstructionsTabelleText"/>
                <w:rFonts w:ascii="Times New Roman" w:hAnsi="Times New Roman"/>
                <w:sz w:val="24"/>
              </w:rPr>
              <w:t>MREL</w:t>
            </w:r>
            <w:r w:rsidRPr="007E7E40">
              <w:rPr>
                <w:rStyle w:val="FormatvorlageInstructionsTabelleText"/>
                <w:rFonts w:ascii="Times New Roman" w:hAnsi="Times New Roman"/>
                <w:sz w:val="24"/>
                <w:lang w:val="el-GR"/>
              </w:rPr>
              <w:t>, τα μέσα που αναφέρονται στο άρθρο 89 παράγραφος 2 τέταρτο εδάφιο της οδηγίας 2014/59/ΕΕ συμπεριλαμβάνονται όταν εφαρμόζεται η εν λόγω παράγραφος. Τα μέσα που διέπονται από το δίκαιο τρίτης χώρας συμπεριλαμβάνονται μόνον εφόσον πληρούν τις απαιτήσεις του άρθρου 55 της οδηγίας 2014/59/ΕΕ.</w:t>
            </w:r>
          </w:p>
        </w:tc>
      </w:tr>
      <w:tr w:rsidR="00026FC1" w:rsidRPr="0008623B" w14:paraId="2919AE1B" w14:textId="77777777" w:rsidTr="002A065A">
        <w:tc>
          <w:tcPr>
            <w:tcW w:w="1109" w:type="dxa"/>
          </w:tcPr>
          <w:p w14:paraId="251A5712" w14:textId="4B2177BA" w:rsidR="00B907A2" w:rsidRPr="0008623B" w:rsidRDefault="006A52ED" w:rsidP="00B907A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EU-6</w:t>
            </w:r>
          </w:p>
        </w:tc>
        <w:tc>
          <w:tcPr>
            <w:tcW w:w="7642" w:type="dxa"/>
          </w:tcPr>
          <w:p w14:paraId="37F48E22" w14:textId="01DDD07A" w:rsidR="00B907A2" w:rsidRPr="007E7E40" w:rsidRDefault="00310603">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Επιλέξιμα ίδια κεφάλαια</w:t>
            </w:r>
          </w:p>
          <w:p w14:paraId="02484207" w14:textId="3BBDA43F" w:rsidR="00B907A2" w:rsidRPr="007E7E40" w:rsidRDefault="00F42DCD" w:rsidP="00AB7C15">
            <w:pPr>
              <w:rPr>
                <w:rFonts w:ascii="Times New Roman" w:hAnsi="Times New Roman" w:cs="Times New Roman"/>
                <w:noProof/>
                <w:color w:val="000000" w:themeColor="text1"/>
                <w:sz w:val="24"/>
                <w:szCs w:val="24"/>
                <w:lang w:val="el-GR"/>
              </w:rPr>
            </w:pPr>
            <w:r w:rsidRPr="007E7E40">
              <w:rPr>
                <w:rStyle w:val="FormatvorlageInstructionsTabelleText"/>
                <w:rFonts w:ascii="Times New Roman" w:hAnsi="Times New Roman"/>
                <w:sz w:val="24"/>
                <w:lang w:val="el-GR"/>
              </w:rPr>
              <w:t xml:space="preserve">Το άθροισμα του κεφαλαίου </w:t>
            </w:r>
            <w:r>
              <w:rPr>
                <w:rStyle w:val="FormatvorlageInstructionsTabelleText"/>
                <w:rFonts w:ascii="Times New Roman" w:hAnsi="Times New Roman"/>
                <w:sz w:val="24"/>
              </w:rPr>
              <w:t>CET</w:t>
            </w:r>
            <w:r w:rsidRPr="007E7E40">
              <w:rPr>
                <w:rStyle w:val="FormatvorlageInstructionsTabelleText"/>
                <w:rFonts w:ascii="Times New Roman" w:hAnsi="Times New Roman"/>
                <w:sz w:val="24"/>
                <w:lang w:val="el-GR"/>
              </w:rPr>
              <w:t>1, του επιλέξιμου πρόσθετου κεφαλαίου της κατηγορίας 1 και του επιλέξιμου κεφαλαίου της κατηγορίας 2.</w:t>
            </w:r>
          </w:p>
        </w:tc>
      </w:tr>
      <w:tr w:rsidR="00026FC1" w:rsidRPr="0008623B" w14:paraId="30D7B21F" w14:textId="77777777" w:rsidTr="002A065A">
        <w:tc>
          <w:tcPr>
            <w:tcW w:w="1109" w:type="dxa"/>
          </w:tcPr>
          <w:p w14:paraId="5D54FF19" w14:textId="5DFAFBC0" w:rsidR="006A383B" w:rsidRPr="0008623B" w:rsidRDefault="00F42DCD" w:rsidP="006A383B">
            <w:pPr>
              <w:rPr>
                <w:rFonts w:ascii="Times New Roman" w:hAnsi="Times New Roman" w:cs="Times New Roman"/>
                <w:noProof/>
                <w:color w:val="000000" w:themeColor="text1"/>
                <w:sz w:val="24"/>
                <w:szCs w:val="24"/>
              </w:rPr>
            </w:pPr>
            <w:r>
              <w:rPr>
                <w:rFonts w:ascii="Times New Roman" w:hAnsi="Times New Roman"/>
                <w:color w:val="000000" w:themeColor="text1"/>
                <w:sz w:val="24"/>
              </w:rPr>
              <w:t>EU-7</w:t>
            </w:r>
          </w:p>
        </w:tc>
        <w:tc>
          <w:tcPr>
            <w:tcW w:w="7642" w:type="dxa"/>
          </w:tcPr>
          <w:p w14:paraId="3BF153BB" w14:textId="618EB7D0" w:rsidR="006A383B" w:rsidRPr="007E7E40" w:rsidRDefault="006A383B" w:rsidP="006A383B">
            <w:pPr>
              <w:rPr>
                <w:rFonts w:ascii="Times New Roman" w:hAnsi="Times New Roman" w:cs="Times New Roman"/>
                <w:b/>
                <w:color w:val="000000" w:themeColor="text1"/>
                <w:sz w:val="24"/>
                <w:szCs w:val="24"/>
                <w:lang w:val="el-GR"/>
              </w:rPr>
            </w:pPr>
            <w:r w:rsidRPr="007E7E40">
              <w:rPr>
                <w:rFonts w:ascii="Times New Roman" w:hAnsi="Times New Roman"/>
                <w:b/>
                <w:color w:val="000000" w:themeColor="text1"/>
                <w:sz w:val="24"/>
                <w:lang w:val="el-GR"/>
              </w:rPr>
              <w:t xml:space="preserve">Επιλέξιμες υποχρεώσεις </w:t>
            </w:r>
          </w:p>
          <w:p w14:paraId="63CA9295" w14:textId="50FD70BB" w:rsidR="00547B2E" w:rsidRPr="007E7E40" w:rsidRDefault="00547B2E" w:rsidP="00F42DCD">
            <w:pPr>
              <w:rPr>
                <w:rFonts w:ascii="Times New Roman" w:hAnsi="Times New Roman" w:cs="Times New Roman"/>
                <w:i/>
                <w:noProof/>
                <w:color w:val="000000" w:themeColor="text1"/>
                <w:sz w:val="24"/>
                <w:szCs w:val="24"/>
                <w:lang w:val="el-GR"/>
              </w:rPr>
            </w:pPr>
            <w:r w:rsidRPr="007E7E40">
              <w:rPr>
                <w:rFonts w:ascii="Times New Roman" w:hAnsi="Times New Roman"/>
                <w:i/>
                <w:color w:val="000000" w:themeColor="text1"/>
                <w:sz w:val="24"/>
                <w:lang w:val="el-GR"/>
              </w:rPr>
              <w:t xml:space="preserve">Εσωτερική </w:t>
            </w:r>
            <w:r>
              <w:rPr>
                <w:rFonts w:ascii="Times New Roman" w:hAnsi="Times New Roman"/>
                <w:i/>
                <w:color w:val="000000" w:themeColor="text1"/>
                <w:sz w:val="24"/>
              </w:rPr>
              <w:t>MREL</w:t>
            </w:r>
          </w:p>
          <w:p w14:paraId="17E7EEB4" w14:textId="3FD297AB" w:rsidR="00F42DCD" w:rsidRPr="007E7E40" w:rsidRDefault="00CC7310" w:rsidP="00F42DCD">
            <w:pPr>
              <w:rPr>
                <w:rFonts w:ascii="Times New Roman" w:hAnsi="Times New Roman" w:cs="Times New Roman"/>
                <w:noProof/>
                <w:color w:val="000000" w:themeColor="text1"/>
                <w:sz w:val="24"/>
                <w:szCs w:val="24"/>
                <w:lang w:val="el-GR"/>
              </w:rPr>
            </w:pPr>
            <w:r w:rsidRPr="007E7E40">
              <w:rPr>
                <w:rFonts w:ascii="Times New Roman" w:hAnsi="Times New Roman"/>
                <w:sz w:val="24"/>
                <w:lang w:val="el-GR"/>
              </w:rPr>
              <w:t>Επιλέξιμες υποχρεώσεις οι οποίες πληρούν τις προϋποθέσεις που καθορίζονται στο άρθρο 45στ παράγραφος 2 της οδηγίας 2014/59/ΕΕ, λαμβανομένου επίσης υπόψη, κατά περίπτωση, του άρθρου 89 παράγραφος 2 τέταρτο εδάφιο της εν λόγω οδηγίας.</w:t>
            </w:r>
          </w:p>
          <w:p w14:paraId="63956C24" w14:textId="6F2B8506" w:rsidR="00547B2E" w:rsidRPr="007E7E40" w:rsidRDefault="00547B2E" w:rsidP="00F42DCD">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Στην περίπτωση των μέσων που διέπονται από το δίκαιο τρίτης χώρας, το μέσο συμπεριλαμβάνεται στη γραμμή αυτή μόνον εφόσον πληροί τις απαιτήσεις του άρθρου 55 της οδηγίας 2014/59/ΕΕ.</w:t>
            </w:r>
          </w:p>
          <w:p w14:paraId="5C695D4E" w14:textId="739B28B1" w:rsidR="00547B2E" w:rsidRPr="007E7E40" w:rsidRDefault="00CC7310" w:rsidP="00F42DCD">
            <w:pPr>
              <w:rPr>
                <w:rFonts w:ascii="Times New Roman" w:hAnsi="Times New Roman" w:cs="Times New Roman"/>
                <w:i/>
                <w:noProof/>
                <w:color w:val="000000" w:themeColor="text1"/>
                <w:sz w:val="24"/>
                <w:szCs w:val="24"/>
                <w:lang w:val="el-GR"/>
              </w:rPr>
            </w:pPr>
            <w:r w:rsidRPr="007E7E40">
              <w:rPr>
                <w:rFonts w:ascii="Times New Roman" w:hAnsi="Times New Roman"/>
                <w:sz w:val="24"/>
                <w:lang w:val="el-GR"/>
              </w:rPr>
              <w:t xml:space="preserve">Όταν η αρχή εξυγίανσης της θυγατρικής επιτρέπει στην οντότητα να καλύψει την εσωτερική </w:t>
            </w:r>
            <w:r>
              <w:rPr>
                <w:rFonts w:ascii="Times New Roman" w:hAnsi="Times New Roman"/>
                <w:sz w:val="24"/>
              </w:rPr>
              <w:t>MREL</w:t>
            </w:r>
            <w:r w:rsidRPr="007E7E40">
              <w:rPr>
                <w:rFonts w:ascii="Times New Roman" w:hAnsi="Times New Roman"/>
                <w:sz w:val="24"/>
                <w:lang w:val="el-GR"/>
              </w:rPr>
              <w:t xml:space="preserve"> με εγγυήσεις, στη γραμμή αυτή συμπεριλαμβάνεται επίσης το ποσό των εγγυήσεων που παρέχονται από την οντότητα εξυγίανσης και πληρούν όλες τις προϋποθέσεις που καθορίζονται στο άρθρο 45στ παράγραφος 5 της οδηγίας 2014/59/ΕΕ.</w:t>
            </w:r>
            <w:r w:rsidRPr="007E7E40">
              <w:rPr>
                <w:rFonts w:ascii="Times New Roman" w:hAnsi="Times New Roman"/>
                <w:i/>
                <w:color w:val="000000" w:themeColor="text1"/>
                <w:sz w:val="24"/>
                <w:lang w:val="el-GR"/>
              </w:rPr>
              <w:t xml:space="preserve">Εσωτερική </w:t>
            </w:r>
            <w:r>
              <w:rPr>
                <w:rFonts w:ascii="Times New Roman" w:hAnsi="Times New Roman"/>
                <w:i/>
                <w:color w:val="000000" w:themeColor="text1"/>
                <w:sz w:val="24"/>
              </w:rPr>
              <w:t>TLAC</w:t>
            </w:r>
          </w:p>
          <w:p w14:paraId="20CB430B" w14:textId="47B5B51E" w:rsidR="00766271" w:rsidRPr="007E7E40" w:rsidRDefault="00CC7310" w:rsidP="00CC7310">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Το ποσό των επιλέξιμων υποχρεώσεων υπολογίζεται σύμφωνα με το άρθρο 72ια του κανονισμού (ΕΕ) αριθ. 575/2013, όταν οι εν λόγω υποχρεώσεις πληρούν τις προϋποθέσεις που καθορίζονται στο άρθρο 92β παράγραφος 2 του εν λόγω κανονισμού.</w:t>
            </w:r>
          </w:p>
        </w:tc>
      </w:tr>
      <w:tr w:rsidR="007600E9" w:rsidRPr="0008623B" w14:paraId="4E845D10" w14:textId="77777777" w:rsidTr="002A065A">
        <w:tc>
          <w:tcPr>
            <w:tcW w:w="1109" w:type="dxa"/>
          </w:tcPr>
          <w:p w14:paraId="153A7C48" w14:textId="5CC7BD86" w:rsidR="007600E9" w:rsidRPr="0008623B" w:rsidRDefault="007600E9"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t>EU-8</w:t>
            </w:r>
          </w:p>
        </w:tc>
        <w:tc>
          <w:tcPr>
            <w:tcW w:w="7642" w:type="dxa"/>
          </w:tcPr>
          <w:p w14:paraId="49C42D32" w14:textId="17A80A6B" w:rsidR="007600E9" w:rsidRPr="007E7E40" w:rsidRDefault="00FF5E0F" w:rsidP="007600E9">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Επιλέξιμες υποχρεώσεις — εκ των οποίων: επιτρεπόμενες εγγυήσεις</w:t>
            </w:r>
          </w:p>
          <w:p w14:paraId="7FBE9C6F" w14:textId="39072AA7" w:rsidR="007600E9" w:rsidRPr="007E7E40" w:rsidRDefault="009C121A" w:rsidP="009C121A">
            <w:pPr>
              <w:rPr>
                <w:rFonts w:ascii="Times New Roman" w:hAnsi="Times New Roman" w:cs="Times New Roman"/>
                <w:b/>
                <w:color w:val="000000" w:themeColor="text1"/>
                <w:sz w:val="24"/>
                <w:szCs w:val="24"/>
                <w:lang w:val="el-GR"/>
              </w:rPr>
            </w:pPr>
            <w:r w:rsidRPr="007E7E40">
              <w:rPr>
                <w:rStyle w:val="FormatvorlageInstructionsTabelleText"/>
                <w:rFonts w:ascii="Times New Roman" w:hAnsi="Times New Roman"/>
                <w:sz w:val="24"/>
                <w:lang w:val="el-GR"/>
              </w:rPr>
              <w:t xml:space="preserve">Όταν η αρχή εξυγίανσης της θυγατρικής επιτρέπει στην οντότητα να καλύψει την εσωτερική </w:t>
            </w:r>
            <w:r>
              <w:rPr>
                <w:rStyle w:val="FormatvorlageInstructionsTabelleText"/>
                <w:rFonts w:ascii="Times New Roman" w:hAnsi="Times New Roman"/>
                <w:sz w:val="24"/>
              </w:rPr>
              <w:t>MREL</w:t>
            </w:r>
            <w:r w:rsidRPr="007E7E40">
              <w:rPr>
                <w:rStyle w:val="FormatvorlageInstructionsTabelleText"/>
                <w:rFonts w:ascii="Times New Roman" w:hAnsi="Times New Roman"/>
                <w:sz w:val="24"/>
                <w:lang w:val="el-GR"/>
              </w:rPr>
              <w:t xml:space="preserve"> με εγγυήσεις, το ποσό των εγγυήσεων που παρέχονται από την οντότητα εξυγίανσης και πληρούν όλες τις προϋποθέσεις που καθορίζονται στο άρθρο 45στ παράγραφος 5 της οδηγίας 2014/59/ΕΕ.</w:t>
            </w:r>
          </w:p>
        </w:tc>
      </w:tr>
      <w:tr w:rsidR="00547B2E" w:rsidRPr="0008623B" w14:paraId="352876D4" w14:textId="77777777" w:rsidTr="002A065A">
        <w:tc>
          <w:tcPr>
            <w:tcW w:w="1109" w:type="dxa"/>
          </w:tcPr>
          <w:p w14:paraId="6DCACB84" w14:textId="766ADF9F" w:rsidR="00547B2E" w:rsidRPr="0008623B" w:rsidRDefault="00644B02"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t>EU-9α</w:t>
            </w:r>
          </w:p>
        </w:tc>
        <w:tc>
          <w:tcPr>
            <w:tcW w:w="7642" w:type="dxa"/>
          </w:tcPr>
          <w:p w14:paraId="32608FA7" w14:textId="7D99477C" w:rsidR="00547B2E" w:rsidRPr="007E7E40" w:rsidRDefault="00547B2E" w:rsidP="007600E9">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(Προσαρμογές)</w:t>
            </w:r>
          </w:p>
          <w:p w14:paraId="716CE6EE" w14:textId="77777777" w:rsidR="00547B2E" w:rsidRPr="007E7E40" w:rsidRDefault="00547B2E" w:rsidP="007600E9">
            <w:pPr>
              <w:rPr>
                <w:rStyle w:val="FormatvorlageInstructionsTabelleText"/>
                <w:rFonts w:ascii="Times New Roman" w:hAnsi="Times New Roman"/>
                <w:sz w:val="24"/>
                <w:lang w:val="el-GR"/>
              </w:rPr>
            </w:pPr>
            <w:r w:rsidRPr="007E7E40">
              <w:rPr>
                <w:rStyle w:val="FormatvorlageInstructionsTabelleText"/>
                <w:rFonts w:ascii="Times New Roman" w:hAnsi="Times New Roman"/>
                <w:sz w:val="24"/>
                <w:lang w:val="el-GR"/>
              </w:rPr>
              <w:t>Αρνητικό ποσό</w:t>
            </w:r>
          </w:p>
          <w:p w14:paraId="53DD0B4C" w14:textId="77777777" w:rsidR="00CB3841" w:rsidRPr="007E7E40" w:rsidRDefault="00CB3841" w:rsidP="00CB3841">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Στη γραμμή αυτή δημοσιοποιούνται οι ακόλουθες προσαρμογές:</w:t>
            </w:r>
          </w:p>
          <w:p w14:paraId="61271E0C" w14:textId="02F82C25" w:rsidR="00766271" w:rsidRPr="007E7E40" w:rsidRDefault="00766271" w:rsidP="00766271">
            <w:pPr>
              <w:pStyle w:val="ListParagraph"/>
              <w:numPr>
                <w:ilvl w:val="0"/>
                <w:numId w:val="16"/>
              </w:numPr>
              <w:rPr>
                <w:rFonts w:ascii="Times New Roman" w:hAnsi="Times New Roman" w:cs="Times New Roman"/>
                <w:b/>
                <w:noProof/>
                <w:color w:val="000000" w:themeColor="text1"/>
                <w:sz w:val="24"/>
                <w:szCs w:val="24"/>
                <w:lang w:val="el-GR"/>
              </w:rPr>
            </w:pPr>
            <w:r w:rsidRPr="007E7E40">
              <w:rPr>
                <w:rFonts w:ascii="Times New Roman" w:hAnsi="Times New Roman"/>
                <w:sz w:val="24"/>
                <w:lang w:val="el-GR"/>
              </w:rPr>
              <w:t>συμμετοχές σε μέσα ιδίων κεφαλαίων και μέσα επιλέξιμων υποχρεώσεων που πρέπει να αφαιρεθούν σύμφωνα με το άρθρο 72ε παράγραφος 5 του κανονισμού (ΕΕ) αριθ. 575/2013 ή το άρθρο 45γ παράγραφος 2α πέμπτο εδάφιο της οδηγίας 2014/59/ΕΕ.</w:t>
            </w:r>
          </w:p>
          <w:p w14:paraId="17EE89C8" w14:textId="699CDE18" w:rsidR="00547B2E" w:rsidRPr="007E7E40" w:rsidRDefault="00766271" w:rsidP="00CB3841">
            <w:pPr>
              <w:pStyle w:val="ListParagraph"/>
              <w:numPr>
                <w:ilvl w:val="0"/>
                <w:numId w:val="16"/>
              </w:numPr>
              <w:rPr>
                <w:rFonts w:ascii="Times New Roman" w:hAnsi="Times New Roman" w:cs="Times New Roman"/>
                <w:b/>
                <w:noProof/>
                <w:color w:val="000000" w:themeColor="text1"/>
                <w:sz w:val="24"/>
                <w:szCs w:val="24"/>
                <w:lang w:val="el-GR"/>
              </w:rPr>
            </w:pPr>
            <w:r w:rsidRPr="007E7E40">
              <w:rPr>
                <w:rFonts w:ascii="Times New Roman" w:hAnsi="Times New Roman"/>
                <w:color w:val="000000" w:themeColor="text1"/>
                <w:sz w:val="24"/>
                <w:lang w:val="el-GR"/>
              </w:rPr>
              <w:t xml:space="preserve">ποσά που καλύπτονται από άδεια για την ανάκληση, εξόφληση, αποπληρωμή ή επαναγορά μέσων επιλέξιμων υποχρεώσεων σύμφωνα με το άρθρο 78α του κανονισμού (ΕΕ) αριθ. 575/2013, </w:t>
            </w:r>
            <w:r w:rsidRPr="007E7E40">
              <w:rPr>
                <w:rFonts w:ascii="Times New Roman" w:hAnsi="Times New Roman"/>
                <w:color w:val="000000" w:themeColor="text1"/>
                <w:sz w:val="24"/>
                <w:lang w:val="el-GR"/>
              </w:rPr>
              <w:lastRenderedPageBreak/>
              <w:t>στον βαθμό που η αναφέρουσα οντότητα δεν έχει ακόμη χρησιμοποιήσει πλήρως το εν λόγω ποσό για την ανάκληση, εξόφληση, αποπληρωμή ή επαναγορά μέσων («μη χρησιμοποιηθέντα ποσά από προηγούμενη άδεια»).</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EU-9β</w:t>
            </w:r>
          </w:p>
        </w:tc>
        <w:tc>
          <w:tcPr>
            <w:tcW w:w="7642" w:type="dxa"/>
            <w:tcBorders>
              <w:top w:val="single" w:sz="4" w:space="0" w:color="auto"/>
              <w:left w:val="single" w:sz="4" w:space="0" w:color="auto"/>
              <w:right w:val="single" w:sz="4" w:space="0" w:color="auto"/>
            </w:tcBorders>
          </w:tcPr>
          <w:p w14:paraId="4188FCBD" w14:textId="4ADDE5EB" w:rsidR="006475ED" w:rsidRPr="007E7E40" w:rsidRDefault="00A9215E" w:rsidP="006475ED">
            <w:pPr>
              <w:rPr>
                <w:rFonts w:ascii="Times New Roman" w:hAnsi="Times New Roman" w:cs="Times New Roman"/>
                <w:noProof/>
                <w:color w:val="000000" w:themeColor="text1"/>
                <w:sz w:val="24"/>
                <w:szCs w:val="24"/>
                <w:lang w:val="el-GR"/>
              </w:rPr>
            </w:pPr>
            <w:r w:rsidRPr="007E7E40">
              <w:rPr>
                <w:rFonts w:ascii="Times New Roman" w:hAnsi="Times New Roman"/>
                <w:b/>
                <w:color w:val="000000" w:themeColor="text1"/>
                <w:sz w:val="24"/>
                <w:lang w:val="el-GR"/>
              </w:rPr>
              <w:t>Στοιχεία ιδίων κεφαλαίων και επιλέξιμων υποχρεώσεων μετά τις προσαρμογές</w:t>
            </w:r>
          </w:p>
          <w:p w14:paraId="6DB0E5C7" w14:textId="7B912E87" w:rsidR="00547B2E" w:rsidRPr="007E7E40" w:rsidRDefault="00547B2E" w:rsidP="00F42DCD">
            <w:pPr>
              <w:rPr>
                <w:rStyle w:val="FormatvorlageInstructionsTabelleText"/>
                <w:rFonts w:ascii="Times New Roman" w:hAnsi="Times New Roman"/>
                <w:i/>
                <w:sz w:val="24"/>
                <w:lang w:val="el-GR"/>
              </w:rPr>
            </w:pPr>
            <w:r w:rsidRPr="007E7E40">
              <w:rPr>
                <w:rStyle w:val="FormatvorlageInstructionsTabelleText"/>
                <w:rFonts w:ascii="Times New Roman" w:hAnsi="Times New Roman"/>
                <w:i/>
                <w:sz w:val="24"/>
                <w:lang w:val="el-GR"/>
              </w:rPr>
              <w:t xml:space="preserve">Εσωτερική </w:t>
            </w:r>
            <w:r>
              <w:rPr>
                <w:rStyle w:val="FormatvorlageInstructionsTabelleText"/>
                <w:rFonts w:ascii="Times New Roman" w:hAnsi="Times New Roman"/>
                <w:i/>
                <w:sz w:val="24"/>
              </w:rPr>
              <w:t>MREL</w:t>
            </w:r>
          </w:p>
          <w:p w14:paraId="4FED8305" w14:textId="534AF772" w:rsidR="00547B2E" w:rsidRPr="007E7E40" w:rsidRDefault="00F42DCD" w:rsidP="00F42DCD">
            <w:pPr>
              <w:rPr>
                <w:rStyle w:val="InstructionsTabelleberschrift"/>
                <w:rFonts w:ascii="Times New Roman" w:hAnsi="Times New Roman"/>
                <w:b w:val="0"/>
                <w:sz w:val="24"/>
                <w:u w:val="none"/>
                <w:lang w:val="el-GR"/>
              </w:rPr>
            </w:pPr>
            <w:r w:rsidRPr="007E7E40">
              <w:rPr>
                <w:rStyle w:val="FormatvorlageInstructionsTabelleText"/>
                <w:rFonts w:ascii="Times New Roman" w:hAnsi="Times New Roman"/>
                <w:sz w:val="24"/>
                <w:lang w:val="el-GR"/>
              </w:rPr>
              <w:t xml:space="preserve">Τα ποσά των επιλέξιμων ιδίων κεφαλαίων και των επιλέξιμων υποχρεώσεων της οντότητας, μετά την αφαίρεση των προσαρμογών, τα οποία συνυπολογίζονται στην εσωτερική </w:t>
            </w:r>
            <w:r>
              <w:rPr>
                <w:rStyle w:val="FormatvorlageInstructionsTabelleText"/>
                <w:rFonts w:ascii="Times New Roman" w:hAnsi="Times New Roman"/>
                <w:sz w:val="24"/>
              </w:rPr>
              <w:t>MREL</w:t>
            </w:r>
            <w:r w:rsidRPr="007E7E40">
              <w:rPr>
                <w:rStyle w:val="FormatvorlageInstructionsTabelleText"/>
                <w:rFonts w:ascii="Times New Roman" w:hAnsi="Times New Roman"/>
                <w:sz w:val="24"/>
                <w:lang w:val="el-GR"/>
              </w:rPr>
              <w:t xml:space="preserve"> όπως καθορίζεται στο άρθρο 45στ παράγραφος 2 της οδηγίας 2014/59/ΕΕ, λαμβανομένου επίσης υπόψη, κατά περίπτωση, του άρθρου 89 παράγραφος 2 τέταρτο εδάφιο της εν λόγω οδηγίας.</w:t>
            </w:r>
            <w:r w:rsidRPr="007E7E40">
              <w:rPr>
                <w:rStyle w:val="InstructionsTabelleberschrift"/>
                <w:rFonts w:ascii="Times New Roman" w:hAnsi="Times New Roman"/>
                <w:b w:val="0"/>
                <w:sz w:val="24"/>
                <w:u w:val="none"/>
                <w:lang w:val="el-GR"/>
              </w:rPr>
              <w:t xml:space="preserve"> Στην περίπτωση των μέσων που διέπονται από το δίκαιο τρίτης χώρας, το μέσο συμπεριλαμβάνεται στη γραμμή αυτή μόνον εφόσον πληροί τις απαιτήσεις που καθορίζονται στο άρθρο</w:t>
            </w:r>
            <w:r>
              <w:rPr>
                <w:rStyle w:val="InstructionsTabelleberschrift"/>
                <w:rFonts w:ascii="Times New Roman" w:hAnsi="Times New Roman"/>
                <w:b w:val="0"/>
                <w:sz w:val="24"/>
                <w:u w:val="none"/>
              </w:rPr>
              <w:t> </w:t>
            </w:r>
            <w:r w:rsidRPr="007E7E40">
              <w:rPr>
                <w:rStyle w:val="InstructionsTabelleberschrift"/>
                <w:rFonts w:ascii="Times New Roman" w:hAnsi="Times New Roman"/>
                <w:b w:val="0"/>
                <w:sz w:val="24"/>
                <w:u w:val="none"/>
                <w:lang w:val="el-GR"/>
              </w:rPr>
              <w:t>55 της οδηγίας 2014/59/ΕΕ.</w:t>
            </w:r>
          </w:p>
          <w:p w14:paraId="2C1B0641" w14:textId="08263093" w:rsidR="00547B2E" w:rsidRPr="007E7E40" w:rsidRDefault="00547B2E" w:rsidP="00F42DCD">
            <w:pPr>
              <w:rPr>
                <w:rStyle w:val="InstructionsTabelleberschrift"/>
                <w:rFonts w:ascii="Times New Roman" w:hAnsi="Times New Roman"/>
                <w:b w:val="0"/>
                <w:sz w:val="24"/>
                <w:u w:val="none"/>
                <w:lang w:val="el-GR"/>
              </w:rPr>
            </w:pPr>
            <w:r w:rsidRPr="007E7E40">
              <w:rPr>
                <w:rFonts w:ascii="Times New Roman" w:hAnsi="Times New Roman"/>
                <w:color w:val="000000" w:themeColor="text1"/>
                <w:sz w:val="24"/>
                <w:lang w:val="el-GR"/>
              </w:rPr>
              <w:t xml:space="preserve">Υπολογίζεται ως το άθροισμα της γραμμής </w:t>
            </w:r>
            <w:r>
              <w:rPr>
                <w:rFonts w:ascii="Times New Roman" w:hAnsi="Times New Roman"/>
                <w:color w:val="000000" w:themeColor="text1"/>
                <w:sz w:val="24"/>
              </w:rPr>
              <w:t>EU</w:t>
            </w:r>
            <w:r w:rsidRPr="007E7E40">
              <w:rPr>
                <w:rFonts w:ascii="Times New Roman" w:hAnsi="Times New Roman"/>
                <w:color w:val="000000" w:themeColor="text1"/>
                <w:sz w:val="24"/>
                <w:lang w:val="el-GR"/>
              </w:rPr>
              <w:t xml:space="preserve">-6 συν τη γραμμή </w:t>
            </w:r>
            <w:r>
              <w:rPr>
                <w:rFonts w:ascii="Times New Roman" w:hAnsi="Times New Roman"/>
                <w:color w:val="000000" w:themeColor="text1"/>
                <w:sz w:val="24"/>
              </w:rPr>
              <w:t>EU</w:t>
            </w:r>
            <w:r w:rsidRPr="007E7E40">
              <w:rPr>
                <w:rFonts w:ascii="Times New Roman" w:hAnsi="Times New Roman"/>
                <w:color w:val="000000" w:themeColor="text1"/>
                <w:sz w:val="24"/>
                <w:lang w:val="el-GR"/>
              </w:rPr>
              <w:t xml:space="preserve">-7 συν τη γραμμή </w:t>
            </w:r>
            <w:r>
              <w:rPr>
                <w:rFonts w:ascii="Times New Roman" w:hAnsi="Times New Roman"/>
                <w:color w:val="000000" w:themeColor="text1"/>
                <w:sz w:val="24"/>
              </w:rPr>
              <w:t>EU</w:t>
            </w:r>
            <w:r w:rsidRPr="007E7E40">
              <w:rPr>
                <w:rFonts w:ascii="Times New Roman" w:hAnsi="Times New Roman"/>
                <w:color w:val="000000" w:themeColor="text1"/>
                <w:sz w:val="24"/>
                <w:lang w:val="el-GR"/>
              </w:rPr>
              <w:t>-9α.</w:t>
            </w:r>
          </w:p>
          <w:p w14:paraId="2538ACE7" w14:textId="7B547E87" w:rsidR="00547B2E" w:rsidRPr="007E7E40" w:rsidRDefault="00547B2E" w:rsidP="00F42DCD">
            <w:pPr>
              <w:rPr>
                <w:rStyle w:val="FormatvorlageInstructionsTabelleText"/>
                <w:rFonts w:ascii="Times New Roman" w:hAnsi="Times New Roman"/>
                <w:i/>
                <w:sz w:val="24"/>
                <w:lang w:val="el-GR"/>
              </w:rPr>
            </w:pPr>
            <w:r w:rsidRPr="007E7E40">
              <w:rPr>
                <w:rStyle w:val="FormatvorlageInstructionsTabelleText"/>
                <w:rFonts w:ascii="Times New Roman" w:hAnsi="Times New Roman"/>
                <w:i/>
                <w:sz w:val="24"/>
                <w:lang w:val="el-GR"/>
              </w:rPr>
              <w:t xml:space="preserve">Εσωτερική </w:t>
            </w:r>
            <w:r>
              <w:rPr>
                <w:rStyle w:val="FormatvorlageInstructionsTabelleText"/>
                <w:rFonts w:ascii="Times New Roman" w:hAnsi="Times New Roman"/>
                <w:i/>
                <w:sz w:val="24"/>
              </w:rPr>
              <w:t>TLAC</w:t>
            </w:r>
          </w:p>
          <w:p w14:paraId="56CFB916" w14:textId="470CF1AB" w:rsidR="006475ED" w:rsidRPr="007E7E40" w:rsidRDefault="00547B2E" w:rsidP="00503590">
            <w:pPr>
              <w:rPr>
                <w:rFonts w:ascii="Times New Roman" w:hAnsi="Times New Roman" w:cs="Times New Roman"/>
                <w:b/>
                <w:noProof/>
                <w:color w:val="000000" w:themeColor="text1"/>
                <w:sz w:val="24"/>
                <w:szCs w:val="24"/>
                <w:lang w:val="el-GR"/>
              </w:rPr>
            </w:pPr>
            <w:r w:rsidRPr="007E7E40">
              <w:rPr>
                <w:rFonts w:ascii="Times New Roman" w:hAnsi="Times New Roman"/>
                <w:sz w:val="24"/>
                <w:lang w:val="el-GR"/>
              </w:rPr>
              <w:t xml:space="preserve">Επιλέξιμα ίδια κεφάλαια και επιλέξιμες υποχρεώσεις που συνυπολογίζονται στην απαίτηση ιδίων κεφαλαίων και επιλέξιμων υποχρεώσεων για </w:t>
            </w:r>
            <w:r>
              <w:rPr>
                <w:rFonts w:ascii="Times New Roman" w:hAnsi="Times New Roman"/>
                <w:sz w:val="24"/>
              </w:rPr>
              <w:t>G</w:t>
            </w:r>
            <w:r w:rsidRPr="007E7E40">
              <w:rPr>
                <w:rFonts w:ascii="Times New Roman" w:hAnsi="Times New Roman"/>
                <w:sz w:val="24"/>
                <w:lang w:val="el-GR"/>
              </w:rPr>
              <w:t>-</w:t>
            </w:r>
            <w:r>
              <w:rPr>
                <w:rFonts w:ascii="Times New Roman" w:hAnsi="Times New Roman"/>
                <w:sz w:val="24"/>
              </w:rPr>
              <w:t>SII</w:t>
            </w:r>
            <w:r w:rsidRPr="007E7E40">
              <w:rPr>
                <w:rFonts w:ascii="Times New Roman" w:hAnsi="Times New Roman"/>
                <w:sz w:val="24"/>
                <w:lang w:val="el-GR"/>
              </w:rPr>
              <w:t xml:space="preserve"> εκτός ΕΕ, όπως καθορίζεται στο άρθρο 92β παράγραφος 2 του κανονισμού (ΕΕ) αριθ. 575/2013.</w:t>
            </w:r>
            <w:r w:rsidRPr="007E7E40">
              <w:rPr>
                <w:rFonts w:ascii="Times New Roman" w:hAnsi="Times New Roman"/>
                <w:color w:val="000000" w:themeColor="text1"/>
                <w:sz w:val="24"/>
                <w:lang w:val="el-GR"/>
              </w:rPr>
              <w:t xml:space="preserve"> Υπολογίζεται ως το άθροισμα της γραμμής </w:t>
            </w:r>
            <w:r>
              <w:rPr>
                <w:rFonts w:ascii="Times New Roman" w:hAnsi="Times New Roman"/>
                <w:color w:val="000000" w:themeColor="text1"/>
                <w:sz w:val="24"/>
              </w:rPr>
              <w:t>EU</w:t>
            </w:r>
            <w:r w:rsidRPr="007E7E40">
              <w:rPr>
                <w:rFonts w:ascii="Times New Roman" w:hAnsi="Times New Roman"/>
                <w:color w:val="000000" w:themeColor="text1"/>
                <w:sz w:val="24"/>
                <w:lang w:val="el-GR"/>
              </w:rPr>
              <w:t xml:space="preserve">-6 συν τη γραμμή </w:t>
            </w:r>
            <w:r>
              <w:rPr>
                <w:rFonts w:ascii="Times New Roman" w:hAnsi="Times New Roman"/>
                <w:color w:val="000000" w:themeColor="text1"/>
                <w:sz w:val="24"/>
              </w:rPr>
              <w:t>EU</w:t>
            </w:r>
            <w:r w:rsidRPr="007E7E40">
              <w:rPr>
                <w:rFonts w:ascii="Times New Roman" w:hAnsi="Times New Roman"/>
                <w:color w:val="000000" w:themeColor="text1"/>
                <w:sz w:val="24"/>
                <w:lang w:val="el-GR"/>
              </w:rPr>
              <w:t>-7.</w:t>
            </w:r>
          </w:p>
        </w:tc>
      </w:tr>
      <w:tr w:rsidR="00026FC1" w:rsidRPr="0008623B" w14:paraId="2CEBF3B0" w14:textId="77777777" w:rsidTr="002A065A">
        <w:tc>
          <w:tcPr>
            <w:tcW w:w="1109" w:type="dxa"/>
          </w:tcPr>
          <w:p w14:paraId="43BF2529" w14:textId="36FBE66E" w:rsidR="000C5255" w:rsidRPr="0008623B" w:rsidDel="00FF3133" w:rsidRDefault="007F6136" w:rsidP="00F42177">
            <w:pPr>
              <w:rPr>
                <w:rFonts w:ascii="Times New Roman" w:hAnsi="Times New Roman" w:cs="Times New Roman"/>
                <w:noProof/>
                <w:color w:val="000000" w:themeColor="text1"/>
                <w:sz w:val="24"/>
                <w:szCs w:val="24"/>
              </w:rPr>
            </w:pPr>
            <w:r>
              <w:rPr>
                <w:rFonts w:ascii="Times New Roman" w:hAnsi="Times New Roman"/>
                <w:color w:val="000000" w:themeColor="text1"/>
                <w:sz w:val="24"/>
              </w:rPr>
              <w:t>EU-10</w:t>
            </w:r>
          </w:p>
        </w:tc>
        <w:tc>
          <w:tcPr>
            <w:tcW w:w="7642" w:type="dxa"/>
          </w:tcPr>
          <w:p w14:paraId="09DCE834" w14:textId="5F82E219" w:rsidR="007F6136" w:rsidRPr="007E7E40" w:rsidRDefault="007F6136" w:rsidP="00C07CCC">
            <w:pPr>
              <w:rPr>
                <w:rFonts w:ascii="Times New Roman" w:hAnsi="Times New Roman" w:cs="Times New Roman"/>
                <w:noProof/>
                <w:color w:val="000000" w:themeColor="text1"/>
                <w:sz w:val="24"/>
                <w:szCs w:val="24"/>
                <w:lang w:val="el-GR"/>
              </w:rPr>
            </w:pPr>
            <w:r w:rsidRPr="007E7E40">
              <w:rPr>
                <w:rFonts w:ascii="Times New Roman" w:hAnsi="Times New Roman"/>
                <w:b/>
                <w:color w:val="000000" w:themeColor="text1"/>
                <w:sz w:val="24"/>
                <w:lang w:val="el-GR"/>
              </w:rPr>
              <w:t>Συνολικό ποσό ανοίγματος σε κίνδυνο (</w:t>
            </w:r>
            <w:r>
              <w:rPr>
                <w:rFonts w:ascii="Times New Roman" w:hAnsi="Times New Roman"/>
                <w:b/>
                <w:color w:val="000000" w:themeColor="text1"/>
                <w:sz w:val="24"/>
              </w:rPr>
              <w:t>TREA</w:t>
            </w:r>
            <w:r w:rsidRPr="007E7E40">
              <w:rPr>
                <w:rFonts w:ascii="Times New Roman" w:hAnsi="Times New Roman"/>
                <w:b/>
                <w:color w:val="000000" w:themeColor="text1"/>
                <w:sz w:val="24"/>
                <w:lang w:val="el-GR"/>
              </w:rPr>
              <w:t>)</w:t>
            </w:r>
          </w:p>
          <w:p w14:paraId="5B78340F" w14:textId="6D0E9C20" w:rsidR="000C5255" w:rsidRPr="007E7E40" w:rsidRDefault="000C5255">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Συνολικό ποσό ανοίγματος σε κίνδυνο της μεμονωμένης οντότητας ή του ενοποιημένου ομίλου στο επίπεδο του οποίου έχουν καθοριστεί οι απαιτήσεις, κατά περίπτωση, σύμφωνα με το άρθρο 18 παράγραφος 1 δεύτερο εδάφιο του κανονισμού (ΕΕ) αριθ. 575/2013.</w:t>
            </w:r>
          </w:p>
          <w:p w14:paraId="17016E2A" w14:textId="75D89C0B" w:rsidR="008149F0" w:rsidRPr="0008623B" w:rsidRDefault="008149F0" w:rsidP="00B7091D">
            <w:pPr>
              <w:rPr>
                <w:rFonts w:ascii="Times New Roman" w:hAnsi="Times New Roman" w:cs="Times New Roman"/>
                <w:b/>
                <w:noProof/>
                <w:color w:val="000000" w:themeColor="text1"/>
                <w:sz w:val="24"/>
                <w:szCs w:val="24"/>
              </w:rPr>
            </w:pPr>
            <w:r w:rsidRPr="007E7E40">
              <w:rPr>
                <w:rStyle w:val="FormatvorlageInstructionsTabelleText"/>
                <w:rFonts w:ascii="Times New Roman" w:hAnsi="Times New Roman"/>
                <w:sz w:val="24"/>
                <w:lang w:val="el-GR"/>
              </w:rPr>
              <w:t xml:space="preserve">Το συνολικό ποσό ανοίγματος σε κίνδυνο που αναφέρεται στη γραμμή αυτή είναι το συνολικό ποσό ανοίγματος σε κίνδυνο που αποτελεί τη βάση για τη συμμόρφωση με τις απαιτήσεις του άρθρου 45 της οδηγίας 2014/59/ΕΕ ή του άρθρου 92β του κανονισμού (ΕΕ) αριθ. </w:t>
            </w:r>
            <w:r>
              <w:rPr>
                <w:rStyle w:val="FormatvorlageInstructionsTabelleText"/>
                <w:rFonts w:ascii="Times New Roman" w:hAnsi="Times New Roman"/>
                <w:sz w:val="24"/>
              </w:rPr>
              <w:t>575/2013, ανάλογα με την περίπτωση.</w:t>
            </w:r>
          </w:p>
        </w:tc>
      </w:tr>
      <w:tr w:rsidR="00026FC1" w:rsidRPr="0008623B" w14:paraId="09EE5A03" w14:textId="77777777" w:rsidTr="002A065A">
        <w:tc>
          <w:tcPr>
            <w:tcW w:w="1109" w:type="dxa"/>
          </w:tcPr>
          <w:p w14:paraId="5D0897E5" w14:textId="78C3CD2B" w:rsidR="000C5255" w:rsidRPr="0008623B" w:rsidDel="00FF3133"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EU-11</w:t>
            </w:r>
          </w:p>
        </w:tc>
        <w:tc>
          <w:tcPr>
            <w:tcW w:w="7642" w:type="dxa"/>
          </w:tcPr>
          <w:p w14:paraId="3D1B444A" w14:textId="48056C18" w:rsidR="000C5255" w:rsidRPr="007E7E40" w:rsidRDefault="00D156A3" w:rsidP="000C5255">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Μέτρο συνολικού ανοίγματος (</w:t>
            </w:r>
            <w:r>
              <w:rPr>
                <w:rFonts w:ascii="Times New Roman" w:hAnsi="Times New Roman"/>
                <w:b/>
                <w:color w:val="000000" w:themeColor="text1"/>
                <w:sz w:val="24"/>
              </w:rPr>
              <w:t>TEM</w:t>
            </w:r>
            <w:r w:rsidRPr="007E7E40">
              <w:rPr>
                <w:rFonts w:ascii="Times New Roman" w:hAnsi="Times New Roman"/>
                <w:b/>
                <w:color w:val="000000" w:themeColor="text1"/>
                <w:sz w:val="24"/>
                <w:lang w:val="el-GR"/>
              </w:rPr>
              <w:t>)</w:t>
            </w:r>
          </w:p>
          <w:p w14:paraId="53B11114" w14:textId="7FEC6446" w:rsidR="000C5255" w:rsidRPr="007E7E40" w:rsidRDefault="006501CC" w:rsidP="00282ED2">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Μέτρο συνολικού ανοίγματος (παρονομαστής του δείκτη μόχλευσης) της μεμονωμένης οντότητας ή του ενοποιημένου ομίλου στο επίπεδο του οποίου έχουν καθοριστεί οι απαιτήσεις, κατά περίπτωση, σύμφωνα με το άρθρο 429 παράγραφος 4 και το άρθρο 429α του κανονισμού (ΕΕ) αριθ. 575/2013.</w:t>
            </w:r>
          </w:p>
          <w:p w14:paraId="2DB81445" w14:textId="64886997" w:rsidR="008149F0" w:rsidRPr="0008623B" w:rsidRDefault="008149F0" w:rsidP="00B7091D">
            <w:pPr>
              <w:rPr>
                <w:rFonts w:ascii="Times New Roman" w:hAnsi="Times New Roman" w:cs="Times New Roman"/>
                <w:b/>
                <w:noProof/>
                <w:color w:val="000000" w:themeColor="text1"/>
                <w:sz w:val="24"/>
                <w:szCs w:val="24"/>
              </w:rPr>
            </w:pPr>
            <w:r w:rsidRPr="007E7E40">
              <w:rPr>
                <w:rStyle w:val="FormatvorlageInstructionsTabelleText"/>
                <w:rFonts w:ascii="Times New Roman" w:hAnsi="Times New Roman"/>
                <w:sz w:val="24"/>
                <w:lang w:val="el-GR"/>
              </w:rPr>
              <w:lastRenderedPageBreak/>
              <w:t xml:space="preserve">Το μέτρο συνολικού ανοίγματος που αναφέρεται στη γραμμή αυτή είναι το μέτρο συνολικού ανοίγματος που αποτελεί τη βάση για τη συμμόρφωση με τις απαιτήσεις του άρθρου 45 της οδηγίας 2014/59/ΕΕ ή του άρθρου 92β του κανονισμού (ΕΕ) αριθ. </w:t>
            </w:r>
            <w:r>
              <w:rPr>
                <w:rStyle w:val="FormatvorlageInstructionsTabelleText"/>
                <w:rFonts w:ascii="Times New Roman" w:hAnsi="Times New Roman"/>
                <w:sz w:val="24"/>
              </w:rPr>
              <w:t>575/2013, ανάλογα με την περίπτωση.</w:t>
            </w:r>
          </w:p>
        </w:tc>
      </w:tr>
      <w:tr w:rsidR="00026FC1" w:rsidRPr="0008623B" w14:paraId="3F7E48D5" w14:textId="77777777" w:rsidTr="002A065A">
        <w:tc>
          <w:tcPr>
            <w:tcW w:w="1109" w:type="dxa"/>
          </w:tcPr>
          <w:p w14:paraId="068C68E0" w14:textId="4F4AB2A0"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w:t>
            </w:r>
          </w:p>
        </w:tc>
        <w:tc>
          <w:tcPr>
            <w:tcW w:w="7642" w:type="dxa"/>
          </w:tcPr>
          <w:p w14:paraId="4D8D9DC8" w14:textId="2ACFCB31" w:rsidR="000C5255" w:rsidRPr="007E7E40" w:rsidRDefault="000C5255" w:rsidP="000C5255">
            <w:pPr>
              <w:rPr>
                <w:rFonts w:ascii="Times New Roman" w:hAnsi="Times New Roman" w:cs="Times New Roman"/>
                <w:noProof/>
                <w:color w:val="000000" w:themeColor="text1"/>
                <w:sz w:val="24"/>
                <w:szCs w:val="24"/>
                <w:lang w:val="el-GR"/>
              </w:rPr>
            </w:pPr>
            <w:r w:rsidRPr="007E7E40">
              <w:rPr>
                <w:rFonts w:ascii="Times New Roman" w:hAnsi="Times New Roman"/>
                <w:b/>
                <w:color w:val="000000" w:themeColor="text1"/>
                <w:sz w:val="24"/>
                <w:lang w:val="el-GR"/>
              </w:rPr>
              <w:t xml:space="preserve">Ίδια κεφάλαια και επιλέξιμες υποχρεώσεις ως ποσοστό του </w:t>
            </w:r>
            <w:r>
              <w:rPr>
                <w:rFonts w:ascii="Times New Roman" w:hAnsi="Times New Roman"/>
                <w:b/>
                <w:color w:val="000000" w:themeColor="text1"/>
                <w:sz w:val="24"/>
              </w:rPr>
              <w:t>TREA</w:t>
            </w:r>
          </w:p>
          <w:p w14:paraId="745451FA" w14:textId="77777777" w:rsidR="000C5255" w:rsidRPr="007E7E40" w:rsidRDefault="000C5255" w:rsidP="007F6136">
            <w:pPr>
              <w:rPr>
                <w:rFonts w:ascii="Times New Roman" w:hAnsi="Times New Roman" w:cs="Times New Roman"/>
                <w:bCs/>
                <w:noProof/>
                <w:color w:val="000000" w:themeColor="text1"/>
                <w:sz w:val="24"/>
                <w:szCs w:val="24"/>
                <w:lang w:val="el-GR"/>
              </w:rPr>
            </w:pPr>
            <w:r w:rsidRPr="007E7E40">
              <w:rPr>
                <w:rFonts w:ascii="Times New Roman" w:hAnsi="Times New Roman"/>
                <w:color w:val="000000" w:themeColor="text1"/>
                <w:sz w:val="24"/>
                <w:lang w:val="el-GR"/>
              </w:rPr>
              <w:t>Δείκτης ιδίων κεφαλαίων και επιλέξιμων υποχρεώσεων ως ποσοστό του συνολικού ποσού ανοίγματος σε κίνδυνο.</w:t>
            </w:r>
          </w:p>
          <w:p w14:paraId="53A01624" w14:textId="53B31A41" w:rsidR="00DB779A" w:rsidRPr="007E7E40" w:rsidRDefault="00DB779A" w:rsidP="00AB7A3C">
            <w:pPr>
              <w:rPr>
                <w:rFonts w:ascii="Times New Roman" w:hAnsi="Times New Roman" w:cs="Times New Roman"/>
                <w:b/>
                <w:noProof/>
                <w:color w:val="000000" w:themeColor="text1"/>
                <w:sz w:val="24"/>
                <w:szCs w:val="24"/>
                <w:lang w:val="el-GR"/>
              </w:rPr>
            </w:pPr>
            <w:r w:rsidRPr="007E7E40">
              <w:rPr>
                <w:rFonts w:ascii="Times New Roman" w:hAnsi="Times New Roman"/>
                <w:color w:val="000000" w:themeColor="text1"/>
                <w:sz w:val="24"/>
                <w:lang w:val="el-GR"/>
              </w:rPr>
              <w:t xml:space="preserve">Υπολογίζεται ως το πηλίκο της γραμμής </w:t>
            </w:r>
            <w:r>
              <w:rPr>
                <w:rFonts w:ascii="Times New Roman" w:hAnsi="Times New Roman"/>
                <w:color w:val="000000" w:themeColor="text1"/>
                <w:sz w:val="24"/>
              </w:rPr>
              <w:t>EU</w:t>
            </w:r>
            <w:r w:rsidRPr="007E7E40">
              <w:rPr>
                <w:rFonts w:ascii="Times New Roman" w:hAnsi="Times New Roman"/>
                <w:color w:val="000000" w:themeColor="text1"/>
                <w:sz w:val="24"/>
                <w:lang w:val="el-GR"/>
              </w:rPr>
              <w:t xml:space="preserve">-9β διαιρούμενης διά της γραμμής </w:t>
            </w:r>
            <w:r>
              <w:rPr>
                <w:rFonts w:ascii="Times New Roman" w:hAnsi="Times New Roman"/>
                <w:color w:val="000000" w:themeColor="text1"/>
                <w:sz w:val="24"/>
              </w:rPr>
              <w:t>EU</w:t>
            </w:r>
            <w:r w:rsidRPr="007E7E40">
              <w:rPr>
                <w:rFonts w:ascii="Times New Roman" w:hAnsi="Times New Roman"/>
                <w:color w:val="000000" w:themeColor="text1"/>
                <w:sz w:val="24"/>
                <w:lang w:val="el-GR"/>
              </w:rPr>
              <w:t>-10.</w:t>
            </w:r>
          </w:p>
        </w:tc>
      </w:tr>
      <w:tr w:rsidR="000F5992" w:rsidRPr="0008623B" w14:paraId="05A06C82" w14:textId="77777777" w:rsidTr="002A065A">
        <w:tc>
          <w:tcPr>
            <w:tcW w:w="1109" w:type="dxa"/>
          </w:tcPr>
          <w:p w14:paraId="3717A45E" w14:textId="2311289F"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EU-13</w:t>
            </w:r>
          </w:p>
        </w:tc>
        <w:tc>
          <w:tcPr>
            <w:tcW w:w="7642" w:type="dxa"/>
          </w:tcPr>
          <w:p w14:paraId="4B61594C" w14:textId="66FE0C57" w:rsidR="000F5992" w:rsidRPr="007E7E40" w:rsidRDefault="00FF5E0F" w:rsidP="000C5255">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Ίδια κεφάλαια και επιλέξιμες υποχρεώσεις ως ποσοστό του </w:t>
            </w:r>
            <w:r>
              <w:rPr>
                <w:rFonts w:ascii="Times New Roman" w:hAnsi="Times New Roman"/>
                <w:b/>
                <w:color w:val="000000" w:themeColor="text1"/>
                <w:sz w:val="24"/>
              </w:rPr>
              <w:t>TREA</w:t>
            </w:r>
            <w:r w:rsidRPr="007E7E40">
              <w:rPr>
                <w:rFonts w:ascii="Times New Roman" w:hAnsi="Times New Roman"/>
                <w:b/>
                <w:color w:val="000000" w:themeColor="text1"/>
                <w:sz w:val="24"/>
                <w:lang w:val="el-GR"/>
              </w:rPr>
              <w:t xml:space="preserve"> — εκ των οποίων: επιτρεπόμενες εγγυήσεις</w:t>
            </w:r>
          </w:p>
          <w:p w14:paraId="3E66E9D6" w14:textId="43B7D24C" w:rsidR="000F5992" w:rsidRPr="007E7E40" w:rsidRDefault="00B24DB1" w:rsidP="00A96376">
            <w:pPr>
              <w:rPr>
                <w:rFonts w:ascii="Times New Roman" w:hAnsi="Times New Roman" w:cs="Times New Roman"/>
                <w:noProof/>
                <w:color w:val="000000" w:themeColor="text1"/>
                <w:sz w:val="24"/>
                <w:szCs w:val="24"/>
                <w:lang w:val="el-GR"/>
              </w:rPr>
            </w:pPr>
            <w:r w:rsidRPr="007E7E40">
              <w:rPr>
                <w:rFonts w:ascii="Times New Roman" w:hAnsi="Times New Roman"/>
                <w:sz w:val="24"/>
                <w:lang w:val="el-GR"/>
              </w:rPr>
              <w:t xml:space="preserve">Όταν η αρχή εξυγίανσης της θυγατρικής επιτρέπει στην οντότητα να καλύψει την εσωτερική </w:t>
            </w:r>
            <w:r>
              <w:rPr>
                <w:rFonts w:ascii="Times New Roman" w:hAnsi="Times New Roman"/>
                <w:sz w:val="24"/>
              </w:rPr>
              <w:t>MREL</w:t>
            </w:r>
            <w:r w:rsidRPr="007E7E40">
              <w:rPr>
                <w:rFonts w:ascii="Times New Roman" w:hAnsi="Times New Roman"/>
                <w:sz w:val="24"/>
                <w:lang w:val="el-GR"/>
              </w:rPr>
              <w:t xml:space="preserve"> με εγγυήσεις, το ποσό των εγγυήσεων που παρέχονται από την οντότητα εξυγίανσης και πληρούν τις προϋποθέσεις που καθορίζονται στο άρθρο 45στ παράγραφος 5 της οδηγίας 2014/59/ΕΕ, ως ποσοστό του συνολικού ποσού ανοίγματος σε κίνδυνο.</w:t>
            </w:r>
          </w:p>
          <w:p w14:paraId="21098783" w14:textId="24721D46" w:rsidR="00B24DB1" w:rsidRPr="007E7E40" w:rsidRDefault="00B07EB6" w:rsidP="00AA0676">
            <w:pPr>
              <w:rPr>
                <w:rFonts w:ascii="Times New Roman" w:hAnsi="Times New Roman" w:cs="Times New Roman"/>
                <w:b/>
                <w:noProof/>
                <w:color w:val="000000" w:themeColor="text1"/>
                <w:sz w:val="24"/>
                <w:szCs w:val="24"/>
                <w:lang w:val="el-GR"/>
              </w:rPr>
            </w:pPr>
            <w:r w:rsidRPr="007E7E40">
              <w:rPr>
                <w:rFonts w:ascii="Times New Roman" w:hAnsi="Times New Roman"/>
                <w:color w:val="000000" w:themeColor="text1"/>
                <w:sz w:val="24"/>
                <w:lang w:val="el-GR"/>
              </w:rPr>
              <w:t xml:space="preserve">Υπολογίζεται ως το πηλίκο της γραμμής </w:t>
            </w:r>
            <w:r>
              <w:rPr>
                <w:rFonts w:ascii="Times New Roman" w:hAnsi="Times New Roman"/>
                <w:color w:val="000000" w:themeColor="text1"/>
                <w:sz w:val="24"/>
              </w:rPr>
              <w:t>EU</w:t>
            </w:r>
            <w:r w:rsidRPr="007E7E40">
              <w:rPr>
                <w:rFonts w:ascii="Times New Roman" w:hAnsi="Times New Roman"/>
                <w:color w:val="000000" w:themeColor="text1"/>
                <w:sz w:val="24"/>
                <w:lang w:val="el-GR"/>
              </w:rPr>
              <w:t xml:space="preserve">-8 διαιρούμενης διά της γραμμής </w:t>
            </w:r>
            <w:r>
              <w:rPr>
                <w:rFonts w:ascii="Times New Roman" w:hAnsi="Times New Roman"/>
                <w:color w:val="000000" w:themeColor="text1"/>
                <w:sz w:val="24"/>
              </w:rPr>
              <w:t>EU</w:t>
            </w:r>
            <w:r w:rsidRPr="007E7E40">
              <w:rPr>
                <w:rFonts w:ascii="Times New Roman" w:hAnsi="Times New Roman"/>
                <w:color w:val="000000" w:themeColor="text1"/>
                <w:sz w:val="24"/>
                <w:lang w:val="el-GR"/>
              </w:rPr>
              <w:t>-10.</w:t>
            </w:r>
          </w:p>
        </w:tc>
      </w:tr>
      <w:tr w:rsidR="00026FC1" w:rsidRPr="0008623B" w14:paraId="1BE5C236" w14:textId="77777777" w:rsidTr="002A065A">
        <w:tc>
          <w:tcPr>
            <w:tcW w:w="1109" w:type="dxa"/>
          </w:tcPr>
          <w:p w14:paraId="6389E44B" w14:textId="64502185"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EU-14</w:t>
            </w:r>
          </w:p>
        </w:tc>
        <w:tc>
          <w:tcPr>
            <w:tcW w:w="7642" w:type="dxa"/>
          </w:tcPr>
          <w:p w14:paraId="747FEBA4" w14:textId="71CE299B" w:rsidR="000C5255" w:rsidRPr="007E7E40" w:rsidRDefault="000C5255" w:rsidP="000C5255">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Ίδια κεφάλαια και επιλέξιμες υποχρεώσεις ως ποσοστό του </w:t>
            </w:r>
            <w:r>
              <w:rPr>
                <w:rFonts w:ascii="Times New Roman" w:hAnsi="Times New Roman"/>
                <w:b/>
                <w:color w:val="000000" w:themeColor="text1"/>
                <w:sz w:val="24"/>
              </w:rPr>
              <w:t>TEM</w:t>
            </w:r>
          </w:p>
          <w:p w14:paraId="10E78AE1" w14:textId="0BBF5E97" w:rsidR="000C5255" w:rsidRPr="007E7E40" w:rsidRDefault="000C5255">
            <w:pPr>
              <w:rPr>
                <w:rFonts w:ascii="Times New Roman" w:hAnsi="Times New Roman" w:cs="Times New Roman"/>
                <w:bCs/>
                <w:noProof/>
                <w:color w:val="000000" w:themeColor="text1"/>
                <w:sz w:val="24"/>
                <w:szCs w:val="24"/>
                <w:lang w:val="el-GR"/>
              </w:rPr>
            </w:pPr>
            <w:r w:rsidRPr="007E7E40">
              <w:rPr>
                <w:rFonts w:ascii="Times New Roman" w:hAnsi="Times New Roman"/>
                <w:color w:val="000000" w:themeColor="text1"/>
                <w:sz w:val="24"/>
                <w:lang w:val="el-GR"/>
              </w:rPr>
              <w:t>Δείκτης ιδίων κεφαλαίων και επιλέξιμων υποχρεώσεων ως ποσοστό του μέτρου συνολικού ανοίγματος.</w:t>
            </w:r>
          </w:p>
          <w:p w14:paraId="3C080CF4" w14:textId="28CCBF72" w:rsidR="003946D4" w:rsidRPr="007E7E40" w:rsidRDefault="003946D4" w:rsidP="00AB7A3C">
            <w:pPr>
              <w:rPr>
                <w:rFonts w:ascii="Times New Roman" w:hAnsi="Times New Roman" w:cs="Times New Roman"/>
                <w:b/>
                <w:noProof/>
                <w:color w:val="000000" w:themeColor="text1"/>
                <w:sz w:val="24"/>
                <w:szCs w:val="24"/>
                <w:lang w:val="el-GR"/>
              </w:rPr>
            </w:pPr>
            <w:r w:rsidRPr="007E7E40">
              <w:rPr>
                <w:rFonts w:ascii="Times New Roman" w:hAnsi="Times New Roman"/>
                <w:color w:val="000000" w:themeColor="text1"/>
                <w:sz w:val="24"/>
                <w:lang w:val="el-GR"/>
              </w:rPr>
              <w:t xml:space="preserve">Υπολογίζεται ως το πηλίκο της γραμμής </w:t>
            </w:r>
            <w:r>
              <w:rPr>
                <w:rFonts w:ascii="Times New Roman" w:hAnsi="Times New Roman"/>
                <w:color w:val="000000" w:themeColor="text1"/>
                <w:sz w:val="24"/>
              </w:rPr>
              <w:t>EU</w:t>
            </w:r>
            <w:r w:rsidRPr="007E7E40">
              <w:rPr>
                <w:rFonts w:ascii="Times New Roman" w:hAnsi="Times New Roman"/>
                <w:color w:val="000000" w:themeColor="text1"/>
                <w:sz w:val="24"/>
                <w:lang w:val="el-GR"/>
              </w:rPr>
              <w:t xml:space="preserve">-9β διαιρούμενης διά της γραμμής </w:t>
            </w:r>
            <w:r>
              <w:rPr>
                <w:rFonts w:ascii="Times New Roman" w:hAnsi="Times New Roman"/>
                <w:color w:val="000000" w:themeColor="text1"/>
                <w:sz w:val="24"/>
              </w:rPr>
              <w:t>EU</w:t>
            </w:r>
            <w:r w:rsidRPr="007E7E40">
              <w:rPr>
                <w:rFonts w:ascii="Times New Roman" w:hAnsi="Times New Roman"/>
                <w:color w:val="000000" w:themeColor="text1"/>
                <w:sz w:val="24"/>
                <w:lang w:val="el-GR"/>
              </w:rPr>
              <w:t>-11.</w:t>
            </w:r>
          </w:p>
        </w:tc>
      </w:tr>
      <w:tr w:rsidR="000F5992" w:rsidRPr="0008623B" w14:paraId="06EE9DB1" w14:textId="77777777" w:rsidTr="002A065A">
        <w:tc>
          <w:tcPr>
            <w:tcW w:w="1109" w:type="dxa"/>
          </w:tcPr>
          <w:p w14:paraId="38BE120A" w14:textId="5E907A17"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EU-15</w:t>
            </w:r>
          </w:p>
        </w:tc>
        <w:tc>
          <w:tcPr>
            <w:tcW w:w="7642" w:type="dxa"/>
          </w:tcPr>
          <w:p w14:paraId="6EC6E664" w14:textId="0D1F1FF7" w:rsidR="000F5992" w:rsidRPr="007E7E40" w:rsidRDefault="00FF5E0F" w:rsidP="003F5FDC">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Ίδια κεφάλαια και επιλέξιμες υποχρεώσεις ως ποσοστό του </w:t>
            </w:r>
            <w:r>
              <w:rPr>
                <w:rFonts w:ascii="Times New Roman" w:hAnsi="Times New Roman"/>
                <w:b/>
                <w:color w:val="000000" w:themeColor="text1"/>
                <w:sz w:val="24"/>
              </w:rPr>
              <w:t>TEM</w:t>
            </w:r>
            <w:r w:rsidRPr="007E7E40">
              <w:rPr>
                <w:rFonts w:ascii="Times New Roman" w:hAnsi="Times New Roman"/>
                <w:b/>
                <w:color w:val="000000" w:themeColor="text1"/>
                <w:sz w:val="24"/>
                <w:lang w:val="el-GR"/>
              </w:rPr>
              <w:t xml:space="preserve"> — εκ των οποίων: επιτρεπόμενες εγγυήσεις</w:t>
            </w:r>
          </w:p>
          <w:p w14:paraId="49C52AE4" w14:textId="4E11ED80" w:rsidR="00B07EB6" w:rsidRPr="007E7E40" w:rsidRDefault="00AA0676" w:rsidP="00A96376">
            <w:pPr>
              <w:rPr>
                <w:rFonts w:ascii="Times New Roman" w:hAnsi="Times New Roman" w:cs="Times New Roman"/>
                <w:noProof/>
                <w:color w:val="000000" w:themeColor="text1"/>
                <w:sz w:val="24"/>
                <w:szCs w:val="24"/>
                <w:lang w:val="el-GR"/>
              </w:rPr>
            </w:pPr>
            <w:r w:rsidRPr="007E7E40">
              <w:rPr>
                <w:rFonts w:ascii="Times New Roman" w:hAnsi="Times New Roman"/>
                <w:sz w:val="24"/>
                <w:lang w:val="el-GR"/>
              </w:rPr>
              <w:t xml:space="preserve">Όταν η αρχή εξυγίανσης της θυγατρικής επιτρέπει στην οντότητα να καλύψει την εσωτερική </w:t>
            </w:r>
            <w:r>
              <w:rPr>
                <w:rFonts w:ascii="Times New Roman" w:hAnsi="Times New Roman"/>
                <w:sz w:val="24"/>
              </w:rPr>
              <w:t>MREL</w:t>
            </w:r>
            <w:r w:rsidRPr="007E7E40">
              <w:rPr>
                <w:rFonts w:ascii="Times New Roman" w:hAnsi="Times New Roman"/>
                <w:sz w:val="24"/>
                <w:lang w:val="el-GR"/>
              </w:rPr>
              <w:t xml:space="preserve"> με εγγυήσεις, το ποσό των εγγυήσεων που παρέχονται από την οντότητα εξυγίανσης και πληρούν τις προϋποθέσεις που καθορίζονται στο άρθρο 45στ παράγραφος 5 της οδηγίας 2014/59/ΕΕ, ως ποσοστό του μέτρου συνολικού ανοίγματος.</w:t>
            </w:r>
          </w:p>
          <w:p w14:paraId="5F818595" w14:textId="4B7CE3AB" w:rsidR="000F5992" w:rsidRPr="007E7E40" w:rsidRDefault="00B07EB6" w:rsidP="00B07EB6">
            <w:pPr>
              <w:rPr>
                <w:rFonts w:ascii="Times New Roman" w:hAnsi="Times New Roman" w:cs="Times New Roman"/>
                <w:b/>
                <w:noProof/>
                <w:color w:val="000000" w:themeColor="text1"/>
                <w:sz w:val="24"/>
                <w:szCs w:val="24"/>
                <w:lang w:val="el-GR"/>
              </w:rPr>
            </w:pPr>
            <w:r w:rsidRPr="007E7E40">
              <w:rPr>
                <w:rFonts w:ascii="Times New Roman" w:hAnsi="Times New Roman"/>
                <w:color w:val="000000" w:themeColor="text1"/>
                <w:sz w:val="24"/>
                <w:lang w:val="el-GR"/>
              </w:rPr>
              <w:t xml:space="preserve">Υπολογίζεται ως το πηλίκο της γραμμής </w:t>
            </w:r>
            <w:r>
              <w:rPr>
                <w:rFonts w:ascii="Times New Roman" w:hAnsi="Times New Roman"/>
                <w:color w:val="000000" w:themeColor="text1"/>
                <w:sz w:val="24"/>
              </w:rPr>
              <w:t>EU</w:t>
            </w:r>
            <w:r w:rsidRPr="007E7E40">
              <w:rPr>
                <w:rFonts w:ascii="Times New Roman" w:hAnsi="Times New Roman"/>
                <w:color w:val="000000" w:themeColor="text1"/>
                <w:sz w:val="24"/>
                <w:lang w:val="el-GR"/>
              </w:rPr>
              <w:t xml:space="preserve">-8 διαιρούμενης διά της γραμμής </w:t>
            </w:r>
            <w:r>
              <w:rPr>
                <w:rFonts w:ascii="Times New Roman" w:hAnsi="Times New Roman"/>
                <w:color w:val="000000" w:themeColor="text1"/>
                <w:sz w:val="24"/>
              </w:rPr>
              <w:t>EU</w:t>
            </w:r>
            <w:r w:rsidRPr="007E7E40">
              <w:rPr>
                <w:rFonts w:ascii="Times New Roman" w:hAnsi="Times New Roman"/>
                <w:color w:val="000000" w:themeColor="text1"/>
                <w:sz w:val="24"/>
                <w:lang w:val="el-GR"/>
              </w:rPr>
              <w:t>-11.</w:t>
            </w:r>
          </w:p>
        </w:tc>
      </w:tr>
      <w:tr w:rsidR="00026FC1" w:rsidRPr="0008623B" w14:paraId="72C7F5C5" w14:textId="77777777" w:rsidTr="002A065A">
        <w:tc>
          <w:tcPr>
            <w:tcW w:w="1109" w:type="dxa"/>
          </w:tcPr>
          <w:p w14:paraId="480E6DB5" w14:textId="4B427067" w:rsidR="000C5255" w:rsidRPr="0008623B" w:rsidRDefault="00F42177"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EU-16</w:t>
            </w:r>
          </w:p>
        </w:tc>
        <w:tc>
          <w:tcPr>
            <w:tcW w:w="7642" w:type="dxa"/>
          </w:tcPr>
          <w:p w14:paraId="77339BFA" w14:textId="07707C45" w:rsidR="000C5255" w:rsidRPr="007E7E40" w:rsidRDefault="000C5255" w:rsidP="000C5255">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Κεφάλαιο </w:t>
            </w:r>
            <w:r>
              <w:rPr>
                <w:rFonts w:ascii="Times New Roman" w:hAnsi="Times New Roman"/>
                <w:b/>
                <w:color w:val="000000" w:themeColor="text1"/>
                <w:sz w:val="24"/>
              </w:rPr>
              <w:t>CET</w:t>
            </w:r>
            <w:r w:rsidRPr="007E7E40">
              <w:rPr>
                <w:rFonts w:ascii="Times New Roman" w:hAnsi="Times New Roman"/>
                <w:b/>
                <w:color w:val="000000" w:themeColor="text1"/>
                <w:sz w:val="24"/>
                <w:lang w:val="el-GR"/>
              </w:rPr>
              <w:t xml:space="preserve">1 (ως ποσοστό του </w:t>
            </w:r>
            <w:r>
              <w:rPr>
                <w:rFonts w:ascii="Times New Roman" w:hAnsi="Times New Roman"/>
                <w:b/>
                <w:color w:val="000000" w:themeColor="text1"/>
                <w:sz w:val="24"/>
              </w:rPr>
              <w:t>TREA</w:t>
            </w:r>
            <w:r w:rsidRPr="007E7E40">
              <w:rPr>
                <w:rFonts w:ascii="Times New Roman" w:hAnsi="Times New Roman"/>
                <w:b/>
                <w:color w:val="000000" w:themeColor="text1"/>
                <w:sz w:val="24"/>
                <w:lang w:val="el-GR"/>
              </w:rPr>
              <w:t>) διαθέσιμο μετά την εκπλήρωση των απαιτήσεων της οντότητας</w:t>
            </w:r>
          </w:p>
          <w:p w14:paraId="10969C39" w14:textId="385E6EF9" w:rsidR="00A47BCD" w:rsidRPr="007E7E40" w:rsidRDefault="00A47BCD" w:rsidP="00AA0676">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Το ποσό του κεφαλαίου </w:t>
            </w:r>
            <w:r>
              <w:rPr>
                <w:rFonts w:ascii="Times New Roman" w:hAnsi="Times New Roman"/>
                <w:color w:val="000000" w:themeColor="text1"/>
                <w:sz w:val="24"/>
              </w:rPr>
              <w:t>CET</w:t>
            </w:r>
            <w:r w:rsidRPr="007E7E40">
              <w:rPr>
                <w:rFonts w:ascii="Times New Roman" w:hAnsi="Times New Roman"/>
                <w:color w:val="000000" w:themeColor="text1"/>
                <w:sz w:val="24"/>
                <w:lang w:val="el-GR"/>
              </w:rPr>
              <w:t xml:space="preserve">1, μηδενικό ή θετικό, που είναι διαθέσιμο μετά την εκπλήρωση καθεμίας από τις απαιτήσεις που αναφέρονται στο άρθρο </w:t>
            </w:r>
            <w:r w:rsidRPr="007E7E40">
              <w:rPr>
                <w:rFonts w:ascii="Times New Roman" w:hAnsi="Times New Roman"/>
                <w:color w:val="000000" w:themeColor="text1"/>
                <w:sz w:val="24"/>
                <w:lang w:val="el-GR"/>
              </w:rPr>
              <w:lastRenderedPageBreak/>
              <w:t>141α στοιχεία α), β) και γ) της οδηγίας 2013/36/ΕΕ και το μεγαλύτερο από τα ακόλουθα ποσά:</w:t>
            </w:r>
          </w:p>
          <w:p w14:paraId="58E9B9E9" w14:textId="7860E6DE" w:rsidR="00A47BCD" w:rsidRPr="007E7E40" w:rsidRDefault="00A47BCD" w:rsidP="00AA0676">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α) κατά περίπτωση, την απαίτηση ιδίων κεφαλαίων και επιλέξιμων υποχρεώσεων για </w:t>
            </w:r>
            <w:r>
              <w:rPr>
                <w:rFonts w:ascii="Times New Roman" w:hAnsi="Times New Roman"/>
                <w:color w:val="000000" w:themeColor="text1"/>
                <w:sz w:val="24"/>
              </w:rPr>
              <w:t>G</w:t>
            </w:r>
            <w:r w:rsidRPr="007E7E40">
              <w:rPr>
                <w:rFonts w:ascii="Times New Roman" w:hAnsi="Times New Roman"/>
                <w:color w:val="000000" w:themeColor="text1"/>
                <w:sz w:val="24"/>
                <w:lang w:val="el-GR"/>
              </w:rPr>
              <w:t>-</w:t>
            </w:r>
            <w:r>
              <w:rPr>
                <w:rFonts w:ascii="Times New Roman" w:hAnsi="Times New Roman"/>
                <w:color w:val="000000" w:themeColor="text1"/>
                <w:sz w:val="24"/>
              </w:rPr>
              <w:t>SII</w:t>
            </w:r>
            <w:r w:rsidRPr="007E7E40">
              <w:rPr>
                <w:rFonts w:ascii="Times New Roman" w:hAnsi="Times New Roman"/>
                <w:color w:val="000000" w:themeColor="text1"/>
                <w:sz w:val="24"/>
                <w:lang w:val="el-GR"/>
              </w:rPr>
              <w:t xml:space="preserve"> εκτός ΕΕ σύμφωνα με το άρθρο 92β του κανονισμού (ΕΕ) αριθ. 575/2013, όταν υπολογίζεται σύμφωνα με το άρθρο 92β παράγραφος 1 του κανονισμού (ΕΕ) αριθ. 575/2013 ως το 90</w:t>
            </w:r>
            <w:r>
              <w:rPr>
                <w:rFonts w:ascii="Times New Roman" w:hAnsi="Times New Roman"/>
                <w:color w:val="000000" w:themeColor="text1"/>
                <w:sz w:val="24"/>
              </w:rPr>
              <w:t> </w:t>
            </w:r>
            <w:r w:rsidRPr="007E7E40">
              <w:rPr>
                <w:rFonts w:ascii="Times New Roman" w:hAnsi="Times New Roman"/>
                <w:color w:val="000000" w:themeColor="text1"/>
                <w:sz w:val="24"/>
                <w:lang w:val="el-GR"/>
              </w:rPr>
              <w:t xml:space="preserve">% της απαίτησης του άρθρου 92α παράγραφος 1 στοιχείο α) του εν λόγω κανονισμού και </w:t>
            </w:r>
          </w:p>
          <w:p w14:paraId="198DF7D6" w14:textId="3885C36B" w:rsidR="00A47BCD" w:rsidRPr="007E7E40" w:rsidRDefault="00A47BCD" w:rsidP="00AA0676">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β) την ελάχιστη απαίτηση ιδίων κεφαλαίων και επιλέξιμων υποχρεώσεων σύμφωνα με το άρθρο 45στ της οδηγίας 2014/59/ΕΕ, όταν υπολογίζεται σύμφωνα με το άρθρο 45 παράγραφος 2 στοιχείο α) της εν λόγω οδηγίας.</w:t>
            </w:r>
          </w:p>
          <w:p w14:paraId="4CF4E1A3" w14:textId="6E11E15F" w:rsidR="00A47BCD" w:rsidRPr="007E7E40" w:rsidRDefault="00A47BCD" w:rsidP="00AA0676">
            <w:pPr>
              <w:rPr>
                <w:rFonts w:ascii="Times New Roman" w:hAnsi="Times New Roman" w:cs="Times New Roman"/>
                <w:noProof/>
                <w:color w:val="000000" w:themeColor="text1"/>
                <w:sz w:val="24"/>
                <w:szCs w:val="24"/>
                <w:lang w:val="el-GR"/>
              </w:rPr>
            </w:pPr>
            <w:r w:rsidRPr="007E7E40">
              <w:rPr>
                <w:rFonts w:ascii="Times New Roman" w:hAnsi="Times New Roman"/>
                <w:color w:val="000000" w:themeColor="text1"/>
                <w:sz w:val="24"/>
                <w:lang w:val="el-GR"/>
              </w:rPr>
              <w:t xml:space="preserve">Το δημοσιοποιούμενο ποσό είναι το ίδιο τόσο στη στήλη </w:t>
            </w:r>
            <w:r>
              <w:rPr>
                <w:rFonts w:ascii="Times New Roman" w:hAnsi="Times New Roman"/>
                <w:color w:val="000000" w:themeColor="text1"/>
                <w:sz w:val="24"/>
              </w:rPr>
              <w:t>MREL</w:t>
            </w:r>
            <w:r w:rsidRPr="007E7E40">
              <w:rPr>
                <w:rFonts w:ascii="Times New Roman" w:hAnsi="Times New Roman"/>
                <w:color w:val="000000" w:themeColor="text1"/>
                <w:sz w:val="24"/>
                <w:lang w:val="el-GR"/>
              </w:rPr>
              <w:t xml:space="preserve"> όσο και στη στήλη </w:t>
            </w:r>
            <w:r>
              <w:rPr>
                <w:rFonts w:ascii="Times New Roman" w:hAnsi="Times New Roman"/>
                <w:color w:val="000000" w:themeColor="text1"/>
                <w:sz w:val="24"/>
              </w:rPr>
              <w:t>TLAC</w:t>
            </w:r>
            <w:r w:rsidRPr="007E7E40">
              <w:rPr>
                <w:rFonts w:ascii="Times New Roman" w:hAnsi="Times New Roman"/>
                <w:color w:val="000000" w:themeColor="text1"/>
                <w:sz w:val="24"/>
                <w:lang w:val="el-GR"/>
              </w:rPr>
              <w:t>.</w:t>
            </w:r>
          </w:p>
          <w:p w14:paraId="6C9387A7" w14:textId="461089FB" w:rsidR="000C5255" w:rsidRPr="007E7E40" w:rsidRDefault="00A47BCD" w:rsidP="00AA0676">
            <w:pPr>
              <w:rPr>
                <w:b/>
                <w:noProof/>
                <w:lang w:val="el-GR"/>
              </w:rPr>
            </w:pPr>
            <w:r w:rsidRPr="007E7E40">
              <w:rPr>
                <w:rFonts w:ascii="Times New Roman" w:hAnsi="Times New Roman"/>
                <w:color w:val="000000" w:themeColor="text1"/>
                <w:sz w:val="24"/>
                <w:lang w:val="el-GR"/>
              </w:rPr>
              <w:t>Στο ποσό αυτό λαμβάνεται υπόψη η επίδραση των μεταβατικών διατάξεων στα ίδια κεφάλαια και στις επιλέξιμες υποχρεώσεις, στο συνολικό ποσό ανοίγματος σε κίνδυνο και στις ίδιες τις απαιτήσεις. Δεν λαμβάνονται υπόψη ούτε η καθοδήγηση ως προς τα πρόσθετα ίδια κεφάλαια, όπως αναφέρεται στο άρθρο 104β της οδηγίας 2013/36/ΕΕ, ούτε η συνδυασμένη απαίτηση αποθέματος ασφαλείας του άρθρου 128 πρώτο εδάφιο σημείο 6) της εν λόγω οδηγίας.</w:t>
            </w:r>
          </w:p>
        </w:tc>
      </w:tr>
      <w:tr w:rsidR="00026FC1" w:rsidRPr="0008623B" w14:paraId="27986DD8" w14:textId="77777777" w:rsidTr="002A065A">
        <w:tc>
          <w:tcPr>
            <w:tcW w:w="1109" w:type="dxa"/>
          </w:tcPr>
          <w:p w14:paraId="72398D99" w14:textId="0534A19F" w:rsidR="000C5255" w:rsidRPr="0008623B"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EU-17</w:t>
            </w:r>
          </w:p>
        </w:tc>
        <w:tc>
          <w:tcPr>
            <w:tcW w:w="7642" w:type="dxa"/>
          </w:tcPr>
          <w:p w14:paraId="76F0E68B" w14:textId="21794D3D" w:rsidR="000C5255" w:rsidRPr="007E7E40" w:rsidRDefault="000C5255" w:rsidP="000C5255">
            <w:pPr>
              <w:rPr>
                <w:rFonts w:ascii="Times New Roman" w:hAnsi="Times New Roman" w:cs="Times New Roman"/>
                <w:b/>
                <w:noProof/>
                <w:color w:val="000000" w:themeColor="text1"/>
                <w:sz w:val="24"/>
                <w:szCs w:val="24"/>
                <w:lang w:val="el-GR"/>
              </w:rPr>
            </w:pPr>
            <w:r w:rsidRPr="007E7E40">
              <w:rPr>
                <w:rFonts w:ascii="Times New Roman" w:hAnsi="Times New Roman"/>
                <w:b/>
                <w:color w:val="000000" w:themeColor="text1"/>
                <w:sz w:val="24"/>
                <w:lang w:val="el-GR"/>
              </w:rPr>
              <w:t xml:space="preserve">Συνδυασμένη απαίτηση αποθέματος ασφαλείας ειδικά για το κάθε ίδρυμα </w:t>
            </w:r>
          </w:p>
          <w:p w14:paraId="24FA0B83" w14:textId="4835122C" w:rsidR="000C5255" w:rsidRPr="007E7E40" w:rsidRDefault="000C5255" w:rsidP="00CB08B2">
            <w:pPr>
              <w:rPr>
                <w:rFonts w:ascii="Times New Roman" w:hAnsi="Times New Roman" w:cs="Times New Roman"/>
                <w:b/>
                <w:noProof/>
                <w:color w:val="000000" w:themeColor="text1"/>
                <w:sz w:val="24"/>
                <w:szCs w:val="24"/>
                <w:lang w:val="el-GR"/>
              </w:rPr>
            </w:pPr>
            <w:r w:rsidRPr="007E7E40">
              <w:rPr>
                <w:rFonts w:ascii="Times New Roman" w:hAnsi="Times New Roman"/>
                <w:color w:val="000000" w:themeColor="text1"/>
                <w:sz w:val="24"/>
                <w:lang w:val="el-GR"/>
              </w:rPr>
              <w:t>Συνδυασμένη απαίτηση αποθέματος ασφαλείας ειδικά για το κάθε ίδρυμα, όπως ορίζεται στο άρθρο 6 πρώτο εδάφιο σημείο 128) της οδηγίας 2013/36/ΕΕ, εκφραζόμενη ως ποσοστό του συνολικού ποσού ανοίγματος σε κίνδυνο, η οποία εφαρμόζεται στην οντότητα σύμφωνα με το άρθρο 128 πρώτο εδάφιο σημείο 6) της οδηγίας 2013/36/ΕΕ.</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rFonts w:ascii="Times New Roman" w:hAnsi="Times New Roman" w:cs="Times New Roman"/>
                <w:bCs/>
                <w:iCs/>
                <w:color w:val="000000" w:themeColor="text1"/>
                <w:sz w:val="24"/>
                <w:szCs w:val="24"/>
              </w:rPr>
            </w:pPr>
            <w:r>
              <w:rPr>
                <w:rFonts w:ascii="Times New Roman" w:hAnsi="Times New Roman"/>
                <w:color w:val="000000" w:themeColor="text1"/>
                <w:sz w:val="24"/>
              </w:rPr>
              <w:t>EU-18</w:t>
            </w:r>
          </w:p>
        </w:tc>
        <w:tc>
          <w:tcPr>
            <w:tcW w:w="7642" w:type="dxa"/>
          </w:tcPr>
          <w:p w14:paraId="44696FD9" w14:textId="2B694FE0" w:rsidR="008834C5" w:rsidRPr="007E7E40" w:rsidRDefault="00F51FA3" w:rsidP="008834C5">
            <w:pPr>
              <w:rPr>
                <w:rFonts w:ascii="Times New Roman" w:hAnsi="Times New Roman" w:cs="Times New Roman"/>
                <w:b/>
                <w:bCs/>
                <w:color w:val="000000" w:themeColor="text1"/>
                <w:sz w:val="24"/>
                <w:szCs w:val="24"/>
                <w:lang w:val="el-GR"/>
              </w:rPr>
            </w:pPr>
            <w:r w:rsidRPr="007E7E40">
              <w:rPr>
                <w:rFonts w:ascii="Times New Roman" w:hAnsi="Times New Roman"/>
                <w:b/>
                <w:color w:val="000000" w:themeColor="text1"/>
                <w:sz w:val="24"/>
                <w:lang w:val="el-GR"/>
              </w:rPr>
              <w:t xml:space="preserve">Απαίτηση εκφραζόμενη ως ποσοστό του </w:t>
            </w:r>
            <w:r>
              <w:rPr>
                <w:rFonts w:ascii="Times New Roman" w:hAnsi="Times New Roman"/>
                <w:b/>
                <w:color w:val="000000" w:themeColor="text1"/>
                <w:sz w:val="24"/>
              </w:rPr>
              <w:t>TREA</w:t>
            </w:r>
          </w:p>
          <w:p w14:paraId="4059E3AD" w14:textId="09123D9B" w:rsidR="00B07EB6" w:rsidRPr="007E7E40" w:rsidRDefault="00B07EB6" w:rsidP="0092457E">
            <w:pPr>
              <w:rPr>
                <w:rFonts w:ascii="Times New Roman" w:hAnsi="Times New Roman" w:cs="Times New Roman"/>
                <w:i/>
                <w:noProof/>
                <w:sz w:val="24"/>
                <w:szCs w:val="24"/>
                <w:lang w:val="el-GR"/>
              </w:rPr>
            </w:pPr>
            <w:r w:rsidRPr="007E7E40">
              <w:rPr>
                <w:rFonts w:ascii="Times New Roman" w:hAnsi="Times New Roman"/>
                <w:i/>
                <w:sz w:val="24"/>
                <w:lang w:val="el-GR"/>
              </w:rPr>
              <w:t xml:space="preserve">Εσωτερική </w:t>
            </w:r>
            <w:r>
              <w:rPr>
                <w:rFonts w:ascii="Times New Roman" w:hAnsi="Times New Roman"/>
                <w:i/>
                <w:sz w:val="24"/>
              </w:rPr>
              <w:t>MREL</w:t>
            </w:r>
          </w:p>
          <w:p w14:paraId="7A3B8EB3" w14:textId="022A0950" w:rsidR="00036DB1" w:rsidRPr="007E7E40" w:rsidRDefault="00B07EB6" w:rsidP="0092457E">
            <w:pPr>
              <w:rPr>
                <w:rFonts w:ascii="Times New Roman" w:hAnsi="Times New Roman" w:cs="Times New Roman"/>
                <w:bCs/>
                <w:noProof/>
                <w:sz w:val="24"/>
                <w:szCs w:val="24"/>
                <w:lang w:val="el-GR"/>
              </w:rPr>
            </w:pPr>
            <w:r w:rsidRPr="007E7E40">
              <w:rPr>
                <w:rFonts w:ascii="Times New Roman" w:hAnsi="Times New Roman"/>
                <w:sz w:val="24"/>
                <w:lang w:val="el-GR"/>
              </w:rPr>
              <w:t>Απαίτηση ιδίων κεφαλαίων και επιλέξιμων υποχρεώσεων η οποία εφαρμόζεται στην οντότητα σύμφωνα με το άρθρο 45στ της οδηγίας 2014/59/ΕΕ, εκφραζόμενη ως ποσοστό του συνολικού ποσού ανοίγματος σε κίνδυνο (σε ατομικό ή ενοποιημένο επίπεδο, κατά περίπτωση)</w:t>
            </w:r>
          </w:p>
          <w:p w14:paraId="36F1A57F" w14:textId="701178C9" w:rsidR="00B07EB6" w:rsidRPr="007E7E40" w:rsidRDefault="00B07EB6" w:rsidP="00B07EB6">
            <w:pPr>
              <w:rPr>
                <w:rFonts w:ascii="Times New Roman" w:hAnsi="Times New Roman" w:cs="Times New Roman"/>
                <w:bCs/>
                <w:i/>
                <w:noProof/>
                <w:sz w:val="24"/>
                <w:szCs w:val="24"/>
                <w:lang w:val="el-GR"/>
              </w:rPr>
            </w:pPr>
            <w:r w:rsidRPr="007E7E40">
              <w:rPr>
                <w:rFonts w:ascii="Times New Roman" w:hAnsi="Times New Roman"/>
                <w:i/>
                <w:sz w:val="24"/>
                <w:lang w:val="el-GR"/>
              </w:rPr>
              <w:t xml:space="preserve">Εσωτερική </w:t>
            </w:r>
            <w:r>
              <w:rPr>
                <w:rFonts w:ascii="Times New Roman" w:hAnsi="Times New Roman"/>
                <w:i/>
                <w:sz w:val="24"/>
              </w:rPr>
              <w:t>TLAC</w:t>
            </w:r>
          </w:p>
          <w:p w14:paraId="524A15B1" w14:textId="10807991" w:rsidR="00D156A3" w:rsidRPr="007E7E40" w:rsidRDefault="00B07EB6" w:rsidP="00CB08B2">
            <w:pPr>
              <w:rPr>
                <w:rFonts w:ascii="Times New Roman" w:hAnsi="Times New Roman" w:cs="Times New Roman"/>
                <w:bCs/>
                <w:noProof/>
                <w:sz w:val="24"/>
                <w:szCs w:val="24"/>
                <w:lang w:val="el-GR"/>
              </w:rPr>
            </w:pPr>
            <w:r w:rsidRPr="007E7E40">
              <w:rPr>
                <w:rFonts w:ascii="Times New Roman" w:hAnsi="Times New Roman"/>
                <w:sz w:val="24"/>
                <w:lang w:val="el-GR"/>
              </w:rPr>
              <w:t>Απαίτηση που καθορίζεται στο άρθρο 92β του κανονισμού (ΕΕ) αριθ. 575/2013, εκφραζόμενη ως ποσοστό του συνολικού ποσού ανοίγματος σε κίνδυνο (σε ατομικό ή ενοποιημένο επίπεδο, κατά περίπτωση).</w:t>
            </w:r>
          </w:p>
        </w:tc>
      </w:tr>
      <w:tr w:rsidR="00026FC1" w:rsidRPr="0008623B" w14:paraId="33DA72AB" w14:textId="77777777" w:rsidTr="002A065A">
        <w:tc>
          <w:tcPr>
            <w:tcW w:w="1109" w:type="dxa"/>
          </w:tcPr>
          <w:p w14:paraId="784E2295" w14:textId="4500A04A" w:rsidR="008834C5" w:rsidRPr="0008623B" w:rsidRDefault="00F42177"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EU-19</w:t>
            </w:r>
          </w:p>
        </w:tc>
        <w:tc>
          <w:tcPr>
            <w:tcW w:w="7642" w:type="dxa"/>
          </w:tcPr>
          <w:p w14:paraId="168B9372" w14:textId="2BC4791B" w:rsidR="008834C5" w:rsidRPr="007E7E40" w:rsidRDefault="00FF5E0F" w:rsidP="008834C5">
            <w:pPr>
              <w:rPr>
                <w:rFonts w:ascii="Times New Roman" w:hAnsi="Times New Roman" w:cs="Times New Roman"/>
                <w:b/>
                <w:bCs/>
                <w:color w:val="000000" w:themeColor="text1"/>
                <w:sz w:val="24"/>
                <w:szCs w:val="24"/>
                <w:lang w:val="el-GR"/>
              </w:rPr>
            </w:pPr>
            <w:r w:rsidRPr="007E7E40">
              <w:rPr>
                <w:rFonts w:ascii="Times New Roman" w:hAnsi="Times New Roman"/>
                <w:b/>
                <w:color w:val="000000" w:themeColor="text1"/>
                <w:sz w:val="24"/>
                <w:lang w:val="el-GR"/>
              </w:rPr>
              <w:t xml:space="preserve">Απαίτηση εκφραζόμενη ως ποσοστό του </w:t>
            </w:r>
            <w:r>
              <w:rPr>
                <w:rFonts w:ascii="Times New Roman" w:hAnsi="Times New Roman"/>
                <w:b/>
                <w:color w:val="000000" w:themeColor="text1"/>
                <w:sz w:val="24"/>
              </w:rPr>
              <w:t>TREA</w:t>
            </w:r>
            <w:r w:rsidRPr="007E7E40">
              <w:rPr>
                <w:rFonts w:ascii="Times New Roman" w:hAnsi="Times New Roman"/>
                <w:b/>
                <w:color w:val="000000" w:themeColor="text1"/>
                <w:sz w:val="24"/>
                <w:lang w:val="el-GR"/>
              </w:rPr>
              <w:t xml:space="preserve"> — εκ των οποίων: μέρος της απαίτησης που μπορεί να καλυφθεί με εγγύηση</w:t>
            </w:r>
          </w:p>
          <w:p w14:paraId="689193A8" w14:textId="2B66DAF3" w:rsidR="00036DB1" w:rsidRPr="007E7E40" w:rsidRDefault="00036DB1" w:rsidP="00102896">
            <w:pPr>
              <w:rPr>
                <w:rFonts w:ascii="Times New Roman" w:hAnsi="Times New Roman" w:cs="Times New Roman"/>
                <w:b/>
                <w:noProof/>
                <w:color w:val="000000" w:themeColor="text1"/>
                <w:sz w:val="24"/>
                <w:szCs w:val="24"/>
                <w:lang w:val="el-GR"/>
              </w:rPr>
            </w:pPr>
            <w:r w:rsidRPr="007E7E40">
              <w:rPr>
                <w:rFonts w:ascii="Times New Roman" w:hAnsi="Times New Roman"/>
                <w:sz w:val="24"/>
                <w:lang w:val="el-GR"/>
              </w:rPr>
              <w:t>Κατά περίπτωση, μέρος της απαίτησης ιδίων κεφαλαίων και επιλέξιμων υποχρεώσεων, εκφραζόμενης ως ποσοστό του συνολικού ποσού ανοίγματος σε κίνδυνο, το οποίο μπορεί να καλυφθεί με εγγύηση που παρέχεται από την οντότητα εξυγίανσης, σύμφωνα με το άρθρο 45στ παράγραφος 5 της οδηγίας 2014/59/ΕΕ.</w:t>
            </w:r>
          </w:p>
        </w:tc>
      </w:tr>
      <w:tr w:rsidR="00026FC1" w:rsidRPr="0008623B" w14:paraId="7DB5B45D" w14:textId="77777777" w:rsidTr="002A065A">
        <w:tc>
          <w:tcPr>
            <w:tcW w:w="1109" w:type="dxa"/>
          </w:tcPr>
          <w:p w14:paraId="291F5089" w14:textId="5540E6DA" w:rsidR="008834C5" w:rsidRPr="0008623B" w:rsidRDefault="00BB093D"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EU-20</w:t>
            </w:r>
          </w:p>
        </w:tc>
        <w:tc>
          <w:tcPr>
            <w:tcW w:w="7642" w:type="dxa"/>
          </w:tcPr>
          <w:p w14:paraId="517C1D7E" w14:textId="160471A8" w:rsidR="008834C5" w:rsidRPr="007E7E40" w:rsidRDefault="00A96376" w:rsidP="008834C5">
            <w:pPr>
              <w:rPr>
                <w:rFonts w:ascii="Times New Roman" w:hAnsi="Times New Roman" w:cs="Times New Roman"/>
                <w:b/>
                <w:bCs/>
                <w:color w:val="000000" w:themeColor="text1"/>
                <w:sz w:val="24"/>
                <w:szCs w:val="24"/>
                <w:lang w:val="el-GR"/>
              </w:rPr>
            </w:pPr>
            <w:r w:rsidRPr="007E7E40">
              <w:rPr>
                <w:rFonts w:ascii="Times New Roman" w:hAnsi="Times New Roman"/>
                <w:b/>
                <w:color w:val="000000" w:themeColor="text1"/>
                <w:sz w:val="24"/>
                <w:lang w:val="el-GR"/>
              </w:rPr>
              <w:t xml:space="preserve">Απαίτηση εκφραζόμενη ως ποσοστό του </w:t>
            </w:r>
            <w:r>
              <w:rPr>
                <w:rFonts w:ascii="Times New Roman" w:hAnsi="Times New Roman"/>
                <w:b/>
                <w:color w:val="000000" w:themeColor="text1"/>
                <w:sz w:val="24"/>
              </w:rPr>
              <w:t>TEM</w:t>
            </w:r>
          </w:p>
          <w:p w14:paraId="390682C6" w14:textId="2F127DB6" w:rsidR="00B07EB6" w:rsidRPr="007E7E40" w:rsidRDefault="00B07EB6">
            <w:pPr>
              <w:rPr>
                <w:rFonts w:ascii="Times New Roman" w:hAnsi="Times New Roman" w:cs="Times New Roman"/>
                <w:i/>
                <w:noProof/>
                <w:sz w:val="24"/>
                <w:szCs w:val="24"/>
                <w:lang w:val="el-GR"/>
              </w:rPr>
            </w:pPr>
            <w:r w:rsidRPr="007E7E40">
              <w:rPr>
                <w:rFonts w:ascii="Times New Roman" w:hAnsi="Times New Roman"/>
                <w:i/>
                <w:sz w:val="24"/>
                <w:lang w:val="el-GR"/>
              </w:rPr>
              <w:t xml:space="preserve">Εσωτερική </w:t>
            </w:r>
            <w:r>
              <w:rPr>
                <w:rFonts w:ascii="Times New Roman" w:hAnsi="Times New Roman"/>
                <w:i/>
                <w:sz w:val="24"/>
              </w:rPr>
              <w:t>MREL</w:t>
            </w:r>
          </w:p>
          <w:p w14:paraId="15AB0F32" w14:textId="4388F7B3" w:rsidR="00036DB1" w:rsidRPr="007E7E40" w:rsidRDefault="00B07EB6">
            <w:pPr>
              <w:rPr>
                <w:rFonts w:ascii="Times New Roman" w:hAnsi="Times New Roman" w:cs="Times New Roman"/>
                <w:bCs/>
                <w:noProof/>
                <w:sz w:val="24"/>
                <w:szCs w:val="24"/>
                <w:lang w:val="el-GR"/>
              </w:rPr>
            </w:pPr>
            <w:r w:rsidRPr="007E7E40">
              <w:rPr>
                <w:rFonts w:ascii="Times New Roman" w:hAnsi="Times New Roman"/>
                <w:sz w:val="24"/>
                <w:lang w:val="el-GR"/>
              </w:rPr>
              <w:t>Απαίτηση ιδίων κεφαλαίων και επιλέξιμων υποχρεώσεων η οποία εφαρμόζεται στην οντότητα σύμφωνα με το άρθρο 45στ της οδηγίας 2014/59/ΕΕ, εκφραζόμενη ως ποσοστό του μέτρου συνολικού ανοίγματος (σε ατομικό ή ενοποιημένο επίπεδο μητρικής επιχείρησης της ΕΕ, κατά περίπτωση)</w:t>
            </w:r>
          </w:p>
          <w:p w14:paraId="28AE2B52" w14:textId="40D45C6B" w:rsidR="00B07EB6" w:rsidRPr="007E7E40" w:rsidRDefault="00B07EB6" w:rsidP="006501CC">
            <w:pPr>
              <w:rPr>
                <w:rFonts w:ascii="Times New Roman" w:hAnsi="Times New Roman" w:cs="Times New Roman"/>
                <w:bCs/>
                <w:i/>
                <w:noProof/>
                <w:sz w:val="24"/>
                <w:szCs w:val="24"/>
                <w:lang w:val="el-GR"/>
              </w:rPr>
            </w:pPr>
            <w:r w:rsidRPr="007E7E40">
              <w:rPr>
                <w:rFonts w:ascii="Times New Roman" w:hAnsi="Times New Roman"/>
                <w:i/>
                <w:sz w:val="24"/>
                <w:lang w:val="el-GR"/>
              </w:rPr>
              <w:t xml:space="preserve">Εσωτερική </w:t>
            </w:r>
            <w:r>
              <w:rPr>
                <w:rFonts w:ascii="Times New Roman" w:hAnsi="Times New Roman"/>
                <w:i/>
                <w:sz w:val="24"/>
              </w:rPr>
              <w:t>TLAC</w:t>
            </w:r>
            <w:r w:rsidRPr="007E7E40">
              <w:rPr>
                <w:rFonts w:ascii="Times New Roman" w:hAnsi="Times New Roman"/>
                <w:i/>
                <w:sz w:val="24"/>
                <w:lang w:val="el-GR"/>
              </w:rPr>
              <w:t xml:space="preserve"> </w:t>
            </w:r>
          </w:p>
          <w:p w14:paraId="316152E4" w14:textId="47164313" w:rsidR="00D156A3" w:rsidRPr="007E7E40" w:rsidRDefault="00B07EB6" w:rsidP="00CB08B2">
            <w:pPr>
              <w:rPr>
                <w:rFonts w:ascii="Times New Roman" w:hAnsi="Times New Roman" w:cs="Times New Roman"/>
                <w:bCs/>
                <w:noProof/>
                <w:sz w:val="24"/>
                <w:szCs w:val="24"/>
                <w:lang w:val="el-GR"/>
              </w:rPr>
            </w:pPr>
            <w:r w:rsidRPr="007E7E40">
              <w:rPr>
                <w:rFonts w:ascii="Times New Roman" w:hAnsi="Times New Roman"/>
                <w:sz w:val="24"/>
                <w:lang w:val="el-GR"/>
              </w:rPr>
              <w:t>Απαίτηση που καθορίζεται στο άρθρο 92β του κανονισμού (ΕΕ) αριθ. 575/2013, εκφραζόμενη ως ποσοστό του μέτρου συνολικού ανοίγματος (σε ατομικό ή ενοποιημένο επίπεδο, κατά περίπτωση).</w:t>
            </w:r>
          </w:p>
        </w:tc>
      </w:tr>
      <w:tr w:rsidR="00026FC1" w:rsidRPr="0008623B" w14:paraId="665B02CC" w14:textId="77777777" w:rsidTr="002A065A">
        <w:tc>
          <w:tcPr>
            <w:tcW w:w="1109" w:type="dxa"/>
          </w:tcPr>
          <w:p w14:paraId="4CC8B518" w14:textId="34221154" w:rsidR="008834C5" w:rsidRPr="0008623B" w:rsidRDefault="0092457E"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EU-21</w:t>
            </w:r>
          </w:p>
        </w:tc>
        <w:tc>
          <w:tcPr>
            <w:tcW w:w="7642" w:type="dxa"/>
          </w:tcPr>
          <w:p w14:paraId="5E678549" w14:textId="3C180ACA" w:rsidR="008834C5" w:rsidRPr="007E7E40" w:rsidRDefault="00FF5E0F" w:rsidP="008834C5">
            <w:pPr>
              <w:rPr>
                <w:rFonts w:ascii="Times New Roman" w:hAnsi="Times New Roman" w:cs="Times New Roman"/>
                <w:b/>
                <w:bCs/>
                <w:color w:val="000000" w:themeColor="text1"/>
                <w:sz w:val="24"/>
                <w:szCs w:val="24"/>
                <w:lang w:val="el-GR"/>
              </w:rPr>
            </w:pPr>
            <w:r w:rsidRPr="007E7E40">
              <w:rPr>
                <w:rFonts w:ascii="Times New Roman" w:hAnsi="Times New Roman"/>
                <w:b/>
                <w:color w:val="000000" w:themeColor="text1"/>
                <w:sz w:val="24"/>
                <w:lang w:val="el-GR"/>
              </w:rPr>
              <w:t xml:space="preserve">Απαίτηση εκφραζόμενη ως ποσοστό του </w:t>
            </w:r>
            <w:r>
              <w:rPr>
                <w:rFonts w:ascii="Times New Roman" w:hAnsi="Times New Roman"/>
                <w:b/>
                <w:color w:val="000000" w:themeColor="text1"/>
                <w:sz w:val="24"/>
              </w:rPr>
              <w:t>TEM</w:t>
            </w:r>
            <w:r w:rsidRPr="007E7E40">
              <w:rPr>
                <w:rFonts w:ascii="Times New Roman" w:hAnsi="Times New Roman"/>
                <w:b/>
                <w:color w:val="000000" w:themeColor="text1"/>
                <w:sz w:val="24"/>
                <w:lang w:val="el-GR"/>
              </w:rPr>
              <w:t xml:space="preserve"> — εκ των οποίων: μέρος της απαίτησης που μπορεί να καλυφθεί με εγγύηση</w:t>
            </w:r>
          </w:p>
          <w:p w14:paraId="4AD84850" w14:textId="46814386" w:rsidR="00036DB1" w:rsidRPr="007E7E40" w:rsidRDefault="00036DB1" w:rsidP="00CB08B2">
            <w:pPr>
              <w:rPr>
                <w:rFonts w:ascii="Times New Roman" w:hAnsi="Times New Roman" w:cs="Times New Roman"/>
                <w:b/>
                <w:noProof/>
                <w:color w:val="000000" w:themeColor="text1"/>
                <w:sz w:val="24"/>
                <w:szCs w:val="24"/>
                <w:lang w:val="el-GR"/>
              </w:rPr>
            </w:pPr>
            <w:r w:rsidRPr="007E7E40">
              <w:rPr>
                <w:rFonts w:ascii="Times New Roman" w:hAnsi="Times New Roman"/>
                <w:sz w:val="24"/>
                <w:lang w:val="el-GR"/>
              </w:rPr>
              <w:t>Κατά περίπτωση, μέρος της απαίτησης ιδίων κεφαλαίων και επιλέξιμων υποχρεώσεων, εκφραζόμενης ως ποσοστό του μέτρου συνολικού ανοίγματος, το οποίο μπορεί να καλυφθεί με εγγύηση που παρέχεται από την οντότητα εξυγίανσης, σύμφωνα με το άρθρο 45στ παράγραφος 5 της οδηγίας 2014/59/ΕΕ.</w:t>
            </w:r>
          </w:p>
        </w:tc>
      </w:tr>
      <w:tr w:rsidR="000B47A2" w:rsidRPr="0008623B" w14:paraId="2ACBD5CA" w14:textId="77777777" w:rsidTr="002A065A">
        <w:tc>
          <w:tcPr>
            <w:tcW w:w="1119" w:type="dxa"/>
            <w:vAlign w:val="top"/>
          </w:tcPr>
          <w:p w14:paraId="41CF7AC6" w14:textId="519C4DAD" w:rsidR="000B47A2" w:rsidRPr="0008623B" w:rsidRDefault="000B47A2" w:rsidP="003312F4">
            <w:pPr>
              <w:rPr>
                <w:rFonts w:ascii="Times New Roman" w:hAnsi="Times New Roman" w:cs="Times New Roman"/>
                <w:sz w:val="24"/>
                <w:szCs w:val="24"/>
              </w:rPr>
            </w:pPr>
            <w:r>
              <w:rPr>
                <w:rFonts w:ascii="Times New Roman" w:hAnsi="Times New Roman"/>
                <w:sz w:val="24"/>
              </w:rPr>
              <w:t>EU-22</w:t>
            </w:r>
          </w:p>
        </w:tc>
        <w:tc>
          <w:tcPr>
            <w:tcW w:w="7642" w:type="dxa"/>
            <w:vAlign w:val="top"/>
          </w:tcPr>
          <w:p w14:paraId="4FA5E841" w14:textId="053232BD" w:rsidR="000B47A2" w:rsidRPr="0008623B" w:rsidRDefault="000B47A2" w:rsidP="003312F4">
            <w:pPr>
              <w:rPr>
                <w:rFonts w:ascii="Times New Roman" w:hAnsi="Times New Roman" w:cs="Times New Roman"/>
                <w:b/>
                <w:noProof/>
                <w:color w:val="000000" w:themeColor="text1"/>
                <w:sz w:val="24"/>
                <w:szCs w:val="24"/>
              </w:rPr>
            </w:pPr>
            <w:r w:rsidRPr="007E7E40">
              <w:rPr>
                <w:rFonts w:ascii="Times New Roman" w:hAnsi="Times New Roman"/>
                <w:b/>
                <w:color w:val="000000" w:themeColor="text1"/>
                <w:sz w:val="24"/>
                <w:lang w:val="el-GR"/>
              </w:rPr>
              <w:t xml:space="preserve">Συνολικό ποσό των εξαιρούμενων υποχρεώσεων που αναφέρονται στο άρθρο 72α παράγραφος 2 του κανονισμού (ΕΕ) αριθ. </w:t>
            </w:r>
            <w:r>
              <w:rPr>
                <w:rFonts w:ascii="Times New Roman" w:hAnsi="Times New Roman"/>
                <w:b/>
                <w:color w:val="000000" w:themeColor="text1"/>
                <w:sz w:val="24"/>
              </w:rPr>
              <w:t>575/2013</w:t>
            </w:r>
          </w:p>
        </w:tc>
      </w:tr>
    </w:tbl>
    <w:p w14:paraId="0C6C28B8" w14:textId="738A3B7A" w:rsidR="003956D6" w:rsidRPr="0008623B" w:rsidRDefault="003956D6" w:rsidP="003956D6">
      <w:pPr>
        <w:rPr>
          <w:rFonts w:ascii="Times New Roman" w:hAnsi="Times New Roman" w:cs="Times New Roman"/>
          <w:b/>
          <w:color w:val="000000" w:themeColor="text1"/>
          <w:sz w:val="24"/>
          <w:szCs w:val="24"/>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Pr>
          <w:rFonts w:ascii="Times New Roman" w:hAnsi="Times New Roman"/>
          <w:color w:val="auto"/>
          <w:sz w:val="24"/>
        </w:rPr>
        <w:t>5.</w:t>
      </w:r>
      <w:r>
        <w:rPr>
          <w:rFonts w:ascii="Times New Roman" w:hAnsi="Times New Roman"/>
          <w:color w:val="auto"/>
          <w:sz w:val="24"/>
        </w:rPr>
        <w:tab/>
        <w:t>EU TLAC2: Κατάταξη των πιστωτών — οντότητες που δεν είναι οι ίδιες οντότητες εξυγίανσης</w:t>
      </w:r>
      <w:bookmarkEnd w:id="230"/>
      <w:bookmarkEnd w:id="231"/>
      <w:bookmarkEnd w:id="232"/>
    </w:p>
    <w:p w14:paraId="7A03C7D5" w14:textId="52B10ED1" w:rsidR="00EE122D" w:rsidRPr="0008623B" w:rsidRDefault="00EE122D" w:rsidP="00B62DC9">
      <w:pPr>
        <w:pStyle w:val="InstructionsText2"/>
        <w:numPr>
          <w:ilvl w:val="0"/>
          <w:numId w:val="12"/>
        </w:numPr>
      </w:pPr>
      <w:r>
        <w:t>Οι πληροφορίες που περιλαμβάνονται στο υπόδειγμα EU TLAC2 δημοσιοποιούνται στο επίπεδο της μεμονωμένης οντότητας.</w:t>
      </w:r>
    </w:p>
    <w:p w14:paraId="37B5040A" w14:textId="241394B6" w:rsidR="00D76A01" w:rsidRPr="0008623B" w:rsidRDefault="00D76A01" w:rsidP="00B62DC9">
      <w:pPr>
        <w:pStyle w:val="InstructionsText2"/>
        <w:numPr>
          <w:ilvl w:val="0"/>
          <w:numId w:val="12"/>
        </w:numPr>
      </w:pPr>
      <w:r>
        <w:t xml:space="preserve">Το υπόδειγμα EU TLAC2 διατίθεται σε δύο εκδόσεις, το EU TLAC2a και το EU TLAC2b. Στο TLAC2a αποτυπώνεται το σύνολο της χρηματοδότησης που έχει την ίδια ή χαμηλότερη εξοφλητική προτεραιότητα με μέσα επιλέξιμα για τη MREL, συμπεριλαμβανομένων των ιδίων κεφαλαίων και άλλων κεφαλαιακών μέσων. Στο EU TLAC2b αποτυπώνονται μόνο τα ίδια κεφάλαια και οι υποχρεώσεις που είναι </w:t>
      </w:r>
      <w:r>
        <w:lastRenderedPageBreak/>
        <w:t>επιλέξιμες για την εκπλήρωση της απαίτησης του άρθρου 45 της οδηγίας 2014/59/ΕΕ σύμφωνα με το άρθρο 45στ της εν λόγω οδηγίας.</w:t>
      </w:r>
    </w:p>
    <w:p w14:paraId="51E3EFB7" w14:textId="5F05BD0B" w:rsidR="00410769" w:rsidRPr="0008623B" w:rsidRDefault="00410769" w:rsidP="00B62DC9">
      <w:pPr>
        <w:pStyle w:val="InstructionsText2"/>
        <w:numPr>
          <w:ilvl w:val="0"/>
          <w:numId w:val="12"/>
        </w:numPr>
      </w:pPr>
      <w:r>
        <w:t>Σύμφωνα με το άρθρο 13 παράγραφος 2 του παρόντος κανονισμού, οι οντότητες που δεν υπόκεινται στην υποχρέωση συμμόρφωσης με την απαίτηση του άρθρου 92β του κανονισμού (ΕΕ) αριθ. 575/2013, αλλά υπόκεινται στην υποχρέωση συμμόρφωσης με την απαίτηση του άρθρου 45 της οδηγίας 2014/59/ΕΕ σύμφωνα με το άρθρο 45στ της εν λόγω οδηγίας, μπορούν να επιλέξουν να χρησιμοποιήσουν το EU TLAC2a ή το EU TLAC2b για να συμμορφωθούν με την απαίτηση δημοσιοποίησης που ορίζεται στο άρθρο 45θ παράγραφος 3 στοιχείο β) της οδηγίας 2014/59/ΕΕ.</w:t>
      </w:r>
    </w:p>
    <w:p w14:paraId="0E950EC5" w14:textId="2D041687" w:rsidR="00510C0E" w:rsidRPr="0008623B" w:rsidRDefault="0071460A" w:rsidP="00B62DC9">
      <w:pPr>
        <w:pStyle w:val="InstructionsText2"/>
        <w:numPr>
          <w:ilvl w:val="0"/>
          <w:numId w:val="12"/>
        </w:numPr>
      </w:pPr>
      <w:r>
        <w:t>Από την ημερομηνία εφαρμογής του άρθρου 45θ παράγραφος 3 της οδηγίας 2014/59/ΕΕ, οι εκδίδουσες οντότητες δημοσιοποιούν, σύμφωνα με το υπόδειγμα TLAC2a, τις υποχρεώσεις που είναι δυνητικά επιλέξιμες για την εκπλήρωση των απαιτήσεων της εσωτερικής MREL και της εσωτερικής TLAC. Πριν από την εν λόγω ημερομηνία, οι εκδίδουσες οντότητες δημοσιοποιούν τις υποχρεώσεις που είναι δυνητικά επιλέξιμες για την εκπλήρωση της απαίτησης για εσωτερική TLAC.</w:t>
      </w:r>
    </w:p>
    <w:p w14:paraId="6CD2E5E7" w14:textId="10E10F4A" w:rsidR="00134FA4" w:rsidRPr="0008623B" w:rsidRDefault="00134FA4" w:rsidP="00B62DC9">
      <w:pPr>
        <w:pStyle w:val="InstructionsText2"/>
        <w:numPr>
          <w:ilvl w:val="0"/>
          <w:numId w:val="12"/>
        </w:numPr>
      </w:pPr>
      <w:r>
        <w:t>Τα ανεξόφλητα ποσά που αναφέρονται στις γραμμές πρέπει να κατανέμονται σε σειρές κατάταξης στο πλαίσιο της διαδικασίας αφερεγγυότητας με βάση το δίκαιο περί αφερεγγυότητας που διέπει την εκδίδουσα οντότητα, ανεξάρτητα από το δίκαιο που διέπει το μέσο.</w:t>
      </w:r>
    </w:p>
    <w:p w14:paraId="0B0B9A5D" w14:textId="25143FFC" w:rsidR="00134FA4" w:rsidRPr="0008623B" w:rsidRDefault="00522875" w:rsidP="00B62DC9">
      <w:pPr>
        <w:pStyle w:val="InstructionsText2"/>
        <w:numPr>
          <w:ilvl w:val="0"/>
          <w:numId w:val="12"/>
        </w:numPr>
      </w:pPr>
      <w:r>
        <w:t>Οι σειρές κατάταξης στο πλαίσιο της διαδικασίας αφερεγγυότητας είναι αυτές που κοινοποιούνται από την αρμόδια αρχή εξυγίανσης σύμφωνα με την τυποποιημένη παρουσίαση που καθορίζεται στο άρθρο 8 του παρόντος κανονισμού.</w:t>
      </w:r>
    </w:p>
    <w:p w14:paraId="572D872C" w14:textId="35C5457F" w:rsidR="00134FA4" w:rsidRPr="0008623B" w:rsidRDefault="00134FA4" w:rsidP="00B62DC9">
      <w:pPr>
        <w:pStyle w:val="InstructionsText2"/>
        <w:numPr>
          <w:ilvl w:val="0"/>
          <w:numId w:val="12"/>
        </w:numPr>
      </w:pPr>
      <w:r>
        <w:t xml:space="preserve">Οι σειρές κατάταξης παρουσιάζονται από τη χαμηλότερη προς την υψηλότερη εξοφλητική προτεραιότητα. Πρέπει να προστίθενται όσες στήλες απαιτούνται για τις σειρές κατάταξης, έως ότου δημοσιοποιηθούν τα δυνητικά επιλέξιμα μέσα με την υψηλότερη εξοφλητική προτεραιότητα. </w:t>
      </w:r>
    </w:p>
    <w:p w14:paraId="451EEEC0" w14:textId="6C07DCB8" w:rsidR="00134FA4" w:rsidRPr="0008623B" w:rsidRDefault="00134FA4" w:rsidP="00B62DC9">
      <w:pPr>
        <w:pStyle w:val="InstructionsText2"/>
        <w:numPr>
          <w:ilvl w:val="0"/>
          <w:numId w:val="12"/>
        </w:numPr>
      </w:pPr>
      <w:r>
        <w:t>Το ποσό που αναλογεί σε κάθε σειρά κατάταξης κατανέμεται περαιτέρω σε ποσά που ανήκουν στην οντότητα εξυγίανσης, συμπεριλαμβανομένων ποσών που ανήκουν άμεσα ή έμμεσα στην οντότητα εξυγίανσης μέσω οντοτήτων κατά μήκος της αλυσίδας ιδιοκτησίας, κατά περίπτωση· και άλλα ποσά που δεν ανήκουν στην οντότητα εξυγίανσης, κατά περίπτωση. Το συνολικό ποσό κάθε γραμμής συμπληρώνεται στην τελευταία στήλη κάθε γραμμής.</w:t>
      </w:r>
    </w:p>
    <w:p w14:paraId="4EBA1B5C" w14:textId="77777777" w:rsidR="00134FA4" w:rsidRPr="00265073" w:rsidRDefault="00134FA4" w:rsidP="00134FA4">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Γραμμές</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Νομικά κείμενα αναφοράς και οδηγίες</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t>1</w:t>
            </w:r>
          </w:p>
        </w:tc>
        <w:tc>
          <w:tcPr>
            <w:tcW w:w="7655" w:type="dxa"/>
          </w:tcPr>
          <w:p w14:paraId="5F9CE229" w14:textId="006CF2E0" w:rsidR="008871C6" w:rsidRPr="0008623B"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Κενό σύνολο στην ΕΕ</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t>2</w:t>
            </w:r>
          </w:p>
        </w:tc>
        <w:tc>
          <w:tcPr>
            <w:tcW w:w="7655" w:type="dxa"/>
          </w:tcPr>
          <w:p w14:paraId="4A148EDF" w14:textId="407C4BEB" w:rsidR="000C3B9F" w:rsidRPr="0008623B"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Περιγραφή της σειράς κατάταξης στο πλαίσιο της διαδικασίας αφερεγγυότητας (ελεύθερο κείμενο)</w:t>
            </w:r>
          </w:p>
          <w:p w14:paraId="11B9DED3" w14:textId="414A0BB6" w:rsidR="000C3B9F" w:rsidRPr="0008623B" w:rsidRDefault="000C3B9F" w:rsidP="000C3B9F">
            <w:pPr>
              <w:pStyle w:val="Applicationdirecte"/>
              <w:spacing w:before="120"/>
              <w:rPr>
                <w:color w:val="000000" w:themeColor="text1"/>
                <w:szCs w:val="24"/>
              </w:rPr>
            </w:pPr>
            <w:r>
              <w:rPr>
                <w:color w:val="000000" w:themeColor="text1"/>
              </w:rPr>
              <w:lastRenderedPageBreak/>
              <w:t xml:space="preserve">Ο αριθμός των σειρών κατάταξης (n) στην πιστωτική ιεραρχία θα εξαρτηθεί από το σύνολο των υποχρεώσεων της εκδίδουσας οντότητας. Η περιγραφή θα πρέπει να περιλαμβάνει προσδιορισμό των ειδών των απαιτήσεων που εμπίπτουν στην εν λόγω σειρά κατάταξης στο πλαίσιο της διαδικασίας αφερεγγυότητας (π.χ. μέσα CET1, μέσα της κατηγορίας 2). </w:t>
            </w:r>
          </w:p>
          <w:p w14:paraId="22A60804" w14:textId="5BBC2F70" w:rsidR="000C3B9F" w:rsidRPr="0008623B" w:rsidRDefault="000C3B9F" w:rsidP="00331959">
            <w:pPr>
              <w:pStyle w:val="Applicationdirecte"/>
              <w:spacing w:before="120"/>
              <w:rPr>
                <w:b/>
                <w:color w:val="000000" w:themeColor="text1"/>
                <w:szCs w:val="24"/>
              </w:rPr>
            </w:pPr>
            <w:r>
              <w:t>Υπάρχει μία στήλη για κάθε σειρά κατάταξης στο πλαίσιο της διαδικασίας αφερεγγυότητας όπου το ποσό βρίσκεται εξολοκλήρου στην κατοχή της οντότητας εξυγίανσης, συμπεριλαμβανομένων των ποσών που ανήκουν άμεσα ή έμμεσα στην οντότητα εξυγίανσης μέσω οντοτήτων κατά μήκος της αλυσίδας ιδιοκτησίας, κατά περίπτωση, και μια δεύτερη στήλη όπου μέρος του ποσού ανά σειρά κατάταξης βρίσκεται επίσης στην κατοχή ιδιοκτητών εκτός της οντότητας εξυγίανσης.</w:t>
            </w:r>
            <w:r>
              <w:rPr>
                <w:color w:val="000000" w:themeColor="text1"/>
              </w:rPr>
              <w:t xml:space="preserve">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lastRenderedPageBreak/>
              <w:t>3</w:t>
            </w:r>
          </w:p>
        </w:tc>
        <w:tc>
          <w:tcPr>
            <w:tcW w:w="7655" w:type="dxa"/>
          </w:tcPr>
          <w:p w14:paraId="77AA473A" w14:textId="5D74CC27" w:rsidR="000C3B9F" w:rsidRPr="0008623B"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Υποχρεώσεις και ίδια κεφάλαια</w:t>
            </w:r>
          </w:p>
          <w:p w14:paraId="4216384F" w14:textId="0D31DC4A" w:rsidR="000C3B9F" w:rsidRPr="0008623B" w:rsidRDefault="00BB21F0" w:rsidP="00AA4A01">
            <w:pPr>
              <w:pStyle w:val="Applicationdirecte"/>
              <w:spacing w:before="120"/>
              <w:rPr>
                <w:color w:val="000000" w:themeColor="text1"/>
              </w:rPr>
            </w:pPr>
            <w:r>
              <w:rPr>
                <w:color w:val="000000" w:themeColor="text1"/>
              </w:rPr>
              <w:t>Το ποσό των ιδίων κεφαλαίων, των επιλέξιμων υποχρεώσεων και των υποχρεώσεων που έχουν χαμηλότερη ή την ίδια εξοφλητική προτεραιότητα με τα ίδια κεφάλαια ή τις επιλέξιμες υποχρεώσεις.</w:t>
            </w:r>
          </w:p>
          <w:p w14:paraId="1B0E819E" w14:textId="77777777" w:rsidR="00BB21F0" w:rsidRPr="0008623B" w:rsidRDefault="00BB21F0" w:rsidP="00AA4A01">
            <w:pPr>
              <w:pStyle w:val="Applicationdirecte"/>
              <w:spacing w:before="120"/>
              <w:rPr>
                <w:color w:val="000000" w:themeColor="text1"/>
              </w:rPr>
            </w:pPr>
            <w:r>
              <w:rPr>
                <w:color w:val="000000" w:themeColor="text1"/>
              </w:rPr>
              <w:t>Στο ποσό αυτό συμπεριλαμβάνονται επίσης υποχρεώσεις που εξαιρούνται από τη διάσωση με ίδια μέσα.</w:t>
            </w:r>
          </w:p>
          <w:p w14:paraId="5A7B82DD" w14:textId="368405A5" w:rsidR="008907A6" w:rsidRPr="0008623B" w:rsidRDefault="00410769" w:rsidP="005F391D">
            <w:pPr>
              <w:pStyle w:val="Fait"/>
            </w:pPr>
            <w:r>
              <w:t>Η γραμμή αυτή είναι άνευ αντικειμένου στο υπόδειγμα EU TLAC2b.</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t>4</w:t>
            </w:r>
          </w:p>
        </w:tc>
        <w:tc>
          <w:tcPr>
            <w:tcW w:w="7655" w:type="dxa"/>
          </w:tcPr>
          <w:p w14:paraId="59E154B3" w14:textId="0A45A9DB" w:rsidR="000C3B9F" w:rsidRPr="0008623B" w:rsidRDefault="00A14A6B" w:rsidP="000C3B9F">
            <w:pPr>
              <w:pStyle w:val="Fait"/>
              <w:rPr>
                <w:rFonts w:eastAsiaTheme="minorEastAsia"/>
                <w:b/>
                <w:color w:val="000000" w:themeColor="text1"/>
                <w:szCs w:val="24"/>
              </w:rPr>
            </w:pPr>
            <w:r>
              <w:rPr>
                <w:b/>
                <w:color w:val="000000" w:themeColor="text1"/>
              </w:rPr>
              <w:t>Υποχρεώσεις και ίδια κεφάλαια — Εκ των οποίων: εξαιρούμενες υποχρεώσεις</w:t>
            </w:r>
          </w:p>
          <w:p w14:paraId="543649CA" w14:textId="35542114" w:rsidR="006C6694" w:rsidRPr="0008623B" w:rsidRDefault="000C3B9F" w:rsidP="005F391D">
            <w:pPr>
              <w:pStyle w:val="Applicationdirecte"/>
              <w:spacing w:before="120"/>
              <w:rPr>
                <w:color w:val="000000" w:themeColor="text1"/>
                <w:szCs w:val="24"/>
              </w:rPr>
            </w:pPr>
            <w:r>
              <w:rPr>
                <w:color w:val="000000" w:themeColor="text1"/>
              </w:rPr>
              <w:t>Κατανομή των υποχρεώσεων που εξαιρούνται σύμφωνα με το άρθρο 72α παράγραφος 2 του κανονισμού (ΕΕ) αριθ. 575/2013 ή το άρθρο 44 παράγραφος 2 της οδηγίας 2014/59/ΕΕ και, κατά περίπτωση, το άρθρο 44 παράγραφος 3 της οδηγίας 2014/59/ΕΕ.</w:t>
            </w:r>
          </w:p>
          <w:p w14:paraId="182D9647" w14:textId="5AEB0362" w:rsidR="008907A6" w:rsidRPr="0008623B" w:rsidRDefault="00410769" w:rsidP="005F391D">
            <w:pPr>
              <w:pStyle w:val="Applicationdirecte"/>
              <w:spacing w:before="120"/>
            </w:pPr>
            <w:r>
              <w:t>Η γραμμή αυτή είναι άνευ αντικειμένου στο υπόδειγμα EU TLAC2b.</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t>5</w:t>
            </w:r>
          </w:p>
        </w:tc>
        <w:tc>
          <w:tcPr>
            <w:tcW w:w="7655" w:type="dxa"/>
          </w:tcPr>
          <w:p w14:paraId="005DF5FF" w14:textId="228C6814" w:rsidR="0016339F" w:rsidRPr="0008623B" w:rsidRDefault="00367DF1" w:rsidP="00EF47A4">
            <w:pPr>
              <w:pStyle w:val="Fait"/>
            </w:pPr>
            <w:r>
              <w:rPr>
                <w:b/>
                <w:color w:val="000000" w:themeColor="text1"/>
              </w:rPr>
              <w:t>Υποχρεώσεις και ίδια κεφάλαια μείον εξαιρούμενες υποχρεώσεις</w:t>
            </w:r>
          </w:p>
          <w:p w14:paraId="359D335B" w14:textId="3554B9D3" w:rsidR="008907A6" w:rsidRPr="0008623B" w:rsidRDefault="00367DF1" w:rsidP="005F391D">
            <w:pPr>
              <w:pStyle w:val="Fait"/>
            </w:pPr>
            <w:r>
              <w:rPr>
                <w:color w:val="000000" w:themeColor="text1"/>
              </w:rPr>
              <w:t>Υποχρεώσεις και ίδια κεφάλαια μετά την αφαίρεση των εξαιρούμενων υποχρεώσεων.</w:t>
            </w:r>
          </w:p>
          <w:p w14:paraId="52590AAA" w14:textId="18E701D2" w:rsidR="000C3B9F" w:rsidRPr="0008623B" w:rsidRDefault="00410769" w:rsidP="008907A6">
            <w:pPr>
              <w:pStyle w:val="Applicationdirecte"/>
              <w:spacing w:before="120"/>
              <w:rPr>
                <w:color w:val="000000" w:themeColor="text1"/>
                <w:szCs w:val="24"/>
              </w:rPr>
            </w:pPr>
            <w:r>
              <w:t>Η γραμμή αυτή είναι άνευ αντικειμένου στο υπόδειγμα EU TLAC2b.</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677315D1" w14:textId="45D4D61F"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Υποσύνολο των υποχρεώσεων και ιδίων κεφαλαίων μείον τις εξαιρούμενες υποχρεώσεις που αποτελούν ίδια κεφάλαια και επιλέξιμες υποχρεώσεις για τους σκοπούς της εσωτερικής MREL/εσωτερικής TLAC</w:t>
            </w:r>
          </w:p>
          <w:p w14:paraId="666E0A9A" w14:textId="0E7111CB" w:rsidR="000C3B9F" w:rsidRPr="0008623B" w:rsidRDefault="000C3B9F" w:rsidP="00341FB2">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lastRenderedPageBreak/>
              <w:t xml:space="preserve">Κατανομή του ποσού των ιδίων κεφαλαίων και επιλέξιμων υποχρεώσεων για τους σκοπούς της εσωτερικής MREL ή για τον σκοπό της εσωτερικής TLAC, κατά περίπτωση, σύμφωνα με την παράγραφο 11 ανωτέρω.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7</w:t>
            </w:r>
          </w:p>
        </w:tc>
        <w:tc>
          <w:tcPr>
            <w:tcW w:w="7655" w:type="dxa"/>
          </w:tcPr>
          <w:p w14:paraId="3AF5477F" w14:textId="1583355E"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Εκ των οποίων: εναπομένουσα ληκτότητα ≥ 1 έτος και &lt; 2 έτη </w:t>
            </w:r>
          </w:p>
          <w:p w14:paraId="6EC4B8A9" w14:textId="6798BA07" w:rsidR="000C3B9F" w:rsidRPr="0008623B"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Υποσύνολο της γραμμής 6 με τη σχετική εναπομένουσα ληκτότητα.</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73BC8BDA" w14:textId="65A30D65"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Εκ των οποίων: εναπομένουσα ληκτότητα ≥ 2 έτη και &lt; 5 έτη</w:t>
            </w:r>
          </w:p>
          <w:p w14:paraId="234E2E25" w14:textId="7A58A472" w:rsidR="000C3B9F" w:rsidRPr="0008623B"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Υποσύνολο της γραμμής 6 με τη σχετική εναπομένουσα ληκτότητα.</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9</w:t>
            </w:r>
          </w:p>
        </w:tc>
        <w:tc>
          <w:tcPr>
            <w:tcW w:w="7655" w:type="dxa"/>
          </w:tcPr>
          <w:p w14:paraId="6513D39F" w14:textId="3B45C90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Εκ των οποίων: εναπομένουσα ληκτότητα ≥ 5 έτη και &lt; 10 έτη</w:t>
            </w:r>
          </w:p>
          <w:p w14:paraId="44AA56B3" w14:textId="34E09E5C" w:rsidR="000C3B9F" w:rsidRPr="0008623B"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Υποσύνολο της γραμμής 6 με τη σχετική εναπομένουσα ληκτότητα.</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EDFF84A" w14:textId="7F3D527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Εκ των οποίων: εναπομένουσα ληκτότητα ≥ 10 έτη, με εξαίρεση τους διηνεκείς τίτλους</w:t>
            </w:r>
          </w:p>
          <w:p w14:paraId="4144E4C2" w14:textId="6B7049FC" w:rsidR="000C3B9F" w:rsidRPr="0008623B"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Υποσύνολο της γραμμής 6 με τη σχετική εναπομένουσα ληκτότητα.</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11</w:t>
            </w:r>
          </w:p>
        </w:tc>
        <w:tc>
          <w:tcPr>
            <w:tcW w:w="7655" w:type="dxa"/>
          </w:tcPr>
          <w:p w14:paraId="38BB8DE3" w14:textId="6E91083A"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Εκ των οποίων: διηνεκείς τίτλοι</w:t>
            </w:r>
          </w:p>
          <w:p w14:paraId="0E3F0B9E" w14:textId="5C0A7C24" w:rsidR="000C3B9F" w:rsidRPr="0008623B"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Υποσύνολο της γραμμής 6 που είναι διηνεκείς τίτλοι</w:t>
            </w:r>
          </w:p>
        </w:tc>
      </w:tr>
    </w:tbl>
    <w:p w14:paraId="4FDBE82C" w14:textId="77777777" w:rsidR="00134FA4" w:rsidRPr="00265073" w:rsidRDefault="00134FA4" w:rsidP="00134FA4">
      <w:pPr>
        <w:jc w:val="both"/>
        <w:rPr>
          <w:rFonts w:ascii="Times New Roman" w:hAnsi="Times New Roman" w:cs="Times New Roman"/>
          <w:bCs/>
          <w:i/>
          <w:noProof/>
          <w:color w:val="000000" w:themeColor="text1"/>
          <w:sz w:val="24"/>
          <w:szCs w:val="24"/>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3" w:name="_Toc529272912"/>
      <w:bookmarkStart w:id="234" w:name="_Toc14770787"/>
      <w:bookmarkStart w:id="235" w:name="_Toc45266930"/>
      <w:r>
        <w:rPr>
          <w:rFonts w:ascii="Times New Roman" w:hAnsi="Times New Roman"/>
          <w:color w:val="auto"/>
          <w:sz w:val="24"/>
        </w:rPr>
        <w:t>6.</w:t>
      </w:r>
      <w:r>
        <w:rPr>
          <w:rFonts w:ascii="Times New Roman" w:hAnsi="Times New Roman"/>
          <w:color w:val="auto"/>
          <w:sz w:val="24"/>
        </w:rPr>
        <w:tab/>
        <w:t xml:space="preserve">EU TLAC3: Κατάταξη των πιστωτών — οντότητα </w:t>
      </w:r>
      <w:bookmarkEnd w:id="233"/>
      <w:bookmarkEnd w:id="234"/>
      <w:r>
        <w:rPr>
          <w:rFonts w:ascii="Times New Roman" w:hAnsi="Times New Roman"/>
          <w:color w:val="auto"/>
          <w:sz w:val="24"/>
        </w:rPr>
        <w:t>εξυγίανσης</w:t>
      </w:r>
      <w:bookmarkEnd w:id="235"/>
    </w:p>
    <w:p w14:paraId="578097FF" w14:textId="1EA4E7A0" w:rsidR="00EE122D" w:rsidRPr="0008623B" w:rsidRDefault="00EE122D" w:rsidP="00B62DC9">
      <w:pPr>
        <w:pStyle w:val="InstructionsText2"/>
        <w:numPr>
          <w:ilvl w:val="0"/>
          <w:numId w:val="12"/>
        </w:numPr>
      </w:pPr>
      <w:r>
        <w:t>Οι πληροφορίες που περιλαμβάνονται στο υπόδειγμα EU TLAC3 δημοσιοποιούνται στο επίπεδο της μεμονωμένης οντότητας.</w:t>
      </w:r>
    </w:p>
    <w:p w14:paraId="0EB7EFE1" w14:textId="7A32417C" w:rsidR="00410769" w:rsidRPr="0008623B" w:rsidRDefault="00410769" w:rsidP="00B62DC9">
      <w:pPr>
        <w:pStyle w:val="InstructionsText2"/>
        <w:numPr>
          <w:ilvl w:val="0"/>
          <w:numId w:val="12"/>
        </w:numPr>
      </w:pPr>
      <w:r>
        <w:t>Το υπόδειγμα EU TLAC3 διατίθεται σε δύο εκδόσεις, το EU TLAC3a και το EU TLAC3b. Στο EU TLAC3a αποτυπώνεται το σύνολο της χρηματοδότησης που έχει την ίδια ή χαμηλότερη εξοφλητική προτεραιότητα με μέσα τα οποία είναι δυνητικά επιλέξιμα για τη MREL, συμπεριλαμβανομένων των ιδίων κεφαλαίων και άλλων κεφαλαιακών μέσων. Τα ποσά που είναι μη επιλέξιμα μόνον ως αποτέλεσμα των απαιτήσεων χαμηλότερης εξοφλητικής προτεραιότητας συμπεριλαμβάνονται εξολοκλήρου στη γραμμή που αντιστοιχεί στη σχετική σειρά κατάταξης στο πλαίσιο της διαδικασίας αφερεγγυότητας, δηλαδή χωρίς εφαρμογή των ανώτατων ορίων. Στο EU TLAC3b αποτυπώνονται μόνο τα ίδια κεφάλαια και οι υποχρεώσεις που είναι επιλέξιμες για την εκπλήρωση της απαίτησης του άρθρου 45 της οδηγίας 2014/59/ΕΕ σύμφωνα με το άρθρο 45ε της εν λόγω οδηγίας.</w:t>
      </w:r>
    </w:p>
    <w:p w14:paraId="417A390B" w14:textId="2D84B100" w:rsidR="00410769" w:rsidRPr="0008623B" w:rsidRDefault="00410769" w:rsidP="00B62DC9">
      <w:pPr>
        <w:pStyle w:val="InstructionsText2"/>
        <w:numPr>
          <w:ilvl w:val="0"/>
          <w:numId w:val="12"/>
        </w:numPr>
      </w:pPr>
      <w:r>
        <w:t xml:space="preserve">Σύμφωνα με το άρθρο 14 παράγραφος 2 του παρόντος κανονισμού, οι οντότητες που δεν υπόκεινται στην υποχρέωση συμμόρφωσης με την απαίτηση του άρθρου 92α του κανονισμού (ΕΕ) αριθ. 575/2013, αλλά υπόκεινται στην υποχρέωση συμμόρφωσης με την απαίτηση του άρθρου 45 της οδηγίας 2014/59/ΕΕ σύμφωνα με το άρθρο 45ε της εν λόγω οδηγίας, μπορούν να επιλέξουν να χρησιμοποιήσουν το EU TLAC3a ή το EU TLAC3b για να συμμορφωθούν με την απαίτηση </w:t>
      </w:r>
      <w:r>
        <w:lastRenderedPageBreak/>
        <w:t>δημοσιοποίησης που ορίζεται στο άρθρο 45θ παράγραφος 3 στοιχείο β) της οδηγίας 2014/59/ΕΕ.</w:t>
      </w:r>
    </w:p>
    <w:p w14:paraId="7914D4A7" w14:textId="50C29BF6" w:rsidR="005F391D" w:rsidRPr="0008623B" w:rsidRDefault="005F391D" w:rsidP="00B62DC9">
      <w:pPr>
        <w:pStyle w:val="InstructionsText2"/>
        <w:numPr>
          <w:ilvl w:val="0"/>
          <w:numId w:val="12"/>
        </w:numPr>
      </w:pPr>
      <w:r>
        <w:t>Από την ημερομηνία εφαρμογής του άρθρου 45θ παράγραφος 3 της οδηγίας 2014/59/ΕΕ, οι εκδίδουσες οντότητες δημοσιοποιούν, σύμφωνα με το υπόδειγμα EU TLAC3a, τις υποχρεώσεις που είναι δυνητικά επιλέξιμες για την εκπλήρωση των απαιτήσεων της MREL και της TLAC. Πριν από την εν λόγω ημερομηνία, οι εκδίδουσες οντότητες δημοσιοποιούν τις υποχρεώσεις που είναι δυνητικά επιλέξιμες για την εκπλήρωση της απαίτησης για εσωτερική TLAC.</w:t>
      </w:r>
    </w:p>
    <w:p w14:paraId="0643F6F9" w14:textId="54E61B56" w:rsidR="005F391D" w:rsidRPr="0008623B" w:rsidRDefault="00134FA4" w:rsidP="00B62DC9">
      <w:pPr>
        <w:pStyle w:val="InstructionsText2"/>
        <w:numPr>
          <w:ilvl w:val="0"/>
          <w:numId w:val="12"/>
        </w:numPr>
      </w:pPr>
      <w:r>
        <w:t>Τα ανεξόφλητα ποσά που αναφέρονται στις γραμμές 2 έως 10 πρέπει να κατανέμονται σε σειρά κατάταξης στο πλαίσιο της διαδικασίας αφερεγγυότητας με βάση το δίκαιο περί αφερεγγυότητας που διέπει την εκδίδουσα οντότητα, ανεξάρτητα από το δίκαιο που διέπει το μέσο.</w:t>
      </w:r>
    </w:p>
    <w:p w14:paraId="2ED9C4B9" w14:textId="752032A7" w:rsidR="005F391D" w:rsidRPr="0008623B" w:rsidRDefault="00EA31AA" w:rsidP="00B62DC9">
      <w:pPr>
        <w:pStyle w:val="InstructionsText2"/>
        <w:numPr>
          <w:ilvl w:val="0"/>
          <w:numId w:val="12"/>
        </w:numPr>
      </w:pPr>
      <w:r>
        <w:t>Οι σειρές κατάταξης στο πλαίσιο της διαδικασίας αφερεγγυότητας είναι αυτές που κοινοποιούνται από την αρμόδια αρχή εξυγίανσης σύμφωνα με την τυποποιημένη παρουσίαση που καθορίζεται στο σχετικό υπόδειγμα υποβολής αναφορών.</w:t>
      </w:r>
    </w:p>
    <w:p w14:paraId="098D1362" w14:textId="424912A1" w:rsidR="003D2D85" w:rsidRPr="0008623B" w:rsidRDefault="00134FA4" w:rsidP="00B62DC9">
      <w:pPr>
        <w:pStyle w:val="InstructionsText2"/>
        <w:numPr>
          <w:ilvl w:val="0"/>
          <w:numId w:val="12"/>
        </w:numPr>
      </w:pPr>
      <w:r>
        <w:t>Οι σειρές κατάταξης παρουσιάζονται από τη χαμηλότερη προς την υψηλότερη εξοφλητική προτεραιότητα. Πρέπει να προστίθενται όσες στήλες απαιτούνται για τις σειρές κατάταξης, έως ότου δημοσιοποιηθούν τα δυνητικά επιλέξιμα μέσα με την υψηλότερη εξοφλητική προτεραιότητα.</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Γραμμές</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Νομικά κείμενα αναφοράς και οδηγίες</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t>1</w:t>
            </w:r>
          </w:p>
        </w:tc>
        <w:tc>
          <w:tcPr>
            <w:tcW w:w="7655" w:type="dxa"/>
          </w:tcPr>
          <w:p w14:paraId="255BAE3D" w14:textId="6FBDCDA3"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Περιγραφή της σειράς κατάταξης στο πλαίσιο της διαδικασίας αφερεγγυότητας (ελεύθερο κείμενο)</w:t>
            </w:r>
          </w:p>
          <w:p w14:paraId="4938332D" w14:textId="624185AF" w:rsidR="001D5616" w:rsidRPr="0008623B" w:rsidRDefault="001D5616" w:rsidP="00EA31AA">
            <w:pPr>
              <w:pStyle w:val="Applicationdirecte"/>
              <w:spacing w:before="120"/>
              <w:rPr>
                <w:color w:val="000000" w:themeColor="text1"/>
                <w:szCs w:val="24"/>
              </w:rPr>
            </w:pPr>
            <w:r>
              <w:rPr>
                <w:color w:val="000000" w:themeColor="text1"/>
              </w:rPr>
              <w:t>Ο αριθμός των σειρών κατάταξης (n) στην ιεραρχία των πιστωτών θα εξαρτηθεί από το σύνολο των υποχρεώσεων της οντότητας. Υπάρχει μία στήλη για κάθε σειρά κατάταξης στο πλαίσιο της διαδικασίας αφερεγγυότητας. Η περιγραφή θα πρέπει να περιλαμβάνει προσδιορισμό των ειδών των απαιτήσεων που εμπίπτουν στην εν λόγω σειρά κατάταξης στο πλαίσιο της διαδικασίας αφερεγγυότητας (π.χ. μέσα CET1, μέσα της κατηγορίας 2).</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t>2</w:t>
            </w:r>
          </w:p>
        </w:tc>
        <w:tc>
          <w:tcPr>
            <w:tcW w:w="7655" w:type="dxa"/>
          </w:tcPr>
          <w:p w14:paraId="649ECD5E" w14:textId="0534C38B" w:rsidR="001D5616" w:rsidRPr="0008623B"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Υποχρεώσεις και ίδια κεφάλαια</w:t>
            </w:r>
          </w:p>
          <w:p w14:paraId="6CEB4608" w14:textId="77777777" w:rsidR="003D2D85" w:rsidRPr="0008623B" w:rsidRDefault="003D2D85" w:rsidP="003D2D85">
            <w:pPr>
              <w:pStyle w:val="Applicationdirecte"/>
              <w:spacing w:before="120"/>
              <w:rPr>
                <w:color w:val="000000" w:themeColor="text1"/>
              </w:rPr>
            </w:pPr>
            <w:r>
              <w:rPr>
                <w:color w:val="000000" w:themeColor="text1"/>
              </w:rPr>
              <w:t>Το ποσό των ιδίων κεφαλαίων, των επιλέξιμων υποχρεώσεων και των υποχρεώσεων που έχουν χαμηλότερη ή την ίδια εξοφλητική προτεραιότητα με τα ίδια κεφάλαια ή τις επιλέξιμες υποχρεώσεις.</w:t>
            </w:r>
          </w:p>
          <w:p w14:paraId="7ABCDC8B" w14:textId="193792D4" w:rsidR="00585921" w:rsidRPr="0008623B" w:rsidRDefault="003D2D85" w:rsidP="00E13544">
            <w:pPr>
              <w:pStyle w:val="Applicationdirecte"/>
              <w:spacing w:before="120"/>
              <w:rPr>
                <w:color w:val="000000" w:themeColor="text1"/>
              </w:rPr>
            </w:pPr>
            <w:r>
              <w:rPr>
                <w:color w:val="000000" w:themeColor="text1"/>
              </w:rPr>
              <w:t>Στο ποσό αυτό συμπεριλαμβάνονται επίσης υποχρεώσεις που εξαιρούνται από τη διάσωση με ίδια μέσα.</w:t>
            </w:r>
            <w:r>
              <w:t xml:space="preserve"> </w:t>
            </w:r>
          </w:p>
          <w:p w14:paraId="3B3981A4" w14:textId="543E66EA" w:rsidR="003D2D85" w:rsidRPr="0008623B" w:rsidRDefault="008348B0" w:rsidP="00640F37">
            <w:pPr>
              <w:pStyle w:val="Fait"/>
            </w:pPr>
            <w:r>
              <w:t>Η γραμμή αυτή είναι άνευ αντικειμένου στο υπόδειγμα EU TLAC3b.</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lastRenderedPageBreak/>
              <w:t>3</w:t>
            </w:r>
          </w:p>
        </w:tc>
        <w:tc>
          <w:tcPr>
            <w:tcW w:w="7655" w:type="dxa"/>
          </w:tcPr>
          <w:p w14:paraId="79EC0340" w14:textId="06B26FCE" w:rsidR="001D5616" w:rsidRPr="0008623B" w:rsidRDefault="00A14A6B" w:rsidP="001D5616">
            <w:pPr>
              <w:pStyle w:val="Fait"/>
              <w:rPr>
                <w:b/>
                <w:color w:val="000000" w:themeColor="text1"/>
                <w:szCs w:val="24"/>
              </w:rPr>
            </w:pPr>
            <w:r>
              <w:rPr>
                <w:b/>
                <w:color w:val="000000" w:themeColor="text1"/>
              </w:rPr>
              <w:t>Υποχρεώσεις και ίδια κεφάλαια — Εκ των οποίων: εξαιρούμενες υποχρεώσεις</w:t>
            </w:r>
          </w:p>
          <w:p w14:paraId="0FF41010" w14:textId="001ECF54" w:rsidR="003D2D85" w:rsidRPr="0008623B" w:rsidRDefault="003D2D85" w:rsidP="003D2D85">
            <w:pPr>
              <w:pStyle w:val="Applicationdirecte"/>
              <w:spacing w:before="120"/>
              <w:rPr>
                <w:color w:val="000000" w:themeColor="text1"/>
                <w:szCs w:val="24"/>
              </w:rPr>
            </w:pPr>
            <w:r>
              <w:rPr>
                <w:color w:val="000000" w:themeColor="text1"/>
              </w:rPr>
              <w:t>Κατανομή των υποχρεώσεων που εξαιρούνται σύμφωνα με το άρθρο 72α παράγραφος 2 του κανονισμού (ΕΕ) αριθ. 575/2013 ή το άρθρο 44 παράγραφος 2 της οδηγίας 2014/59/ΕΕ και, κατά περίπτωση, το άρθρο 44 παράγραφος 3 της εν λόγω οδηγίας.</w:t>
            </w:r>
          </w:p>
          <w:p w14:paraId="6E4598A5" w14:textId="066BD409" w:rsidR="003D2D85" w:rsidRPr="0008623B"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Η γραμμή αυτή είναι άνευ αντικειμένου στο υπόδειγμα EU TLAC3b.</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t>4</w:t>
            </w:r>
          </w:p>
        </w:tc>
        <w:tc>
          <w:tcPr>
            <w:tcW w:w="7655" w:type="dxa"/>
          </w:tcPr>
          <w:p w14:paraId="67B3F8CE" w14:textId="50557F36" w:rsidR="001D5616" w:rsidRPr="0008623B" w:rsidRDefault="00367DF1" w:rsidP="001D5616">
            <w:pPr>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Υποχρεώσεις και ίδια κεφάλαια μείον εξαιρούμενες υποχρεώσεις</w:t>
            </w:r>
          </w:p>
          <w:p w14:paraId="09D8C04D" w14:textId="0C90618C" w:rsidR="001D5616" w:rsidRPr="0008623B" w:rsidRDefault="00367DF1" w:rsidP="001D5616">
            <w:pPr>
              <w:jc w:val="both"/>
              <w:rPr>
                <w:color w:val="000000" w:themeColor="text1"/>
                <w:szCs w:val="24"/>
              </w:rPr>
            </w:pPr>
            <w:r>
              <w:rPr>
                <w:rFonts w:ascii="Times New Roman" w:hAnsi="Times New Roman"/>
                <w:color w:val="000000" w:themeColor="text1"/>
                <w:sz w:val="24"/>
              </w:rPr>
              <w:t>Υποχρεώσεις και ίδια κεφάλαια μετά την αφαίρεση των εξαιρούμενων υποχρεώσεων.</w:t>
            </w:r>
            <w:r>
              <w:rPr>
                <w:color w:val="000000" w:themeColor="text1"/>
              </w:rPr>
              <w:t xml:space="preserve"> </w:t>
            </w:r>
          </w:p>
          <w:p w14:paraId="4C2B3296" w14:textId="5FECF8AC" w:rsidR="003D2D85" w:rsidRPr="0008623B" w:rsidRDefault="008348B0" w:rsidP="001D5616">
            <w:pPr>
              <w:jc w:val="both"/>
              <w:rPr>
                <w:rFonts w:ascii="Times New Roman" w:hAnsi="Times New Roman" w:cs="Times New Roman"/>
                <w:color w:val="000000" w:themeColor="text1"/>
                <w:sz w:val="24"/>
                <w:szCs w:val="24"/>
              </w:rPr>
            </w:pPr>
            <w:r>
              <w:rPr>
                <w:rFonts w:ascii="Times New Roman" w:hAnsi="Times New Roman"/>
                <w:color w:val="000000" w:themeColor="text1"/>
                <w:sz w:val="24"/>
              </w:rPr>
              <w:t>Η γραμμή αυτή είναι άνευ αντικειμένου στο υπόδειγμα EU TLAC3b.</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5</w:t>
            </w:r>
          </w:p>
        </w:tc>
        <w:tc>
          <w:tcPr>
            <w:tcW w:w="7655" w:type="dxa"/>
          </w:tcPr>
          <w:p w14:paraId="3A72D26C" w14:textId="33DDDACD" w:rsidR="001D5616" w:rsidRPr="0008623B"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Υποσύνολο των υποχρεώσεων και ιδίων κεφαλαίων μείον εξαιρούμενες υποχρεώσεις που αποτελούν ίδια κεφάλαια και υποχρεώσεις δυνητικά επιλέξιμες για την κάλυψη της MREL/TLAC</w:t>
            </w:r>
          </w:p>
          <w:p w14:paraId="4D791BCD" w14:textId="72DDE991" w:rsidR="001D5616" w:rsidRPr="0008623B" w:rsidRDefault="001D5616" w:rsidP="008B671A">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Κατανομή του ποσού των ιδίων κεφαλαίων και υποχρεώσεων που είναι επιλέξιμες για τους σκοπούς της MREL ή για τον σκοπούς της TLAC, κατά περίπτωση, σύμφωνα με την παράγραφο 19 ανωτέρω, χωρίς εφαρμογή των ανώτατων ορίων για την αναγνώριση υποχρεώσεων χωρίς μειωμένη εξασφάλιση.</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208DFDB8" w14:textId="6F2FB385"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Εκ των οποίων: εναπομένουσα ληκτότητα ≥ 1 έτη και &lt; 2 έτη </w:t>
            </w:r>
          </w:p>
          <w:p w14:paraId="024B38D7" w14:textId="23586DB1"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Υποσύνολο της γραμμής 5 με τη σχετική εναπομένουσα ληκτότητα.</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1A0F18F5" w14:textId="1406EA6F"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Εκ των οποίων: εναπομένουσα ληκτότητα ≥ 2 έτη και &lt; 5 έτη</w:t>
            </w:r>
          </w:p>
          <w:p w14:paraId="503D3ECD" w14:textId="3E0914A8"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Υποσύνολο της γραμμής 5 με τη σχετική εναπομένουσα ληκτότητα.</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385E6CA6" w14:textId="685C543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Εκ των οποίων: εναπομένουσα ληκτότητα ≥ 5 έτη και &lt; 10 έτη</w:t>
            </w:r>
          </w:p>
          <w:p w14:paraId="197AF3C0" w14:textId="56872A6F"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Υποσύνολο της γραμμής 5 με τη σχετική εναπομένουσα ληκτότητα.</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9</w:t>
            </w:r>
          </w:p>
        </w:tc>
        <w:tc>
          <w:tcPr>
            <w:tcW w:w="7655" w:type="dxa"/>
          </w:tcPr>
          <w:p w14:paraId="18D5EBD6" w14:textId="39172B5A"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Εκ των οποίων: εναπομένουσα ληκτότητα ≥ 10 έτη, με εξαίρεση τους διηνεκείς τίτλους</w:t>
            </w:r>
          </w:p>
          <w:p w14:paraId="61C53A18" w14:textId="6ED02288"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Υποσύνολο της γραμμής 5 με τη σχετική εναπομένουσα ληκτότητα.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0862BE8" w14:textId="48E6FB1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Εκ των οποίων: διηνεκείς τίτλοι</w:t>
            </w:r>
          </w:p>
          <w:p w14:paraId="364F102A" w14:textId="35E5C977" w:rsidR="001D5616" w:rsidRPr="00F7311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Υποσύνολο της γραμμής 5 που είναι διηνεκείς τίτλοι </w:t>
            </w:r>
          </w:p>
        </w:tc>
      </w:tr>
    </w:tbl>
    <w:p w14:paraId="727A9C45" w14:textId="513EB7A2" w:rsidR="002E3F40" w:rsidRPr="00DE7C85" w:rsidRDefault="00676354" w:rsidP="00AA4A01">
      <w:pPr>
        <w:pStyle w:val="body"/>
      </w:pPr>
      <w:r>
        <w:t>»</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ΕΑΤ τακτική χρήση">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ΕΑΤ τακτική χρήση</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ΕΑΤ τακτική χρήση"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ΕΑΤ τακτική χρήση</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ΕΑΤ τακτική χρήση">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ΕΑΤ τακτική χρήση</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ΕΑΤ τακτική χρήση"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ΕΑΤ τακτική χρήση</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C8F4BF6C"/>
    <w:lvl w:ilvl="0" w:tplc="E5C0AA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1916D90E"/>
    <w:lvl w:ilvl="0" w:tplc="75A4A056">
      <w:start w:val="1"/>
      <mc:AlternateContent>
        <mc:Choice Requires="w14">
          <w:numFmt w:val="custom" w:format="α, β, γ, ..."/>
        </mc:Choice>
        <mc:Fallback>
          <w:numFmt w:val="decimal"/>
        </mc:Fallback>
      </mc:AlternateContent>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764A5220"/>
    <w:lvl w:ilvl="0" w:tplc="236EA62C">
      <w:start w:val="1"/>
      <w:numFmt w:val="decimal"/>
      <w:lvlText w:val="%1."/>
      <w:lvlJc w:val="left"/>
      <w:pPr>
        <w:ind w:left="1353" w:hanging="360"/>
      </w:pPr>
      <w:rPr>
        <w:rFonts w:cs="Times New Roman"/>
      </w:rPr>
    </w:lvl>
    <w:lvl w:ilvl="1" w:tplc="75A4A056">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9C02A4C2"/>
    <w:lvl w:ilvl="0" w:tplc="E5C0AA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9046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5073"/>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955E7"/>
    <w:rsid w:val="0049781D"/>
    <w:rsid w:val="00497CEA"/>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E7E40"/>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0465"/>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val="en-IE"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eastAsia="en-GB"/>
    </w:rPr>
  </w:style>
  <w:style w:type="paragraph" w:customStyle="1" w:styleId="CM1">
    <w:name w:val="CM1"/>
    <w:basedOn w:val="Default"/>
    <w:next w:val="Default"/>
    <w:uiPriority w:val="99"/>
    <w:rsid w:val="00597146"/>
    <w:rPr>
      <w:rFonts w:ascii="EUAlbertina" w:eastAsiaTheme="minorEastAsia" w:hAnsi="EUAlbertina" w:cstheme="minorBidi"/>
      <w:color w:val="auto"/>
    </w:rPr>
  </w:style>
  <w:style w:type="paragraph" w:customStyle="1" w:styleId="CM3">
    <w:name w:val="CM3"/>
    <w:basedOn w:val="Default"/>
    <w:next w:val="Default"/>
    <w:uiPriority w:val="99"/>
    <w:rsid w:val="00597146"/>
    <w:rPr>
      <w:rFonts w:ascii="EUAlbertina" w:eastAsiaTheme="minorEastAsia" w:hAnsi="EUAlbertina" w:cstheme="minorBidi"/>
      <w:color w:val="auto"/>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el-GR"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8997</Words>
  <Characters>51284</Characters>
  <Application>Microsoft Office Word</Application>
  <DocSecurity>0</DocSecurity>
  <Lines>1192</Lines>
  <Paragraphs>568</Paragraphs>
  <ScaleCrop>false</ScaleCrop>
  <Company/>
  <LinksUpToDate>false</LinksUpToDate>
  <CharactersWithSpaces>59713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2024-04-26T08:39:00Z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