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DA</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BILAG IV</w:t>
      </w:r>
    </w:p>
    <w:p w14:paraId="66B07866" w14:textId="77777777" w:rsidR="00385DE1" w:rsidRPr="00710028"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OFFENTLIGGØRELSE AF MINIMUMSKRAV TIL KAPITALGRUNDLAG OG NEDSKRIVNINGSRELEVANTE PASSIVER — INSTRUKSER</w:t>
      </w:r>
    </w:p>
    <w:p w14:paraId="7E4782B7" w14:textId="77777777" w:rsidR="00940030" w:rsidRPr="00710028" w:rsidRDefault="00940030" w:rsidP="00940030"/>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Generelle instrukser: Opbygning og konventioner</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Opbygning</w:t>
      </w:r>
      <w:bookmarkEnd w:id="10"/>
      <w:bookmarkEnd w:id="11"/>
      <w:bookmarkEnd w:id="12"/>
    </w:p>
    <w:p w14:paraId="038BA668" w14:textId="1D5FE25B" w:rsidR="0065594A" w:rsidRPr="0008623B" w:rsidRDefault="0065594A" w:rsidP="00B62DC9">
      <w:pPr>
        <w:pStyle w:val="InstructionsText2"/>
        <w:numPr>
          <w:ilvl w:val="0"/>
          <w:numId w:val="12"/>
        </w:numPr>
      </w:pPr>
      <w:r>
        <w:t>Denne ramme for indberetning af oplysninger vedrørende MREL og TLAC består af tre grupper af skemaer:</w:t>
      </w:r>
    </w:p>
    <w:p w14:paraId="160EDC16" w14:textId="77777777" w:rsidR="00AB77FD" w:rsidRPr="0008623B" w:rsidRDefault="00AB77FD" w:rsidP="00710028">
      <w:pPr>
        <w:pStyle w:val="InstructionsText2"/>
        <w:numPr>
          <w:ilvl w:val="1"/>
          <w:numId w:val="32"/>
        </w:numPr>
      </w:pPr>
      <w:r>
        <w:t>MREL og TLAC for afviklingskoncerner og afviklingsenheder</w:t>
      </w:r>
    </w:p>
    <w:p w14:paraId="531DF249" w14:textId="0719D053" w:rsidR="00AB77FD" w:rsidRPr="0008623B" w:rsidRDefault="00AB77FD" w:rsidP="00710028">
      <w:pPr>
        <w:pStyle w:val="InstructionsText2"/>
        <w:numPr>
          <w:ilvl w:val="1"/>
          <w:numId w:val="32"/>
        </w:numPr>
      </w:pPr>
      <w:r>
        <w:t>MREL og TLAC for enheder, der ikke er afviklingsenheder, og væsentlige datterselskaber af globale systemisk vigtige tredjelandsinstitutter (G-SII'er)</w:t>
      </w:r>
    </w:p>
    <w:p w14:paraId="3EE4CEDD" w14:textId="5B2484DA" w:rsidR="00AB77FD" w:rsidRPr="0008623B" w:rsidRDefault="00AB77FD" w:rsidP="00710028">
      <w:pPr>
        <w:pStyle w:val="InstructionsText2"/>
        <w:numPr>
          <w:ilvl w:val="1"/>
          <w:numId w:val="32"/>
        </w:numPr>
      </w:pPr>
      <w:r>
        <w:t>kreditorrækkefølge i afviklingsenheder</w:t>
      </w:r>
    </w:p>
    <w:p w14:paraId="1ED5F5C4" w14:textId="551A7AA0" w:rsidR="0065594A" w:rsidRPr="0008623B" w:rsidRDefault="0065594A" w:rsidP="00B62DC9">
      <w:pPr>
        <w:pStyle w:val="InstructionsText2"/>
        <w:numPr>
          <w:ilvl w:val="0"/>
          <w:numId w:val="12"/>
        </w:numPr>
      </w:pPr>
      <w:r>
        <w:t>For hvert skema gives der henvisninger til retsakter. Yderligere detaljerede oplysninger om de mere generelle aspekter af indberetningen via hvert sæt af skemaer og instrukser vedrørende specifikke positioner findes i dette bilag.</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Forkortelser</w:t>
      </w:r>
      <w:bookmarkEnd w:id="18"/>
    </w:p>
    <w:p w14:paraId="7F56C9B4" w14:textId="1EA8178A" w:rsidR="0065594A" w:rsidRPr="0008623B" w:rsidRDefault="0065594A" w:rsidP="00B62DC9">
      <w:pPr>
        <w:pStyle w:val="InstructionsText2"/>
        <w:numPr>
          <w:ilvl w:val="0"/>
          <w:numId w:val="12"/>
        </w:numPr>
      </w:pPr>
      <w:r>
        <w:t>Følgende forkortelser finder anvendelse med henblik på bilagene til denne forordning:</w:t>
      </w:r>
    </w:p>
    <w:p w14:paraId="7AA24AF3" w14:textId="4E2F4B2C" w:rsidR="0065594A" w:rsidRPr="0008623B" w:rsidRDefault="00B96861" w:rsidP="00710028">
      <w:pPr>
        <w:pStyle w:val="InstructionsText2"/>
        <w:numPr>
          <w:ilvl w:val="0"/>
          <w:numId w:val="33"/>
        </w:numPr>
      </w:pPr>
      <w:r>
        <w:t xml:space="preserve"> Ved "MREL" forstås minimumskravet for kapitalgrundlag og nedskrivningsrelevante passiver, jf. artikel 45 i direktiv 2014/59/EU</w:t>
      </w:r>
    </w:p>
    <w:p w14:paraId="3F223F84" w14:textId="14E43992" w:rsidR="0065594A" w:rsidRPr="0008623B" w:rsidRDefault="0065594A" w:rsidP="00710028">
      <w:pPr>
        <w:pStyle w:val="InstructionsText2"/>
        <w:numPr>
          <w:ilvl w:val="0"/>
          <w:numId w:val="33"/>
        </w:numPr>
      </w:pPr>
      <w:r>
        <w:t>Ved "TLAC" forstås kravet til kapitalgrundlag og nedskrivningsrelevante passiver for G-SII'er, jf. artikel 92a i forordning (EU) nr. 575/2013</w:t>
      </w:r>
    </w:p>
    <w:p w14:paraId="1FEB92E2" w14:textId="1715F9BB" w:rsidR="0065594A" w:rsidRPr="0008623B" w:rsidRDefault="0065594A" w:rsidP="00710028">
      <w:pPr>
        <w:pStyle w:val="InstructionsText2"/>
        <w:numPr>
          <w:ilvl w:val="0"/>
          <w:numId w:val="33"/>
        </w:numPr>
      </w:pPr>
      <w:r>
        <w:t>Ved "Internt TLAC" forstås kravet til kapitalgrundlag og nedskrivningsrelevante passiver for tredjelands-G-SII'er, jf. artikel 92a i forordning (EU) nr. 575/2013</w:t>
      </w:r>
    </w:p>
    <w:p w14:paraId="41F598D3" w14:textId="411A41F7" w:rsidR="0097126E" w:rsidRPr="0008623B" w:rsidRDefault="0097126E" w:rsidP="00710028">
      <w:pPr>
        <w:pStyle w:val="ListParagraph"/>
        <w:numPr>
          <w:ilvl w:val="0"/>
          <w:numId w:val="33"/>
        </w:numPr>
      </w:pPr>
      <w:r>
        <w:rPr>
          <w:rFonts w:ascii="Times New Roman" w:hAnsi="Times New Roman"/>
          <w:sz w:val="24"/>
        </w:rPr>
        <w:t>Ved "Internt MREL" forstås det MREL, der finder anvendelse på enheder, som ikke selv er afviklingsenheder, jf. artikel 45f i</w:t>
      </w:r>
      <w:r>
        <w:t xml:space="preserve"> </w:t>
      </w:r>
      <w:r>
        <w:rPr>
          <w:rFonts w:ascii="Times New Roman" w:hAnsi="Times New Roman"/>
          <w:sz w:val="24"/>
        </w:rPr>
        <w:t xml:space="preserve">direktiv 2014/59/EU.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 xml:space="preserve">EU KM2: Væsentlige målekriterier — MREL og, når det er relevant, kravet til kapitalgrundlag og nedskrivningsrelevante passiver for </w:t>
      </w:r>
      <w:proofErr w:type="spellStart"/>
      <w:r>
        <w:rPr>
          <w:rFonts w:ascii="Times New Roman" w:hAnsi="Times New Roman"/>
          <w:color w:val="auto"/>
          <w:sz w:val="24"/>
        </w:rPr>
        <w:t>G-SII'er</w:t>
      </w:r>
      <w:bookmarkEnd w:id="23"/>
      <w:bookmarkEnd w:id="24"/>
      <w:proofErr w:type="spellEnd"/>
    </w:p>
    <w:p w14:paraId="7C25FB3D" w14:textId="5B7ACB83" w:rsidR="001D5361" w:rsidRPr="0008623B" w:rsidRDefault="00CB1021" w:rsidP="00B62DC9">
      <w:pPr>
        <w:pStyle w:val="InstructionsText2"/>
        <w:numPr>
          <w:ilvl w:val="0"/>
          <w:numId w:val="12"/>
        </w:numPr>
      </w:pPr>
      <w:r>
        <w:t>Enheder skal i de oplysninger, der ledsager skemaet, redegøre for eventuelle væsentlige forskelle mellem det offentliggjort beløb, der udgøres af kapitalgrundlag, og det fuldt ladede IFRS 9-beløb på afviklingskoncernniveau. De skal også redegøre for eventuelle væsentlige forskelle mellem det fuldt ladede IFRS 9-beløb på afviklingskoncernniveau sammenlignet med det fuldt ladede IFRS 9-beløb på koncernniveau.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Kolonner</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Henvisninger til retsakter og instrukser</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Enhederne skal i denne kolonne indberette relevante oplysninger om MREL i overensstemmelse med artikel 45 og 45e i direktiv 2014/59/EU.</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Enheder skal indberette værdien ved indberetningsperiodens udgang.</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til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Enheder, der er </w:t>
            </w:r>
            <w:proofErr w:type="spellStart"/>
            <w:r>
              <w:rPr>
                <w:rFonts w:ascii="Times New Roman" w:hAnsi="Times New Roman"/>
                <w:color w:val="000000" w:themeColor="text1"/>
                <w:sz w:val="24"/>
              </w:rPr>
              <w:t>G-SII'er</w:t>
            </w:r>
            <w:proofErr w:type="spellEnd"/>
            <w:r>
              <w:rPr>
                <w:rFonts w:ascii="Times New Roman" w:hAnsi="Times New Roman"/>
                <w:color w:val="000000" w:themeColor="text1"/>
                <w:sz w:val="24"/>
              </w:rPr>
              <w:t xml:space="preserve">, som er underlagt TLAC-kravet i henhold til artikel 92a i forordning (EU) nr. 575/2013, skal i disse kolonner indberette de relevante oplysninger om nævnte krav.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Indberetningsperioderne T, T-1, T-2, T-3 og T-4 er kvartalsvise perioder. Enhederne skal indberette de datoer, der svarer til indberetningsperioderne. Enheder, der foretager en kvartalsvis indberetning, skal indberette data for perioderne T, T-1, T-2, T-3 og T-4, enheder, der foretager en halvårlig indberetning, skal indberette data for perioderne T, T-2 og T-4, og enheder, der foretager en årlig indberetning, skal indberette data for perioderne T og T-4.</w:t>
            </w:r>
          </w:p>
        </w:tc>
      </w:tr>
    </w:tbl>
    <w:p w14:paraId="33309394" w14:textId="77777777" w:rsidR="009C13C2" w:rsidRPr="00710028"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Rækker</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Henvisninger til retsakter og instrukser</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Kapitalgrundlag og nedskrivningsrelevante passiver</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Svarende til de værdier, der er indberettet i indberetningsskema EU TLAC1, række 22.</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passiver — heraf kapitalgrundlag og efterstillede passiver</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Svarende til den værdi, der er indberettet i indberetningsskema EU TLAC1, række EU-22a.</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color w:val="000000" w:themeColor="text1"/>
                <w:sz w:val="24"/>
              </w:rPr>
              <w:t xml:space="preserve">Kapitalgrundlag og nedskrivningsrelevante passiver, </w:t>
            </w:r>
            <w:r>
              <w:rPr>
                <w:rStyle w:val="InstructionsTabelleberschrift"/>
                <w:rFonts w:ascii="Times New Roman" w:hAnsi="Times New Roman"/>
                <w:b w:val="0"/>
                <w:sz w:val="24"/>
                <w:u w:val="none"/>
              </w:rPr>
              <w:t>der indgår i det</w:t>
            </w:r>
            <w:r>
              <w:rPr>
                <w:rStyle w:val="FormatvorlageInstructionsTabelleText"/>
                <w:rFonts w:ascii="Times New Roman" w:hAnsi="Times New Roman"/>
                <w:sz w:val="24"/>
              </w:rPr>
              <w:t xml:space="preserve"> beløb, der udgøres af kapitalgrundlag og nedskrivningsrelevante passiver i henhold til artikel 45b i direktiv 2014/59/EU, og som er efterstillede nedskrivningsrelevante passiver, jf. nævnte direktivs artikel 2, stk. 1, nr. 71b, og </w:t>
            </w:r>
            <w:r>
              <w:rPr>
                <w:rStyle w:val="InstructionsTabelleberschrift"/>
                <w:rFonts w:ascii="Times New Roman" w:hAnsi="Times New Roman"/>
                <w:b w:val="0"/>
                <w:sz w:val="24"/>
                <w:u w:val="none"/>
              </w:rPr>
              <w:t>passiver</w:t>
            </w:r>
            <w:r>
              <w:rPr>
                <w:rStyle w:val="FormatvorlageInstructionsTabelleText"/>
                <w:rFonts w:ascii="Times New Roman" w:hAnsi="Times New Roman"/>
                <w:sz w:val="24"/>
              </w:rPr>
              <w:t xml:space="preserve">, som indgår i det beløb, der udgøres af kapitalgrundlag og nedskrivningsrelevante passiver i overensstemmelse med artikel 45b, stk. 3, i </w:t>
            </w:r>
            <w:r>
              <w:rPr>
                <w:rStyle w:val="FormatvorlageInstructionsTabelleText"/>
                <w:rFonts w:ascii="Times New Roman" w:hAnsi="Times New Roman"/>
                <w:sz w:val="24"/>
              </w:rPr>
              <w:lastRenderedPageBreak/>
              <w:t>direktiv 2014/59/EU. I forbindelse med instrumenter, der er underlagt et tredjelands lovgivning, skal det pågældende instrument kun medtages i denne række, hvis det opfylder kravene i artikel 55 i direktiv 2014/59/EU.</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Afviklingskoncernens samlede risikoeksponering (SRE)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Svarende til den værdi, der er indberettet i indberetningsskema EU TLAC1, række 23.</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Artikel 45, stk. 2, litra a), i direktiv 2014/59/EU, artikel 92, stk. 3, i forordning (EU) nr.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passiver som en procentdel af SRE</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Svarende til de værdier, der er indberettet i indberetningsskema EU TLAC1, række 25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Med henblik på denne række udtrykkes det beløb, der udgøres af kapitalgrundlag og nedskrivningsrelevante passiver, og som er indberettet i række 1, som en procentdel af den samlede risikoeksponering beregnet i overensstemmelse med artikel 92, stk. 3, i forordning (EU) nr.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passiver som en procentdel af SRE — heraf kapitalgrundlag og efterstillede passiver</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Svarende til den værdi, der er indberettet i indberetningsskema EU TLAC1, række EU-25a.</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Med henblik på denne række udtrykkes det beløb, der udgøres af kapitalgrundlag og efterstillede nedskrivningsrelevante passiver, og som er udtrykt i række EU-1a, som en procentdel af den samlede risikoeksponering beregnet i overensstemmelse med artikel 92, stk. 3, i forordning (EU) nr.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Afviklingskoncernens samlede eksponeringsmål (SEM)</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Svarende til den værdi, der er indberettet i indberetningsskema EU TLAC1, række 24.</w:t>
            </w:r>
          </w:p>
          <w:p w14:paraId="5BC2C1BD" w14:textId="4F7E9896" w:rsidR="00705FB0" w:rsidRPr="0008623B" w:rsidRDefault="003D0BF6" w:rsidP="00FB021F">
            <w:pPr>
              <w:pStyle w:val="Fait"/>
            </w:pPr>
            <w:r>
              <w:t xml:space="preserve">Artikel 45, stk. 2, litra b), i direktiv 2014/59/EU, </w:t>
            </w:r>
            <w:r>
              <w:rPr>
                <w:color w:val="000000" w:themeColor="text1"/>
              </w:rPr>
              <w:t>artikel</w:t>
            </w:r>
            <w:r>
              <w:t> 429, stk. 4, og artikel 429a i forordning (EU) nr.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passiver som en procentdel af SEM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Svarende til den værdi, der er indberettet i indberetningsskema EU TLAC1, række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Med henblik på denne række udtrykkes det beløb, der udgøres af kapitalgrundlag og nedskrivningsrelevante passiver, og som er udtrykt i række 1, som en procentdel af det samlede eksponeringsmål beregnet i overensstemmelse med artikel 429, stk. 4, og artikel 429a i forordning (EU) nr.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passiver som en procentdel af SEM — heraf kapitalgrundlag og efterstillede passiver</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Svarende til den værdi, der er indberettet i indberetningsskema EU TLAC1, række EU-26a.</w:t>
            </w:r>
          </w:p>
          <w:p w14:paraId="4E14C375" w14:textId="17204913" w:rsidR="0037295D" w:rsidRPr="0008623B" w:rsidRDefault="00705FB0" w:rsidP="00FB021F">
            <w:pPr>
              <w:pStyle w:val="Fait"/>
              <w:spacing w:before="0"/>
              <w:rPr>
                <w:b/>
                <w:color w:val="000000" w:themeColor="text1"/>
                <w:szCs w:val="24"/>
              </w:rPr>
            </w:pPr>
            <w:r>
              <w:rPr>
                <w:color w:val="000000" w:themeColor="text1"/>
              </w:rPr>
              <w:t>Med henblik på denne række udtrykkes det beløb, der udgøres af kapitalgrundlag og efterstillede nedskrivningsrelevante passiver, og som er udtrykt i række EU-1a, som en procentdel af det samlede eksponeringsmål beregnet i overensstemmelse med artikel 429, stk. 4, og artikel 429a i forordning (EU) nr.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Finder undtagelsen fra efterstilling i artikel 72b, stk. 4, i forordning (EU) nr. 575/2013 anvendelse? (undtagelse på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Denne række skal kun udfyldes af enheder, der er omfattet af kravet til kapitalgrundlag og nedskrivningsrelevante passiver for </w:t>
            </w:r>
            <w:proofErr w:type="spellStart"/>
            <w:r>
              <w:rPr>
                <w:rFonts w:ascii="Times New Roman" w:hAnsi="Times New Roman"/>
                <w:color w:val="000000" w:themeColor="text1"/>
                <w:sz w:val="24"/>
              </w:rPr>
              <w:t>G-SII'er</w:t>
            </w:r>
            <w:proofErr w:type="spellEnd"/>
            <w:r>
              <w:rPr>
                <w:rFonts w:ascii="Times New Roman" w:hAnsi="Times New Roman"/>
                <w:color w:val="000000" w:themeColor="text1"/>
                <w:sz w:val="24"/>
              </w:rPr>
              <w:t>.</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Hvis afviklingsmyndigheden tillader, at passiver kan betragtes som nedskrivningsrelevante passivinstrumenter i overensstemmelse med artikel 72b, stk. 4, i forordning (EU) nr. 575/2013, skriver den indberettende enhed "Ja".</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Hvis afviklingsmyndigheden ikke tillader, at passiver kan betragtes som nedskrivningsrelevante passivinstrumenter i overensstemmelse med artikel 72b, stk. 4, i forordning (EU) nr. 575/2013, skriver afviklingskoncernen eller afviklingsenheden "Nej".</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Da undtagelserne i artikel 72b, stk. 3 og 4, i forordning (EU) nr. 575/2013 udelukker hinanden, skal denne række stå tom, hvis den indberettende enhed har udfyldt række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Samlet beløb, der udgøres af tilladte ikkeefterstillede nedskrivningsrelevante passivinstrumenter, hvis der anvendes et skøn over efterstilling, jf. artikel 72b, stk. 3, i forordning (EU) nr. 575/2013, (undtagelse på maks. 3,5 %)</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Denne række skal kun udfyldes af enheder, der er omfattet af kravet til kapitalgrundlag og nedskrivningsrelevante passiver for </w:t>
            </w:r>
            <w:proofErr w:type="spellStart"/>
            <w:r>
              <w:rPr>
                <w:rFonts w:ascii="Times New Roman" w:hAnsi="Times New Roman"/>
                <w:color w:val="000000" w:themeColor="text1"/>
                <w:sz w:val="24"/>
              </w:rPr>
              <w:t>G-SII'er</w:t>
            </w:r>
            <w:proofErr w:type="spellEnd"/>
            <w:r>
              <w:rPr>
                <w:rFonts w:ascii="Times New Roman" w:hAnsi="Times New Roman"/>
                <w:color w:val="000000" w:themeColor="text1"/>
                <w:sz w:val="24"/>
              </w:rPr>
              <w:t>.</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 xml:space="preserve">Samlet beløb, der udgøres af ikke-efterstillede nedskrivningsrelevante passivinstrumenter, som afviklingsmyndigheden har givet tilladelse til at </w:t>
            </w:r>
            <w:r>
              <w:rPr>
                <w:rStyle w:val="FormatvorlageInstructionsTabelleText"/>
                <w:rFonts w:ascii="Times New Roman" w:hAnsi="Times New Roman"/>
                <w:sz w:val="24"/>
              </w:rPr>
              <w:lastRenderedPageBreak/>
              <w:t>lade betragte som nedskrivningsrelevante passivinstrumenter med henblik på TLAC i henhold til artikel 72b, stk. 3, i forordning (EU) nr.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Da undtagelserne i artikel 72b, stk. 3 og 4, i forordning (EU) nr. 575/2013 udelukker hinanden, skal denne række stå tom, hvis enheden har svaret "Ja" i række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Hvis en reduceret undtagelse fra efterstilling finder anvendelse, jf. artikel 72b, stk. 3, i forordning (EU) nr. 575/2013, skal enhederne indberette det finansieringsbeløb, der er sidestillet med udelukkede passiver, og som er angivet i række 1, divideret med den udstedte finansiering, der er sidestillet med udelukkede passiver, og som ville skulle indregnes i række 1, hvis der ikke var anvendt noget loft (i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 xml:space="preserve">Denne række skal kun udfyldes af enheder, der er omfattet af kravet til kapitalgrundlag og nedskrivningsrelevante passiver for </w:t>
            </w:r>
            <w:proofErr w:type="spellStart"/>
            <w:r>
              <w:rPr>
                <w:rStyle w:val="InstructionsTabelleberschrift"/>
                <w:rFonts w:ascii="Times New Roman" w:hAnsi="Times New Roman"/>
                <w:b w:val="0"/>
                <w:sz w:val="24"/>
                <w:u w:val="none"/>
              </w:rPr>
              <w:t>G-SII'er</w:t>
            </w:r>
            <w:proofErr w:type="spellEnd"/>
            <w:r>
              <w:rPr>
                <w:rStyle w:val="InstructionsTabelleberschrift"/>
                <w:rFonts w:ascii="Times New Roman" w:hAnsi="Times New Roman"/>
                <w:b w:val="0"/>
                <w:sz w:val="24"/>
                <w:u w:val="none"/>
              </w:rPr>
              <w:t>.</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I denne række orienteres ejere af efterstillet gæld, der er udstedt af afviklingsenheden, om den procentdel af ikke-udelukket efterstillet gæld, der kan betragtes som nedskrivningsegnet, </w:t>
            </w:r>
            <w:proofErr w:type="gramStart"/>
            <w:r>
              <w:rPr>
                <w:rFonts w:ascii="Times New Roman" w:hAnsi="Times New Roman"/>
                <w:color w:val="000000" w:themeColor="text1"/>
                <w:sz w:val="24"/>
              </w:rPr>
              <w:t>således at</w:t>
            </w:r>
            <w:proofErr w:type="gramEnd"/>
            <w:r>
              <w:rPr>
                <w:rFonts w:ascii="Times New Roman" w:hAnsi="Times New Roman"/>
                <w:color w:val="000000" w:themeColor="text1"/>
                <w:sz w:val="24"/>
              </w:rPr>
              <w:t xml:space="preserve"> de i givet fald kan anvende den fradragsramme, der er fastsat i artikel 72e i forordning (EU) nr.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Hvis en reduceret undtagelse fra efterstilling finder anvendelse, jf. artikel 72b, stk. 3, i forordning (EU) nr. 575/2013, skal enhederne indberette:</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det beløb, der udgøres af finansiering, som sidestilles med udelukkede passiver, jf. artikel 72a, stk. 2, i forordning (EU) nr. 575/2013, og som medregnes i det beløb, der er angivet i række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divideret med det beløb, der udgøres af finansiering, som sidestilles med udelukkede passiver, jf. artikel 72a, stk. 2, i forordning (EU) nr. 575/2013, og som ville blive indregnet under række 1, hvis der ikke blev anvendt noget loft.</w:t>
            </w:r>
          </w:p>
        </w:tc>
      </w:tr>
      <w:tr w:rsidR="008B1AF1" w:rsidRPr="0008623B" w14:paraId="3397A407" w14:textId="77777777" w:rsidTr="00915305">
        <w:trPr>
          <w:trHeight w:val="316"/>
        </w:trPr>
        <w:tc>
          <w:tcPr>
            <w:tcW w:w="1384" w:type="dxa"/>
          </w:tcPr>
          <w:p w14:paraId="064B005C" w14:textId="65B49825" w:rsidR="008B1AF1" w:rsidRPr="00710028"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Minimumskrav for kapitalgrundlag og nedskrivningsrelevante passiver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udtrykt som en procentdel af SRE</w:t>
            </w:r>
          </w:p>
          <w:p w14:paraId="5D62407D" w14:textId="1D56CFCB" w:rsidR="006453C4" w:rsidRPr="0008623B" w:rsidRDefault="006453C4" w:rsidP="00D33D65">
            <w:pPr>
              <w:pStyle w:val="Fait"/>
            </w:pPr>
            <w:r>
              <w:rPr>
                <w:color w:val="000000" w:themeColor="text1"/>
              </w:rPr>
              <w:t>Enhedens minimumskrav til kapitalgrundlag og nedskrivningsrelevante passiver som fastsat af afviklingsmyndigheden i overensstemmelse med artikel 45e i direktiv 2014/59/EU udtrykt som en procentdel af den samlede risikoeksponering, som er beregnet i overensstemmelse med artikel 92, stk. 3, i forordning (EU) nr.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udtrykt som en procentdel af SRE — heraf som skal opfyldes med kapitalgrundlag eller efterstillede passiver</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 xml:space="preserve">I givet fald den del af MREL, som i henhold til artikel 45b, stk. 4 til 8, i direktiv 2014/59/EU efter krav fra afviklingsmyndigheden skal opfyldes af kapitalgrundlag, efterstillede instrumenter eller passiver, jf. nævnte artikels stk. 3, udtrykt som en procentdel af den samlede risikoeksponering, som er </w:t>
            </w:r>
            <w:r>
              <w:rPr>
                <w:rStyle w:val="FormatvorlageInstructionsTabelleText"/>
                <w:rFonts w:ascii="Times New Roman" w:hAnsi="Times New Roman"/>
                <w:sz w:val="24"/>
              </w:rPr>
              <w:lastRenderedPageBreak/>
              <w:t>beregnet i overensstemmelse med artikel 92, stk. 3, i forordning (EU) nr.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udtrykt som en procentdel af SEM</w:t>
            </w:r>
          </w:p>
          <w:p w14:paraId="7ABED549" w14:textId="5EF36813" w:rsidR="006453C4" w:rsidRPr="0008623B" w:rsidRDefault="006453C4" w:rsidP="00717DB0">
            <w:pPr>
              <w:pStyle w:val="Fait"/>
            </w:pPr>
            <w:r>
              <w:t>Den indberettende enheds minimumskrav til kapitalgrundlag og nedskrivningsrelevante passiver som fastsat af afviklingsmyndigheden i overensstemmelse med artikel 45e i direktiv 2014/59/EU udtrykt som en procentdel af det samlede eksponeringsmål, som er beregnet i overensstemmelse med artikel 429, stk. 4, og artikel 429a i forordning (EU) nr.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udtrykt som en procentdel af SEM — heraf som skal opfyldes med kapitalgrundlag eller efterstillede passiver</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 xml:space="preserve">I givet fald den del af MREL, som i henhold til artikel 45b, stk. 4 til 8, i direktiv 2014/59/EU efter krav fra afviklingsmyndigheden skal opfyldes af kapitalgrundlag, efterstillede instrumenter eller passiver, jf. nævnte artikels stk. 3, </w:t>
            </w:r>
            <w:r>
              <w:rPr>
                <w:rFonts w:ascii="Times New Roman" w:hAnsi="Times New Roman"/>
                <w:sz w:val="24"/>
              </w:rPr>
              <w:t>udtrykt som en procentdel af det samlede eksponeringsmål, som er beregnet i overensstemmelse med artikel 429, stk. 4, og artikel 429a i forordning (EU) nr. 575/2013</w:t>
            </w:r>
            <w:r>
              <w:rPr>
                <w:rStyle w:val="FormatvorlageInstructionsTabelleText"/>
                <w:rFonts w:ascii="Times New Roman" w:hAnsi="Times New Roman"/>
                <w:sz w:val="24"/>
              </w:rPr>
              <w:t>.</w:t>
            </w:r>
          </w:p>
        </w:tc>
      </w:tr>
    </w:tbl>
    <w:p w14:paraId="38CEC33F" w14:textId="77777777" w:rsidR="005673AC" w:rsidRPr="00710028"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 xml:space="preserve">EU TLAC 1: Sammensætning — MREL og, når det er relevant, kravet til kapitalgrundlag og nedskrivningsrelevante passiver for </w:t>
      </w:r>
      <w:proofErr w:type="spellStart"/>
      <w:r>
        <w:rPr>
          <w:rFonts w:ascii="Times New Roman" w:hAnsi="Times New Roman"/>
          <w:color w:val="auto"/>
          <w:sz w:val="24"/>
        </w:rPr>
        <w:t>G-SII'er</w:t>
      </w:r>
      <w:bookmarkEnd w:id="186"/>
      <w:bookmarkEnd w:id="187"/>
      <w:proofErr w:type="spellEnd"/>
    </w:p>
    <w:p w14:paraId="5FDEB8AD" w14:textId="17A1952C" w:rsidR="00021E4F" w:rsidRPr="0008623B" w:rsidRDefault="00021E4F" w:rsidP="00B62DC9">
      <w:pPr>
        <w:pStyle w:val="InstructionsText2"/>
        <w:numPr>
          <w:ilvl w:val="0"/>
          <w:numId w:val="12"/>
        </w:numPr>
      </w:pPr>
      <w:r>
        <w:t>Den position i kapitalgrundlag og nedskrivningsrelevante passiver, der vedrører afviklingskoncernen, må kun indeholde kapitalinstrumenter og nedskrivningsrelevante passiver, som er udstedt af afviklingsenheden, og i givet fald, hvor det er i overensstemmelse med artikel 45b, stk. 3, i direktiv 2014/59/EU eller artikel 88a i forordning (EU) nr. 575/2013, af afviklingsenhedens datterselskaber, med undtagelse af enheder uden for afviklingskoncernen. Ligeledes er positionen i kapitalgrundlag og nedskrivningsrelevante passiver baseret på den samlede risikoeksponering (justeret som tilladt i henhold til artikel 45h, stk. 2, i direktiv 2014/59/EU) og det samlede eksponeringsmål, som er beregnet på afviklingskoncernniveau.</w:t>
      </w:r>
    </w:p>
    <w:p w14:paraId="31AA4E2B" w14:textId="5FF6ED9D" w:rsidR="00B00CC4" w:rsidRPr="0008623B" w:rsidRDefault="00021E4F" w:rsidP="00B62DC9">
      <w:pPr>
        <w:pStyle w:val="InstructionsText2"/>
        <w:numPr>
          <w:ilvl w:val="0"/>
          <w:numId w:val="12"/>
        </w:numPr>
      </w:pPr>
      <w:r>
        <w:t>Med hensyn til de lovpligtige justeringer skal enhederne indberette fradrag fra kapitalgrundlag og nedskrivningsrelevante passiver som negative tal og tilførsler til kapitalgrundlag og nedskrivningsrelevante passiver som positive tal.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Kolonner</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Henvisninger til retsakter og instrukser</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Enhederne skal i denne kolonne indberette relevante oplysninger om MREL i henhold til artikel 45 og 45e i direktiv 2014/59/EU.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lastRenderedPageBreak/>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Enheder, der er </w:t>
            </w:r>
            <w:proofErr w:type="spellStart"/>
            <w:r>
              <w:rPr>
                <w:rFonts w:ascii="Times New Roman" w:hAnsi="Times New Roman"/>
                <w:color w:val="000000" w:themeColor="text1"/>
                <w:sz w:val="24"/>
              </w:rPr>
              <w:t>G-SII'er</w:t>
            </w:r>
            <w:proofErr w:type="spellEnd"/>
            <w:r>
              <w:rPr>
                <w:rFonts w:ascii="Times New Roman" w:hAnsi="Times New Roman"/>
                <w:color w:val="000000" w:themeColor="text1"/>
                <w:sz w:val="24"/>
              </w:rPr>
              <w:t xml:space="preserve">, som er underlagt et TLAC-krav i henhold til artikel 92a i forordning (EU) nr. 575/2013, skal i denne kolonne indberette de relevante oplysninger om nævnte krav.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Denne kolonne skal kun udfyldes af enheder, der er underlagt TLAC-kravet.</w:t>
            </w:r>
            <w:r>
              <w:t xml:space="preserve"> </w:t>
            </w:r>
          </w:p>
          <w:p w14:paraId="1B6D4BC4" w14:textId="410E4195" w:rsidR="00807127" w:rsidRPr="0008623B" w:rsidRDefault="00807127" w:rsidP="00B62DC9">
            <w:pPr>
              <w:pStyle w:val="InstructionsText"/>
            </w:pPr>
            <w:r>
              <w:t>Denne kolonne skal afspejle forskellen mellem de beløb, der anvendes inden for rammerne af kravet i artikel 45 i direktiv 2014/59/EU, og de beløb, der anvendes inden for rammerne af kravet i artikel 92a i forordning (EU) nr. 575/2013.</w:t>
            </w:r>
          </w:p>
        </w:tc>
      </w:tr>
    </w:tbl>
    <w:p w14:paraId="3AC1888A" w14:textId="77777777" w:rsidR="00807127" w:rsidRPr="00710028"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Række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Henvisninger til retsakter og instrukser</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Egentlig kernekapital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Afviklingskoncernens egentlige kernekapital beregnes i overensstemmelse med artikel 50 i forordning (EU) nr.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Hybrid kernekapital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Afviklingskoncernens hybride kernekapital beregnes i overensstemmelse med artikel 61 i forordning (EU) nr.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I forbindelse med MREL skal instrumenter, der er underlagt et tredjelands lovgivning, kun medtages i denne række, hvis de opfylder kravene i artikel 55 i direktiv 2014/59/EU.</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Supplerende kapital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Afviklingskoncernens supplerende kapital beregnes i overensstemmelse med artikel 71 i forordning (EU) nr.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I forbindelse med MREL skal instrumenter, der er underlagt et tredjelands lovgivning, kun medtages i denne række, hvis de opfylder kravene i artikel 55 i direktiv 2014/59/EU.</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Kapitalgrundlag med henblik på artikel 92a i forordning (EU) nr. 575/2013 og artikel 45 i direktiv 2014/59/EU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Kapitalgrundlag med henblik på artikel 92a i forordning (EU) nr. 575/2013 og artikel 45 i direktiv 2014/59/EU skal beregnes som summen af række 1, række 2 og række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Nedskrivningsrelevante passivinstrumenter, der er udstedt direkte af afviklingsenheden, og som er efterstillet udelukkede passiver (ikke omfattet af overgangsbestemmelser)</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Nedskrivningsrelevante passiver, som indgår i det</w:t>
            </w:r>
            <w:r>
              <w:rPr>
                <w:rStyle w:val="FormatvorlageInstructionsTabelleText"/>
                <w:rFonts w:ascii="Times New Roman" w:hAnsi="Times New Roman"/>
                <w:sz w:val="24"/>
              </w:rPr>
              <w:t xml:space="preserve"> beløb, der udgøres af kapitalgrundlag og nedskrivningsrelevante passiver i henhold til artikel 45b i </w:t>
            </w:r>
            <w:r>
              <w:rPr>
                <w:rStyle w:val="FormatvorlageInstructionsTabelleText"/>
                <w:rFonts w:ascii="Times New Roman" w:hAnsi="Times New Roman"/>
                <w:sz w:val="24"/>
              </w:rPr>
              <w:lastRenderedPageBreak/>
              <w:t>direktiv 2014/59/EU, som er efterstillede nedskrivningsrelevante passiver, jf. artikel 2, stk. 1, nr. 71b, i direktiv 2014/59/EU, og som er udstedt direkte af afviklingsenheden.</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Nedskrivningsrelevante passiver, som lever op til kravene i artikel 72a til 72d i forordning (EU) nr. 575/2013, med undtagelse af passiver, som det tillades at betragte som nedskrivningsrelevante passivinstrumenter i henhold til nævnte forordnings artikel 72b, stk. 3 eller 4, og som udstedes direkte af afviklingsenheden.</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Denne række indeholder hverken den amortiserede andel af supplerende kapitalinstrumenter, hvor restløbetiden er længere end ét år (jf. artikel 72a, stk. 1, litra b), i forordning (EU) nr. 575/2013), eller nedskrivningsrelevante passiver, som er omfattet af overgangsbestemmelser i henhold til artikel 494b i forordning (EU) nr. 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Nedskrivningsrelevante passivinstrumenter, der er udstedt af andre enheder inden for afviklingskoncernen, og som er efterstillet udelukkede passiver (ikke omfattet af overgangsbestemmelser)</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som indgår i det beløb, der udgøres af kapitalgrundlag og nedskrivningsrelevante passiver i henhold til artikel 45b i direktiv 2014/59/EU, og som udstedes af datterselskaber og medtages i MREL i overensstemmelse med nævnte direktivs artikel 45b, stk. 3.</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Nedskrivningsrelevante passiver, som lever op til kravene i artikel 72a til 72d i forordning (EU) nr. 575/2013, med undtagelse af passiver, som det tillades at betragte som nedskrivningsrelevante passivinstrumenter i henhold til nævnte forordnings artikel 72b, stk. 3 eller 4, og som udstedes af datterselskaber og kan medtages i en enheds konsoliderede nedskrivningsrelevante passivinstrumenter i henhold til artikel 88a i forordning (EU) nr. 575/2013.</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Denne række indeholder hverken den amortiserede andel af supplerende kapitalinstrumenter, hvor restløbetiden er længere end ét år (jf. artikel 72a, stk. 1, litra b), i forordning (EU) nr. 575/2013), eller nedskrivningsrelevante passiver, som er omfattet af overgangsbestemmelser i henhold til artikel 494b i forordning (EU) nr. 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passivinstrumenter, der er efterstillet udelukkede passiver, udstedt før den 27. juni 2019 (efterstillet og omfattet af overgangsbestemmelser)</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Nedskrivningsrelevante passiver, der opfylder følgende betingelser:</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 blev udstedt før den 27. juni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de er </w:t>
            </w:r>
            <w:r>
              <w:rPr>
                <w:rStyle w:val="FormatvorlageInstructionsTabelleText"/>
                <w:rFonts w:ascii="Times New Roman" w:hAnsi="Times New Roman"/>
                <w:sz w:val="24"/>
              </w:rPr>
              <w:t xml:space="preserve">efterstillede nedskrivningsrelevante passiver, jf. artikel 2, stk. 1, nr. 71b, i direktiv 2014/59/EU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FormatvorlageInstructionsTabelleText"/>
                <w:rFonts w:ascii="Times New Roman" w:hAnsi="Times New Roman"/>
                <w:sz w:val="24"/>
              </w:rPr>
              <w:t xml:space="preserve">de </w:t>
            </w:r>
            <w:r>
              <w:rPr>
                <w:rStyle w:val="InstructionsTabelleberschrift"/>
                <w:rFonts w:ascii="Times New Roman" w:hAnsi="Times New Roman"/>
                <w:b w:val="0"/>
                <w:sz w:val="24"/>
                <w:u w:val="none"/>
              </w:rPr>
              <w:t>er</w:t>
            </w:r>
            <w:r>
              <w:rPr>
                <w:rStyle w:val="FormatvorlageInstructionsTabelleText"/>
                <w:rFonts w:ascii="Times New Roman" w:hAnsi="Times New Roman"/>
                <w:sz w:val="24"/>
              </w:rPr>
              <w:t xml:space="preserve"> medregnet i kapitalgrundlag og nedskrivningsrelevante passiver i medfør af artikel 494b, stk. 3, i forordning (EU) nr. 575/2013.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Passiver, der opfylder følgende betingelser:</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de blev udstedt før den 27. juni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de overholder artikel 72b, stk. 2, litra d), i forordning (EU) nr. 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de betragtes som nedskrivningsrelevante passiver i medfør af de overgangsbestemmelser, der er fastsat i artikel 494b, stk. 3, i forordning (EU) nr.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Supplerende kapitalinstrumenter med en restløbetid på mindst ét år, for så vidt som de ikke kan betragtes som supplerende kapitalposter</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Den amortiserede andel af supplerende kapitalinstrumenter, hvor restløbetiden er længere end ét år (jf. artikel 72a, stk. 1,</w:t>
            </w:r>
            <w:r>
              <w:rPr>
                <w:color w:val="000000" w:themeColor="text1"/>
              </w:rPr>
              <w:t xml:space="preserve"> </w:t>
            </w:r>
            <w:r>
              <w:rPr>
                <w:rFonts w:ascii="Times New Roman" w:hAnsi="Times New Roman"/>
                <w:color w:val="000000" w:themeColor="text1"/>
                <w:sz w:val="24"/>
              </w:rPr>
              <w:t>litra b), i forordning (EU) nr.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Kun det beløb, der ikke kan indregnes i kapitalgrundlaget, men som opfylder alle anerkendelseskriterierne i artikel 72b i forordning (EU) nr. 575/2013, skal angives i denne række.</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 forbindelse med MREL skal instrumenter, der er underlagt et tredjelands lovgivning, kun medtages i denne række, hvis de opfylder kravene i artikel 55 i direktiv 2014/59/EU.</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passiver, der ikke er efterstillet udelukkede passiver (ikke omfattet af overgangsbestemmelser, før indførelse af loftet)</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Passiver, som opfylder betingelserne i artikel 45b i direktiv 2014/59/EU, og som ikke er efterstillet alle fordringer, der følger af de udelukkede passiver, jf. artikel 72a, stk. 2, i forordning (EU) nr. 575/2013.</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Nedskrivningsrelevante passiver, som lever op til kravene i artikel 72a til 72d </w:t>
            </w:r>
            <w:r>
              <w:rPr>
                <w:color w:val="000000" w:themeColor="text1"/>
              </w:rPr>
              <w:t>i forordning (EU) nr. 575/2013</w:t>
            </w:r>
            <w:r>
              <w:rPr>
                <w:rStyle w:val="FormatvorlageInstructionsTabelleText"/>
                <w:rFonts w:ascii="Times New Roman" w:hAnsi="Times New Roman"/>
                <w:sz w:val="24"/>
              </w:rPr>
              <w:t>, med undtagelse af nævnte forordnings artikel 72b, stk. 2, litra d), og som det eventuelt kan tillades at betragte som nedskrivningsrelevante passivinstrumenter i henhold til nævnte forordnings artikel 72b, stk. 3, eller som det tillades at betragte som nedskrivningsrelevante passiver i henhold til nævnte forordnings artikel 72b, stk. 4.</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Hvis enten artikel 72b, stk. 3, eller artikel 494, stk. 2, i forordning (EU) nr. 575/2013 finder anvendelse, skal det fulde beløb uden anvendelse af lofterne på henholdsvis 3,5 % og 2,5 % angives i denne række.</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Denne række skal ikke omfatte eventuelle beløb, der indregnes i en overgangsperiode, i overensstemmelse med artikel 494b, stk. 3, i forordning (EU) nr.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passiver, der ikke er efterstillet udelukkede passiver udstedt før den 27. juni 2019 (før indførelse af loftet)</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Nedskrivningsrelevante passiver, der opfylder følgende betingelser:</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de blev udstedt før den 27. juni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de opfylder betingelserne i artikel 45b i direktiv 2014/59/EU og er ikke efterstillet alle fordringer, der følger af de udelukkede passiver, jf. artikel 72a, stk. 2, i forordning (EU) nr. 575/2013</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de betragtes som nedskrivningsrelevante passiver i medfør af de overgangsbestemmelser, der er fastsat i artikel 494b, stk. 3, i forordning (EU) nr.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Nedskrivningsrelevante passiver, der opfylder følgende betingelser:</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de blev udstedt før den 27. juni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de lever op til kravene i artikel 72a til 72d i forordning (EU) nr. 575/2013, med undtagelse af nævnte forordnings artikel 72b, stk. 2, </w:t>
            </w:r>
            <w:r>
              <w:rPr>
                <w:rFonts w:ascii="Times New Roman" w:hAnsi="Times New Roman"/>
                <w:color w:val="000000" w:themeColor="text1"/>
                <w:sz w:val="24"/>
              </w:rPr>
              <w:lastRenderedPageBreak/>
              <w:t xml:space="preserve">litra d), og </w:t>
            </w:r>
            <w:r>
              <w:rPr>
                <w:rStyle w:val="FormatvorlageInstructionsTabelleText"/>
                <w:rFonts w:ascii="Times New Roman" w:hAnsi="Times New Roman"/>
                <w:sz w:val="24"/>
              </w:rPr>
              <w:t>det kan eventuelt tillades at betragte dem som nedskrivningsrelevante passivinstrumenter i henhold til nævnte forordnings artikel 72b, stk. 3, eller det kan tillades at betragte dem som nedskrivningsrelevante passiver i henhold til artikel 72b, stk. 4, i forordning (EU) nr. 575/2013</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de betragtes som nedskrivningsrelevante passiver i medfør af de overgangsbestemmelser, der er fastsat i artikel 494b, stk. 3, i forordning (EU) nr.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Hvis enten artikel 72b, stk. 3, eller artikel 494, stk. 2, i forordning (EU) nr. 575/2013 finder anvendelse, skal det fulde beløb uden anvendelse af lofterne på henholdsvis 3,5 % og 2,5 % indberettes i denne række.</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Beløb, der udgøres af efterstillede nedskrivningsrelevante passivinstrumenter, når det er relevant efter anvendelse artikel 72b, stk. 3, i forordning (EU) nr.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Denne række svarer til summen af række 13 og række EU-13a.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Hvor artikel 72b, stk. 3, i forordning (EU) nr. 575/2013 finder anvendelse, angiver denne række summen af de indberettede beløb i række 13 og 13a ovenfor efter anvendelse af henholdsvis nævnte forordnings artikel 72b, stk. 3, eller 494, stk. 2.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Hvor artikel 72b, stk. 3, i forordning (EU) nr. 575/2013 ikke finder anvendelse, men hvor den pågældende enhed drager fordel af anvendelsen af artikel 72b, stk. 4, i forordning (EU) nr. 575/2013, skal denne række svarer til summen af række 13 og række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passivposter forud for justeringer</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Nedskrivningsrelevante passivposter forud for justeringer. Skal beregnes som summen af række 12, række EU-12a, række EU-12b, række EU-12c og række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passivposter forud for justeringer — heraf efterstillede passivposter</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Style w:val="InstructionsTabelleberschrift"/>
                <w:rFonts w:ascii="Times New Roman" w:hAnsi="Times New Roman"/>
                <w:b w:val="0"/>
                <w:sz w:val="24"/>
                <w:u w:val="none"/>
              </w:rPr>
              <w:t>Nedskrivningsrelevante passiver, der indgår i det</w:t>
            </w:r>
            <w:r>
              <w:rPr>
                <w:rStyle w:val="FormatvorlageInstructionsTabelleText"/>
                <w:rFonts w:ascii="Times New Roman" w:hAnsi="Times New Roman"/>
                <w:sz w:val="24"/>
              </w:rPr>
              <w:t xml:space="preserve"> beløb, der udgøres af kapitalgrundlag og nedskrivningsrelevante passiver i henhold til artikel 45b i direktiv 2014/59/EU, og som er efterstillede nedskrivningsrelevante passiver, jf. nævnte direktivs artikel 2, stk. 1, nr. 71b, og passiver, som er udstedt af </w:t>
            </w:r>
            <w:r>
              <w:rPr>
                <w:rStyle w:val="FormatvorlageInstructionsTabelleText"/>
                <w:rFonts w:ascii="Times New Roman" w:hAnsi="Times New Roman"/>
                <w:sz w:val="24"/>
              </w:rPr>
              <w:lastRenderedPageBreak/>
              <w:t>datterselskaber og indgår i MREL, i overensstemmelse med nævnte direktivs artikel 45b, stk. 3.</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som lever op til kravene i artikel 72a til 72d i forordning (EU) nr. 575/2013, med undtagelse af passiver, som det tillades at betragte som nedskrivningsrelevante passivinstrumenter i henhold til nævnte forordnings artikel 72b, stk. 3 eller 4.</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Denne række skal indeholde efterstillede passiver, der er nedskrivningsrelevante i medfør af overgangsbestemmelserne i artikel 494b i forordning (EU) nr. 575/2013, og den amortiserede andel af supplerende kapitalinstrumenter, hvor restløbetiden er længere end ét år (jf. artikel 72a, stk. 1, litra b), i forordning (EU) nr.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Skal beregnes som summen af række 12, række EU-12a, række EU-12b og række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Kapitalgrundlag og nedskrivningsrelevante passivposter forud for justeringer</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Kapitalgrundlag og nedskrivningsrelevante passivposter forud for justeringer. Skal beregnes som summen af række 11 og række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(Fradrag af eksponeringer mellem afviklingskoncerner, der er omfattet af multiple point of </w:t>
            </w:r>
            <w:proofErr w:type="spellStart"/>
            <w:r>
              <w:rPr>
                <w:rFonts w:ascii="Times New Roman" w:hAnsi="Times New Roman"/>
                <w:b/>
                <w:color w:val="000000" w:themeColor="text1"/>
                <w:sz w:val="24"/>
              </w:rPr>
              <w:t>entry</w:t>
            </w:r>
            <w:proofErr w:type="spellEnd"/>
            <w:r>
              <w:rPr>
                <w:rFonts w:ascii="Times New Roman" w:hAnsi="Times New Roman"/>
                <w:b/>
                <w:color w:val="000000" w:themeColor="text1"/>
                <w:sz w:val="24"/>
              </w:rPr>
              <w:t xml:space="preserve"> (MPE)</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Negativt beløb</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Fradrag af eksponeringer mellem MPE-afviklingskoncerner, der består af </w:t>
            </w:r>
            <w:proofErr w:type="spellStart"/>
            <w:r>
              <w:rPr>
                <w:rFonts w:ascii="Times New Roman" w:hAnsi="Times New Roman"/>
                <w:color w:val="000000" w:themeColor="text1"/>
                <w:sz w:val="24"/>
              </w:rPr>
              <w:t>G-SII'er</w:t>
            </w:r>
            <w:proofErr w:type="spellEnd"/>
            <w:r>
              <w:rPr>
                <w:rFonts w:ascii="Times New Roman" w:hAnsi="Times New Roman"/>
                <w:color w:val="000000" w:themeColor="text1"/>
                <w:sz w:val="24"/>
              </w:rPr>
              <w:t>, som svarer til direkte, indirekte og syntetiske besiddelser af kapitalgrundlagsinstrumenter eller nedskrivningsrelevante passivinstrumenter i et eller flere datterselskaber, som ikke indgår i den samme afviklingskoncern som afviklingsenheden, i overensstemmelse med artikel 72e, stk. 4, i forordning (EU) nr.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(Fradrag af investeringer i andre nedskrivningsrelevante passivinstrumenter)</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Negativt beløb</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Fradrag af investeringer i andre nedskrivningsrelevante passivinstrumenter i overensstemmelse med artikel 72e, stk. 1, 2 og 3, artikel 72f til 72j i forordning (EU) nr. 575/2013. Beløb, der skal fratrækkes </w:t>
            </w:r>
            <w:r>
              <w:rPr>
                <w:rFonts w:ascii="Times New Roman" w:hAnsi="Times New Roman"/>
                <w:color w:val="000000" w:themeColor="text1"/>
                <w:sz w:val="24"/>
              </w:rPr>
              <w:lastRenderedPageBreak/>
              <w:t>nedskrivningsrelevante passiver i overensstemmelse med anden del, afsnit I, kapitel 5a, afdeling 2, i forordning (EU) nr.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og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Denne række skal også indeholde beløb, der er omfattet af en tilladelse til at opkræve, indfri, tilbagebetale eller genkøbe nedskrivningsrelevante passivinstrumenter i overensstemmelse med artikel 78a i forordning (EU) nr. 575/2013, for så vidt som den indberettende enhed endnu ikke har opbrugt dette beløb til at opkræve, indfri, tilbagebetale eller genkøbe instrumenter.</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passivposter efter justeringer</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Kapitalgrundlag og nedskrivningsrelevante passiver som defineret i artikel 72l i forordning (EU) nr. 575/2013. Skal beregnes som summen af række 18, række 19 og række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MREL, indberettes som summen af følgende:</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kapitalgrundlag, jf. artikel 4, stk. 1, nr. 118), og artikel 72 i forordning (EU) nr. 575/2013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jf. artikel 2, stk. 1, nr. 71a, i direktiv 2014/59/EU.</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TLAC, er det beløb, der er omhandlet i artikel 72l i forordning (EU) nr. 575/2013, og som består af følgende:</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kapitalgrundlag, jf. artikel 4, stk. 1, nr. 118), og artikel 72 i forordning (EU) nr.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nedskrivningsrelevante passiver, jf. artikel 72k i forordning (EU) nr.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Heraf kapitalgrundlag og efterstillede passiver</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Kapitalgrundlag og nedskrivningsrelevante passiver, </w:t>
            </w:r>
            <w:r>
              <w:rPr>
                <w:rStyle w:val="InstructionsTabelleberschrift"/>
                <w:rFonts w:ascii="Times New Roman" w:hAnsi="Times New Roman"/>
                <w:b w:val="0"/>
                <w:sz w:val="24"/>
                <w:u w:val="none"/>
              </w:rPr>
              <w:t>der indgår i det</w:t>
            </w:r>
            <w:r>
              <w:rPr>
                <w:rStyle w:val="FormatvorlageInstructionsTabelleText"/>
                <w:rFonts w:ascii="Times New Roman" w:hAnsi="Times New Roman"/>
                <w:sz w:val="24"/>
              </w:rPr>
              <w:t xml:space="preserve"> beløb, der udgøres af kapitalgrundlag og nedskrivningsrelevante passiver i henhold til artikel 45b i direktiv 2014/59/EU, og som er efterstillede nedskrivningsrelevante passiver, jf. nævnte direktivs artikel 2, stk. 1, nr. 71b, og passiver, som indgår i det beløb, der udgøres af kapitalgrundlag og </w:t>
            </w:r>
            <w:r>
              <w:rPr>
                <w:rStyle w:val="FormatvorlageInstructionsTabelleText"/>
                <w:rFonts w:ascii="Times New Roman" w:hAnsi="Times New Roman"/>
                <w:sz w:val="24"/>
              </w:rPr>
              <w:lastRenderedPageBreak/>
              <w:t>nedskrivningsrelevante passiver i overensstemmelse med artikel 45b, stk. 3, i direktiv 2014/59/EU.</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Samlet risikoeksponering (SRE)</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Afviklingskoncernens samlede risikoeksponering, jf. artikel 18, stk. 1, andet afsnit, i forordning (EU) nr.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Den samlede risikoeksponering, der indberettes i denne række, er den samlede risikoeksponering, som udgør grundlaget for overholdelse af kravene i artikel 45 i direktiv 2014/59/EU eller artikel 92a i forordning (EU) nr. 575/2013, alt efter hvad der er relevant.</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Samlet eksponeringsmål (SEM)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I henhold til artikel 45, stk. 2, litra b), i direktiv 2014/59/EU beregnes det samlede eksponeringsmål i overensstemmelse med artikel 429, stk. 4, og artikel 429a i forordning (EU) nr.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Det samlede eksponeringsmål, der indberettes i denne række, er det samlede eksponeringsmål, som udgør grundlaget for overholdelse af kravene i artikel 45 i direktiv 2014/59/EU eller artikel 92a i forordning (EU) nr. 575/2013, alt efter hvad der er relevant.</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passiver som en procentdel af SRE</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Med henblik på denne række — i overensstemmelse med artikel 45, stk. 2, litra a), i direktiv 2014/59/EU og artikel 92a i forordning (EU) nr. 575/2013</w:t>
            </w:r>
            <w:r>
              <w:rPr>
                <w:rFonts w:ascii="Times New Roman" w:hAnsi="Times New Roman"/>
                <w:i/>
                <w:color w:val="000000" w:themeColor="text1"/>
                <w:sz w:val="24"/>
              </w:rPr>
              <w:t xml:space="preserve"> — </w:t>
            </w:r>
            <w:r>
              <w:rPr>
                <w:rFonts w:ascii="Times New Roman" w:hAnsi="Times New Roman"/>
                <w:color w:val="000000" w:themeColor="text1"/>
                <w:sz w:val="24"/>
              </w:rPr>
              <w:t>det beløb, der udgøres af kapitalgrundlag og nedskrivningsrelevante passiver og medregnes i MREL eller TLAC, og som, alt efter hvad der er relevant, udtrykkes som en procentdel af den samlede risikoeksponering, der er beregnet i overensstemmelse med artikel 92, stk. 3, i forordning (EU) nr. 575/2013.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Skal beregnes som summen af række 22 divideret med række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 xml:space="preserve">Heraf kapitalgrundlag og efterstillede </w:t>
            </w:r>
            <w:r>
              <w:rPr>
                <w:rFonts w:ascii="Times New Roman" w:hAnsi="Times New Roman"/>
                <w:b/>
                <w:color w:val="000000" w:themeColor="text1"/>
                <w:sz w:val="24"/>
              </w:rPr>
              <w:t>passiver</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Med henblik på denne række udtrykkes det beløb, der udgøres af kapitalgrundlag og efterstillede nedskrivningsrelevante passiver og medregnes i MREL, som en procentdel af den samlede risikoeksponering, der er beregnet i overensstemmelse med artikel 92, stk. 3, i forordning (EU) nr. 575/2013.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Skal beregnes som summen af række 22a divideret med række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passiver som en procentdel af SEM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Med henblik på denne række — i overensstemmelse med artikel 45, stk. 2, litra b), i direktiv 2014/59/EU og artikel 92a i forordning (EU) nr. 575/2013 — det beløb, der udgøres af kapitalgrundlag og nedskrivningsrelevante passiver og medregnes i MREL eller TLAC, og som, alt efter, hvad der er relevant, udtrykkes som en procentdel af det samlede eksponeringsmål, der er beregnet i overensstemmelse med artikel 429, stk. 4, og artikel 429a i forordning (EU) nr.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Skal beregnes som summen af række 22 divideret med række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 xml:space="preserve">Heraf kapitalgrundlag og efterstillede </w:t>
            </w:r>
            <w:r>
              <w:rPr>
                <w:rFonts w:ascii="Times New Roman" w:hAnsi="Times New Roman"/>
                <w:b/>
                <w:color w:val="000000" w:themeColor="text1"/>
                <w:sz w:val="24"/>
              </w:rPr>
              <w:t>passiver</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Med henblik på denne række udtrykkes det beløb, der udgøres af kapitalgrundlag og efterstillede nedskrivningsrelevante passiver og medregnes i MREL, som en procentdel af det samlede eksponeringsmål, der er beregnet i overensstemmelse med artikel 429, stk. 4, og artikel 429a i forordning (EU) nr. 575/2013.</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Skal beregnes som summen af række 22a divideret med række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Egentlig kernekapital (som en procentdel af SRE), der står til rådighed efter opfyldelse af afviklingskoncernens krav</w:t>
            </w:r>
          </w:p>
          <w:p w14:paraId="0227909F" w14:textId="1CB6809D" w:rsidR="00A47BCD" w:rsidRPr="0008623B" w:rsidRDefault="00A47BCD" w:rsidP="00B62DC9">
            <w:pPr>
              <w:pStyle w:val="InstructionsText"/>
              <w:rPr>
                <w:rFonts w:eastAsiaTheme="minorEastAsia"/>
              </w:rPr>
            </w:pPr>
            <w:r>
              <w:t>Det beløb, der udgøres af egentlig kernekapital, udtrykt som en procentdel af den samlede risikoeksponering, og som er lig med nul eller positivt, efter opfyldelse af hvert af de krav, der er omhandlet i artikel 141a, stk. 1, litra a), b) og c), i direktiv 2013/36/EU, og det højeste af:</w:t>
            </w:r>
          </w:p>
          <w:p w14:paraId="42E3D4EA" w14:textId="2070C8C0" w:rsidR="00A47BCD" w:rsidRPr="0008623B" w:rsidRDefault="00A47BCD" w:rsidP="00B62DC9">
            <w:pPr>
              <w:pStyle w:val="InstructionsText"/>
              <w:rPr>
                <w:rFonts w:eastAsiaTheme="minorEastAsia"/>
              </w:rPr>
            </w:pPr>
            <w:r>
              <w:t xml:space="preserve">a) kravet til kapitalgrundlag og nedskrivningsrelevante passiver for G-SII'er, jf. artikel 92a i forordning (EU) nr. 575/2013, når det er relevant, og når det beregnes i overensstemmelse med nævnte artikels stk. 1, litra a), og </w:t>
            </w:r>
          </w:p>
          <w:p w14:paraId="396BF4D8" w14:textId="21D22CB1" w:rsidR="00A47BCD" w:rsidRPr="0008623B" w:rsidRDefault="00A47BCD" w:rsidP="00B62DC9">
            <w:pPr>
              <w:pStyle w:val="InstructionsText"/>
              <w:rPr>
                <w:rFonts w:eastAsiaTheme="minorEastAsia"/>
              </w:rPr>
            </w:pPr>
            <w:r>
              <w:t>b) minimumskravet til kapitalgrundlag og nedskrivningsrelevante passiver i henhold til artikel 45 i direktiv 2014/59/EU, når det beregnes i overensstemmelse med nævnte artikels stk. 2, litra a).</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Det indberettede tal skal være identisk i kolonnerne for både MREL og TLAC.</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Det skal tage højde for virkningerne af midlertidige bestemmelser for kapitalgrundlag og nedskrivningsrelevante passiver, den samlede risikoeksponering og selve kravene. Hverken vejledningen om supplerende kapitalgrundlag, jf. artikel 104b i direktiv 2013/36/EU, eller det kombinerede bufferkrav i nævnte direktivs artikel 128, første afsnit, nr. 6), tages i betragtning.</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Institutspecifikt kombineret bufferkrav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Institutspecifikt kombineret bufferkrav, jf. artikel 128, første afsnit, nr. 6), i direktiv 2013/36/EU, udtrykt som en procentdel af den samlede </w:t>
            </w:r>
            <w:r>
              <w:rPr>
                <w:rFonts w:ascii="Times New Roman" w:hAnsi="Times New Roman"/>
                <w:color w:val="000000" w:themeColor="text1"/>
                <w:sz w:val="24"/>
              </w:rPr>
              <w:lastRenderedPageBreak/>
              <w:t>risikoeksponering, som finder anvendelse på afviklingskoncernen i overensstemmelse med nævnte artikels første afsnit, nr. 6).</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Institutspecifikt kombineret bufferkrav — heraf kapitalbevaringsbufferkrav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Det beløb, der udgøres af den institutspecifikke kombinerede buffer (udtrykt som en procentdel af den samlede risikoeksponering), og som vedrører kapitalbevaringsbufferkravet.</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Institutspecifikt kombineret bufferkrav — heraf kontracyklisk bufferkrav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Det beløb, der udgøres af den institutspecifikke kombinerede buffer (udtrykt som en procentdel af den samlede risikoeksponering), og som vedrører det kontracykliske bufferkrav.</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Institutspecifikt kombineret bufferkrav — heraf systemisk risikobufferkrav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Det beløb, der udgøres af den institutspecifikke kombinerede buffer (udtrykt som en procentdel af den samlede risikoeksponering), og som vedrører det systemiske risikobufferkrav.</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Institutspecifikt kombineret bufferkrav — heraf buffer for globale systemisk vigtige institutter (G-SII-buffer) eller buffer for andre systemisk vigtige institutter (O-SII-buffer)</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Det beløb, der udgøres af den institutspecifikke kombinerede buffer (udtrykt som en procentdel af den samlede risikoeksponering), og som vedrører kravet om G-SII-buffer eller O-SII-buffer.</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Det samlede beløb, der udgøres af udelukkede passiver, jf. artikel 72a, stk. 2, i forordning (EU) nr.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 xml:space="preserve">EU </w:t>
      </w:r>
      <w:proofErr w:type="spellStart"/>
      <w:r>
        <w:rPr>
          <w:rFonts w:ascii="Times New Roman" w:hAnsi="Times New Roman"/>
          <w:color w:val="auto"/>
          <w:sz w:val="24"/>
        </w:rPr>
        <w:t>iLAC</w:t>
      </w:r>
      <w:proofErr w:type="spellEnd"/>
      <w:r>
        <w:rPr>
          <w:rFonts w:ascii="Times New Roman" w:hAnsi="Times New Roman"/>
          <w:color w:val="auto"/>
          <w:sz w:val="24"/>
        </w:rPr>
        <w:t xml:space="preserve">: Intern tabsabsorberingskapacitet: internt MREL og i givet fald kravet om kapitalgrundlag og nedskrivningsrelevante passiver for </w:t>
      </w:r>
      <w:proofErr w:type="spellStart"/>
      <w:r>
        <w:rPr>
          <w:rFonts w:ascii="Times New Roman" w:hAnsi="Times New Roman"/>
          <w:color w:val="auto"/>
          <w:sz w:val="24"/>
        </w:rPr>
        <w:t>tredjelands-G-SII'er</w:t>
      </w:r>
      <w:proofErr w:type="spellEnd"/>
      <w:r>
        <w:rPr>
          <w:rFonts w:ascii="Times New Roman" w:hAnsi="Times New Roman"/>
          <w:color w:val="auto"/>
          <w:sz w:val="24"/>
        </w:rPr>
        <w:t xml:space="preserve"> (internt TLAC)</w:t>
      </w:r>
      <w:bookmarkStart w:id="208" w:name="_Toc14770785"/>
      <w:bookmarkEnd w:id="206"/>
      <w:bookmarkEnd w:id="208"/>
      <w:r>
        <w:rPr>
          <w:rFonts w:ascii="Times New Roman" w:hAnsi="Times New Roman"/>
          <w:color w:val="auto"/>
          <w:sz w:val="24"/>
        </w:rPr>
        <w:t xml:space="preserve"> (internt TLAC)</w:t>
      </w:r>
      <w:bookmarkEnd w:id="207"/>
    </w:p>
    <w:p w14:paraId="4B755467" w14:textId="5E1539C5" w:rsidR="00413CCD" w:rsidRPr="0008623B" w:rsidRDefault="00413CCD" w:rsidP="00B62DC9">
      <w:pPr>
        <w:pStyle w:val="InstructionsText2"/>
        <w:numPr>
          <w:ilvl w:val="0"/>
          <w:numId w:val="12"/>
        </w:numPr>
      </w:pPr>
      <w:r>
        <w:t>I dette skema indberettes kapitalgrundlag og nedskrivningsrelevante passiver for enheder, der ikke selv er afviklingsenheder med henblik på kravet til kapitalgrundlag og nedskrivningsrelevante passiver som fastsat i artikel 45f i direktiv 2014/59/EU (internt MREL), samt kravet til kapitalgrundlag og nedskrivningsrelevante passiver for tredjelands-G-SII'er, som finder anvendelse på væsentlige datterselskaber af tredjelands-G-SII'er, jf. artikel 92b i forordning (EU) nr. 575/2013 (internt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Kolonner</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Henvisninger til retsakter og instrukser</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lastRenderedPageBreak/>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Enhederne skal i denne kolonne indberette relevante oplysninger om det interne MREL i overensstemmelse med artikel 45 og 45f i direktiv 2014/59/EU.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Enheder, der er væsentlige datterselskaber af </w:t>
            </w:r>
            <w:proofErr w:type="spellStart"/>
            <w:r>
              <w:rPr>
                <w:rFonts w:ascii="Times New Roman" w:hAnsi="Times New Roman"/>
                <w:color w:val="000000" w:themeColor="text1"/>
                <w:sz w:val="24"/>
              </w:rPr>
              <w:t>tredjelands-G-SII'er</w:t>
            </w:r>
            <w:proofErr w:type="spellEnd"/>
            <w:r>
              <w:rPr>
                <w:rFonts w:ascii="Times New Roman" w:hAnsi="Times New Roman"/>
                <w:color w:val="000000" w:themeColor="text1"/>
                <w:sz w:val="24"/>
              </w:rPr>
              <w:t xml:space="preserve"> i henhold til artikel 92b i forordning (EU) nr. 575/2013, skal i denne kolonne indberette de relevante oplysninger om det interne TLAC i overensstemmelse med artikel 92b i forordning (EU) nr.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Kvalitative oplysninger</w:t>
            </w:r>
            <w:r>
              <w:rPr>
                <w:sz w:val="24"/>
              </w:rPr>
              <w:t xml:space="preserve"> </w:t>
            </w:r>
            <w:r>
              <w:rPr>
                <w:rFonts w:ascii="Times New Roman" w:hAnsi="Times New Roman"/>
                <w:color w:val="000000" w:themeColor="text1"/>
                <w:sz w:val="24"/>
              </w:rPr>
              <w:t>vedrørende det gældende krav og anvendelsesomfanget.</w:t>
            </w:r>
          </w:p>
        </w:tc>
      </w:tr>
    </w:tbl>
    <w:p w14:paraId="11222185" w14:textId="77777777" w:rsidR="00FF6326" w:rsidRPr="00710028"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710028"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Række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Henvisninger til retsakter og instrukser</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Er enheden underlagt kravet til kapitalgrundlag og nedskrivningsrelevante passiver for </w:t>
            </w:r>
            <w:proofErr w:type="spellStart"/>
            <w:r>
              <w:rPr>
                <w:rFonts w:ascii="Times New Roman" w:hAnsi="Times New Roman"/>
                <w:b/>
                <w:color w:val="000000" w:themeColor="text1"/>
                <w:sz w:val="24"/>
              </w:rPr>
              <w:t>tredjelands-G-SII'er</w:t>
            </w:r>
            <w:proofErr w:type="spellEnd"/>
            <w:r>
              <w:rPr>
                <w:rFonts w:ascii="Times New Roman" w:hAnsi="Times New Roman"/>
                <w:b/>
                <w:color w:val="000000" w:themeColor="text1"/>
                <w:sz w:val="24"/>
              </w:rPr>
              <w:t>? (Ja/Nej)</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Hvorvidt enheden er underlagt et internt TLAC-krav i henhold til artikel 92b i forordning (EU) nr.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Hvis EU-1 besvares med "Ja", finder kravet da anvendelse på konsolideret eller individuelt grundlag? (K/I)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Hvorvidt enheden er underlagt det interne TLAC-krav på konsolideret eller individuelt grundlag henhold til artikel 18 i forordning (EU) nr. 575/2013.</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Hvis kravet finder anvendelse på konsolideret grundlag, skal hele dette skema udfyldes på konsolideret grundlag. I alle andre tilfælde skal dette skema udfyldes på individuelt grundlag.</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Er enheden underlagt et internt MREL? (Ja/Nej)</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Hvorvidt enheden er underlagt et MREL i henhold til artikel 45 og 45f i direktiv 2014/59/EU.</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Hvis EU-2a besvares med "Ja", finder kravet da anvendelse på konsolideret eller individuelt grundlag? (K/I)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Hvorvidt enheden er underlagt et internt MREL på konsolideret eller individuelt grundlag.</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Hvis kravet finder anvendelse på konsolideret grundlag, skal hele dette skema udfyldes på konsolideret grundlag. I alle andre tilfælde skal dette skema udfyldes på individuelt grundlag.</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Egentlig kernekapital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Artikel 50 i forordning (EU) nr.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Egentlig kernekapital på individuelt eller konsolideret grundlag, når det er relevant, i overensstemmelse med artikel 50 i forordning (EU) nr.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lastRenderedPageBreak/>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Nedskrivningsegnet hybrid kernekapital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Artikel 61 i forordning (EU) nr.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Nedskrivningsegnede hybride kernekapitalinstrumenter</w:t>
            </w:r>
            <w:r>
              <w:rPr>
                <w:rStyle w:val="FormatvorlageInstructionsTabelleText"/>
                <w:rFonts w:ascii="Times New Roman" w:hAnsi="Times New Roman"/>
                <w:sz w:val="24"/>
              </w:rPr>
              <w:t xml:space="preserve"> må kun tages i betragtning, når de opfylder kriterierne</w:t>
            </w:r>
            <w:r>
              <w:rPr>
                <w:rFonts w:ascii="Times New Roman" w:hAnsi="Times New Roman"/>
                <w:color w:val="000000" w:themeColor="text1"/>
                <w:sz w:val="24"/>
              </w:rPr>
              <w:t xml:space="preserve"> i artikel 92b i forordning (EU) nr. 575/2013 og i artikel 45f, stk. 2, litra b), nr. ii), i direktiv 2014/59/EU.</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 forbindelse med det interne MREL skal instrumenter som omhandlet i artikel 89, stk. 2, fjerde afsnit, i direktiv 2014/59/EU medtages, når nævnte artikel finder anvendelse. Instrumenter, der er underlagt et tredjelands lovgivning, må kun medtages i denne række, hvis de opfylder kravene i artikel 55 i direktiv 2014/59/EU.</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Nedskrivningsegnet supplerende kapital</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Artikel 71 i forordning (EU) nr.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Supplerende kapitalinstrumenter</w:t>
            </w:r>
            <w:r>
              <w:rPr>
                <w:rStyle w:val="FormatvorlageInstructionsTabelleText"/>
                <w:rFonts w:ascii="Times New Roman" w:hAnsi="Times New Roman"/>
                <w:sz w:val="24"/>
              </w:rPr>
              <w:t xml:space="preserve"> må kun tages i betragtning, når de opfylder kriterierne</w:t>
            </w:r>
            <w:r>
              <w:rPr>
                <w:rFonts w:ascii="Times New Roman" w:hAnsi="Times New Roman"/>
                <w:color w:val="000000" w:themeColor="text1"/>
                <w:sz w:val="24"/>
              </w:rPr>
              <w:t xml:space="preserve"> i artikel 92b i forordning (EU) nr. 575/2013 og i artikel 45f, stk. 2, litra b), nr. ii), i direktiv 2014/59/EU.</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 forbindelse med det interne MREL skal instrumenter som omhandlet i artikel 89, stk. 2, fjerde afsnit, i direktiv 2014/59/EU medtages, når nævnte artikel finder anvendelse. Instrumenter, der er underlagt et tredjelands lovgivning, må kun medtages i denne række, hvis de opfylder kravene i artikel 55 i direktiv 2014/59/EU.</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Nedskrivningsegnet kapitalgrundlag</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Summen af egentlig kernekapital, nedskrivningsegnet hybrid kernekapital og nedskrivningsegnet supplerende kapital.</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Nedskrivningsrelevante passiver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Internt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Nedskrivningsrelevante passiver, som opfylder betingelserne i artikel 45f, stk. 2, litra a), i direktiv 2014/59/EU</w:t>
            </w:r>
            <w:r>
              <w:rPr>
                <w:rFonts w:ascii="Times New Roman" w:hAnsi="Times New Roman"/>
                <w:b/>
                <w:sz w:val="24"/>
              </w:rPr>
              <w:t>,</w:t>
            </w:r>
            <w:r>
              <w:rPr>
                <w:rStyle w:val="InstructionsTabelleberschrift"/>
                <w:rFonts w:ascii="Times New Roman" w:hAnsi="Times New Roman"/>
                <w:b w:val="0"/>
                <w:sz w:val="24"/>
                <w:u w:val="none"/>
              </w:rPr>
              <w:t xml:space="preserve"> idet der i givet fald tages hensyn </w:t>
            </w:r>
            <w:proofErr w:type="gramStart"/>
            <w:r>
              <w:rPr>
                <w:rStyle w:val="InstructionsTabelleberschrift"/>
                <w:rFonts w:ascii="Times New Roman" w:hAnsi="Times New Roman"/>
                <w:b w:val="0"/>
                <w:sz w:val="24"/>
                <w:u w:val="none"/>
              </w:rPr>
              <w:t xml:space="preserve">til </w:t>
            </w:r>
            <w:r>
              <w:rPr>
                <w:rStyle w:val="FormatvorlageInstructionsTabelleText"/>
                <w:rFonts w:ascii="Times New Roman" w:hAnsi="Times New Roman"/>
                <w:sz w:val="24"/>
              </w:rPr>
              <w:t>,</w:t>
            </w:r>
            <w:proofErr w:type="gramEnd"/>
            <w:r>
              <w:rPr>
                <w:rStyle w:val="FormatvorlageInstructionsTabelleText"/>
              </w:rPr>
              <w:t xml:space="preserve"> </w:t>
            </w:r>
            <w:r>
              <w:rPr>
                <w:rStyle w:val="FormatvorlageInstructionsTabelleText"/>
                <w:rFonts w:ascii="Times New Roman" w:hAnsi="Times New Roman"/>
                <w:sz w:val="24"/>
              </w:rPr>
              <w:t>nævnte direktivs</w:t>
            </w:r>
            <w:r>
              <w:rPr>
                <w:rStyle w:val="InstructionsTabelleberschrift"/>
                <w:rFonts w:ascii="Times New Roman" w:hAnsi="Times New Roman"/>
                <w:b w:val="0"/>
                <w:sz w:val="24"/>
                <w:u w:val="none"/>
              </w:rPr>
              <w:t xml:space="preserve"> artikel 89, stk. 2, fjerde</w:t>
            </w:r>
            <w:r>
              <w:rPr>
                <w:rFonts w:ascii="Times New Roman" w:hAnsi="Times New Roman"/>
                <w:color w:val="000000" w:themeColor="text1"/>
                <w:sz w:val="24"/>
              </w:rPr>
              <w:t>.</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I forbindelse med instrumenter, der er underlagt et tredjelands lovgivning, skal det pågældende instrument kun medtages i denne række, hvis det opfylder kravene i artikel 55 i direktiv 2014/59/EU.</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 xml:space="preserve">Når afviklingsmyndigheden for datterselskabet giver enheden tilladelse til at opfylde det interne MREL, skal det beløb, der udgøres af garantier stillet af </w:t>
            </w:r>
            <w:r>
              <w:rPr>
                <w:rStyle w:val="FormatvorlageInstructionsTabelleText"/>
                <w:rFonts w:ascii="Times New Roman" w:hAnsi="Times New Roman"/>
                <w:sz w:val="24"/>
              </w:rPr>
              <w:lastRenderedPageBreak/>
              <w:t>afviklingsenheden, som opfylder alle betingelserne i artikel 45f, stk. 5, i direktiv 2014/59/EU, ligeledes indberettes i denne række.</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Det beløb, der udgøres af nedskrivningsrelevante passiver, skal beregnes i overensstemmelse med artikel 72k i forordning (EU) nr. 575/2013, hvis de pågældende passiver opfylder betingelserne i nævnte forordnings artikel 92b, stk. 2.</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Nedskrivningsrelevante passiver — heraf tilladte garantier</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Når afviklingsmyndigheden for datterselskabet giver enheden tilladelse til at opfylde det interne MREL med garantier, det beløb, der udgøres af garantier stillet af afviklingsenheden, som opfylder alle betingelserne i artikel 45f, stk. 5, i direktiv 2014/59/EU.</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(Justeringer)</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Negativt beløb</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Følgende justeringer skal indberettes i denne række:</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besiddelser af kapitalgrundlagsinstrumenter og nedskrivningsrelevante passivinstrumenter, som skal fratrækkes i overensstemmelse med artikel 72e, stk. 5, i forordning (EU) nr. 575/2013, og artikel 45c, stk. 2a, femte afsnit, i direktiv 2014/59/EU</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beløb, der er omfattet af en tilladelse til at opkræve, indfri, tilbagebetale eller genkøbe nedskrivningsrelevante passivinstrumenter i overensstemmelse med artikel 78a i forordning (EU) nr. 575/2013, for så vidt som den indberettende enhed endnu ikke har opbrugt dette beløb til at opkræve, indfri, tilbagebetale eller genkøbe instrumenter.</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Kapitalgrundlag og nedskrivningsrelevante passivposter efter justeringer</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Internt MREL</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Beløb, der udgøres af enhedens nedskrivningsegnede kapitalgrundlag og nedskrivningsrelevante passiver, efter indregning af justeringer, som medregnes i det interne MREL som fastsat i artikel 45f, stk. 2, i direktiv 2014/59/EU,</w:t>
            </w:r>
            <w:r>
              <w:rPr>
                <w:rStyle w:val="InstructionsTabelleberschrift"/>
                <w:rFonts w:ascii="Times New Roman" w:hAnsi="Times New Roman"/>
                <w:b w:val="0"/>
                <w:sz w:val="24"/>
                <w:u w:val="none"/>
              </w:rPr>
              <w:t xml:space="preserve"> idet der i givet fald tages hensyn til nævnte direktivs artikel 89, stk. 2,</w:t>
            </w:r>
            <w:r>
              <w:rPr>
                <w:rFonts w:ascii="Times New Roman" w:hAnsi="Times New Roman"/>
                <w:sz w:val="24"/>
              </w:rPr>
              <w:t xml:space="preserve"> fjerde afsnit.</w:t>
            </w:r>
            <w:r>
              <w:rPr>
                <w:rStyle w:val="InstructionsTabelleberschrift"/>
                <w:rFonts w:ascii="Times New Roman" w:hAnsi="Times New Roman"/>
                <w:b w:val="0"/>
                <w:sz w:val="24"/>
                <w:u w:val="none"/>
              </w:rPr>
              <w:t xml:space="preserve"> I forbindelse med instrumenter, der er underlagt et tredjelands lovgivning, skal det pågældende instrument kun medtages i denne række, hvis det opfylder kravene i artikel 55 i direktiv 2014/59/EU.</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Skal beregnes som summen af række EU-6, række EU-7 og række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Internt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 xml:space="preserve">Nedskrivningsegnet kapitalgrundlag og nedskrivningsrelevante passiver, som medregnes i kravet til kapitalgrundlag og nedskrivningsrelevante passiver for </w:t>
            </w:r>
            <w:proofErr w:type="spellStart"/>
            <w:r>
              <w:rPr>
                <w:rStyle w:val="FormatvorlageInstructionsTabelleText"/>
                <w:rFonts w:ascii="Times New Roman" w:hAnsi="Times New Roman"/>
                <w:sz w:val="24"/>
              </w:rPr>
              <w:t>tredjelands-G-SII'er</w:t>
            </w:r>
            <w:proofErr w:type="spellEnd"/>
            <w:r>
              <w:rPr>
                <w:rStyle w:val="FormatvorlageInstructionsTabelleText"/>
                <w:rFonts w:ascii="Times New Roman" w:hAnsi="Times New Roman"/>
                <w:sz w:val="24"/>
              </w:rPr>
              <w:t>, jf. artikel 92a i forordning (EU) nr. 575/2013</w:t>
            </w:r>
            <w:r>
              <w:rPr>
                <w:rFonts w:ascii="Times New Roman" w:hAnsi="Times New Roman"/>
                <w:color w:val="000000" w:themeColor="text1"/>
                <w:sz w:val="24"/>
              </w:rPr>
              <w:t>. Skal beregnes som summen af række EU-6 og række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Samlet risikoeksponering (SRE)</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Den individuelle enheds eller den konsoliderede koncerns samlede risikoeksponering på det niveau, for hvilket kravene er fastsat, alt efter hvad der er relevant, i overensstemmelse med artikel 18, stk. 1, andet afsnit, i forordning (EU) nr.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Den samlede risikoeksponering, der indberettes i denne række, er den samlede risikoeksponering, som udgør grundlaget for overholdelse af kravene i artikel 45 i direktiv 2014/59/EU eller artikel 92b i forordning (EU) nr. 575/2013, alt efter hvad der er relevant.</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Samlet eksponeringsmål (SEM)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Den individuelle enheds eller den konsoliderede koncerns samlede eksponeringsmål (nævner for gearingsgraden) på det niveau, for hvilket kravene er fastsat, alt efter hvad der er relevant, i overensstemmelse med artikel 429, stk. 4, og artikel 429a i forordning (EU) nr.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Det samlede eksponeringsmål, der indberettes i denne række, er det samlede eksponeringsmål, som udgør grundlaget for overholdelse af kravene i henholdsvis artikel 45 i direktiv 2014/59/EU eller artikel 92a i forordning (EU) nr. 575/2013, alt efter hvad der er relevant.</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Kapitalgrundlag og nedskrivningsrelevante passiver som en procentdel af SRE</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Forholdet mellem kapitalgrundlag og nedskrivningsrelevante passiver som en procentdel af den samlede risikoeksponering.</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Skal beregnes som summen af række EU-9b divideret med række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passiver som en procentdel af SRE — heraf tilladte garantier</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Hvis afviklingsmyndigheden for datterselskabet giver enheden tilladelse til at opfylde det interne MREL med garantier, det beløb, der udgøres af</w:t>
            </w:r>
            <w:r>
              <w:rPr>
                <w:rFonts w:ascii="Times New Roman" w:hAnsi="Times New Roman"/>
                <w:color w:val="000000" w:themeColor="text1"/>
                <w:sz w:val="24"/>
              </w:rPr>
              <w:t xml:space="preserve"> de garantier stillet af afviklingsenheden, som opfylder betingelserne i artikel 45f, stk. 5, i direktiv 2014/59/EU, som en procentdel af den samlede risikoeksponering.</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Skal beregnes som summen af række EU-8 divideret med række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passiver som en procentdel af SEM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lastRenderedPageBreak/>
              <w:t>Forholdet mellem kapitalgrundlag og nedskrivningsrelevante passiver som en procentdel af det samlede eksponeringsmål.</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Skal beregnes som summen af række EU-9b divideret med række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Kapitalgrundlag og nedskrivningsrelevante passiver som en procentdel af SEM — heraf tilladte garantier</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Hvis afviklingsmyndigheden for datterselskabet giver enheden tilladelse til at opfylde det interne MREL med garantier, det beløb, der udgøres af</w:t>
            </w:r>
            <w:r>
              <w:rPr>
                <w:rFonts w:ascii="Times New Roman" w:hAnsi="Times New Roman"/>
                <w:color w:val="000000" w:themeColor="text1"/>
                <w:sz w:val="24"/>
              </w:rPr>
              <w:t xml:space="preserve"> de garantier stillet af afviklingsenheden, som opfylder betingelserne i artikel 45f, stk. 5, i direktiv 2014/59/EU, som en procentdel af det samlede eksponeringsmål.</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Skal beregnes som summen af række EU-8 divideret med række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Egentlig kernekapital (som en procentdel af SRE), der står til rådighed efter opfyldelse af enhedens krav</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Det beløb, der udgøres af egentlig kernekapital, og som er lig med nul eller positivt, efter opfyldelse af hvert af de krav, der er omhandlet i artikel 141a, stk. 1, litra a), b) og c), i direktiv 2013/36/EU, og det højeste af:</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når det er relevant, kravet til kapitalgrundlag og nedskrivningsrelevante passiver for </w:t>
            </w:r>
            <w:proofErr w:type="spellStart"/>
            <w:r>
              <w:rPr>
                <w:rFonts w:ascii="Times New Roman" w:hAnsi="Times New Roman"/>
                <w:color w:val="000000" w:themeColor="text1"/>
                <w:sz w:val="24"/>
              </w:rPr>
              <w:t>tredjelands-G-SII'er</w:t>
            </w:r>
            <w:proofErr w:type="spellEnd"/>
            <w:r>
              <w:rPr>
                <w:rFonts w:ascii="Times New Roman" w:hAnsi="Times New Roman"/>
                <w:color w:val="000000" w:themeColor="text1"/>
                <w:sz w:val="24"/>
              </w:rPr>
              <w:t xml:space="preserve"> i henhold til artikel 92b i forordning (EU) nr. 575/2013, når det beregnes i overensstemmelse med artikel 92b, stk. 1, i forordning (EU) nr. 575/2013 som svarende til 90 % af kravet i nævnte forordnings artikel 92a, stk. 1, litra a), og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minimumskravet til kapitalgrundlag og nedskrivningsrelevante passiver i henhold til artikel 45f i direktiv 2014/59/EU, når det beregnes i overensstemmelse med nævnte direktivs artikel 45, stk. 2, litra a).</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Det indberettede tal skal være identisk i kolonnerne for både MREL og TLAC.</w:t>
            </w:r>
          </w:p>
          <w:p w14:paraId="6C9387A7" w14:textId="461089FB" w:rsidR="000C5255" w:rsidRPr="0008623B" w:rsidRDefault="00A47BCD" w:rsidP="00AA0676">
            <w:pPr>
              <w:rPr>
                <w:b/>
                <w:noProof/>
              </w:rPr>
            </w:pPr>
            <w:r>
              <w:rPr>
                <w:rFonts w:ascii="Times New Roman" w:hAnsi="Times New Roman"/>
                <w:color w:val="000000" w:themeColor="text1"/>
                <w:sz w:val="24"/>
              </w:rPr>
              <w:t>Det skal tage højde for virkningerne af midlertidige bestemmelser for kapitalgrundlag og nedskrivningsrelevante passiver, den samlede risikoeksponering og selve kravene. Hverken vejledningen om supplerende kapitalgrundlag, jf. artikel 104b i direktiv 2013/36/EU, eller det kombinerede bufferkrav i nævnte direktivs artikel 128, første afsnit, nr. 6), tages i betragtning.</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Institutspecifikt kombineret bufferkrav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Institutspecifikt kombineret bufferkrav, jf. artikel 128, første afsnit, nr. 6), i direktiv 2013/36/EU, udtrykt som en procentdel af den samlede risikoeksponering, som finder anvendelse på enheden i overensstemmelse med artikel 128, første afsnit, nr. 6), i direktiv 2013/36/EU.</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lastRenderedPageBreak/>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Krav udtrykt som en procentdel af SRE</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Internt 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Krav til kapitalgrundlag og nedskrivningsrelevante passiver, som finder anvendelse på enheden i overensstemmelse med artikel 45f i direktiv 2014/59/EU, udtrykt som en procentdel af den samlede risikoeksponering (på individuelt eller konsolideret grundlag, alt efter hvad der er relevant).</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Internt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Krav, der er fastsat i artikel 92b i forordning (EU) nr. 575/2013, udtrykt som en procentdel af den samlede risikoeksponering (på individuelt og konsolideret grundlag, alt efter hvad der er relevant).</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Krav udtrykt som en procentdel af SRE — heraf den del af kravet, der eventuelt kan opfyldes med en garanti</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Når det er relevant, den del af kravet til kapitalgrundlag og nedskrivningsrelevante passiver udtrykt som en procentdel af den samlede risikoeksponering, som kan opfyldes med en garanti, der er stillet af afviklingsenheden i overensstemmelse med artikel 45f, stk. 5, i direktiv 2014/59/EU.</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Krav udtrykt som en procentdel af SEM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Internt 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Krav til kapitalgrundlag og nedskrivningsrelevante passiver, som finder anvendelse på enheden i overensstemmelse med artikel 45f i direktiv 2014/59/EU, udtrykt som en procentdel af det samlede eksponeringsmål (på individuelt grundlag eller konsolideret grundlag for modervirksomheder i EU, alt efter hvad der er relevant).</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Internt TLAC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Krav, der er fastsat i artikel 92b i forordning (EU) nr. 575/2013, udtrykt som en procentdel af det samlede eksponeringsmål (på individuelt og konsolideret grundlag, alt efter hvad der er relevant).</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Krav udtrykt som en procentdel af SEM — heraf den del af kravet, der eventuelt kan opfyldes med en garanti</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Når det er relevant, den del af kravet til kapitalgrundlag og nedskrivningsrelevante passiver udtrykt som en procentdel af det samlede eksponeringsmål, som kan opfyldes med en garanti, der er stillet af afviklingsenheden i overensstemmelse med artikel 45f, stk. 5, i direktiv 2014/59/EU.</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lastRenderedPageBreak/>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Det samlede beløb, der udgøres af udelukkede passiver, jf. artikel 72a, stk. 2, i forordning (EU) nr.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Kreditorrækkefølge — Enheder, der ikke selv er</w:t>
      </w:r>
      <w:bookmarkEnd w:id="230"/>
      <w:r>
        <w:t xml:space="preserve"> </w:t>
      </w:r>
      <w:r>
        <w:rPr>
          <w:rFonts w:ascii="Times New Roman" w:hAnsi="Times New Roman"/>
          <w:color w:val="auto"/>
          <w:sz w:val="24"/>
        </w:rPr>
        <w:t>afviklingsenheder</w:t>
      </w:r>
      <w:bookmarkEnd w:id="231"/>
      <w:bookmarkEnd w:id="232"/>
    </w:p>
    <w:p w14:paraId="7A03C7D5" w14:textId="52B10ED1" w:rsidR="00EE122D" w:rsidRPr="0008623B" w:rsidRDefault="00EE122D" w:rsidP="00B62DC9">
      <w:pPr>
        <w:pStyle w:val="InstructionsText2"/>
        <w:numPr>
          <w:ilvl w:val="0"/>
          <w:numId w:val="12"/>
        </w:numPr>
      </w:pPr>
      <w:r>
        <w:t>De oplysninger, der indgår i skema EU TLAC2 indberettes for den individuelle enhed.</w:t>
      </w:r>
    </w:p>
    <w:p w14:paraId="37B5040A" w14:textId="241394B6" w:rsidR="00D76A01" w:rsidRPr="0008623B" w:rsidRDefault="00D76A01" w:rsidP="00B62DC9">
      <w:pPr>
        <w:pStyle w:val="InstructionsText2"/>
        <w:numPr>
          <w:ilvl w:val="0"/>
          <w:numId w:val="12"/>
        </w:numPr>
      </w:pPr>
      <w:r>
        <w:t>Skema EU TLAC2 findes i to udgaver, dvs. EU TLAC2a og EU TLAC2b. TLAC2a afspejler al finansiering, der er sidestillet eller efterstillet med MREL-relevante instrumenter, herunder kapitalgrundlag og andre kapitalinstrumenter. EU TLAC2b afspejler kun kapitalgrundlag og passiver med henblik på at opfylde kravet i artikel 45 i direktiv 2014/59/EU i overensstemmelse med nævnte direktivs artikel 45f.</w:t>
      </w:r>
    </w:p>
    <w:p w14:paraId="51E3EFB7" w14:textId="5F05BD0B" w:rsidR="00410769" w:rsidRPr="0008623B" w:rsidRDefault="00410769" w:rsidP="00B62DC9">
      <w:pPr>
        <w:pStyle w:val="InstructionsText2"/>
        <w:numPr>
          <w:ilvl w:val="0"/>
          <w:numId w:val="12"/>
        </w:numPr>
      </w:pPr>
      <w:r>
        <w:t>I overensstemmelse med nærværende forordnings artikel 13, stk. 2, kan enheder, der ikke er underlagt forpligtelsen til at leve op til kravet i artikel 92b i forordning (EU) nr. 575/2013, men som er underlagt forpligtelsen til at leve op til kravet i artikel 45 i direktiv 2014/59/EU i overensstemmelse med nævnte direktivs artikel 45f, vælge, hvorvidt de anvender EU TLAC2a eller EU TLAC2b med henblik på at opfylde indberetningskravet i artikel 45i, stk. 3, litra b), i direktiv 2014/59/EU.</w:t>
      </w:r>
    </w:p>
    <w:p w14:paraId="0E950EC5" w14:textId="2D041687" w:rsidR="00510C0E" w:rsidRPr="0008623B" w:rsidRDefault="0071460A" w:rsidP="00B62DC9">
      <w:pPr>
        <w:pStyle w:val="InstructionsText2"/>
        <w:numPr>
          <w:ilvl w:val="0"/>
          <w:numId w:val="12"/>
        </w:numPr>
      </w:pPr>
      <w:r>
        <w:t>Fra datoen for anvendelsen af artikel 45i, stk. 3, i direktiv 2014/59/EU skal udstedende enheder i skema TLAC2a indberette passiver, der potentielt er nedskrivningsrelevante med henblik på at leve op til det interne MREL-krav og det interne TLAC-krav. Før denne dato skal udstedende enheder indberette passiver, der potentielt er nedskrivningsrelevante med henblik på at leve op til det interne TLAC-krav.</w:t>
      </w:r>
    </w:p>
    <w:p w14:paraId="6CD2E5E7" w14:textId="10E10F4A" w:rsidR="00134FA4" w:rsidRPr="0008623B" w:rsidRDefault="00134FA4" w:rsidP="00B62DC9">
      <w:pPr>
        <w:pStyle w:val="InstructionsText2"/>
        <w:numPr>
          <w:ilvl w:val="0"/>
          <w:numId w:val="12"/>
        </w:numPr>
      </w:pPr>
      <w:r>
        <w:t>De udestående beløb, der er omhandlet i rækkerne, skal opdeles efter deres placeringer i prioritetsrækkefølgen ved insolvens på grundlag af den udstedende enheds insolvenslovgivning, uanset den lovgivning, som instrumentet er underlagt.</w:t>
      </w:r>
    </w:p>
    <w:p w14:paraId="0B0B9A5D" w14:textId="25143FFC" w:rsidR="00134FA4" w:rsidRPr="0008623B" w:rsidRDefault="00522875" w:rsidP="00B62DC9">
      <w:pPr>
        <w:pStyle w:val="InstructionsText2"/>
        <w:numPr>
          <w:ilvl w:val="0"/>
          <w:numId w:val="12"/>
        </w:numPr>
      </w:pPr>
      <w:r>
        <w:t>Prioritetsrækkefølgerne ved insolvens skal være de prioritetsrækkefølger, som den kompetente afviklingsmyndighed meddeler i overensstemmelse med den standardiserede fremlæggelse, der er præciseret i nærværende forordnings artikel 8.</w:t>
      </w:r>
    </w:p>
    <w:p w14:paraId="572D872C" w14:textId="35C5457F" w:rsidR="00134FA4" w:rsidRPr="0008623B" w:rsidRDefault="00134FA4" w:rsidP="00B62DC9">
      <w:pPr>
        <w:pStyle w:val="InstructionsText2"/>
        <w:numPr>
          <w:ilvl w:val="0"/>
          <w:numId w:val="12"/>
        </w:numPr>
      </w:pPr>
      <w:r>
        <w:t xml:space="preserve">Placeringerne fremlægges fra den mest efterstillede til den mest foranstillede. Der skal tilføjes kolonner til placeringerne indtil det mest foranstillede potentielt nedskrivningsrelevante instrument i prioritetsrækkefølgen er blevet indberettet. </w:t>
      </w:r>
    </w:p>
    <w:p w14:paraId="451EEEC0" w14:textId="6C07DCB8" w:rsidR="00134FA4" w:rsidRPr="0008623B" w:rsidRDefault="00134FA4" w:rsidP="00B62DC9">
      <w:pPr>
        <w:pStyle w:val="InstructionsText2"/>
        <w:numPr>
          <w:ilvl w:val="0"/>
          <w:numId w:val="12"/>
        </w:numPr>
      </w:pPr>
      <w:r>
        <w:t>Det beløb, der tilskrives hver placering, opdeles yderligere i beløb, som ejes af afviklingsenheden, herunder beløb, som direkte eller indirekte ejes af afviklingsenheden gennem enheder i hele ejerskabskæden, alt efter hvad der er relevant, og andre beløb, som ikke ejes af afviklingsenheden, alt efter hvad der er relevant. Det samlede beløb i hver række angives i den sidste kolonne af hver række.</w:t>
      </w:r>
    </w:p>
    <w:p w14:paraId="4EBA1B5C" w14:textId="77777777" w:rsidR="00134FA4" w:rsidRPr="00710028"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Rækker</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Henvisninger til retsakter og instrukser</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Tom gruppe i 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Beskrivelse af placering i prioritetsrækkefølgen ved insolvens (fritekst)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Antallet af placeringer i prioritetsrækkefølgen ved insolvens (n) i kreditorrækkefølgen afhænger af den udstedende enheds gruppe af passiver. Beskrivelsen bør indeholde en præcisering af de fordringstyper, der findes inden for den pågældende placering i prioritetsrækkefølgen ved insolvens (f.eks. egentlig kernekapital, supplerende kapitalinstrumenter). </w:t>
            </w:r>
          </w:p>
          <w:p w14:paraId="22A60804" w14:textId="5BBC2F70" w:rsidR="000C3B9F" w:rsidRPr="0008623B" w:rsidRDefault="000C3B9F" w:rsidP="00331959">
            <w:pPr>
              <w:pStyle w:val="Applicationdirecte"/>
              <w:spacing w:before="120"/>
              <w:rPr>
                <w:b/>
                <w:color w:val="000000" w:themeColor="text1"/>
                <w:szCs w:val="24"/>
              </w:rPr>
            </w:pPr>
            <w:r>
              <w:t>Der er én kolonne for hver placering i prioritetsrækkefølgen ved insolvens, hvis hele beløbet besiddes af afviklingsenheden, herunder beløb, som direkte eller indirekte ejes af afviklingsenheden gennem enheder i hele ejerskabskæden, alt efter hvad der er relevant</w:t>
            </w:r>
            <w:r>
              <w:rPr>
                <w:color w:val="000000" w:themeColor="text1"/>
              </w:rPr>
              <w:t xml:space="preserve">, og en anden kolonne, hvis en del af beløbet pr. placering i prioritetsrækkefølgen ved insolvens også besiddes af ejere, der ikke er afviklingsenheden selv.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Passiver og kapitalgrundlag</w:t>
            </w:r>
          </w:p>
          <w:p w14:paraId="4216384F" w14:textId="0D31DC4A" w:rsidR="000C3B9F" w:rsidRPr="0008623B" w:rsidRDefault="00BB21F0" w:rsidP="00AA4A01">
            <w:pPr>
              <w:pStyle w:val="Applicationdirecte"/>
              <w:spacing w:before="120"/>
              <w:rPr>
                <w:color w:val="000000" w:themeColor="text1"/>
              </w:rPr>
            </w:pPr>
            <w:r>
              <w:rPr>
                <w:color w:val="000000" w:themeColor="text1"/>
              </w:rPr>
              <w:t>Det beløb, der udgøres af kapitalgrundlag og passiver, der er efterstillet eller sidestillet med kapitalgrundlag eller nedskrivningsrelevante passiver.</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Dette skal også omfatte passiver, der er udelukket fra </w:t>
            </w:r>
            <w:proofErr w:type="spellStart"/>
            <w:r>
              <w:rPr>
                <w:color w:val="000000" w:themeColor="text1"/>
              </w:rPr>
              <w:t>bail</w:t>
            </w:r>
            <w:proofErr w:type="spellEnd"/>
            <w:r>
              <w:rPr>
                <w:color w:val="000000" w:themeColor="text1"/>
              </w:rPr>
              <w:t>-in.</w:t>
            </w:r>
          </w:p>
          <w:p w14:paraId="5A7B82DD" w14:textId="368405A5" w:rsidR="008907A6" w:rsidRPr="0008623B" w:rsidRDefault="00410769" w:rsidP="005F391D">
            <w:pPr>
              <w:pStyle w:val="Fait"/>
            </w:pPr>
            <w:r>
              <w:t>Denne række anvendes ikke i skema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Passiver og kapitalgrundlag — heraf udelukkede passiver</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Opdeling af de passiver, der er udelukket i henhold til artikel 72a, stk. 2, i forordning (EU) nr. 575/2013 eller artikel 44, stk. 2, i direktiv 2014/59/EU, og, alt efter hvad der er relevant, artikel 44, stk. 3, i direktiv 2014/59/EU.</w:t>
            </w:r>
          </w:p>
          <w:p w14:paraId="182D9647" w14:textId="5AEB0362" w:rsidR="008907A6" w:rsidRPr="0008623B" w:rsidRDefault="00410769" w:rsidP="005F391D">
            <w:pPr>
              <w:pStyle w:val="Applicationdirecte"/>
              <w:spacing w:before="120"/>
            </w:pPr>
            <w:r>
              <w:t>Denne række anvendes ikke i skema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Passiver og kapitalgrundlag fratrukket udelukkede passiver</w:t>
            </w:r>
          </w:p>
          <w:p w14:paraId="359D335B" w14:textId="3554B9D3" w:rsidR="008907A6" w:rsidRPr="0008623B" w:rsidRDefault="00367DF1" w:rsidP="005F391D">
            <w:pPr>
              <w:pStyle w:val="Fait"/>
            </w:pPr>
            <w:r>
              <w:rPr>
                <w:color w:val="000000" w:themeColor="text1"/>
              </w:rPr>
              <w:t>Passiver og kapitalgrundlag efter indregning af udelukkede passiver.</w:t>
            </w:r>
          </w:p>
          <w:p w14:paraId="52590AAA" w14:textId="18E701D2" w:rsidR="000C3B9F" w:rsidRPr="0008623B" w:rsidRDefault="00410769" w:rsidP="008907A6">
            <w:pPr>
              <w:pStyle w:val="Applicationdirecte"/>
              <w:spacing w:before="120"/>
              <w:rPr>
                <w:color w:val="000000" w:themeColor="text1"/>
                <w:szCs w:val="24"/>
              </w:rPr>
            </w:pPr>
            <w:r>
              <w:t>Denne række anvendes ikke i skema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Undergruppe af passiver og kapitalgrundlag fratrukket udelukkede passiver, der er kapitalgrundlag og nedskrivningsrelevante passiver med henblik på det interne MREL/interne TLAC</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Opdeling af det beløb, der udgøres af kapitalgrundlag og nedskrivningsrelevante passiver med henblik på det interne MREL eller med </w:t>
            </w:r>
            <w:r>
              <w:rPr>
                <w:rFonts w:ascii="Times New Roman" w:hAnsi="Times New Roman"/>
                <w:color w:val="000000" w:themeColor="text1"/>
                <w:sz w:val="24"/>
              </w:rPr>
              <w:lastRenderedPageBreak/>
              <w:t xml:space="preserve">henblik på det interne TLAC, alt efter hvad der er relevant, i overensstemmelse med afsnit 11 ovenfor.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Heraf restløbetid ≥ 1 år &lt; 2 år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6 med den relevante restløbetid.</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2 år &lt; 5 år</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6 med den relevante restløbetid.</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5 år &lt; 10 år</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6 med den relevante restløbetid.</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10 år, dog undtagen værdipapirer uden udløbsdato</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Undergruppe til række 6 med den relevante restløbetid.</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værdipapirer uden udløbsdato</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Undergruppe til række 6, som er værdipapirer uden udløbsdato.</w:t>
            </w:r>
          </w:p>
        </w:tc>
      </w:tr>
    </w:tbl>
    <w:p w14:paraId="4FDBE82C" w14:textId="77777777" w:rsidR="00134FA4" w:rsidRPr="00710028"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14770787"/>
      <w:bookmarkStart w:id="234" w:name="_Toc529272912"/>
      <w:bookmarkStart w:id="235" w:name="_Toc45266930"/>
      <w:r>
        <w:rPr>
          <w:rFonts w:ascii="Times New Roman" w:hAnsi="Times New Roman"/>
          <w:color w:val="auto"/>
          <w:sz w:val="24"/>
        </w:rPr>
        <w:t>6.</w:t>
      </w:r>
      <w:r>
        <w:rPr>
          <w:rFonts w:ascii="Times New Roman" w:hAnsi="Times New Roman"/>
          <w:color w:val="auto"/>
          <w:sz w:val="24"/>
        </w:rPr>
        <w:tab/>
        <w:t>EU TLAC3: Kreditorrækkefølge — Afviklingsenhed</w:t>
      </w:r>
      <w:bookmarkEnd w:id="233"/>
      <w:bookmarkEnd w:id="234"/>
      <w:bookmarkEnd w:id="235"/>
    </w:p>
    <w:p w14:paraId="578097FF" w14:textId="1EA4E7A0" w:rsidR="00EE122D" w:rsidRPr="0008623B" w:rsidRDefault="00EE122D" w:rsidP="00B62DC9">
      <w:pPr>
        <w:pStyle w:val="InstructionsText2"/>
        <w:numPr>
          <w:ilvl w:val="0"/>
          <w:numId w:val="12"/>
        </w:numPr>
      </w:pPr>
      <w:r>
        <w:t>De oplysninger, der indgår i skema EU TLAC3 indberettes for den individuelle enhed.</w:t>
      </w:r>
    </w:p>
    <w:p w14:paraId="0EB7EFE1" w14:textId="7A32417C" w:rsidR="00410769" w:rsidRPr="0008623B" w:rsidRDefault="00410769" w:rsidP="00B62DC9">
      <w:pPr>
        <w:pStyle w:val="InstructionsText2"/>
        <w:numPr>
          <w:ilvl w:val="0"/>
          <w:numId w:val="12"/>
        </w:numPr>
      </w:pPr>
      <w:r>
        <w:t>Skema EU TLAC3 findes i to udgaver, dvs. EU TLAC3a og EU TLAC3b. EU TLAC3a afspejler al finansiering, der er sidestillet eller efterstillet med instrumenter, som potentielt er nedskrivningsrelevante med henblik på MREL, herunder kapitalgrundlag og andre kapitalinstrumenter. Beløb, der som følge af krav om efterstillelse ikke er nedskrivningsrelevante, skal medtages fuldt ud i den række, der svarer til den relevante placering i prioritetsrækkefølgen ved insolvens, dvs. uden at anvende lofterne. EU TLAC3b afspejler kun kapitalgrundlag og passiver med henblik på at opfylde kravet i artikel 45 i direktiv 2014/59/EU i overensstemmelse med nævnte direktivs artikel 45e.</w:t>
      </w:r>
    </w:p>
    <w:p w14:paraId="417A390B" w14:textId="2D84B100" w:rsidR="00410769" w:rsidRPr="0008623B" w:rsidRDefault="00410769" w:rsidP="00B62DC9">
      <w:pPr>
        <w:pStyle w:val="InstructionsText2"/>
        <w:numPr>
          <w:ilvl w:val="0"/>
          <w:numId w:val="12"/>
        </w:numPr>
      </w:pPr>
      <w:r>
        <w:t>I overensstemmelse med nærværende forordnings artikel 14, stk. 2, kan enheder, der ikke er underlagt forpligtelsen til at leve op til kravet i artikel 92a i forordning (EU) nr. 575/2013, men som er underlagt forpligtelsen til at leve op til kravet i artikel 45 i direktiv 2014/59/EU i overensstemmelse med nævnte direktivs artikel 45e, vælge, hvorvidt de anvender EU TLAC3a eller EU TLAC3b med henblik på at opfylde indberetningskravet i artikel 45i, stk. 3, litra b), i direktiv 2014/59/EU.</w:t>
      </w:r>
    </w:p>
    <w:p w14:paraId="7914D4A7" w14:textId="50C29BF6" w:rsidR="005F391D" w:rsidRPr="0008623B" w:rsidRDefault="005F391D" w:rsidP="00B62DC9">
      <w:pPr>
        <w:pStyle w:val="InstructionsText2"/>
        <w:numPr>
          <w:ilvl w:val="0"/>
          <w:numId w:val="12"/>
        </w:numPr>
      </w:pPr>
      <w:r>
        <w:t xml:space="preserve">Fra datoen for anvendelsen af artikel 45i, stk. 3, i direktiv 2014/59/EU skal udstedende enheder i skema EU TLAC3a indberette passiver, der potentielt er nedskrivningsrelevante med henblik på at leve op til henholdsvis MREL-kravet og TLAC-kravet. Før denne dato skal udstedende enheder indberette passiver, der </w:t>
      </w:r>
      <w:r>
        <w:lastRenderedPageBreak/>
        <w:t>potentielt er nedskrivningsrelevante med henblik på at leve op til det interne TLAC-krav.</w:t>
      </w:r>
    </w:p>
    <w:p w14:paraId="0643F6F9" w14:textId="54E61B56" w:rsidR="005F391D" w:rsidRPr="0008623B" w:rsidRDefault="00134FA4" w:rsidP="00B62DC9">
      <w:pPr>
        <w:pStyle w:val="InstructionsText2"/>
        <w:numPr>
          <w:ilvl w:val="0"/>
          <w:numId w:val="12"/>
        </w:numPr>
      </w:pPr>
      <w:r>
        <w:t>De udestående beløb, der er omhandlet i række 2-10, skal opdeles efter deres placering i prioritetsrækkefølgen ved insolvens på grundlag af den udstedende enheds insolvenslovgivning, uanset den lovgivning, som instrumentet er underlagt.</w:t>
      </w:r>
    </w:p>
    <w:p w14:paraId="2ED9C4B9" w14:textId="752032A7" w:rsidR="005F391D" w:rsidRPr="0008623B" w:rsidRDefault="00EA31AA" w:rsidP="00B62DC9">
      <w:pPr>
        <w:pStyle w:val="InstructionsText2"/>
        <w:numPr>
          <w:ilvl w:val="0"/>
          <w:numId w:val="12"/>
        </w:numPr>
      </w:pPr>
      <w:r>
        <w:t>Placeringerne i prioritetsrækkefølgen ved insolvens skal være de placeringer, som den kompetente afviklingsmyndighed meddeler i overensstemmelse med den standardiserede fremlæggelse, der er præciseret i det relevante indberetningsskema.</w:t>
      </w:r>
    </w:p>
    <w:p w14:paraId="098D1362" w14:textId="424912A1" w:rsidR="003D2D85" w:rsidRPr="0008623B" w:rsidRDefault="00134FA4" w:rsidP="00B62DC9">
      <w:pPr>
        <w:pStyle w:val="InstructionsText2"/>
        <w:numPr>
          <w:ilvl w:val="0"/>
          <w:numId w:val="12"/>
        </w:numPr>
      </w:pPr>
      <w:r>
        <w:t>Placeringerne fremlægges fra den mest efterstillede til den mest foranstillede. Der skal tilføjes kolonner til placeringerne indtil det mest foranstillede potentielt nedskrivningsrelevante instrument i prioritetsrækkefølgen er blevet indberettet.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Rækker</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Henvisninger til retsakter og instrukser</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Beskrivelse af placering i prioritetsrækkefølgen ved insolvens (fritekst)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Antallet af placeringer i prioritetsrækkefølgen ved insolvens (n) i kreditorrækkefølgen afhænger af enhedens gruppe af passiver. Der er én kolonne for hver placering i prioritetsrækkefølgen ved insolvens. Beskrivelsen bør indeholde en præcisering af de fordringstyper, der findes inden for den pågældende placering i prioritetsrækkefølgen ved insolvens (f.eks. egentlig kernekapital, supplerende kapitalinstrumenter).</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Passiver og kapitalgrundlag</w:t>
            </w:r>
          </w:p>
          <w:p w14:paraId="6CEB4608" w14:textId="77777777" w:rsidR="003D2D85" w:rsidRPr="0008623B" w:rsidRDefault="003D2D85" w:rsidP="003D2D85">
            <w:pPr>
              <w:pStyle w:val="Applicationdirecte"/>
              <w:spacing w:before="120"/>
              <w:rPr>
                <w:color w:val="000000" w:themeColor="text1"/>
              </w:rPr>
            </w:pPr>
            <w:r>
              <w:rPr>
                <w:color w:val="000000" w:themeColor="text1"/>
              </w:rPr>
              <w:t>Det beløb, der udgøres af kapitalgrundlag og passiver, der er efterstillet eller sidestillet med kapitalgrundlag eller nedskrivningsrelevante passiver.</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Dette skal også omfatte passiver, der er udelukket fra </w:t>
            </w:r>
            <w:proofErr w:type="spellStart"/>
            <w:r>
              <w:rPr>
                <w:color w:val="000000" w:themeColor="text1"/>
              </w:rPr>
              <w:t>bail</w:t>
            </w:r>
            <w:proofErr w:type="spellEnd"/>
            <w:r>
              <w:rPr>
                <w:color w:val="000000" w:themeColor="text1"/>
              </w:rPr>
              <w:t>-in.</w:t>
            </w:r>
            <w:r>
              <w:t xml:space="preserve"> </w:t>
            </w:r>
          </w:p>
          <w:p w14:paraId="3B3981A4" w14:textId="543E66EA" w:rsidR="003D2D85" w:rsidRPr="0008623B" w:rsidRDefault="008348B0" w:rsidP="00640F37">
            <w:pPr>
              <w:pStyle w:val="Fait"/>
            </w:pPr>
            <w:r>
              <w:t>Denne række anvendes ikke i skema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Passiver og kapitalgrundlag — heraf udelukkede passiver</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Opdeling af de passiver, der er udelukket i henhold til artikel 72a, stk. 2, i forordning (EU) nr. 575/2013 eller artikel 44, stk. 2, i direktiv 2014/59/EU, og, alt efter hvad der er relevant, nævnte direktivs artikel 44, stk. 3.</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Denne række anvendes ikke i skema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Passiver og kapitalgrundlag fratrukket udelukkede passiver</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Passiver og kapitalgrundlag efter indregning af udelukkede passiver.</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Denne række anvendes ikke i skema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lastRenderedPageBreak/>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Undergruppe af passiver og kapitalgrundlag fratrukket udelukkede passiver, der er kapitalgrundlag og passiver, som potentielt er nedskrivningsrelevante med henblik på at opfylde MREL/TLAC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Opdeling af det beløb, der udgøres af kapitalgrundlag og nedskrivningsrelevante passiver med henblik på MREL eller TLAC, alt efter hvad der er relevant, i overensstemmelse med afsnit 19 ovenfor uden anvendelse af lofterne for indregning af ikke-efterstillede passiver.</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Heraf restløbetid ≥ 1 år &lt; 2 år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5 med den relevante restløbetid.</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2 år &lt; 5 år</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5 med den relevante restløbetid.</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5 år &lt; 10 år</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Undergruppe til række 5 med den relevante restløbetid.</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restløbetid ≥ 10 år, dog undtagen værdipapirer uden udløbsdato</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Undergruppe til række 5 med den relevante restløbetid.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Heraf værdipapirer uden udløbsdato</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Undergruppe til række 5, som er værdipapirer uden udløbsdato.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almindelig brug"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almindelig brug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A almindelig brug"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almindelig brug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B5B2FBA8"/>
    <w:lvl w:ilvl="0" w:tplc="8A94C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0A1443A"/>
    <w:multiLevelType w:val="hybridMultilevel"/>
    <w:tmpl w:val="F3DA9022"/>
    <w:lvl w:ilvl="0" w:tplc="FFFFFFFF">
      <w:start w:val="1"/>
      <w:numFmt w:val="decimal"/>
      <w:lvlText w:val="%1."/>
      <w:lvlJc w:val="left"/>
      <w:pPr>
        <w:ind w:left="1353" w:hanging="360"/>
      </w:pPr>
      <w:rPr>
        <w:rFonts w:cs="Times New Roman"/>
      </w:rPr>
    </w:lvl>
    <w:lvl w:ilvl="1" w:tplc="BD9E0962">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2" w15:restartNumberingAfterBreak="0">
    <w:nsid w:val="6AA91522"/>
    <w:multiLevelType w:val="hybridMultilevel"/>
    <w:tmpl w:val="32B0019A"/>
    <w:lvl w:ilvl="0" w:tplc="BD9E0962">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734B1"/>
    <w:multiLevelType w:val="hybridMultilevel"/>
    <w:tmpl w:val="C11CC328"/>
    <w:lvl w:ilvl="0" w:tplc="8A94C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4"/>
  </w:num>
  <w:num w:numId="5" w16cid:durableId="750153091">
    <w:abstractNumId w:val="1"/>
  </w:num>
  <w:num w:numId="6" w16cid:durableId="336813224">
    <w:abstractNumId w:val="23"/>
  </w:num>
  <w:num w:numId="7" w16cid:durableId="465779702">
    <w:abstractNumId w:val="18"/>
  </w:num>
  <w:num w:numId="8" w16cid:durableId="663163219">
    <w:abstractNumId w:val="0"/>
  </w:num>
  <w:num w:numId="9" w16cid:durableId="1917978329">
    <w:abstractNumId w:val="8"/>
  </w:num>
  <w:num w:numId="10" w16cid:durableId="353311820">
    <w:abstractNumId w:val="25"/>
  </w:num>
  <w:num w:numId="11" w16cid:durableId="670957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1"/>
  </w:num>
  <w:num w:numId="14" w16cid:durableId="1121650833">
    <w:abstractNumId w:val="20"/>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 w:numId="32" w16cid:durableId="811368109">
    <w:abstractNumId w:val="19"/>
  </w:num>
  <w:num w:numId="33" w16cid:durableId="172609865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da-DK"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9046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0028"/>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3D80"/>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da-DK"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8110</Words>
  <Characters>48825</Characters>
  <Application>Microsoft Office Word</Application>
  <DocSecurity>0</DocSecurity>
  <Lines>1085</Lines>
  <Paragraphs>563</Paragraphs>
  <ScaleCrop>false</ScaleCrop>
  <Company/>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