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038" w14:textId="40D10931" w:rsidR="00676354" w:rsidRPr="0001617D" w:rsidRDefault="00676354" w:rsidP="0099485B">
      <w:pPr>
        <w:jc w:val="center"/>
        <w:rPr>
          <w:rFonts w:ascii="Times New Roman" w:hAnsi="Times New Roman"/>
          <w:b/>
          <w:sz w:val="24"/>
          <w:u w:val="single"/>
        </w:rPr>
      </w:pPr>
      <w:bookmarkStart w:id="0" w:name="_Toc298787969"/>
      <w:bookmarkStart w:id="1" w:name="_Toc298788158"/>
      <w:bookmarkStart w:id="2" w:name="_Toc298788641"/>
      <w:bookmarkStart w:id="3" w:name="_Toc305686691"/>
      <w:bookmarkStart w:id="4" w:name="_Toc306350093"/>
      <w:bookmarkStart w:id="5" w:name="_Toc306350113"/>
      <w:bookmarkStart w:id="6" w:name="_Toc331517265"/>
      <w:bookmarkStart w:id="7" w:name="_Toc245891774"/>
      <w:bookmarkStart w:id="8" w:name="_Toc238803087"/>
      <w:bookmarkStart w:id="9" w:name="_Toc238803888"/>
      <w:r>
        <w:rPr>
          <w:rFonts w:ascii="Times New Roman" w:hAnsi="Times New Roman"/>
          <w:b/>
          <w:sz w:val="24"/>
          <w:u w:val="single"/>
        </w:rPr>
        <w:t>CS</w:t>
      </w:r>
    </w:p>
    <w:p w14:paraId="39DA4C9C" w14:textId="5F2E6493" w:rsidR="00385DE1" w:rsidRPr="0001617D" w:rsidRDefault="00385DE1" w:rsidP="0099485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PŘÍLOHA IV</w:t>
      </w:r>
    </w:p>
    <w:p w14:paraId="66B07866" w14:textId="77777777" w:rsidR="00385DE1" w:rsidRPr="0001617D" w:rsidRDefault="00385DE1" w:rsidP="0099485B">
      <w:pPr>
        <w:jc w:val="center"/>
        <w:rPr>
          <w:rFonts w:ascii="Times New Roman" w:hAnsi="Times New Roman"/>
          <w:b/>
          <w:sz w:val="24"/>
          <w:lang w:val="en-IE"/>
        </w:rPr>
      </w:pPr>
    </w:p>
    <w:p w14:paraId="1D3B5C40" w14:textId="50B78FAF" w:rsidR="0001617D" w:rsidRPr="0001617D" w:rsidRDefault="0001617D" w:rsidP="0001617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ZVEŘEJŇOVÁNÍ INFORMACÍ O MINIMÁLNÍM POŽADAVKU NA KAPITÁL A ZPŮSOBILÉ ZÁVAZKY – POKYNY</w:t>
      </w:r>
    </w:p>
    <w:p w14:paraId="7E4782B7" w14:textId="77777777" w:rsidR="00940030" w:rsidRPr="0008623B" w:rsidRDefault="00940030" w:rsidP="00940030">
      <w:pPr>
        <w:rPr>
          <w:lang w:val="en-GB"/>
        </w:rPr>
      </w:pPr>
    </w:p>
    <w:p w14:paraId="6E12AAF5" w14:textId="3E457CEA" w:rsidR="00940030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>1.</w:t>
      </w:r>
      <w:r>
        <w:rPr>
          <w:rFonts w:ascii="Times New Roman" w:hAnsi="Times New Roman"/>
          <w:color w:val="auto"/>
          <w:sz w:val="24"/>
        </w:rPr>
        <w:tab/>
        <w:t>Obecné pokyny: Struktura a konvence</w:t>
      </w:r>
    </w:p>
    <w:p w14:paraId="6CFEBC53" w14:textId="59A6818A" w:rsidR="0065594A" w:rsidRPr="0008623B" w:rsidRDefault="0065594A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792" w:hanging="432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0" w:name="_Toc360188319"/>
      <w:bookmarkStart w:id="11" w:name="_Toc473560867"/>
      <w:bookmarkStart w:id="12" w:name="_Toc15294522"/>
      <w:bookmarkStart w:id="13" w:name="_Toc264038399"/>
      <w:bookmarkStart w:id="14" w:name="_Toc294018834"/>
      <w:r>
        <w:rPr>
          <w:rFonts w:ascii="Times New Roman" w:hAnsi="Times New Roman"/>
          <w:color w:val="auto"/>
          <w:sz w:val="24"/>
        </w:rPr>
        <w:t>1.1</w:t>
      </w:r>
      <w:r>
        <w:rPr>
          <w:rFonts w:ascii="Times New Roman" w:hAnsi="Times New Roman"/>
          <w:color w:val="auto"/>
          <w:sz w:val="24"/>
        </w:rPr>
        <w:tab/>
        <w:t>Struktura</w:t>
      </w:r>
      <w:bookmarkEnd w:id="10"/>
      <w:bookmarkEnd w:id="11"/>
      <w:bookmarkEnd w:id="12"/>
    </w:p>
    <w:p w14:paraId="038BA668" w14:textId="1D5FE25B" w:rsidR="0065594A" w:rsidRPr="0008623B" w:rsidRDefault="0065594A" w:rsidP="00B62DC9">
      <w:pPr>
        <w:pStyle w:val="InstructionsText2"/>
        <w:numPr>
          <w:ilvl w:val="0"/>
          <w:numId w:val="12"/>
        </w:numPr>
      </w:pPr>
      <w:r>
        <w:t>Tento rámec pro zpřístupňování informací o MREL a TLAC zahrnuje tři skupiny šablon:</w:t>
      </w:r>
    </w:p>
    <w:p w14:paraId="160EDC16" w14:textId="77777777" w:rsidR="00AB77FD" w:rsidRPr="0008623B" w:rsidRDefault="00AB77FD" w:rsidP="00B62DC9">
      <w:pPr>
        <w:pStyle w:val="InstructionsText2"/>
        <w:numPr>
          <w:ilvl w:val="1"/>
          <w:numId w:val="15"/>
        </w:numPr>
      </w:pPr>
      <w:r>
        <w:t>MREL a TLAC skupin řešících krizi a subjektů řešících krizi;</w:t>
      </w:r>
    </w:p>
    <w:p w14:paraId="531DF249" w14:textId="0719D053" w:rsidR="00AB77FD" w:rsidRPr="0008623B" w:rsidRDefault="00AB77FD" w:rsidP="00B62DC9">
      <w:pPr>
        <w:pStyle w:val="InstructionsText2"/>
        <w:numPr>
          <w:ilvl w:val="1"/>
          <w:numId w:val="15"/>
        </w:numPr>
      </w:pPr>
      <w:r>
        <w:t>MREL a TLAC subjektů neřešících krizi a významných dceřiných podniků globálních systémově významných institucí (G-SVI) mimo EU;</w:t>
      </w:r>
    </w:p>
    <w:p w14:paraId="3EE4CEDD" w14:textId="5B2484DA" w:rsidR="00AB77FD" w:rsidRPr="0008623B" w:rsidRDefault="00AB77FD" w:rsidP="00B62DC9">
      <w:pPr>
        <w:pStyle w:val="InstructionsText2"/>
        <w:numPr>
          <w:ilvl w:val="1"/>
          <w:numId w:val="15"/>
        </w:numPr>
      </w:pPr>
      <w:r>
        <w:t>pořadí věřitelů emitentů.</w:t>
      </w:r>
    </w:p>
    <w:p w14:paraId="1ED5F5C4" w14:textId="551A7AA0" w:rsidR="0065594A" w:rsidRPr="0008623B" w:rsidRDefault="0065594A" w:rsidP="00B62DC9">
      <w:pPr>
        <w:pStyle w:val="InstructionsText2"/>
        <w:numPr>
          <w:ilvl w:val="0"/>
          <w:numId w:val="12"/>
        </w:numPr>
      </w:pPr>
      <w:r>
        <w:t>Ke každé šabloně jsou uvedeny odkazy na právní předpisy. Další podrobné informace ohledně obecnějších aspektů vykazování každého souboru šablon a pokynů týkajících se konkrétních pozic jsou zahrnuty v této příloze.</w:t>
      </w:r>
    </w:p>
    <w:p w14:paraId="13B7702A" w14:textId="70815289" w:rsidR="0065594A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792" w:hanging="432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5" w:name="_Toc360188320"/>
      <w:bookmarkStart w:id="16" w:name="_Toc473560868"/>
      <w:bookmarkStart w:id="17" w:name="_Toc15294523"/>
      <w:r>
        <w:rPr>
          <w:rFonts w:ascii="Times New Roman" w:hAnsi="Times New Roman"/>
          <w:color w:val="auto"/>
          <w:sz w:val="24"/>
        </w:rPr>
        <w:t>1.</w:t>
      </w:r>
      <w:bookmarkStart w:id="18" w:name="_Toc15294525"/>
      <w:bookmarkEnd w:id="13"/>
      <w:bookmarkEnd w:id="14"/>
      <w:bookmarkEnd w:id="15"/>
      <w:bookmarkEnd w:id="16"/>
      <w:bookmarkEnd w:id="17"/>
      <w:r>
        <w:rPr>
          <w:rFonts w:ascii="Times New Roman" w:hAnsi="Times New Roman"/>
          <w:color w:val="auto"/>
          <w:sz w:val="24"/>
        </w:rPr>
        <w:t>2</w:t>
      </w:r>
      <w:r>
        <w:rPr>
          <w:rFonts w:ascii="Times New Roman" w:hAnsi="Times New Roman"/>
          <w:color w:val="auto"/>
          <w:sz w:val="24"/>
        </w:rPr>
        <w:tab/>
        <w:t>Zkratky</w:t>
      </w:r>
      <w:bookmarkEnd w:id="18"/>
    </w:p>
    <w:p w14:paraId="7F56C9B4" w14:textId="1EA8178A" w:rsidR="0065594A" w:rsidRPr="0008623B" w:rsidRDefault="0065594A" w:rsidP="00B62DC9">
      <w:pPr>
        <w:pStyle w:val="InstructionsText2"/>
        <w:numPr>
          <w:ilvl w:val="0"/>
          <w:numId w:val="12"/>
        </w:numPr>
      </w:pPr>
      <w:r>
        <w:t>Pro účely příloh tohoto nařízení se použijí následující zkratky:</w:t>
      </w:r>
    </w:p>
    <w:p w14:paraId="7AA24AF3" w14:textId="4E2F4B2C" w:rsidR="0065594A" w:rsidRPr="0008623B" w:rsidRDefault="00B96861" w:rsidP="00B62DC9">
      <w:pPr>
        <w:pStyle w:val="InstructionsText2"/>
        <w:numPr>
          <w:ilvl w:val="0"/>
          <w:numId w:val="31"/>
        </w:numPr>
      </w:pPr>
      <w:r>
        <w:t xml:space="preserve"> zkratkou „MREL“ se rozumí minimální požadavek na kapitál a způsobilé závazky podle článku 45 směrnice 2014/59/EU;</w:t>
      </w:r>
    </w:p>
    <w:p w14:paraId="3F223F84" w14:textId="14E43992" w:rsidR="0065594A" w:rsidRPr="0008623B" w:rsidRDefault="0065594A" w:rsidP="00B62DC9">
      <w:pPr>
        <w:pStyle w:val="InstructionsText2"/>
        <w:numPr>
          <w:ilvl w:val="0"/>
          <w:numId w:val="31"/>
        </w:numPr>
      </w:pPr>
      <w:r>
        <w:t>zkratkou „TLAC“ se rozumí požadavek na kapitál a způsobilé závazky G-SVI podle článku 92a nařízení (EU) č. 575/2013;</w:t>
      </w:r>
    </w:p>
    <w:p w14:paraId="1FEB92E2" w14:textId="1715F9BB" w:rsidR="0065594A" w:rsidRPr="0008623B" w:rsidRDefault="0065594A" w:rsidP="00B62DC9">
      <w:pPr>
        <w:pStyle w:val="InstructionsText2"/>
        <w:numPr>
          <w:ilvl w:val="0"/>
          <w:numId w:val="31"/>
        </w:numPr>
      </w:pPr>
      <w:r>
        <w:t>zkratkou „interní TLAC“ se rozumí požadavek na kapitál a způsobilé závazky G-SVI mimo EU podle článku 92b nařízení (EU) č. 575/2013;</w:t>
      </w:r>
    </w:p>
    <w:p w14:paraId="41F598D3" w14:textId="411A41F7" w:rsidR="0097126E" w:rsidRPr="0008623B" w:rsidRDefault="0097126E" w:rsidP="0073688E">
      <w:pPr>
        <w:pStyle w:val="ListParagraph"/>
        <w:numPr>
          <w:ilvl w:val="0"/>
          <w:numId w:val="31"/>
        </w:numPr>
      </w:pPr>
      <w:r>
        <w:rPr>
          <w:rFonts w:ascii="Times New Roman" w:hAnsi="Times New Roman"/>
          <w:sz w:val="24"/>
        </w:rPr>
        <w:t>zkratkou „interní MREL“ se rozumí MREL uplatňovaný na subjekty, které samy nejsou subjekty řešícími krizi, podle článku 45f</w:t>
      </w:r>
      <w:r>
        <w:t xml:space="preserve"> </w:t>
      </w:r>
      <w:r>
        <w:rPr>
          <w:rFonts w:ascii="Times New Roman" w:hAnsi="Times New Roman"/>
          <w:sz w:val="24"/>
        </w:rPr>
        <w:t xml:space="preserve">směrnice 2014/59/EU. </w:t>
      </w:r>
    </w:p>
    <w:p w14:paraId="0BC0B9FF" w14:textId="6844CE8C" w:rsidR="00B43E07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9" w:name="_Toc264033192"/>
      <w:bookmarkEnd w:id="19"/>
      <w:r>
        <w:rPr>
          <w:rFonts w:ascii="Times New Roman" w:hAnsi="Times New Roman"/>
          <w:color w:val="auto"/>
          <w:sz w:val="24"/>
        </w:rPr>
        <w:t>2.</w:t>
      </w:r>
      <w:r>
        <w:rPr>
          <w:rFonts w:ascii="Times New Roman" w:hAnsi="Times New Roman"/>
          <w:color w:val="auto"/>
          <w:sz w:val="24"/>
        </w:rPr>
        <w:tab/>
      </w:r>
      <w:bookmarkStart w:id="20" w:name="_Toc45266923"/>
      <w:bookmarkStart w:id="21" w:name="_Toc45266924"/>
      <w:bookmarkStart w:id="22" w:name="_Toc45266925"/>
      <w:bookmarkStart w:id="23" w:name="_Toc14770635"/>
      <w:bookmarkStart w:id="24" w:name="_Toc45266926"/>
      <w:bookmarkEnd w:id="20"/>
      <w:bookmarkEnd w:id="21"/>
      <w:bookmarkEnd w:id="22"/>
      <w:r>
        <w:rPr>
          <w:rFonts w:ascii="Times New Roman" w:hAnsi="Times New Roman"/>
          <w:color w:val="auto"/>
          <w:sz w:val="24"/>
        </w:rPr>
        <w:t>EU KM2: Klíčové parametry – MREL a případně požadavek na kapitál a způsobilé závazky G-SVI</w:t>
      </w:r>
      <w:bookmarkEnd w:id="23"/>
      <w:bookmarkEnd w:id="24"/>
    </w:p>
    <w:p w14:paraId="7C25FB3D" w14:textId="5B7ACB83" w:rsidR="001D5361" w:rsidRPr="0008623B" w:rsidRDefault="00CB1021" w:rsidP="00B62DC9">
      <w:pPr>
        <w:pStyle w:val="InstructionsText2"/>
        <w:numPr>
          <w:ilvl w:val="0"/>
          <w:numId w:val="12"/>
        </w:numPr>
      </w:pPr>
      <w:r>
        <w:t xml:space="preserve">Subjekty v průvodním komentáři k dané šabloně vysvětlí veškeré významné rozdíly mezi zveřejněnou výší kapitálu a plnou výší podle IFRS 9 na úrovni </w:t>
      </w:r>
      <w:r>
        <w:lastRenderedPageBreak/>
        <w:t>skupiny řešící krizi. Vysvětlí rovněž jakýkoli významný rozdíl mezi plnou výší podle IFRS 9 na úrovni skupiny řešící krizi ve srovnání s plnou výší podle IFRS 9 na úrovni obezřetnostní skupiny.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026FC1" w:rsidRPr="0008623B" w14:paraId="534A9C03" w14:textId="77777777" w:rsidTr="00915305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44B24714" w14:textId="77777777" w:rsidR="006D4640" w:rsidRPr="0008623B" w:rsidRDefault="006D4640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Sloupce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065DB08C" w14:textId="663D1380" w:rsidR="006D4640" w:rsidRPr="0008623B" w:rsidRDefault="00E46262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BB516B" w:rsidRPr="0008623B" w14:paraId="5E930C2C" w14:textId="77777777" w:rsidTr="00807127">
        <w:trPr>
          <w:trHeight w:val="637"/>
        </w:trPr>
        <w:tc>
          <w:tcPr>
            <w:tcW w:w="1384" w:type="dxa"/>
          </w:tcPr>
          <w:p w14:paraId="3149647C" w14:textId="54230E4A" w:rsidR="00BB516B" w:rsidRPr="0008623B" w:rsidDel="00DE6BC1" w:rsidRDefault="00BB516B" w:rsidP="003F5FDC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67A0C6A1" w14:textId="614E3ECA" w:rsidR="00BB516B" w:rsidRPr="0008623B" w:rsidRDefault="008C2E99" w:rsidP="0080712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Subjekty v tomto sloupci uvedou příslušné informace o MREL v souladu s články 45 a 45e směrnice 2014/59/EU.</w:t>
            </w:r>
          </w:p>
          <w:p w14:paraId="430CD6A3" w14:textId="4273F292" w:rsidR="00BB516B" w:rsidRPr="0008623B" w:rsidRDefault="008C2E99" w:rsidP="008C2E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Subjekty uvedou hodnotu ke konci období, za něž se informace zveřejňují.</w:t>
            </w:r>
          </w:p>
        </w:tc>
      </w:tr>
      <w:tr w:rsidR="00DE6BC1" w:rsidRPr="0008623B" w14:paraId="7B5301DE" w14:textId="77777777" w:rsidTr="00915305">
        <w:trPr>
          <w:trHeight w:val="637"/>
        </w:trPr>
        <w:tc>
          <w:tcPr>
            <w:tcW w:w="1384" w:type="dxa"/>
          </w:tcPr>
          <w:p w14:paraId="6F6942E8" w14:textId="11CBC8E4" w:rsidR="00DE6BC1" w:rsidRPr="0008623B" w:rsidDel="00DE6BC1" w:rsidRDefault="00B96861" w:rsidP="00BB516B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b až f</w:t>
            </w:r>
          </w:p>
        </w:tc>
        <w:tc>
          <w:tcPr>
            <w:tcW w:w="7655" w:type="dxa"/>
          </w:tcPr>
          <w:p w14:paraId="330BD29E" w14:textId="441C1E3B" w:rsidR="00DE6BC1" w:rsidRPr="0008623B" w:rsidRDefault="008C2E99" w:rsidP="00DE6BC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Subjekty, které jsou G-SVI, na něž se vztahuje požadavek TLAC v souladu s článkem 92a nařízení (EU) č. 575/2013, v těchto sloupcích uvedou odpovídající informace týkající se tohoto požadavku. </w:t>
            </w:r>
          </w:p>
          <w:p w14:paraId="34389FB0" w14:textId="7C26C455" w:rsidR="00DE6BC1" w:rsidRPr="0008623B" w:rsidRDefault="00DE6BC1" w:rsidP="00401ED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Období T, T-1, T-2, T-3 a T-4, za něž se informace zveřejňují, jsou čtvrtletí. Subjekty uvedou data odpovídající obdobím, za něž se informace zveřejňují. Subjekty zveřejňující tyto informace čtvrtletně poskytnou údaje za období T, T-1, T-2, T-3 a T-4; subjekty zveřejňující tyto informace pololetně poskytnou údaje za období T, T-2 a T-4 a subjekty zveřejňující tyto informace jednou za rok poskytnou údaje za období T a T-4.</w:t>
            </w:r>
          </w:p>
        </w:tc>
      </w:tr>
    </w:tbl>
    <w:p w14:paraId="33309394" w14:textId="77777777" w:rsidR="009C13C2" w:rsidRPr="000F4804" w:rsidRDefault="009C13C2" w:rsidP="006D4640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026FC1" w:rsidRPr="0008623B" w14:paraId="65A77E60" w14:textId="77777777" w:rsidTr="00915305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2C46BBB5" w14:textId="77777777" w:rsidR="006D4640" w:rsidRPr="0008623B" w:rsidRDefault="006D4640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Řádky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09BD783" w14:textId="35573839" w:rsidR="006D4640" w:rsidRPr="0008623B" w:rsidRDefault="00E46262" w:rsidP="00915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DF735F" w:rsidRPr="0008623B" w14:paraId="3E6E8E5C" w14:textId="77777777" w:rsidTr="005D18F8">
        <w:trPr>
          <w:trHeight w:val="1014"/>
        </w:trPr>
        <w:tc>
          <w:tcPr>
            <w:tcW w:w="1384" w:type="dxa"/>
          </w:tcPr>
          <w:p w14:paraId="2671D250" w14:textId="2BE97FB7" w:rsidR="00DF735F" w:rsidRPr="0008623B" w:rsidRDefault="00150101" w:rsidP="005D18F8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655" w:type="dxa"/>
          </w:tcPr>
          <w:p w14:paraId="779E1D4D" w14:textId="3D6D105C" w:rsidR="00DF735F" w:rsidRPr="0008623B" w:rsidRDefault="00DF735F" w:rsidP="005D18F8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Kapitál a způsobilé závazky</w:t>
            </w:r>
          </w:p>
          <w:p w14:paraId="0A140E20" w14:textId="2DF06A7B" w:rsidR="00DF735F" w:rsidRPr="0008623B" w:rsidRDefault="00DF735F" w:rsidP="00812B3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Rovná se hodnotě uvedené v řádku 22 šablony pro zveřejňování informací EU TLAC1.</w:t>
            </w:r>
          </w:p>
        </w:tc>
      </w:tr>
      <w:tr w:rsidR="00962389" w:rsidRPr="0008623B" w14:paraId="3461B86E" w14:textId="77777777" w:rsidTr="00915305">
        <w:trPr>
          <w:trHeight w:val="1014"/>
        </w:trPr>
        <w:tc>
          <w:tcPr>
            <w:tcW w:w="1384" w:type="dxa"/>
          </w:tcPr>
          <w:p w14:paraId="47F71FA9" w14:textId="52988882" w:rsidR="00962389" w:rsidRPr="0008623B" w:rsidDel="00150101" w:rsidRDefault="00962389" w:rsidP="005B765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EU-</w:t>
            </w:r>
            <w:proofErr w:type="gramStart"/>
            <w:r>
              <w:rPr>
                <w:color w:val="000000" w:themeColor="text1"/>
              </w:rPr>
              <w:t>1a</w:t>
            </w:r>
            <w:proofErr w:type="gramEnd"/>
          </w:p>
        </w:tc>
        <w:tc>
          <w:tcPr>
            <w:tcW w:w="7655" w:type="dxa"/>
          </w:tcPr>
          <w:p w14:paraId="3D396CEE" w14:textId="278C4C7F" w:rsidR="00962389" w:rsidRPr="0008623B" w:rsidRDefault="00962389" w:rsidP="009623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– z toho kapitál a podřízené závazky</w:t>
            </w:r>
          </w:p>
          <w:p w14:paraId="729B564A" w14:textId="00537292" w:rsidR="00AF2AB2" w:rsidRPr="0008623B" w:rsidRDefault="00AF2AB2" w:rsidP="0096238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Rovná se hodnotě uvedené v řádku EU-22a šablony pro zveřejňování informací EU TLAC1.</w:t>
            </w:r>
          </w:p>
          <w:p w14:paraId="6E8661C5" w14:textId="06556E77" w:rsidR="00AF2AB2" w:rsidRPr="0008623B" w:rsidRDefault="00AF2AB2" w:rsidP="00B968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Kapitál, způsobilé závazky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zahrnuté do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hodnoty kapitálu a způsobilých závazků v souladu s článkem 45b směrnice 2014/59/EU, které jsou podřízenými způsobilými nástroji ve smyslu čl. 2 odst. 1 bodu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71b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uvedené směrnice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a závazky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zahrnuté do hodnoty kapitálu a způsobilých závazků podle čl. 45b odst. 3 směrnice 2014/59/EU. Nástroj, který se řídí právem třetí země, se do tohoto řádku zahrne pouze v případě, že splňuje požadavky stanovené v článku 55 směrnice 2014/59/EU.</w:t>
            </w:r>
          </w:p>
        </w:tc>
      </w:tr>
      <w:tr w:rsidR="00026FC1" w:rsidRPr="0008623B" w14:paraId="7087FBBE" w14:textId="77777777" w:rsidTr="00915305">
        <w:trPr>
          <w:trHeight w:val="1014"/>
        </w:trPr>
        <w:tc>
          <w:tcPr>
            <w:tcW w:w="1384" w:type="dxa"/>
          </w:tcPr>
          <w:p w14:paraId="65A81525" w14:textId="01438D1E" w:rsidR="006D4640" w:rsidRPr="0008623B" w:rsidRDefault="00150101" w:rsidP="00915305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655" w:type="dxa"/>
          </w:tcPr>
          <w:p w14:paraId="7C401856" w14:textId="7B8EEDE3" w:rsidR="006D4640" w:rsidRPr="0008623B" w:rsidRDefault="006D4640" w:rsidP="009153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Celkový objem rizikové expozice skupiny řešící krizi </w:t>
            </w:r>
          </w:p>
          <w:p w14:paraId="147C8558" w14:textId="2D445D5F" w:rsidR="006D4640" w:rsidRPr="0008623B" w:rsidRDefault="006D4640" w:rsidP="009369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Rovná se hodnotě uvedené v řádku 23 šablony pro zveřejňování informací EU TLAC1.</w:t>
            </w:r>
          </w:p>
          <w:p w14:paraId="10BE5322" w14:textId="167B6DDA" w:rsidR="00705FB0" w:rsidRPr="0008623B" w:rsidRDefault="003D0BF6" w:rsidP="00FB02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Ustanovení čl. 45 odst. 2 písm. a) směrnice 2014/59/EU, čl. 92 odst. 3 nařízení (EU) č. 575/2013.</w:t>
            </w:r>
          </w:p>
        </w:tc>
      </w:tr>
      <w:tr w:rsidR="00DF735F" w:rsidRPr="0008623B" w14:paraId="36D02255" w14:textId="77777777" w:rsidTr="005D18F8">
        <w:trPr>
          <w:trHeight w:val="316"/>
        </w:trPr>
        <w:tc>
          <w:tcPr>
            <w:tcW w:w="1384" w:type="dxa"/>
          </w:tcPr>
          <w:p w14:paraId="24FC7113" w14:textId="5D3DECAC" w:rsidR="00DF735F" w:rsidRPr="0008623B" w:rsidRDefault="00150101" w:rsidP="005D18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7655" w:type="dxa"/>
          </w:tcPr>
          <w:p w14:paraId="038AB6D4" w14:textId="14BCE5D0" w:rsidR="00DF735F" w:rsidRPr="0008623B" w:rsidRDefault="00DF735F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celkového objemu rizikové expozice</w:t>
            </w:r>
          </w:p>
          <w:p w14:paraId="7B949D15" w14:textId="2BA6D31F" w:rsidR="00DF735F" w:rsidRPr="0008623B" w:rsidRDefault="00DF735F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Rovná se hodnotě uvedené v řádku 25 šablony pro zveřejňování informací EU TLAC1. </w:t>
            </w:r>
          </w:p>
          <w:p w14:paraId="0F5B2611" w14:textId="00BEB708" w:rsidR="00DF735F" w:rsidRPr="0008623B" w:rsidRDefault="00705FB0" w:rsidP="00DE7C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Pro účely tohoto řádku se výše kapitálu a způsobilých závazků, která se vykazuje v řádku 1,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vyjádří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jako procentní podíl celkového objemu rizikové expozice vypočítaného v souladu s čl. 92 odst. 3 nařízení (EU) č. 575/2013.</w:t>
            </w:r>
          </w:p>
        </w:tc>
      </w:tr>
      <w:tr w:rsidR="00000DE2" w:rsidRPr="0008623B" w14:paraId="57CCD1AB" w14:textId="77777777" w:rsidTr="00915305">
        <w:trPr>
          <w:trHeight w:val="1014"/>
        </w:trPr>
        <w:tc>
          <w:tcPr>
            <w:tcW w:w="1384" w:type="dxa"/>
          </w:tcPr>
          <w:p w14:paraId="3F2D9068" w14:textId="39D72622" w:rsidR="00000DE2" w:rsidRPr="0008623B" w:rsidDel="00150101" w:rsidRDefault="00000DE2" w:rsidP="00DB779A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EU-</w:t>
            </w:r>
            <w:proofErr w:type="gramStart"/>
            <w:r>
              <w:rPr>
                <w:color w:val="000000" w:themeColor="text1"/>
              </w:rPr>
              <w:t>3a</w:t>
            </w:r>
            <w:proofErr w:type="gramEnd"/>
          </w:p>
        </w:tc>
        <w:tc>
          <w:tcPr>
            <w:tcW w:w="7655" w:type="dxa"/>
          </w:tcPr>
          <w:p w14:paraId="44E29BD6" w14:textId="2EF98522" w:rsidR="00000DE2" w:rsidRPr="0008623B" w:rsidRDefault="00000DE2" w:rsidP="00000D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celkového objemu rizikové expozice – z toho kapitál a podřízené závazky</w:t>
            </w:r>
          </w:p>
          <w:p w14:paraId="6CBFF6B4" w14:textId="23321C0B" w:rsidR="00000DE2" w:rsidRPr="0008623B" w:rsidRDefault="00000DE2" w:rsidP="00000D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Rovná se hodnotě uvedené v řádku EU-25a šablony pro zveřejňování informací EU TLAC1.</w:t>
            </w:r>
          </w:p>
          <w:p w14:paraId="5209AA08" w14:textId="5CE53966" w:rsidR="00000DE2" w:rsidRPr="0008623B" w:rsidRDefault="00705FB0" w:rsidP="00AA4A01">
            <w:pPr>
              <w:pStyle w:val="Institutionquisigne"/>
              <w:spacing w:before="100" w:beforeAutospacing="1"/>
              <w:rPr>
                <w:b/>
                <w:i w:val="0"/>
                <w:color w:val="000000" w:themeColor="text1"/>
                <w:szCs w:val="24"/>
              </w:rPr>
            </w:pPr>
            <w:r>
              <w:rPr>
                <w:i w:val="0"/>
                <w:color w:val="000000" w:themeColor="text1"/>
              </w:rPr>
              <w:t>Pro účely tohoto řádku se výše kapitálu a podřízených způsobilých závazků, která se vykazuje v řádku EU-</w:t>
            </w:r>
            <w:proofErr w:type="gramStart"/>
            <w:r>
              <w:rPr>
                <w:i w:val="0"/>
                <w:color w:val="000000" w:themeColor="text1"/>
              </w:rPr>
              <w:t>1a</w:t>
            </w:r>
            <w:proofErr w:type="gramEnd"/>
            <w:r>
              <w:rPr>
                <w:i w:val="0"/>
                <w:color w:val="000000" w:themeColor="text1"/>
              </w:rPr>
              <w:t>, vyjádří jako procentní podíl celkového objemu rizikové expozice vypočítaného v souladu s čl. 92 odst. 3 nařízení (EU) č. 575/2013.</w:t>
            </w:r>
          </w:p>
        </w:tc>
      </w:tr>
      <w:tr w:rsidR="00026FC1" w:rsidRPr="0008623B" w14:paraId="598F6093" w14:textId="77777777" w:rsidTr="00915305">
        <w:trPr>
          <w:trHeight w:val="1014"/>
        </w:trPr>
        <w:tc>
          <w:tcPr>
            <w:tcW w:w="1384" w:type="dxa"/>
          </w:tcPr>
          <w:p w14:paraId="2BD1914D" w14:textId="668E84BB" w:rsidR="00150101" w:rsidRPr="0008623B" w:rsidRDefault="00150101" w:rsidP="00150101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655" w:type="dxa"/>
          </w:tcPr>
          <w:p w14:paraId="21BFF265" w14:textId="5070F7DC" w:rsidR="006D4640" w:rsidRPr="0008623B" w:rsidRDefault="00B409EF" w:rsidP="009153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Celková míra expozic skupiny řešící krizi</w:t>
            </w:r>
          </w:p>
          <w:p w14:paraId="252377B7" w14:textId="103F2793" w:rsidR="006D4640" w:rsidRPr="0008623B" w:rsidRDefault="006D4640" w:rsidP="0093695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Rovná se hodnotě uvedené v řádku 24 šablony pro zveřejňování informací EU TLAC1.</w:t>
            </w:r>
          </w:p>
          <w:p w14:paraId="5BC2C1BD" w14:textId="4F7E9896" w:rsidR="00705FB0" w:rsidRPr="0008623B" w:rsidRDefault="003D0BF6" w:rsidP="00FB021F">
            <w:pPr>
              <w:pStyle w:val="Fait"/>
            </w:pPr>
            <w:r>
              <w:t xml:space="preserve">Ustanovení čl. 45 odst. 2 písm. b) směrnice 2014/59/EU, čl. 429 odst. 4 a </w:t>
            </w:r>
            <w:r>
              <w:rPr>
                <w:color w:val="000000" w:themeColor="text1"/>
              </w:rPr>
              <w:t xml:space="preserve">článek </w:t>
            </w:r>
            <w:r>
              <w:t>429a nařízení (EU) č. 575/2013.</w:t>
            </w:r>
          </w:p>
        </w:tc>
      </w:tr>
      <w:tr w:rsidR="00150101" w:rsidRPr="0008623B" w14:paraId="338EAA8B" w14:textId="77777777" w:rsidTr="005D18F8">
        <w:trPr>
          <w:trHeight w:val="316"/>
        </w:trPr>
        <w:tc>
          <w:tcPr>
            <w:tcW w:w="1384" w:type="dxa"/>
          </w:tcPr>
          <w:p w14:paraId="22D80E63" w14:textId="3B307FF1" w:rsidR="00150101" w:rsidRPr="0008623B" w:rsidRDefault="00150101" w:rsidP="005D18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7655" w:type="dxa"/>
          </w:tcPr>
          <w:p w14:paraId="55ACA309" w14:textId="5203CF48" w:rsidR="00150101" w:rsidRPr="0008623B" w:rsidRDefault="00150101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 míry expozic</w:t>
            </w:r>
          </w:p>
          <w:p w14:paraId="5AF77D83" w14:textId="1205FA3D" w:rsidR="00150101" w:rsidRPr="0008623B" w:rsidRDefault="00150101" w:rsidP="005D18F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Rovná se hodnotě uvedené v řádku 26 šablony pro zveřejňování informací EU TLAC1.</w:t>
            </w:r>
          </w:p>
          <w:p w14:paraId="63970459" w14:textId="46B09F83" w:rsidR="00150101" w:rsidRPr="0008623B" w:rsidRDefault="00705FB0" w:rsidP="00FB02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Pro účely tohoto řádku se výše kapitálu a způsobilých závazků, která se vykazuje v řádku 1,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vyjádří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jako procentní podíl celkové míry expozic vypočítané v souladu s čl. 429 odst. 4 a článkem 429a nařízení (EU) č. 575/2013.</w:t>
            </w:r>
          </w:p>
        </w:tc>
      </w:tr>
      <w:tr w:rsidR="0037295D" w:rsidRPr="0008623B" w14:paraId="0D9B4EED" w14:textId="77777777" w:rsidTr="00807127">
        <w:trPr>
          <w:trHeight w:val="1014"/>
        </w:trPr>
        <w:tc>
          <w:tcPr>
            <w:tcW w:w="1384" w:type="dxa"/>
          </w:tcPr>
          <w:p w14:paraId="59748E19" w14:textId="219DA8E1" w:rsidR="0037295D" w:rsidRPr="0008623B" w:rsidDel="00150101" w:rsidRDefault="00A3785C" w:rsidP="00807127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EU-</w:t>
            </w:r>
            <w:proofErr w:type="gramStart"/>
            <w:r>
              <w:rPr>
                <w:color w:val="000000" w:themeColor="text1"/>
              </w:rPr>
              <w:t>5a</w:t>
            </w:r>
            <w:proofErr w:type="gramEnd"/>
          </w:p>
        </w:tc>
        <w:tc>
          <w:tcPr>
            <w:tcW w:w="7655" w:type="dxa"/>
          </w:tcPr>
          <w:p w14:paraId="677C4852" w14:textId="7733E767" w:rsidR="0037295D" w:rsidRPr="0008623B" w:rsidRDefault="00A3785C" w:rsidP="00A378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 míry expozic – z toho kapitál a podřízené závazky</w:t>
            </w:r>
          </w:p>
          <w:p w14:paraId="25EF5991" w14:textId="1725162F" w:rsidR="0037295D" w:rsidRPr="0008623B" w:rsidRDefault="0037295D" w:rsidP="008071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Rovná se hodnotě uvedené v řádku EU-26a šablony pro zveřejňování informací EU TLAC1.</w:t>
            </w:r>
          </w:p>
          <w:p w14:paraId="4E14C375" w14:textId="17204913" w:rsidR="0037295D" w:rsidRPr="0008623B" w:rsidRDefault="00705FB0" w:rsidP="00FB021F">
            <w:pPr>
              <w:pStyle w:val="Fait"/>
              <w:spacing w:before="0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Pro účely tohoto řádku se výše kapitálu a podřízených způsobilých závazků, která se vykazuje v řádku EU-</w:t>
            </w:r>
            <w:proofErr w:type="gramStart"/>
            <w:r>
              <w:rPr>
                <w:color w:val="000000" w:themeColor="text1"/>
              </w:rPr>
              <w:t>1a</w:t>
            </w:r>
            <w:proofErr w:type="gramEnd"/>
            <w:r>
              <w:rPr>
                <w:color w:val="000000" w:themeColor="text1"/>
              </w:rPr>
              <w:t>, vyjádří jako procentní podíl celkové míry expozic vypočítané v souladu s čl. 429 odst. 4 a článkem 429a nařízení (EU) č. 575/2013.</w:t>
            </w:r>
          </w:p>
        </w:tc>
      </w:tr>
      <w:tr w:rsidR="0064224B" w:rsidRPr="0008623B" w14:paraId="4586DD47" w14:textId="77777777" w:rsidTr="00BB35EA">
        <w:trPr>
          <w:trHeight w:val="316"/>
        </w:trPr>
        <w:tc>
          <w:tcPr>
            <w:tcW w:w="1384" w:type="dxa"/>
          </w:tcPr>
          <w:p w14:paraId="641FAF10" w14:textId="4E1D75A0" w:rsidR="0064224B" w:rsidRPr="0008623B" w:rsidRDefault="0064224B" w:rsidP="00BB35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6a</w:t>
            </w:r>
            <w:proofErr w:type="gramEnd"/>
          </w:p>
        </w:tc>
        <w:tc>
          <w:tcPr>
            <w:tcW w:w="7655" w:type="dxa"/>
          </w:tcPr>
          <w:p w14:paraId="2E8BDE31" w14:textId="16D0165F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Platí výjimka z podřízenosti stanovená v čl. 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odst. 4 nařízení (EU) č. 575/2013? (5% výjimka)</w:t>
            </w:r>
          </w:p>
          <w:p w14:paraId="46D7CE6C" w14:textId="47F6F9D3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Tento řádek vykazují pouze subjekty, které podléhají požadavku na kapitál a způsobilé závazky G-SVI.</w:t>
            </w:r>
          </w:p>
          <w:p w14:paraId="6016F028" w14:textId="34A18C3F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Pokud orgán příslušný k řešení krize povolí, aby byly závazky považovány za nástroje způsobilých závazků v souladu s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4 nařízení (EU) č. 575/2013, pak vykazující subjekt uvede „ano“.</w:t>
            </w:r>
          </w:p>
          <w:p w14:paraId="6B081016" w14:textId="4812518D" w:rsidR="0064224B" w:rsidRPr="0008623B" w:rsidRDefault="0064224B" w:rsidP="00BB35E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Pokud orgán příslušný k řešení krize nepovolí, aby byly závazky považovány za nástroje způsobilých závazků v souladu s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4 nařízení (EU) č. 575/2013, pak skupina nebo subjekt řešící krizi uvede „ne“.</w:t>
            </w:r>
          </w:p>
          <w:p w14:paraId="2F5E08DD" w14:textId="726ED396" w:rsidR="0064224B" w:rsidRPr="0008623B" w:rsidRDefault="0064224B" w:rsidP="00A707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Jelikož výjimky stanovené v čl.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 3 a 4 nařízení (EU) č. 575/2013 se vzájemně vylučují, tento řádek se nevyplní, pokud vykazující subjekt vyplnil řádek 6b.</w:t>
            </w:r>
          </w:p>
        </w:tc>
      </w:tr>
      <w:tr w:rsidR="008B1AF1" w:rsidRPr="0008623B" w14:paraId="03F999DF" w14:textId="77777777" w:rsidTr="00915305">
        <w:trPr>
          <w:trHeight w:val="316"/>
        </w:trPr>
        <w:tc>
          <w:tcPr>
            <w:tcW w:w="1384" w:type="dxa"/>
          </w:tcPr>
          <w:p w14:paraId="4B73F7B3" w14:textId="3C82303C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6b</w:t>
            </w:r>
            <w:proofErr w:type="gramEnd"/>
          </w:p>
        </w:tc>
        <w:tc>
          <w:tcPr>
            <w:tcW w:w="7655" w:type="dxa"/>
          </w:tcPr>
          <w:p w14:paraId="41C2E586" w14:textId="6CC03437" w:rsidR="00BB35EA" w:rsidRPr="0008623B" w:rsidRDefault="00650183" w:rsidP="00705F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Souhrnná hodnota povolených nepodřízených nástrojů způsobilých závazků, pokud je využita možnost týkající se podřízenosti v souladu s čl. 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odst. 3 nařízení (EU) č. 575/2013 (maximálně 3,5% výjimka)</w:t>
            </w:r>
          </w:p>
          <w:p w14:paraId="564101D0" w14:textId="5C7DA717" w:rsidR="00705FB0" w:rsidRPr="0008623B" w:rsidRDefault="00705FB0" w:rsidP="00705F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Tento řádek vykazují pouze subjekty, které podléhají požadavku na kapitál a způsobilé závazky G-SVI.</w:t>
            </w:r>
          </w:p>
          <w:p w14:paraId="00AD85CC" w14:textId="318F6AC9" w:rsidR="002A5279" w:rsidRPr="0008623B" w:rsidRDefault="002A5279" w:rsidP="002A527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Souhrnná hodnota nepodřízených nástrojů způsobilých závazků, které orgán příslušný k řešení krize povolil považovat za nástroje způsobilých závazků pro účely TLAC v souladu s 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72b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3 nařízení (EU) č. 575/2013.</w:t>
            </w:r>
          </w:p>
          <w:p w14:paraId="24CA67B7" w14:textId="04F0B6BC" w:rsidR="008B1AF1" w:rsidRPr="0008623B" w:rsidRDefault="00705FB0" w:rsidP="00D458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Jelikož výjimky stanovené v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3 a 4 nařízení (EU) č. 575/2013 se vzájemně vylučují, tento řádek se nevyplní, pokud subjekt v řádku 6a uvede „ano“.</w:t>
            </w:r>
          </w:p>
        </w:tc>
      </w:tr>
      <w:tr w:rsidR="008B1AF1" w:rsidRPr="0008623B" w14:paraId="2D64923D" w14:textId="77777777" w:rsidTr="00915305">
        <w:trPr>
          <w:trHeight w:val="316"/>
        </w:trPr>
        <w:tc>
          <w:tcPr>
            <w:tcW w:w="1384" w:type="dxa"/>
          </w:tcPr>
          <w:p w14:paraId="6C3622AD" w14:textId="140E60D3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6c</w:t>
            </w:r>
          </w:p>
        </w:tc>
        <w:tc>
          <w:tcPr>
            <w:tcW w:w="7655" w:type="dxa"/>
          </w:tcPr>
          <w:p w14:paraId="73DD47A6" w14:textId="24A022DC" w:rsidR="008B1AF1" w:rsidRPr="0008623B" w:rsidRDefault="008B1AF1" w:rsidP="008B1A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Platí-li výjimka z podřízenosti s horní hranicí v souladu s čl. 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odst. 3 nařízení (EU) č. 575/2013, výše vydaného finančního krytí, které je na stejné úrovni jako vyloučené závazky a které je vykázáno v řádku 1, vydělená výší vydaného finančního krytí, které je na stejné úrovni jako vyloučené závazky a které by bylo vykázáno v řádku 1, pokud by nebyla uplatněna horní hranice (%)</w:t>
            </w:r>
          </w:p>
          <w:p w14:paraId="02910CB6" w14:textId="36BCF0A1" w:rsidR="00CF21D0" w:rsidRPr="0008623B" w:rsidRDefault="00CF21D0" w:rsidP="00B654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Tento řádek vykazují pouze subjekty, které podléhají požadavku na kapitál a způsobilé závazky G-SVI.</w:t>
            </w:r>
          </w:p>
          <w:p w14:paraId="27823EE1" w14:textId="65D1AB03" w:rsidR="008B1AF1" w:rsidRPr="0008623B" w:rsidRDefault="008B1AF1" w:rsidP="00B654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Tento řádek informuje majitele přednostního dluhu vydaného subjektem řešícím krizi o procentním podílu nevyloučeného přednostního dluhu, který je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považován za způsobilý, aby tak tito majitelé případně mohli uplatnit režim odpočtů stanovený v článku 72e nařízení (EU) č. 575/2013.</w:t>
            </w:r>
          </w:p>
          <w:p w14:paraId="69CB0A17" w14:textId="58CD2CDA" w:rsidR="00CF21D0" w:rsidRPr="0008623B" w:rsidRDefault="00F66078" w:rsidP="00B62DC9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Platí-li výjimka z podřízenosti s horní hranicí podle čl. 72b odst. 3 nařízení (EU) č. 575/2013, subjekty vykazují:</w:t>
            </w:r>
          </w:p>
          <w:p w14:paraId="2D4EFCF5" w14:textId="674F215C" w:rsidR="00CF21D0" w:rsidRPr="0008623B" w:rsidRDefault="00F66078" w:rsidP="0073688E">
            <w:pPr>
              <w:spacing w:before="120" w:after="120" w:line="240" w:lineRule="auto"/>
              <w:jc w:val="both"/>
              <w:rPr>
                <w:rStyle w:val="InstructionsTabelleberschrift"/>
                <w:rFonts w:ascii="Times New Roman" w:hAnsi="Times New Roman"/>
                <w:b w:val="0"/>
                <w:sz w:val="24"/>
                <w:szCs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a) výši vydaného finančního krytí, které je na stejné úrovni jako vyloučené závazky uvedené v čl. </w:t>
            </w:r>
            <w:proofErr w:type="gramStart"/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72a</w:t>
            </w:r>
            <w:proofErr w:type="gramEnd"/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odst. 2 nařízení (EU) č. 575/2013 a které je zahrnuto do hodnoty uvedené v řádku 1;</w:t>
            </w:r>
          </w:p>
          <w:p w14:paraId="61EF1E26" w14:textId="12BB5640" w:rsidR="00CF21D0" w:rsidRPr="0008623B" w:rsidRDefault="00F66078" w:rsidP="0073688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b) děleno výší vydaného finančního krytí, které je na stejné úrovni jako vyloučené závazky uvedené v čl. </w:t>
            </w:r>
            <w:proofErr w:type="gramStart"/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72a</w:t>
            </w:r>
            <w:proofErr w:type="gramEnd"/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odst. 2 nařízení (EU) č. 575/2013 a které by bylo vykázáno v řádku 1, pokud by nebyla uplatněna horní hranice.</w:t>
            </w:r>
          </w:p>
        </w:tc>
      </w:tr>
      <w:tr w:rsidR="008B1AF1" w:rsidRPr="0008623B" w14:paraId="3397A407" w14:textId="77777777" w:rsidTr="00915305">
        <w:trPr>
          <w:trHeight w:val="316"/>
        </w:trPr>
        <w:tc>
          <w:tcPr>
            <w:tcW w:w="1384" w:type="dxa"/>
          </w:tcPr>
          <w:p w14:paraId="064B005C" w14:textId="65B49825" w:rsidR="008B1AF1" w:rsidRPr="000F4804" w:rsidDel="00CD7CA4" w:rsidRDefault="008B1AF1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65986DE" w14:textId="77777777" w:rsidR="008B1AF1" w:rsidRPr="0008623B" w:rsidRDefault="008B1AF1" w:rsidP="008B1A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Minimální požadavek na kapitál a způsobilé závazky (MREL)</w:t>
            </w:r>
          </w:p>
        </w:tc>
      </w:tr>
      <w:tr w:rsidR="008B1AF1" w:rsidRPr="0008623B" w14:paraId="1D50EF40" w14:textId="77777777" w:rsidTr="00915305">
        <w:trPr>
          <w:trHeight w:val="316"/>
        </w:trPr>
        <w:tc>
          <w:tcPr>
            <w:tcW w:w="1384" w:type="dxa"/>
          </w:tcPr>
          <w:p w14:paraId="5B7C6EEB" w14:textId="0DDF46DE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EU-7</w:t>
            </w:r>
          </w:p>
        </w:tc>
        <w:tc>
          <w:tcPr>
            <w:tcW w:w="7655" w:type="dxa"/>
          </w:tcPr>
          <w:p w14:paraId="4FB8070F" w14:textId="2E661595" w:rsidR="008B1AF1" w:rsidRPr="0008623B" w:rsidRDefault="008B1AF1" w:rsidP="008B1AF1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vyjádřený jako procentní podíl celkového objemu rizikové expozice</w:t>
            </w:r>
          </w:p>
          <w:p w14:paraId="5D62407D" w14:textId="1D56CFCB" w:rsidR="006453C4" w:rsidRPr="0008623B" w:rsidRDefault="006453C4" w:rsidP="00D33D65">
            <w:pPr>
              <w:pStyle w:val="Fait"/>
            </w:pPr>
            <w:r>
              <w:rPr>
                <w:color w:val="000000" w:themeColor="text1"/>
              </w:rPr>
              <w:t>Minimální požadavek na kapitál a způsobilé závazky subjektu, jak je stanoven orgánem příslušným k řešení krize v souladu s článkem 45e směrnice 2014/59/EU, vyjádřený jako procentní podíl celkového objemu rizikové expozice vypočítaného v souladu s čl. 92 odst. 3 nařízení (EU) č. 575/2013.</w:t>
            </w:r>
          </w:p>
        </w:tc>
      </w:tr>
      <w:tr w:rsidR="008B1AF1" w:rsidRPr="0008623B" w14:paraId="1415A72E" w14:textId="77777777" w:rsidTr="00915305">
        <w:trPr>
          <w:trHeight w:val="316"/>
        </w:trPr>
        <w:tc>
          <w:tcPr>
            <w:tcW w:w="1384" w:type="dxa"/>
          </w:tcPr>
          <w:p w14:paraId="519FCFF9" w14:textId="293BA3A8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EU-8</w:t>
            </w:r>
          </w:p>
        </w:tc>
        <w:tc>
          <w:tcPr>
            <w:tcW w:w="7655" w:type="dxa"/>
          </w:tcPr>
          <w:p w14:paraId="7AFA5D84" w14:textId="75D8B263" w:rsidR="008B1AF1" w:rsidRPr="0008623B" w:rsidRDefault="00B80F7C" w:rsidP="008B1AF1">
            <w:pPr>
              <w:pStyle w:val="Applicationdirecte"/>
              <w:spacing w:before="0" w:after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vyjádřený jako procentní podíl celkového objemu rizikové expozice – z toho kolik má být splněno z kapitálu nebo podřízených závazků</w:t>
            </w:r>
          </w:p>
          <w:p w14:paraId="33EFDD9D" w14:textId="00E44973" w:rsidR="008B1AF1" w:rsidRPr="0008623B" w:rsidRDefault="00D819D9" w:rsidP="00D33D65">
            <w:pPr>
              <w:rPr>
                <w:color w:val="000000" w:themeColor="text1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V příslušných případech část MREL, u níž orgán příslušný k řešení krize v souladu s 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45b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4 až 8 směrnice 2014/59/EU vyžaduje, aby byla splněna za použití kapitálu, podřízených způsobilých nástrojů nebo závazků uvedených v odstavci 3 uvedeného článku,</w:t>
            </w:r>
            <w:r>
              <w:rPr>
                <w:rFonts w:ascii="Times New Roman" w:hAnsi="Times New Roman"/>
                <w:sz w:val="24"/>
              </w:rPr>
              <w:t xml:space="preserve"> vyjádřená jako procentní podíl celkového objemu rizikové expozice vypočítaného v souladu s čl. 92 odst. 3 nařízení (EU) č.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8B1AF1" w:rsidRPr="0008623B" w14:paraId="060950C0" w14:textId="77777777" w:rsidTr="00915305">
        <w:trPr>
          <w:trHeight w:val="316"/>
        </w:trPr>
        <w:tc>
          <w:tcPr>
            <w:tcW w:w="1384" w:type="dxa"/>
          </w:tcPr>
          <w:p w14:paraId="1DBB4CB4" w14:textId="31361788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EU-9</w:t>
            </w:r>
          </w:p>
        </w:tc>
        <w:tc>
          <w:tcPr>
            <w:tcW w:w="7655" w:type="dxa"/>
          </w:tcPr>
          <w:p w14:paraId="357A69B0" w14:textId="07AF7072" w:rsidR="008B1AF1" w:rsidRPr="0008623B" w:rsidRDefault="008B1AF1" w:rsidP="008B1AF1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vyjádřený jako procentní podíl celkové míry expozic</w:t>
            </w:r>
          </w:p>
          <w:p w14:paraId="7ABED549" w14:textId="5EF36813" w:rsidR="006453C4" w:rsidRPr="0008623B" w:rsidRDefault="006453C4" w:rsidP="00717DB0">
            <w:pPr>
              <w:pStyle w:val="Fait"/>
            </w:pPr>
            <w:r>
              <w:t>Minimální požadavek na kapitál a způsobilé závazky vykazujícího subjektu, jak je stanoven orgánem příslušným k řešení krize v souladu s článkem 45e směrnice 2014/59/EU, vyjádřený jako procentní podíl celkové míry expozic vypočítané v souladu s čl. 429 odst. 4 a článkem 429a nařízení (EU) č. 575/2013.</w:t>
            </w:r>
          </w:p>
        </w:tc>
      </w:tr>
      <w:tr w:rsidR="008B1AF1" w:rsidRPr="0008623B" w14:paraId="5A4A9503" w14:textId="77777777" w:rsidTr="00915305">
        <w:trPr>
          <w:trHeight w:val="316"/>
        </w:trPr>
        <w:tc>
          <w:tcPr>
            <w:tcW w:w="1384" w:type="dxa"/>
          </w:tcPr>
          <w:p w14:paraId="4E5C6AFC" w14:textId="2C522F9C" w:rsidR="008B1AF1" w:rsidRPr="0008623B" w:rsidRDefault="00FF2A56" w:rsidP="008B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EU-10</w:t>
            </w:r>
          </w:p>
        </w:tc>
        <w:tc>
          <w:tcPr>
            <w:tcW w:w="7655" w:type="dxa"/>
          </w:tcPr>
          <w:p w14:paraId="4A8117E5" w14:textId="70796A0D" w:rsidR="008B1AF1" w:rsidRPr="0008623B" w:rsidRDefault="00B80F7C" w:rsidP="008B1AF1">
            <w:pPr>
              <w:pStyle w:val="Applicationdirecte"/>
              <w:spacing w:before="0" w:after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MREL vyjádřený jako procentní podíl celkové míry expozic – z toho kolik má být splněno z kapitálu nebo podřízených závazků</w:t>
            </w:r>
          </w:p>
          <w:p w14:paraId="366BA2A0" w14:textId="50E2609F" w:rsidR="008B1AF1" w:rsidRPr="0008623B" w:rsidRDefault="00D819D9" w:rsidP="00E1386E">
            <w:pPr>
              <w:rPr>
                <w:color w:val="000000" w:themeColor="text1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V příslušných případech část MREL, u níž orgán příslušný k řešení krize v souladu s 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45b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4 až 8 směrnice 2014/59/EU vyžaduje, aby byla splněna za použití kapitálu, podřízených způsobilých nástrojů nebo závazků uvedených v odstavci 3 uvedeného článku,</w:t>
            </w:r>
            <w:r>
              <w:rPr>
                <w:rFonts w:ascii="Times New Roman" w:hAnsi="Times New Roman"/>
                <w:sz w:val="24"/>
              </w:rPr>
              <w:t xml:space="preserve"> vyjádřená jako procentní podíl </w:t>
            </w:r>
            <w:r>
              <w:rPr>
                <w:rFonts w:ascii="Times New Roman" w:hAnsi="Times New Roman"/>
                <w:sz w:val="24"/>
              </w:rPr>
              <w:lastRenderedPageBreak/>
              <w:t>celkové míry expozic vypočítané v souladu s čl. 429 odst. 4 a článkem 429a nařízení (EU) č.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</w:tbl>
    <w:p w14:paraId="38CEC33F" w14:textId="77777777" w:rsidR="005673AC" w:rsidRPr="0008623B" w:rsidRDefault="005673AC" w:rsidP="00E258D8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</w:pPr>
    </w:p>
    <w:p w14:paraId="62DE89D5" w14:textId="0B5C7ED4" w:rsidR="003956D6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5" w:name="_Toc14768967"/>
      <w:bookmarkStart w:id="26" w:name="_Toc14769241"/>
      <w:bookmarkStart w:id="27" w:name="_Toc14769635"/>
      <w:bookmarkStart w:id="28" w:name="_Toc14769788"/>
      <w:bookmarkStart w:id="29" w:name="_Toc14770058"/>
      <w:bookmarkStart w:id="30" w:name="_Toc14770328"/>
      <w:bookmarkStart w:id="31" w:name="_Toc14770481"/>
      <w:bookmarkStart w:id="32" w:name="_Toc14770636"/>
      <w:bookmarkStart w:id="33" w:name="_Toc14770791"/>
      <w:bookmarkStart w:id="34" w:name="_Toc14770948"/>
      <w:bookmarkStart w:id="35" w:name="_Toc14771489"/>
      <w:bookmarkStart w:id="36" w:name="_Toc14771607"/>
      <w:bookmarkStart w:id="37" w:name="_Toc15478323"/>
      <w:bookmarkStart w:id="38" w:name="_Toc14768968"/>
      <w:bookmarkStart w:id="39" w:name="_Toc14769242"/>
      <w:bookmarkStart w:id="40" w:name="_Toc14769636"/>
      <w:bookmarkStart w:id="41" w:name="_Toc14769789"/>
      <w:bookmarkStart w:id="42" w:name="_Toc14770059"/>
      <w:bookmarkStart w:id="43" w:name="_Toc14770329"/>
      <w:bookmarkStart w:id="44" w:name="_Toc14770482"/>
      <w:bookmarkStart w:id="45" w:name="_Toc14770637"/>
      <w:bookmarkStart w:id="46" w:name="_Toc14770792"/>
      <w:bookmarkStart w:id="47" w:name="_Toc14770949"/>
      <w:bookmarkStart w:id="48" w:name="_Toc14771608"/>
      <w:bookmarkStart w:id="49" w:name="_Toc14768969"/>
      <w:bookmarkStart w:id="50" w:name="_Toc14769243"/>
      <w:bookmarkStart w:id="51" w:name="_Toc14769637"/>
      <w:bookmarkStart w:id="52" w:name="_Toc14769790"/>
      <w:bookmarkStart w:id="53" w:name="_Toc14770060"/>
      <w:bookmarkStart w:id="54" w:name="_Toc14770330"/>
      <w:bookmarkStart w:id="55" w:name="_Toc14770483"/>
      <w:bookmarkStart w:id="56" w:name="_Toc14770638"/>
      <w:bookmarkStart w:id="57" w:name="_Toc14770793"/>
      <w:bookmarkStart w:id="58" w:name="_Toc14770950"/>
      <w:bookmarkStart w:id="59" w:name="_Toc14771491"/>
      <w:bookmarkStart w:id="60" w:name="_Toc14771609"/>
      <w:bookmarkStart w:id="61" w:name="_Toc15478325"/>
      <w:bookmarkStart w:id="62" w:name="_Toc14768970"/>
      <w:bookmarkStart w:id="63" w:name="_Toc14769244"/>
      <w:bookmarkStart w:id="64" w:name="_Toc14769638"/>
      <w:bookmarkStart w:id="65" w:name="_Toc14769791"/>
      <w:bookmarkStart w:id="66" w:name="_Toc14770061"/>
      <w:bookmarkStart w:id="67" w:name="_Toc14770331"/>
      <w:bookmarkStart w:id="68" w:name="_Toc14770484"/>
      <w:bookmarkStart w:id="69" w:name="_Toc14770639"/>
      <w:bookmarkStart w:id="70" w:name="_Toc14770794"/>
      <w:bookmarkStart w:id="71" w:name="_Toc14770951"/>
      <w:bookmarkStart w:id="72" w:name="_Toc14771610"/>
      <w:bookmarkStart w:id="73" w:name="_Toc14768971"/>
      <w:bookmarkStart w:id="74" w:name="_Toc14769245"/>
      <w:bookmarkStart w:id="75" w:name="_Toc14769639"/>
      <w:bookmarkStart w:id="76" w:name="_Toc14769792"/>
      <w:bookmarkStart w:id="77" w:name="_Toc14770062"/>
      <w:bookmarkStart w:id="78" w:name="_Toc14770332"/>
      <w:bookmarkStart w:id="79" w:name="_Toc14770485"/>
      <w:bookmarkStart w:id="80" w:name="_Toc14770640"/>
      <w:bookmarkStart w:id="81" w:name="_Toc14770795"/>
      <w:bookmarkStart w:id="82" w:name="_Toc14770952"/>
      <w:bookmarkStart w:id="83" w:name="_Toc14771493"/>
      <w:bookmarkStart w:id="84" w:name="_Toc14771611"/>
      <w:bookmarkStart w:id="85" w:name="_Toc15478327"/>
      <w:bookmarkStart w:id="86" w:name="_Toc14768986"/>
      <w:bookmarkStart w:id="87" w:name="_Toc14769260"/>
      <w:bookmarkStart w:id="88" w:name="_Toc14769654"/>
      <w:bookmarkStart w:id="89" w:name="_Toc14769807"/>
      <w:bookmarkStart w:id="90" w:name="_Toc14770077"/>
      <w:bookmarkStart w:id="91" w:name="_Toc14770347"/>
      <w:bookmarkStart w:id="92" w:name="_Toc14770500"/>
      <w:bookmarkStart w:id="93" w:name="_Toc14770655"/>
      <w:bookmarkStart w:id="94" w:name="_Toc14770810"/>
      <w:bookmarkStart w:id="95" w:name="_Toc14770967"/>
      <w:bookmarkStart w:id="96" w:name="_Toc14771504"/>
      <w:bookmarkStart w:id="97" w:name="_Toc14771626"/>
      <w:bookmarkStart w:id="98" w:name="_Toc15478338"/>
      <w:bookmarkStart w:id="99" w:name="_Toc14768987"/>
      <w:bookmarkStart w:id="100" w:name="_Toc14769261"/>
      <w:bookmarkStart w:id="101" w:name="_Toc14769655"/>
      <w:bookmarkStart w:id="102" w:name="_Toc14769808"/>
      <w:bookmarkStart w:id="103" w:name="_Toc14770078"/>
      <w:bookmarkStart w:id="104" w:name="_Toc14770348"/>
      <w:bookmarkStart w:id="105" w:name="_Toc14770501"/>
      <w:bookmarkStart w:id="106" w:name="_Toc14770656"/>
      <w:bookmarkStart w:id="107" w:name="_Toc14770811"/>
      <w:bookmarkStart w:id="108" w:name="_Toc14770968"/>
      <w:bookmarkStart w:id="109" w:name="_Toc14771627"/>
      <w:bookmarkStart w:id="110" w:name="_Toc14768988"/>
      <w:bookmarkStart w:id="111" w:name="_Toc14769262"/>
      <w:bookmarkStart w:id="112" w:name="_Toc14769656"/>
      <w:bookmarkStart w:id="113" w:name="_Toc14769809"/>
      <w:bookmarkStart w:id="114" w:name="_Toc14770079"/>
      <w:bookmarkStart w:id="115" w:name="_Toc14770349"/>
      <w:bookmarkStart w:id="116" w:name="_Toc14770502"/>
      <w:bookmarkStart w:id="117" w:name="_Toc14770657"/>
      <w:bookmarkStart w:id="118" w:name="_Toc14770812"/>
      <w:bookmarkStart w:id="119" w:name="_Toc14770969"/>
      <w:bookmarkStart w:id="120" w:name="_Toc14771506"/>
      <w:bookmarkStart w:id="121" w:name="_Toc14771628"/>
      <w:bookmarkStart w:id="122" w:name="_Toc15478340"/>
      <w:bookmarkStart w:id="123" w:name="_Toc14768989"/>
      <w:bookmarkStart w:id="124" w:name="_Toc14769263"/>
      <w:bookmarkStart w:id="125" w:name="_Toc14769657"/>
      <w:bookmarkStart w:id="126" w:name="_Toc14769810"/>
      <w:bookmarkStart w:id="127" w:name="_Toc14770080"/>
      <w:bookmarkStart w:id="128" w:name="_Toc14770350"/>
      <w:bookmarkStart w:id="129" w:name="_Toc14770503"/>
      <w:bookmarkStart w:id="130" w:name="_Toc14770658"/>
      <w:bookmarkStart w:id="131" w:name="_Toc14770813"/>
      <w:bookmarkStart w:id="132" w:name="_Toc14770970"/>
      <w:bookmarkStart w:id="133" w:name="_Toc14771629"/>
      <w:bookmarkStart w:id="134" w:name="_Toc14768990"/>
      <w:bookmarkStart w:id="135" w:name="_Toc14769264"/>
      <w:bookmarkStart w:id="136" w:name="_Toc14769658"/>
      <w:bookmarkStart w:id="137" w:name="_Toc14769811"/>
      <w:bookmarkStart w:id="138" w:name="_Toc14770081"/>
      <w:bookmarkStart w:id="139" w:name="_Toc14770351"/>
      <w:bookmarkStart w:id="140" w:name="_Toc14770504"/>
      <w:bookmarkStart w:id="141" w:name="_Toc14770659"/>
      <w:bookmarkStart w:id="142" w:name="_Toc14770814"/>
      <w:bookmarkStart w:id="143" w:name="_Toc14770971"/>
      <w:bookmarkStart w:id="144" w:name="_Toc14771508"/>
      <w:bookmarkStart w:id="145" w:name="_Toc14771630"/>
      <w:bookmarkStart w:id="146" w:name="_Toc15478342"/>
      <w:bookmarkStart w:id="147" w:name="_Toc14769016"/>
      <w:bookmarkStart w:id="148" w:name="_Toc14769290"/>
      <w:bookmarkStart w:id="149" w:name="_Toc14769684"/>
      <w:bookmarkStart w:id="150" w:name="_Toc14769837"/>
      <w:bookmarkStart w:id="151" w:name="_Toc14770107"/>
      <w:bookmarkStart w:id="152" w:name="_Toc14770377"/>
      <w:bookmarkStart w:id="153" w:name="_Toc14770530"/>
      <w:bookmarkStart w:id="154" w:name="_Toc14770685"/>
      <w:bookmarkStart w:id="155" w:name="_Toc14770840"/>
      <w:bookmarkStart w:id="156" w:name="_Toc14770997"/>
      <w:bookmarkStart w:id="157" w:name="_Toc14771527"/>
      <w:bookmarkStart w:id="158" w:name="_Toc14771656"/>
      <w:bookmarkStart w:id="159" w:name="_Toc15478361"/>
      <w:bookmarkStart w:id="160" w:name="_Toc14769060"/>
      <w:bookmarkStart w:id="161" w:name="_Toc14769334"/>
      <w:bookmarkStart w:id="162" w:name="_Toc14769728"/>
      <w:bookmarkStart w:id="163" w:name="_Toc14769881"/>
      <w:bookmarkStart w:id="164" w:name="_Toc14770151"/>
      <w:bookmarkStart w:id="165" w:name="_Toc14770421"/>
      <w:bookmarkStart w:id="166" w:name="_Toc14770574"/>
      <w:bookmarkStart w:id="167" w:name="_Toc14770729"/>
      <w:bookmarkStart w:id="168" w:name="_Toc14770884"/>
      <w:bookmarkStart w:id="169" w:name="_Toc14771041"/>
      <w:bookmarkStart w:id="170" w:name="_Toc14771559"/>
      <w:bookmarkStart w:id="171" w:name="_Toc14771700"/>
      <w:bookmarkStart w:id="172" w:name="_Toc15478393"/>
      <w:bookmarkStart w:id="173" w:name="_Toc14769113"/>
      <w:bookmarkStart w:id="174" w:name="_Toc14769387"/>
      <w:bookmarkStart w:id="175" w:name="_Toc14769781"/>
      <w:bookmarkStart w:id="176" w:name="_Toc14769934"/>
      <w:bookmarkStart w:id="177" w:name="_Toc14770204"/>
      <w:bookmarkStart w:id="178" w:name="_Toc14770474"/>
      <w:bookmarkStart w:id="179" w:name="_Toc14770627"/>
      <w:bookmarkStart w:id="180" w:name="_Toc14770782"/>
      <w:bookmarkStart w:id="181" w:name="_Toc14770937"/>
      <w:bookmarkStart w:id="182" w:name="_Toc14771094"/>
      <w:bookmarkStart w:id="183" w:name="_Toc14771600"/>
      <w:bookmarkStart w:id="184" w:name="_Toc14771753"/>
      <w:bookmarkStart w:id="185" w:name="_Toc1547843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r>
        <w:rPr>
          <w:rFonts w:ascii="Times New Roman" w:hAnsi="Times New Roman"/>
          <w:color w:val="auto"/>
          <w:sz w:val="24"/>
        </w:rPr>
        <w:t>3.</w:t>
      </w:r>
      <w:r>
        <w:rPr>
          <w:rFonts w:ascii="Times New Roman" w:hAnsi="Times New Roman"/>
          <w:color w:val="auto"/>
          <w:sz w:val="24"/>
        </w:rPr>
        <w:tab/>
      </w:r>
      <w:bookmarkStart w:id="186" w:name="_Toc14770783"/>
      <w:bookmarkStart w:id="187" w:name="_Toc45266927"/>
      <w:r>
        <w:rPr>
          <w:rFonts w:ascii="Times New Roman" w:hAnsi="Times New Roman"/>
          <w:color w:val="auto"/>
          <w:sz w:val="24"/>
        </w:rPr>
        <w:t>EU TLAC 1: Složení – MREL a případně požadavek na kapitál a způsobilé závazky G-SVI</w:t>
      </w:r>
      <w:bookmarkEnd w:id="186"/>
      <w:bookmarkEnd w:id="187"/>
    </w:p>
    <w:p w14:paraId="5FDEB8AD" w14:textId="17A1952C" w:rsidR="00021E4F" w:rsidRPr="0008623B" w:rsidRDefault="00021E4F" w:rsidP="00B62DC9">
      <w:pPr>
        <w:pStyle w:val="InstructionsText2"/>
        <w:numPr>
          <w:ilvl w:val="0"/>
          <w:numId w:val="12"/>
        </w:numPr>
      </w:pPr>
      <w:r>
        <w:t>Pozice kapitálu a způsobilých závazků týkající se skupiny řešící krizi zahrnuje pouze kapitálové nástroje a způsobilé závazky vydané subjektem řešícím krizi, a je-li to v souladu s čl. 45b odst. 3 směrnice 2014/59/EU nebo článkem 88a nařízení (EU) č. 575/2013, v příslušných případech dceřinými podniky subjektu řešícího krizi, s vyloučením subjektů mimo skupinu řešící krizi. Obdobně je pozice kapitálu a způsobilých závazků založena na celkovém objemu rizikové expozice (s povolenou úpravou v souladu s čl. 45h odst. 2 směrnice 2014/59/EU) a na celkové míře expozic vypočítané na úrovni skupiny řešící krizi.</w:t>
      </w:r>
    </w:p>
    <w:p w14:paraId="31AA4E2B" w14:textId="5FF6ED9D" w:rsidR="00B00CC4" w:rsidRPr="0008623B" w:rsidRDefault="00021E4F" w:rsidP="00B62DC9">
      <w:pPr>
        <w:pStyle w:val="InstructionsText2"/>
        <w:numPr>
          <w:ilvl w:val="0"/>
          <w:numId w:val="12"/>
        </w:numPr>
      </w:pPr>
      <w:r>
        <w:t>Pokud jde o regulatorní úpravy, subjekty vykáží odpočty z kapitálu a způsobilých závazků jako záporná čísla a přírůstky ke kapitálu a způsobilým závazkům jako kladná čísla.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807127" w:rsidRPr="0008623B" w14:paraId="326F196A" w14:textId="77777777" w:rsidTr="008071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0D11A621" w14:textId="7182C6B7" w:rsidR="00807127" w:rsidRPr="0008623B" w:rsidRDefault="00807127" w:rsidP="00807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Sloupce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791EECCB" w14:textId="195647A1" w:rsidR="00807127" w:rsidRPr="0008623B" w:rsidRDefault="00E46262" w:rsidP="00807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807127" w:rsidRPr="0008623B" w14:paraId="32E9685C" w14:textId="77777777" w:rsidTr="00807127">
        <w:trPr>
          <w:trHeight w:val="637"/>
        </w:trPr>
        <w:tc>
          <w:tcPr>
            <w:tcW w:w="1384" w:type="dxa"/>
          </w:tcPr>
          <w:p w14:paraId="6B2EC01C" w14:textId="6A4D6558" w:rsidR="00807127" w:rsidRPr="0008623B" w:rsidDel="00DE6BC1" w:rsidRDefault="00807127" w:rsidP="00EF47A4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436FCBC7" w14:textId="60418D16" w:rsidR="00807127" w:rsidRPr="0008623B" w:rsidRDefault="008C2E99" w:rsidP="003C10C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Subjekty v tomto sloupci uvedou příslušné informace o MREL v souladu s články 45 a 45e směrnice 2014/59/EU.</w:t>
            </w:r>
          </w:p>
        </w:tc>
      </w:tr>
      <w:tr w:rsidR="00807127" w:rsidRPr="0008623B" w14:paraId="462C6C09" w14:textId="77777777" w:rsidTr="00807127">
        <w:trPr>
          <w:trHeight w:val="637"/>
        </w:trPr>
        <w:tc>
          <w:tcPr>
            <w:tcW w:w="1384" w:type="dxa"/>
          </w:tcPr>
          <w:p w14:paraId="560866CC" w14:textId="77777777" w:rsidR="00807127" w:rsidRPr="0008623B" w:rsidDel="00DE6BC1" w:rsidRDefault="00807127" w:rsidP="00807127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655" w:type="dxa"/>
          </w:tcPr>
          <w:p w14:paraId="1B5C7CCC" w14:textId="65BA9065" w:rsidR="00807127" w:rsidRPr="0008623B" w:rsidRDefault="008C2E99" w:rsidP="00F60AC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Subjekty, které jsou G-SVI, na něž se vztahuje požadavek TLAC v souladu s článkem 92a nařízení (EU) č. 575/2013, v tomto sloupci uvedou příslušné informace týkající se tohoto požadavku. </w:t>
            </w:r>
          </w:p>
        </w:tc>
      </w:tr>
      <w:tr w:rsidR="00807127" w:rsidRPr="0008623B" w14:paraId="4B0052CD" w14:textId="77777777" w:rsidTr="00807127">
        <w:trPr>
          <w:trHeight w:val="637"/>
        </w:trPr>
        <w:tc>
          <w:tcPr>
            <w:tcW w:w="1384" w:type="dxa"/>
          </w:tcPr>
          <w:p w14:paraId="3F556DCF" w14:textId="09520620" w:rsidR="00807127" w:rsidRPr="0008623B" w:rsidDel="00DE6BC1" w:rsidRDefault="00807127" w:rsidP="00EF47A4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655" w:type="dxa"/>
          </w:tcPr>
          <w:p w14:paraId="77906683" w14:textId="414268DB" w:rsidR="00807127" w:rsidRPr="0008623B" w:rsidRDefault="00807127" w:rsidP="00B62DC9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Tento sloupec vyplní pouze subjekty, na které se vztahuje požadavek TLAC.</w:t>
            </w:r>
            <w:r>
              <w:t xml:space="preserve"> </w:t>
            </w:r>
          </w:p>
          <w:p w14:paraId="1B6D4BC4" w14:textId="410E4195" w:rsidR="00807127" w:rsidRPr="0008623B" w:rsidRDefault="00807127" w:rsidP="00B62DC9">
            <w:pPr>
              <w:pStyle w:val="InstructionsText"/>
            </w:pPr>
            <w:r>
              <w:t>Tento sloupec odráží rozdíl mezi hodnotami platnými v kontextu požadavku podle článku 45 směrnice 2014/59/EU a hodnotami platnými v kontextu požadavku podle článku 92a nařízení (EU) č. 575/2013.</w:t>
            </w:r>
          </w:p>
        </w:tc>
      </w:tr>
    </w:tbl>
    <w:p w14:paraId="3AC1888A" w14:textId="77777777" w:rsidR="00807127" w:rsidRPr="000F4804" w:rsidRDefault="00807127" w:rsidP="00807127">
      <w:pPr>
        <w:jc w:val="both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5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7736"/>
      </w:tblGrid>
      <w:tr w:rsidR="00026FC1" w:rsidRPr="0008623B" w14:paraId="6EA9B061" w14:textId="77777777" w:rsidTr="00E4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BF1AA" w14:textId="77777777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Řádek 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2E936" w14:textId="094D65BE" w:rsidR="00021E4F" w:rsidRPr="0008623B" w:rsidRDefault="00E46262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026FC1" w:rsidRPr="0008623B" w14:paraId="614F9517" w14:textId="77777777" w:rsidTr="00E46262">
        <w:tc>
          <w:tcPr>
            <w:tcW w:w="1030" w:type="dxa"/>
          </w:tcPr>
          <w:p w14:paraId="7EE06B6D" w14:textId="77777777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7736" w:type="dxa"/>
          </w:tcPr>
          <w:p w14:paraId="709BFA1D" w14:textId="0A17EB42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Kmenový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 1</w:t>
            </w:r>
          </w:p>
          <w:p w14:paraId="0C38277D" w14:textId="1D578338" w:rsidR="00021E4F" w:rsidRPr="0008623B" w:rsidRDefault="00021E4F" w:rsidP="0097126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Kmenový kapitál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 1 skupiny řešící krizi vypočítaný v souladu s článkem 50 nařízení (EU) č. 575/2013.</w:t>
            </w:r>
          </w:p>
        </w:tc>
      </w:tr>
      <w:tr w:rsidR="00026FC1" w:rsidRPr="0008623B" w14:paraId="0AC96626" w14:textId="77777777" w:rsidTr="00E46262">
        <w:tc>
          <w:tcPr>
            <w:tcW w:w="1030" w:type="dxa"/>
          </w:tcPr>
          <w:p w14:paraId="4517736A" w14:textId="77777777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7736" w:type="dxa"/>
          </w:tcPr>
          <w:p w14:paraId="2FB37E1A" w14:textId="007BDD23" w:rsidR="00021E4F" w:rsidRPr="0008623B" w:rsidRDefault="00021E4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Vedlejší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 1 </w:t>
            </w:r>
          </w:p>
          <w:p w14:paraId="05B0D3DA" w14:textId="4151C42D" w:rsidR="00E94218" w:rsidRPr="0008623B" w:rsidRDefault="00021E4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Vedlejší kapitál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 1 skupiny řešící krizi vypočítaný v souladu s článkem 61 nařízení (EU) č. 575/2013.</w:t>
            </w:r>
          </w:p>
          <w:p w14:paraId="66E56E67" w14:textId="5AF6C892" w:rsidR="00021E4F" w:rsidRPr="0008623B" w:rsidRDefault="00E94218" w:rsidP="00E9421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V případě MREL se nástroje, které se řídí právem třetí země, do tohoto řádku zahrnou pouze v případě, že splňují požadavky stanovené v článku 55 směrnice 2014/59/EU.</w:t>
            </w:r>
          </w:p>
        </w:tc>
      </w:tr>
      <w:tr w:rsidR="00026FC1" w:rsidRPr="0008623B" w14:paraId="2781CFBF" w14:textId="77777777" w:rsidTr="00E46262">
        <w:tc>
          <w:tcPr>
            <w:tcW w:w="1030" w:type="dxa"/>
          </w:tcPr>
          <w:p w14:paraId="6B607587" w14:textId="58DB8643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7736" w:type="dxa"/>
          </w:tcPr>
          <w:p w14:paraId="30A3A120" w14:textId="05F7C1CC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2</w:t>
            </w:r>
          </w:p>
          <w:p w14:paraId="6F849BF3" w14:textId="3A19BC99" w:rsidR="00021E4F" w:rsidRPr="0008623B" w:rsidRDefault="00021E4F" w:rsidP="001F75A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Kapitál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 2 skupiny řešící krizi vypočítaný v souladu s článkem 71 nařízení (EU) č. 575/2013.</w:t>
            </w:r>
          </w:p>
          <w:p w14:paraId="2C50816C" w14:textId="487961E7" w:rsidR="00E94218" w:rsidRPr="0008623B" w:rsidRDefault="00E94218" w:rsidP="001F75A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 případě MREL se nástroje, které se řídí právem třetí země, do tohoto řádku zahrnou pouze v případě, že splňují požadavky stanovené v článku 55 směrnice 2014/59/EU.</w:t>
            </w:r>
          </w:p>
        </w:tc>
      </w:tr>
      <w:tr w:rsidR="00026FC1" w:rsidRPr="0008623B" w14:paraId="77060B4B" w14:textId="77777777" w:rsidTr="00E46262">
        <w:tc>
          <w:tcPr>
            <w:tcW w:w="1030" w:type="dxa"/>
          </w:tcPr>
          <w:p w14:paraId="62D73831" w14:textId="2A91E8D9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7736" w:type="dxa"/>
          </w:tcPr>
          <w:p w14:paraId="3A0853BF" w14:textId="73ADC517" w:rsidR="00021E4F" w:rsidRPr="0008623B" w:rsidRDefault="00021E4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Kapitál pro účely článku 92a nařízení (EU) č. 575/2013 a článku 45 směrnice 2014/59/EU </w:t>
            </w:r>
          </w:p>
          <w:p w14:paraId="61FB0BF1" w14:textId="6C6EEBF4" w:rsidR="00021E4F" w:rsidRPr="0008623B" w:rsidRDefault="00021E4F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Kapitál pro účely článku 92a nařízení (EU) č. 575/2013 a článku 45 směrnice 2014/59/EU se vypočte jako řádek 1 plus řádek 2 plus řádek 6.</w:t>
            </w:r>
          </w:p>
        </w:tc>
      </w:tr>
      <w:tr w:rsidR="00026FC1" w:rsidRPr="0008623B" w14:paraId="5B3A8911" w14:textId="77777777" w:rsidTr="00E46262">
        <w:tc>
          <w:tcPr>
            <w:tcW w:w="1030" w:type="dxa"/>
          </w:tcPr>
          <w:p w14:paraId="3865D42E" w14:textId="14C5B714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7736" w:type="dxa"/>
          </w:tcPr>
          <w:p w14:paraId="5BC74910" w14:textId="5B101009" w:rsidR="00BD6570" w:rsidRPr="0008623B" w:rsidRDefault="00021E4F" w:rsidP="00BD657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Nástroje způsobilých závazků vydané přímo subjektem řešícím krizi, které jsou podřízené vyloučeným závazkům (bez zachování právních účinků)</w:t>
            </w:r>
          </w:p>
          <w:p w14:paraId="074ADC7C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5DF92336" w14:textId="765EDF5B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Způsobilé závazky zahrnuté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do výše kapitálu a způsobilých závazků podle článku 45b směrnice 2014/59/EU, které jsou podřízenými způsobilými nástroji ve smyslu čl. 2 odst. 1 bodu 71b směrnice 2014/59/EU a které jsou vydány přímo subjektem řešícím krizi.</w:t>
            </w:r>
          </w:p>
          <w:p w14:paraId="26CA1F30" w14:textId="30AB9FAB" w:rsidR="00A97842" w:rsidRPr="0008623B" w:rsidRDefault="00A9784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39C8C83A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66B62B57" w14:textId="0743E841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Způsobilé závazky, které splňují veškeré požadavky stanovené v článcích 72a až 72d nařízení (EU) č. 575/2013, s vyloučením závazků, které je v souladu s čl. 72b odst. 3 nebo 4 uvedeného nařízení povoleno považovat za nástroje způsobilých závazků, a které jsou vydány přímo subjektem řešícím krizi</w:t>
            </w:r>
            <w:r>
              <w:rPr>
                <w:rStyle w:val="FormatvorlageInstructionsTabelleText"/>
                <w:rFonts w:ascii="Times New Roman" w:hAnsi="Times New Roman"/>
                <w:b/>
                <w:sz w:val="24"/>
              </w:rPr>
              <w:t>.</w:t>
            </w:r>
          </w:p>
          <w:p w14:paraId="1DC64B11" w14:textId="43193578" w:rsidR="00021E4F" w:rsidRPr="0008623B" w:rsidRDefault="00BD6570" w:rsidP="002A1CB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Tento řádek nezahrnuje umořenou část nástrojů zahrnovaných do kapitálu </w:t>
            </w:r>
            <w:proofErr w:type="spellStart"/>
            <w:r>
              <w:rPr>
                <w:rStyle w:val="FormatvorlageInstructionsTabelleText"/>
                <w:rFonts w:ascii="Times New Roman" w:hAnsi="Times New Roman"/>
                <w:sz w:val="24"/>
              </w:rPr>
              <w:t>tier</w:t>
            </w:r>
            <w:proofErr w:type="spell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2 se zbývající dobou splatnosti delší než jeden rok (čl.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72a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1 písm. b) nařízení (EU) č. 575/2013), ani způsobilé závazky, pro které platí zachování právních účinků podle článku 494b nařízení (EU) č. 575/2013.</w:t>
            </w:r>
          </w:p>
        </w:tc>
      </w:tr>
      <w:tr w:rsidR="00026FC1" w:rsidRPr="0008623B" w14:paraId="138E2D9C" w14:textId="77777777" w:rsidTr="00E46262">
        <w:tc>
          <w:tcPr>
            <w:tcW w:w="1030" w:type="dxa"/>
          </w:tcPr>
          <w:p w14:paraId="6FA92C5C" w14:textId="69DE2A40" w:rsidR="00021E4F" w:rsidRPr="0008623B" w:rsidRDefault="00D571F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12a</w:t>
            </w:r>
            <w:proofErr w:type="gramEnd"/>
          </w:p>
        </w:tc>
        <w:tc>
          <w:tcPr>
            <w:tcW w:w="7736" w:type="dxa"/>
          </w:tcPr>
          <w:p w14:paraId="5358B90C" w14:textId="357A9C41" w:rsidR="00021E4F" w:rsidRPr="0008623B" w:rsidRDefault="00021E4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Nástroje způsobilých závazků vydané jinými subjekty v rámci skupiny řešící krizi, které jsou podřízené vyloučeným závazkům (bez zachování právních účinků)</w:t>
            </w:r>
          </w:p>
          <w:p w14:paraId="57A6D73A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369BA2B0" w14:textId="05CA7721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Způsobilé závazky zahrnuté do hodnoty kapitálu a způsobilých závazků podle článku 45b směrnice 2014/59/EU, které jsou vydány dceřinými podniky a jsou v souladu s čl. 45b odst. 3 uvedené směrnice zahrnuty do MREL.</w:t>
            </w:r>
          </w:p>
          <w:p w14:paraId="02BD22DB" w14:textId="392507F9" w:rsidR="003E4404" w:rsidRPr="0008623B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0BBD12E2" w14:textId="7EA7B44E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6F8A0C84" w14:textId="0CA61C04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Způsobilé závazky, které splňují veškeré požadavky stanovené v článcích 72a až 72d nařízení (EU) č. 575/2013, s vyloučením závazků, které je v souladu s čl. 72b odst. 3 nebo 4 uvedeného nařízení povoleno považovat za nástroje způsobilých závazků, které byly vydány dceřinými podniky a které v souladu s článkem 88a nařízení (EU) č. 575/2013 splňují podmínky pro zařazení do konsolidovaných nástrojů způsobilých závazků subjektu.</w:t>
            </w:r>
          </w:p>
          <w:p w14:paraId="0DBFD655" w14:textId="5A3E4820" w:rsidR="00021E4F" w:rsidRPr="0008623B" w:rsidRDefault="00BD6570" w:rsidP="002A1CB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Tento řádek nezahrnuje umořenou část nástrojů zahrnovaných do kapitálu </w:t>
            </w:r>
            <w:proofErr w:type="spellStart"/>
            <w:r>
              <w:rPr>
                <w:rStyle w:val="FormatvorlageInstructionsTabelleText"/>
                <w:rFonts w:ascii="Times New Roman" w:hAnsi="Times New Roman"/>
                <w:sz w:val="24"/>
              </w:rPr>
              <w:t>tier</w:t>
            </w:r>
            <w:proofErr w:type="spell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2 se zbývající dobou splatnosti delší než jeden rok (čl.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72a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1 písm. b) nařízení (EU) č. 575/2013), ani způsobilé závazky, pro které platí zachování právních účinků podle článku 494b nařízení (EU) č. 575/2013.</w:t>
            </w:r>
          </w:p>
        </w:tc>
      </w:tr>
      <w:tr w:rsidR="00922937" w:rsidRPr="0008623B" w14:paraId="128E215B" w14:textId="77777777" w:rsidTr="00E46262">
        <w:tc>
          <w:tcPr>
            <w:tcW w:w="1030" w:type="dxa"/>
          </w:tcPr>
          <w:p w14:paraId="59505232" w14:textId="6BA871E1" w:rsidR="00922937" w:rsidRPr="0008623B" w:rsidRDefault="0092293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12b</w:t>
            </w:r>
            <w:proofErr w:type="gramEnd"/>
          </w:p>
        </w:tc>
        <w:tc>
          <w:tcPr>
            <w:tcW w:w="7736" w:type="dxa"/>
          </w:tcPr>
          <w:p w14:paraId="120C20CA" w14:textId="0D51C3A9" w:rsidR="00922937" w:rsidRPr="0008623B" w:rsidRDefault="00922937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Nástroje způsobilých závazků, které jsou podřízené vyloučeným závazkům, vydané před 27. červnem 2019 (podřízené, se zachováním právních účinků)</w:t>
            </w:r>
          </w:p>
          <w:p w14:paraId="31DC06A4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60F78D8E" w14:textId="77777777" w:rsidR="00BD6570" w:rsidRPr="0008623B" w:rsidRDefault="00BD6570" w:rsidP="00B62DC9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Způsobilé závazky, které splňují následující podmínky:</w:t>
            </w:r>
          </w:p>
          <w:p w14:paraId="13FE6179" w14:textId="7E1CDD80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byly vydány před 27. červnem 2019,</w:t>
            </w:r>
          </w:p>
          <w:p w14:paraId="20EE0D1D" w14:textId="2261ECA3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představují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podřízené způsobilé nástroje ve smyslu čl. 2 odst. 1 bodu 71b směrnice 2014/59/EU, </w:t>
            </w:r>
          </w:p>
          <w:p w14:paraId="6779E72D" w14:textId="44987C71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jsou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zahrnuty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do kapitálu a způsobilých závazků, a to v důsledku čl. 494b odst. 3 nařízení (EU) č. 575/2013.</w:t>
            </w:r>
          </w:p>
          <w:p w14:paraId="3997A101" w14:textId="21BFEA1B" w:rsidR="003E4404" w:rsidRPr="0008623B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4AA69ACA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748D115E" w14:textId="77777777" w:rsidR="00BD6570" w:rsidRPr="0008623B" w:rsidRDefault="00BD6570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Závazky, které splňují následující podmínky:</w:t>
            </w:r>
          </w:p>
          <w:p w14:paraId="62E0491E" w14:textId="7B8C3AD6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byly vydány před 27. červnem 2019,</w:t>
            </w:r>
          </w:p>
          <w:p w14:paraId="5161FB69" w14:textId="33B28B47" w:rsidR="00BD6570" w:rsidRPr="0008623B" w:rsidRDefault="00BD6570" w:rsidP="00B62DC9">
            <w:pPr>
              <w:pStyle w:val="InstructionsText"/>
              <w:numPr>
                <w:ilvl w:val="0"/>
                <w:numId w:val="16"/>
              </w:numPr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jsou v souladu s čl. 72b odst. 2 písm. d) nařízení (EU) č. 575/2013,</w:t>
            </w:r>
          </w:p>
          <w:p w14:paraId="796E2BAA" w14:textId="102908EC" w:rsidR="00922937" w:rsidRPr="0008623B" w:rsidRDefault="00BD6570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jsou považovány za způsobilé závazky, a to v důsledku zachování právních účinků stanoveného v 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494b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3 nařízení (EU) č. 575/2013.</w:t>
            </w:r>
          </w:p>
        </w:tc>
      </w:tr>
      <w:tr w:rsidR="00BA315F" w:rsidRPr="0008623B" w14:paraId="5089A67B" w14:textId="77777777" w:rsidTr="00E46262">
        <w:tc>
          <w:tcPr>
            <w:tcW w:w="1030" w:type="dxa"/>
          </w:tcPr>
          <w:p w14:paraId="4A7EDDF2" w14:textId="7325896B" w:rsidR="00BA315F" w:rsidRPr="0008623B" w:rsidRDefault="00BA315F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EU-12c</w:t>
            </w:r>
          </w:p>
        </w:tc>
        <w:tc>
          <w:tcPr>
            <w:tcW w:w="7736" w:type="dxa"/>
          </w:tcPr>
          <w:p w14:paraId="278B1172" w14:textId="77777777" w:rsidR="00BA315F" w:rsidRPr="0008623B" w:rsidRDefault="00BA315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Nástroje zahrnované do kapitálu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 2 se zbytkovou splatností nejméně jeden rok, pokud nejsou považovány za položky kapitálu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 2</w:t>
            </w:r>
          </w:p>
          <w:p w14:paraId="6F3FB28E" w14:textId="6395E75A" w:rsidR="00334BA5" w:rsidRPr="0008623B" w:rsidRDefault="00334BA5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Umořená část nástrojů kapitálu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 2 se zbytkovou splatností delší než jeden rok (čl.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1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písm. b) nařízení (EU) č. 575/2013).</w:t>
            </w:r>
          </w:p>
          <w:p w14:paraId="4FD8D86D" w14:textId="2C5E3644" w:rsidR="00BA315F" w:rsidRPr="0008623B" w:rsidRDefault="00BA315F" w:rsidP="006501C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 tomto řádku se uvede pouze částka, která není vykázána v rámci kapitálu, ale splňuje veškerá kritéria způsobilosti stanovená v článku 72b nařízení (EU) č. 575/2013.</w:t>
            </w:r>
          </w:p>
          <w:p w14:paraId="001569D4" w14:textId="08D94941" w:rsidR="003E4404" w:rsidRPr="0008623B" w:rsidRDefault="003E4404" w:rsidP="003E440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V případě MREL se nástroje, které se řídí právem třetí země, do tohoto řádku zahrnou pouze v případě, že splňují požadavky stanovené v článku 55 směrnice 2014/59/EU.</w:t>
            </w:r>
          </w:p>
        </w:tc>
      </w:tr>
      <w:tr w:rsidR="00026FC1" w:rsidRPr="0008623B" w14:paraId="64D6FD96" w14:textId="77777777" w:rsidTr="00E46262">
        <w:tc>
          <w:tcPr>
            <w:tcW w:w="1030" w:type="dxa"/>
          </w:tcPr>
          <w:p w14:paraId="50786C06" w14:textId="52DA5E60" w:rsidR="00021E4F" w:rsidRPr="0008623B" w:rsidRDefault="00D571F6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13</w:t>
            </w:r>
          </w:p>
        </w:tc>
        <w:tc>
          <w:tcPr>
            <w:tcW w:w="7736" w:type="dxa"/>
          </w:tcPr>
          <w:p w14:paraId="5D613CA9" w14:textId="2F1AE58A" w:rsidR="009B2422" w:rsidRPr="0008623B" w:rsidRDefault="009B2422" w:rsidP="00E9630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Způsobilé závazky, které nejsou podřízené vyloučeným závazkům (bez zachování právních účinků, před uplatněním horní hranice)</w:t>
            </w:r>
          </w:p>
          <w:p w14:paraId="7660F6FC" w14:textId="77777777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00F0085A" w14:textId="242F8AE9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Závazky, které splňují podmínky stanovené v článku 45b směrnice 2014/59/EU a které nejsou plně podřízené pohledávkám vyplývajícím z vyloučených závazků uvedených v čl. 72a odst. 2 nařízení (EU) č. 575/2013.</w:t>
            </w:r>
          </w:p>
          <w:p w14:paraId="2C657BAC" w14:textId="12DC0920" w:rsidR="003E4404" w:rsidRPr="0008623B" w:rsidRDefault="003E4404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137D2044" w14:textId="77777777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24B93B1" w14:textId="013DD02A" w:rsidR="009B2422" w:rsidRPr="0008623B" w:rsidRDefault="009B2422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Způsobilé závazky, které splňují požadavky stanovené v článcích 72a až 72d </w:t>
            </w:r>
            <w:r>
              <w:rPr>
                <w:color w:val="000000" w:themeColor="text1"/>
              </w:rPr>
              <w:t>nařízení (EU) č.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s výjimkou čl. 72b odst. 2 písm. d) uvedeného nařízení, a které by v souladu s čl. 72b odst. 3 uvedeného nařízení mohlo být povoleno považovat za nástroje způsobilých závazků nebo které je v souladu s čl. 72b odst. 4 uvedeného nařízení povoleno považovat za nástroje způsobilých závazků.</w:t>
            </w:r>
          </w:p>
          <w:p w14:paraId="686DBB1D" w14:textId="3C40B2C0" w:rsidR="009B2422" w:rsidRPr="0008623B" w:rsidRDefault="004B3067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Pokud se použije čl. 72b odst. 3 nařízení (EU) č. 575/2013, uvede se v tomto řádku úplná částka bez uplatnění 3,5% horní hranice, pokud se použije čl. 494 odst. 2 nařízení (EU) č. 575/2013, uvede se bez uplatnění 2,5% horní hranice.</w:t>
            </w:r>
          </w:p>
          <w:p w14:paraId="2AE31630" w14:textId="5BBA380B" w:rsidR="009B2422" w:rsidRPr="0008623B" w:rsidRDefault="009B2422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Tento řádek nesmí zahrnovat žádnou částku přechodně uznatelnou v souladu s 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494b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3 nařízení (EU) č. 575/2013.</w:t>
            </w:r>
          </w:p>
        </w:tc>
      </w:tr>
      <w:tr w:rsidR="00922937" w:rsidRPr="0008623B" w14:paraId="54947575" w14:textId="77777777" w:rsidTr="00E46262">
        <w:tc>
          <w:tcPr>
            <w:tcW w:w="1030" w:type="dxa"/>
          </w:tcPr>
          <w:p w14:paraId="034E19A1" w14:textId="2AE4D60C" w:rsidR="00922937" w:rsidRPr="0008623B" w:rsidRDefault="0092293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13a</w:t>
            </w:r>
            <w:proofErr w:type="gramEnd"/>
          </w:p>
        </w:tc>
        <w:tc>
          <w:tcPr>
            <w:tcW w:w="7736" w:type="dxa"/>
          </w:tcPr>
          <w:p w14:paraId="69BC0D22" w14:textId="6A00E4CF" w:rsidR="00922937" w:rsidRPr="0008623B" w:rsidRDefault="00922937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Způsobilé závazky, které nejsou podřízené vyloučeným závazkům, vydané před 27. červnem 2019 (před uplatněním horní hranice)</w:t>
            </w:r>
          </w:p>
          <w:p w14:paraId="56BE4571" w14:textId="77777777" w:rsidR="009B2422" w:rsidRPr="0008623B" w:rsidRDefault="009B2422" w:rsidP="009B2422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5C7AEC52" w14:textId="77777777" w:rsidR="009B2422" w:rsidRPr="0008623B" w:rsidRDefault="009B2422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Způsobilé závazky, které splňují následující podmínky:</w:t>
            </w:r>
          </w:p>
          <w:p w14:paraId="72C8F1AF" w14:textId="72479061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byly vydány před 27. červnem 2019,</w:t>
            </w:r>
          </w:p>
          <w:p w14:paraId="21ECB5FF" w14:textId="573F7AE6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splňují podmínky stanovené v článku 45b směrnice 2014/59/EU a nejsou plně podřízené pohledávkám vyplývajícím z vyloučených závazků uvedených v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2 nařízení (EU) č. 575/2013,</w:t>
            </w:r>
          </w:p>
          <w:p w14:paraId="110EAF03" w14:textId="67157606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jsou považovány za způsobilé závazky, a to v důsledku zachování právních účinků stanoveného v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494b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3 nařízení (EU) č. 575/2013.</w:t>
            </w:r>
          </w:p>
          <w:p w14:paraId="0E373313" w14:textId="3B67958D" w:rsidR="003E4404" w:rsidRPr="0008623B" w:rsidRDefault="003E4404" w:rsidP="005F391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7B5CC27B" w14:textId="77777777" w:rsidR="009B2422" w:rsidRPr="0008623B" w:rsidRDefault="009B2422" w:rsidP="009B2422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309DD1F6" w14:textId="730AFC17" w:rsidR="009B2422" w:rsidRPr="0008623B" w:rsidRDefault="008E71C3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Způsobilé závazky, které splňují následující podmínky:</w:t>
            </w:r>
          </w:p>
          <w:p w14:paraId="318C85C9" w14:textId="7DED1DBB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byly vydány před 27. červnem 2019,</w:t>
            </w:r>
          </w:p>
          <w:p w14:paraId="76F54B6E" w14:textId="0FE12834" w:rsidR="009B2422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splňují požadavky stanovené v článcích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až 72d nařízení (EU) č. 575/2013, s výjimkou čl. 72b odst. 2 písm. d) uvedeného nařízení, a které by v souladu s čl. 72b odst. 3 uvedeného nařízení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mohlo být povoleno považovat za nástroje způsobilých závazků nebo které je v souladu s čl. 72b odst. 4 nařízení (EU) č. 575/2013 povoleno považovat za nástroje způsobilých závazků,</w:t>
            </w:r>
          </w:p>
          <w:p w14:paraId="2DB1E71A" w14:textId="66F98C46" w:rsidR="003312F4" w:rsidRPr="0008623B" w:rsidRDefault="009B2422" w:rsidP="00C4776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jsou považovány za způsobilé závazky, a to v důsledku zachování právních účinků stanoveného v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494b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3 nařízení (EU) č. 575/2013.</w:t>
            </w:r>
          </w:p>
          <w:p w14:paraId="6639DB06" w14:textId="22A4459E" w:rsidR="009B2422" w:rsidRPr="0008623B" w:rsidRDefault="00A150DD" w:rsidP="00A150D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Pokud se použije 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72b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3 nařízení (EU) č. 575/2013, uvede se v tomto řádku úplná částka bez uplatnění 3,5% horní hranice, pokud se použije čl. 494 odst. 2 nařízení (EU) č. 575/2013, uvede se bez uplatnění 2,5% horní hranice.</w:t>
            </w:r>
          </w:p>
        </w:tc>
      </w:tr>
      <w:tr w:rsidR="00026FC1" w:rsidRPr="0008623B" w14:paraId="219A8816" w14:textId="77777777" w:rsidTr="00E46262">
        <w:tc>
          <w:tcPr>
            <w:tcW w:w="1030" w:type="dxa"/>
          </w:tcPr>
          <w:p w14:paraId="26CB4EA4" w14:textId="1E635F7F" w:rsidR="00021E4F" w:rsidRPr="0008623B" w:rsidRDefault="0070237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14</w:t>
            </w:r>
          </w:p>
        </w:tc>
        <w:tc>
          <w:tcPr>
            <w:tcW w:w="7736" w:type="dxa"/>
          </w:tcPr>
          <w:p w14:paraId="6094B9AD" w14:textId="53C6E214" w:rsidR="00021E4F" w:rsidRPr="0008623B" w:rsidRDefault="00922937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Hodnota nepodřízených nástrojů způsobilých závazků, v příslušných případech po uplatnění čl. 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odst. 3 nařízení (EU) č. 575/2013</w:t>
            </w:r>
          </w:p>
          <w:p w14:paraId="78F7998F" w14:textId="77777777" w:rsidR="000C6F8C" w:rsidRPr="0008623B" w:rsidRDefault="000C6F8C" w:rsidP="008E71C3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02BBE4C9" w14:textId="6CA91799" w:rsidR="000C6F8C" w:rsidRPr="0008623B" w:rsidRDefault="000C6F8C" w:rsidP="008E71C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Tento řádek se rovná součtu řádků 13 a 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13a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03898B83" w14:textId="77777777" w:rsidR="000C6F8C" w:rsidRPr="0008623B" w:rsidRDefault="000C6F8C" w:rsidP="008E71C3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34E50C43" w14:textId="098233F1" w:rsidR="000C6F8C" w:rsidRPr="0008623B" w:rsidRDefault="003E4404" w:rsidP="008E71C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Pokud se použije čl. 72b odst. 3 nařízení (EU) č. 575/2013, obsahuje tento řádek součet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hodnot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uvedených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 řádcích 13 a 13a po použití čl. 72b odst. 3, resp. čl. 494 odst. 2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uvedeného nařízení. </w:t>
            </w:r>
          </w:p>
          <w:p w14:paraId="5A30EA54" w14:textId="5EC0D4FB" w:rsidR="00021E4F" w:rsidRPr="0008623B" w:rsidRDefault="000C6F8C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Pokud se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72b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3 nařízení (EU) č. 575/2013 nepoužije, ale subjekt požívá výhod z použití čl. 72b odst. 4 nařízení (EU) č. 575/2013, tento řádek se rovná součtu řádků 13 a EU-13a.</w:t>
            </w:r>
          </w:p>
        </w:tc>
      </w:tr>
      <w:tr w:rsidR="00026FC1" w:rsidRPr="0008623B" w14:paraId="329EB7E3" w14:textId="77777777" w:rsidTr="00E46262">
        <w:tc>
          <w:tcPr>
            <w:tcW w:w="1030" w:type="dxa"/>
          </w:tcPr>
          <w:p w14:paraId="0D278793" w14:textId="45736042" w:rsidR="00021E4F" w:rsidRPr="0008623B" w:rsidRDefault="00702377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7736" w:type="dxa"/>
          </w:tcPr>
          <w:p w14:paraId="4088C906" w14:textId="78FD4FAE" w:rsidR="00021E4F" w:rsidRPr="0008623B" w:rsidRDefault="00021E4F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Položky způsobilých závazků před úpravami</w:t>
            </w:r>
          </w:p>
          <w:p w14:paraId="22690983" w14:textId="2BAD1B47" w:rsidR="00021E4F" w:rsidRPr="0008623B" w:rsidRDefault="00021E4F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Položky způsobilých závazků před úpravami. Vypočte se jako řádek 12 plus řádek EU-12a plus řádek EU-12b plus řádek EU-12c plus řádek 14.</w:t>
            </w:r>
          </w:p>
        </w:tc>
      </w:tr>
      <w:tr w:rsidR="00633625" w:rsidRPr="0008623B" w14:paraId="2D0BC40A" w14:textId="77777777" w:rsidTr="00E46262">
        <w:tc>
          <w:tcPr>
            <w:tcW w:w="1030" w:type="dxa"/>
          </w:tcPr>
          <w:p w14:paraId="2FC5E554" w14:textId="764C5877" w:rsidR="00633625" w:rsidRPr="0008623B" w:rsidRDefault="00633625" w:rsidP="0091530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17a</w:t>
            </w:r>
            <w:proofErr w:type="gramEnd"/>
          </w:p>
        </w:tc>
        <w:tc>
          <w:tcPr>
            <w:tcW w:w="7736" w:type="dxa"/>
          </w:tcPr>
          <w:p w14:paraId="1A128FD1" w14:textId="1FF7039A" w:rsidR="00633625" w:rsidRPr="0008623B" w:rsidRDefault="00B80F7C" w:rsidP="0091530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Položky způsobilých závazků před úpravami – z toho položky podřízených závazků</w:t>
            </w:r>
          </w:p>
          <w:p w14:paraId="4B5B9304" w14:textId="77777777" w:rsidR="002432DE" w:rsidRPr="0008623B" w:rsidRDefault="002432DE" w:rsidP="00915305">
            <w:pP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lastRenderedPageBreak/>
              <w:t>MREL</w:t>
            </w:r>
          </w:p>
          <w:p w14:paraId="2089EA6F" w14:textId="630F5208" w:rsidR="00DB779A" w:rsidRPr="0008623B" w:rsidRDefault="00DB779A" w:rsidP="00915305">
            <w:pPr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Způsobilé závazky zahrnuté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do hodnoty kapitálu a způsobilých závazků v souladu s článkem 45b směrnice 2014/59/EU, které jsou podřízenými způsobilými nástroji ve smyslu čl. 2 odst. 1 bodu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71b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uvedené směrnice, a závazky vydané dceřinými podniky, které jsou v souladu s čl. 45b odst. 3 uvedené směrnice zahrnuty do MREL.</w:t>
            </w:r>
          </w:p>
          <w:p w14:paraId="69D83FC1" w14:textId="5DCAE08F" w:rsidR="003E4404" w:rsidRPr="0008623B" w:rsidRDefault="003E4404" w:rsidP="00915305">
            <w:pPr>
              <w:rPr>
                <w:rStyle w:val="FormatvorlageInstructionsTabelleText"/>
                <w:rFonts w:ascii="Times New Roman" w:hAnsi="Times New Roman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740C1237" w14:textId="77777777" w:rsidR="002432DE" w:rsidRPr="0008623B" w:rsidRDefault="002432DE" w:rsidP="00915305">
            <w:pP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szCs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04429143" w14:textId="6BD51A61" w:rsidR="002432DE" w:rsidRPr="0008623B" w:rsidRDefault="002432DE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Způsobilé závazky, které splňují veškeré požadavky stanovené v článcích 72a až 72d nařízení (EU) č. 575/2013, s vyloučením závazků, které je v souladu s čl. 72b odst. 3 nebo 4 uvedeného nařízení povoleno považovat za nástroje způsobilých závazků.</w:t>
            </w:r>
          </w:p>
          <w:p w14:paraId="2EEECCE3" w14:textId="4B15BE1E" w:rsidR="002432DE" w:rsidRPr="0008623B" w:rsidRDefault="002432DE" w:rsidP="00B62DC9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Tento řádek zahrnuje podřízené závazky, které jsou způsobilé v důsledku zachování právních účinků v souladu s článkem 494b nařízení (EU) č. 575/2013, a umořenou část nástrojů kapitálu tier 2, u nichž je zbytková splatnost delší než jeden rok (čl. 72a odst. 1 písm. b) nařízení (EU) č. 575/2013).</w:t>
            </w:r>
          </w:p>
          <w:p w14:paraId="55FB8435" w14:textId="63FEC689" w:rsidR="002432DE" w:rsidRPr="0008623B" w:rsidRDefault="002432DE" w:rsidP="00B62DC9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Vypočte se jako řádek 12 plus řádek EU-12a plus řádek EU-12b plus řádek EU-12c.</w:t>
            </w:r>
          </w:p>
        </w:tc>
      </w:tr>
      <w:tr w:rsidR="00026FC1" w:rsidRPr="0008623B" w14:paraId="45424BEE" w14:textId="77777777" w:rsidTr="00E46262">
        <w:tc>
          <w:tcPr>
            <w:tcW w:w="1030" w:type="dxa"/>
          </w:tcPr>
          <w:p w14:paraId="747BC26F" w14:textId="022289A3" w:rsidR="00702377" w:rsidRPr="0008623B" w:rsidRDefault="00702377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18</w:t>
            </w:r>
          </w:p>
        </w:tc>
        <w:tc>
          <w:tcPr>
            <w:tcW w:w="7736" w:type="dxa"/>
          </w:tcPr>
          <w:p w14:paraId="4ADF1782" w14:textId="77777777" w:rsidR="00702377" w:rsidRPr="0008623B" w:rsidRDefault="00702377" w:rsidP="007023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položky způsobilých závazků před úpravami</w:t>
            </w:r>
          </w:p>
          <w:p w14:paraId="151E44CE" w14:textId="2369C944" w:rsidR="00702377" w:rsidRPr="0008623B" w:rsidRDefault="00702377" w:rsidP="0050359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Kapitál a položky způsobilých závazků před úpravami. Vypočte se jako řádek 11 plus řádek 17.</w:t>
            </w:r>
          </w:p>
        </w:tc>
      </w:tr>
      <w:tr w:rsidR="00026FC1" w:rsidRPr="0008623B" w14:paraId="74F69B7A" w14:textId="77777777" w:rsidTr="00E46262">
        <w:tc>
          <w:tcPr>
            <w:tcW w:w="1030" w:type="dxa"/>
          </w:tcPr>
          <w:p w14:paraId="1B67D30A" w14:textId="6055FAE6" w:rsidR="00702377" w:rsidRPr="0008623B" w:rsidRDefault="00702377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7736" w:type="dxa"/>
          </w:tcPr>
          <w:p w14:paraId="7917D77C" w14:textId="37BD1628" w:rsidR="00702377" w:rsidRPr="0008623B" w:rsidRDefault="00D413AD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(Odpočet expozic mezi skupinami řešícími krizi ve více subjektech)</w:t>
            </w:r>
          </w:p>
          <w:p w14:paraId="36A58FE6" w14:textId="45D80DF4" w:rsidR="00A9426B" w:rsidRPr="0008623B" w:rsidRDefault="00A9426B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Záporná hodnota</w:t>
            </w:r>
          </w:p>
          <w:p w14:paraId="0D579B89" w14:textId="657876CE" w:rsidR="00702377" w:rsidRPr="0008623B" w:rsidRDefault="00702377" w:rsidP="00480FB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Odpočet expozic mezi skupinami G-SVI řešícími krizi ve více subjektech, které odpovídají přímým, nepřímým či syntetickým kapitálovým investicím do kapitálových nástrojů nebo nástrojů způsobilých závazků jednoho či více dceřiných podniků, které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nepatří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do stejné skupiny řešící krizi jako subjekt řešící krizi, v souladu s čl. 72e odst. 4 nařízení (EU) č. 575/2013.</w:t>
            </w:r>
          </w:p>
        </w:tc>
      </w:tr>
      <w:tr w:rsidR="00026FC1" w:rsidRPr="0008623B" w14:paraId="34D251D0" w14:textId="77777777" w:rsidTr="00E46262">
        <w:tc>
          <w:tcPr>
            <w:tcW w:w="1030" w:type="dxa"/>
          </w:tcPr>
          <w:p w14:paraId="33B786D1" w14:textId="62F68C2B" w:rsidR="00702377" w:rsidRPr="0008623B" w:rsidRDefault="00D571F6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  <w:tc>
          <w:tcPr>
            <w:tcW w:w="7736" w:type="dxa"/>
          </w:tcPr>
          <w:p w14:paraId="22BBBE31" w14:textId="44D9E160" w:rsidR="00702377" w:rsidRPr="0008623B" w:rsidRDefault="00D413AD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(Odpočet investic do jiných nástrojů způsobilých závazků)</w:t>
            </w:r>
          </w:p>
          <w:p w14:paraId="36E83D5C" w14:textId="77777777" w:rsidR="00A9426B" w:rsidRPr="0008623B" w:rsidRDefault="00A9426B" w:rsidP="00A9426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Záporná hodnota</w:t>
            </w:r>
          </w:p>
          <w:p w14:paraId="5109AFDE" w14:textId="3A888804" w:rsidR="00D36DC6" w:rsidRPr="0008623B" w:rsidRDefault="00D36DC6" w:rsidP="00B24DB1">
            <w:pP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TLAC</w:t>
            </w:r>
          </w:p>
          <w:p w14:paraId="160C4AD3" w14:textId="5E7F7684" w:rsidR="00702377" w:rsidRPr="0008623B" w:rsidRDefault="00702377" w:rsidP="00B24DB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Odpočet investic do jiných nástrojů způsobilých závazků v souladu s čl. 72e odst. 1, 2 a 3 a články 72fto a 72j nařízení (EU) č. 575/2013. Částka, která má být odečtena od položek způsobilých závazků v souladu s částí druhou hlavou I kapitolou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5a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oddílem 2 nařízení (EU) č. 575/2013.</w:t>
            </w:r>
          </w:p>
          <w:p w14:paraId="58A38F14" w14:textId="027B8532" w:rsidR="00D36DC6" w:rsidRPr="0008623B" w:rsidRDefault="00D36DC6" w:rsidP="00B24DB1">
            <w:pP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lastRenderedPageBreak/>
              <w:t>MREL a TLAC</w:t>
            </w:r>
          </w:p>
          <w:p w14:paraId="131C0401" w14:textId="7FBC18FB" w:rsidR="00BF16DB" w:rsidRPr="0008623B" w:rsidRDefault="00BF16DB" w:rsidP="00B24DB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Tento řádek zahrnuje rovněž částky, na které se vztahuje svolení k vypovězení, umoření, splacení nebo zpětnému odkupu nástrojů způsobilých závazků v souladu s článkem 78a nařízení (EU) č. 575/2013, v rozsahu, v jakém subjekt zveřejňující informace tuto částku k vypovězení, umoření, splacení nebo zpětnému odkupu nástrojů dosud nevyužil.</w:t>
            </w:r>
          </w:p>
        </w:tc>
      </w:tr>
      <w:tr w:rsidR="00026FC1" w:rsidRPr="0008623B" w14:paraId="739A1A6D" w14:textId="77777777" w:rsidTr="00E46262">
        <w:tc>
          <w:tcPr>
            <w:tcW w:w="1030" w:type="dxa"/>
          </w:tcPr>
          <w:p w14:paraId="03995BED" w14:textId="59572D69" w:rsidR="00702377" w:rsidRPr="0008623B" w:rsidRDefault="00D571F6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22</w:t>
            </w:r>
          </w:p>
        </w:tc>
        <w:tc>
          <w:tcPr>
            <w:tcW w:w="7736" w:type="dxa"/>
          </w:tcPr>
          <w:p w14:paraId="2D6851E4" w14:textId="5FE3EEF7" w:rsidR="00702377" w:rsidRPr="0008623B" w:rsidRDefault="000B4D72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 způsobilé závazky po úpravách</w:t>
            </w:r>
          </w:p>
          <w:p w14:paraId="69BED263" w14:textId="4E69A591" w:rsidR="00702377" w:rsidRPr="0008623B" w:rsidRDefault="00702377" w:rsidP="00A9426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Kapitál a způsobilé závazky ve smyslu článku 72l nařízení (EU) č. 575/2013. Vypočte se jako řádek 18 plus řádek 19 plus řádek 20.</w:t>
            </w:r>
          </w:p>
          <w:p w14:paraId="5794043B" w14:textId="1C4A8682" w:rsidR="003E4404" w:rsidRPr="0008623B" w:rsidRDefault="003E4404" w:rsidP="00A9426B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MREL</w:t>
            </w:r>
          </w:p>
          <w:p w14:paraId="0DCEFD91" w14:textId="77777777" w:rsidR="005B765F" w:rsidRPr="0008623B" w:rsidRDefault="005B765F" w:rsidP="005B765F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Hodnota kapitálu a způsobilých závazků, které se započítávají do MREL, se vykáže jako součet:</w:t>
            </w:r>
          </w:p>
          <w:p w14:paraId="58E25068" w14:textId="71FF99F0" w:rsidR="005B765F" w:rsidRPr="0008623B" w:rsidRDefault="005B765F" w:rsidP="00C477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kapitálu ve smyslu čl. 4 odst. 1 bodu 118 a článku 72 nařízení (EU) č. 575/2013; </w:t>
            </w:r>
          </w:p>
          <w:p w14:paraId="7D33907A" w14:textId="75C17250" w:rsidR="005B765F" w:rsidRPr="0008623B" w:rsidRDefault="005B765F" w:rsidP="00C4776A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způsobilých závazků ve smyslu čl. 2 odst. 1 bodu 71a směrnice 2014/59/EU.</w:t>
            </w:r>
          </w:p>
          <w:p w14:paraId="38858668" w14:textId="194B5715" w:rsidR="003E4404" w:rsidRPr="0008623B" w:rsidRDefault="003E4404" w:rsidP="005F391D">
            <w:pPr>
              <w:spacing w:before="120" w:after="120" w:line="240" w:lineRule="auto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7E3B34F5" w14:textId="546FE87E" w:rsidR="003E4404" w:rsidRPr="0008623B" w:rsidRDefault="003E4404" w:rsidP="005F391D">
            <w:pPr>
              <w:spacing w:before="120" w:after="120" w:line="240" w:lineRule="auto"/>
              <w:jc w:val="both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3E3A8B56" w14:textId="3FF85A2A" w:rsidR="005B765F" w:rsidRPr="0008623B" w:rsidRDefault="005B765F" w:rsidP="005B765F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Hodnotou kapitálu a způsobilých závazků, které se započítávají do TLAC, je hodnota uvedená v článku 72l nařízení (EU) č. 575/2013, která se skládá z:</w:t>
            </w:r>
          </w:p>
          <w:p w14:paraId="1CDBC2DF" w14:textId="319B5CC1" w:rsidR="00DB779A" w:rsidRPr="0008623B" w:rsidRDefault="005B765F" w:rsidP="003D0BF6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jc w:val="both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kapitálu ve smyslu čl. 4 odst. 1 bodu 118 a článku 72 nařízení (EU) č. 575/2013;</w:t>
            </w:r>
          </w:p>
          <w:p w14:paraId="3185C317" w14:textId="14AD01AB" w:rsidR="005B765F" w:rsidRPr="0008623B" w:rsidRDefault="005B765F" w:rsidP="005B627B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způsobilých závazků ve smyslu článku 72k nařízení (EU) č. 575/2013.</w:t>
            </w:r>
          </w:p>
        </w:tc>
      </w:tr>
      <w:tr w:rsidR="00633625" w:rsidRPr="0008623B" w14:paraId="3C365839" w14:textId="77777777" w:rsidTr="00E46262">
        <w:tc>
          <w:tcPr>
            <w:tcW w:w="1030" w:type="dxa"/>
          </w:tcPr>
          <w:p w14:paraId="13AA7EE3" w14:textId="302E8B20" w:rsidR="00633625" w:rsidRPr="0008623B" w:rsidRDefault="00633625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22a</w:t>
            </w:r>
            <w:proofErr w:type="gramEnd"/>
          </w:p>
        </w:tc>
        <w:tc>
          <w:tcPr>
            <w:tcW w:w="7736" w:type="dxa"/>
          </w:tcPr>
          <w:p w14:paraId="05DA41C9" w14:textId="77777777" w:rsidR="00633625" w:rsidRPr="0008623B" w:rsidRDefault="00633625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 toho kapitál a podřízené závazky</w:t>
            </w:r>
          </w:p>
          <w:p w14:paraId="0ED27DF2" w14:textId="30421E2C" w:rsidR="00DB779A" w:rsidRPr="0008623B" w:rsidRDefault="00DB779A" w:rsidP="00E06D4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Kapitál a způsobilé závazky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zahrnuté do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hodnoty kapitálu a způsobilých závazků podle článku 45b směrnice 2014/59/EU, které jsou podřízenými způsobilými nástroji ve smyslu čl. 2 odst. 1 bodu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71b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uvedené směrnice, a závazky zahrnuté do hodnoty kapitálu a způsobilých závazků podle čl. 45b odst. 3 směrnice 2014/59/EU.</w:t>
            </w:r>
          </w:p>
        </w:tc>
      </w:tr>
      <w:tr w:rsidR="00026FC1" w:rsidRPr="0008623B" w14:paraId="129D2D8D" w14:textId="77777777" w:rsidTr="00E46262">
        <w:tc>
          <w:tcPr>
            <w:tcW w:w="1030" w:type="dxa"/>
          </w:tcPr>
          <w:p w14:paraId="1B5B041C" w14:textId="4E1F9AEC" w:rsidR="00702377" w:rsidRPr="0008623B" w:rsidRDefault="00D571F6" w:rsidP="00CE0D4E">
            <w:pPr>
              <w:keepNext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23</w:t>
            </w:r>
          </w:p>
        </w:tc>
        <w:tc>
          <w:tcPr>
            <w:tcW w:w="7736" w:type="dxa"/>
          </w:tcPr>
          <w:p w14:paraId="0DB96856" w14:textId="3D3296F4" w:rsidR="00702377" w:rsidRPr="0008623B" w:rsidRDefault="00702377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Celkový objem rizikové expozice</w:t>
            </w:r>
          </w:p>
          <w:p w14:paraId="58889E7E" w14:textId="691DB651" w:rsidR="008149F0" w:rsidRPr="0008623B" w:rsidRDefault="00702377" w:rsidP="007E12BA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Celkový objem rizikové expozice skupiny řešící krizi v souladu s čl. 18 odst. 1 druhým pododstavcem nařízení (EU) č. 575/2013.</w:t>
            </w:r>
          </w:p>
          <w:p w14:paraId="1B151396" w14:textId="33E81FE9" w:rsidR="00702377" w:rsidRPr="0008623B" w:rsidRDefault="008149F0" w:rsidP="00E54D7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Celkový objem rizikové expozice uvedený v tomto řádku je celkový objem rizikové expozice, který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slouží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jako základ pro splnění požadavků stanovených v článku 45 směrnice 2014/59/EU, případně v článku 92a nařízení (EU) č. 575/2013.</w:t>
            </w:r>
          </w:p>
        </w:tc>
      </w:tr>
      <w:tr w:rsidR="00026FC1" w:rsidRPr="0008623B" w14:paraId="28440368" w14:textId="77777777" w:rsidTr="00E46262">
        <w:tc>
          <w:tcPr>
            <w:tcW w:w="1030" w:type="dxa"/>
          </w:tcPr>
          <w:p w14:paraId="32E92C5A" w14:textId="7CF5EC98" w:rsidR="00702377" w:rsidRPr="0008623B" w:rsidRDefault="00D571F6" w:rsidP="007023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7736" w:type="dxa"/>
          </w:tcPr>
          <w:p w14:paraId="36574007" w14:textId="1B8A459D" w:rsidR="00702377" w:rsidRPr="0008623B" w:rsidRDefault="00516561" w:rsidP="00702377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Celková míra expozic</w:t>
            </w:r>
          </w:p>
          <w:p w14:paraId="778066F0" w14:textId="53FCCE7C" w:rsidR="00702377" w:rsidRPr="0008623B" w:rsidRDefault="00DB779A" w:rsidP="003D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Podle čl. 45 odst. 2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písm. b) směrnice 2014/59/EU se celková míra expozic vypočítá v souladu s čl. 429 odst. 4 a článkem 429a nařízení (EU) č. 575/2013.</w:t>
            </w:r>
          </w:p>
          <w:p w14:paraId="62A67E31" w14:textId="3AEA2863" w:rsidR="008149F0" w:rsidRPr="0008623B" w:rsidRDefault="008149F0" w:rsidP="00E54D7F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Celková míra expozic uvedená v tomto řádku je celková míra expozic, která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slouží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jako základ pro splnění požadavků stanovených v článku 45 směrnice 2014/59/EU, případně v článku 92a nařízení (EU) č. 575/2013.</w:t>
            </w:r>
          </w:p>
        </w:tc>
      </w:tr>
      <w:tr w:rsidR="00D571F6" w:rsidRPr="0008623B" w14:paraId="13300665" w14:textId="77777777" w:rsidTr="00E46262">
        <w:tc>
          <w:tcPr>
            <w:tcW w:w="1030" w:type="dxa"/>
            <w:vAlign w:val="top"/>
          </w:tcPr>
          <w:p w14:paraId="0F988C86" w14:textId="06ED1881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736" w:type="dxa"/>
          </w:tcPr>
          <w:p w14:paraId="2C833139" w14:textId="0A4AF6D0" w:rsidR="00D77E54" w:rsidRPr="0008623B" w:rsidRDefault="00D571F6" w:rsidP="00DB779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celkového objemu rizikové expozice</w:t>
            </w:r>
          </w:p>
          <w:p w14:paraId="7AB95F7A" w14:textId="6941F5F6" w:rsidR="00DB779A" w:rsidRPr="0008623B" w:rsidRDefault="00DB779A" w:rsidP="00DB779A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Pro účely tohoto řádku se v souladu s čl. 45 odst. 2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písm. a) směrnice 2014/59/EU a článkem 92a nařízení (EU) č. 575/2013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hodnota kapitálu a způsobilých závazků, které se započítávají do MREL nebo TLAC,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vyjádří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jako procentní podíl celkového objemu rizikové expozice vypočítaného v souladu s čl. 92 odst. 3 nařízení (EU) č. 575/2013.</w:t>
            </w:r>
          </w:p>
          <w:p w14:paraId="7EB8D0D2" w14:textId="458D8C7A" w:rsidR="00D571F6" w:rsidRPr="0008623B" w:rsidRDefault="00E06D47" w:rsidP="00E06D4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 22 vydělený řádkem 23.</w:t>
            </w:r>
          </w:p>
        </w:tc>
      </w:tr>
      <w:tr w:rsidR="00DD64EE" w:rsidRPr="0008623B" w14:paraId="344FACA7" w14:textId="77777777" w:rsidTr="00E46262">
        <w:tc>
          <w:tcPr>
            <w:tcW w:w="1030" w:type="dxa"/>
            <w:vAlign w:val="top"/>
          </w:tcPr>
          <w:p w14:paraId="79C19FE6" w14:textId="5B9A3D69" w:rsidR="00DD64EE" w:rsidRPr="0008623B" w:rsidRDefault="00DD64EE" w:rsidP="00DD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sz w:val="24"/>
              </w:rPr>
              <w:t>25a</w:t>
            </w:r>
            <w:proofErr w:type="gramEnd"/>
          </w:p>
        </w:tc>
        <w:tc>
          <w:tcPr>
            <w:tcW w:w="7736" w:type="dxa"/>
            <w:vAlign w:val="top"/>
          </w:tcPr>
          <w:p w14:paraId="29460D13" w14:textId="6252FCF5" w:rsidR="00DD64EE" w:rsidRPr="0008623B" w:rsidRDefault="00DD64EE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 toho kapitál a podřízené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závazky</w:t>
            </w:r>
          </w:p>
          <w:p w14:paraId="3177CD5E" w14:textId="4C559037" w:rsidR="00282ED2" w:rsidRPr="0008623B" w:rsidRDefault="00DD64EE" w:rsidP="00DD64E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Pro účely tohoto řádku se hodnota kapitálu a podřízených způsobilých závazků, které se započítávají do MREL,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vyjádří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jako procentní podíl celkového objemu rizikové expozice vypočítaného v souladu s čl. 92 odst. 3 nařízení (EU) č. 575/2013.</w:t>
            </w:r>
          </w:p>
          <w:p w14:paraId="1420404E" w14:textId="486A4F7A" w:rsidR="00DD64EE" w:rsidRPr="0008623B" w:rsidRDefault="00633625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22a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vydělený řádkem 23.</w:t>
            </w:r>
          </w:p>
        </w:tc>
      </w:tr>
      <w:tr w:rsidR="00D571F6" w:rsidRPr="0008623B" w14:paraId="36017B22" w14:textId="77777777" w:rsidTr="00E46262">
        <w:tc>
          <w:tcPr>
            <w:tcW w:w="1030" w:type="dxa"/>
            <w:vAlign w:val="top"/>
          </w:tcPr>
          <w:p w14:paraId="34721F24" w14:textId="1ACC2AE8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736" w:type="dxa"/>
          </w:tcPr>
          <w:p w14:paraId="36877A46" w14:textId="7121B65E" w:rsidR="00D571F6" w:rsidRPr="0008623B" w:rsidRDefault="00D571F6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 míry expozic</w:t>
            </w:r>
          </w:p>
          <w:p w14:paraId="00EB744D" w14:textId="4F8F3490" w:rsidR="00F31CFB" w:rsidRPr="0008623B" w:rsidRDefault="00F31CFB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Pro účely tohoto řádku se v souladu s čl. 45 odst. 2 písm. b) směrnice 2014/59/EU a článkem 92a nařízení (EU) č. 575/2013 hodnota kapitálu a způsobilých závazků, které se započítávají do MREL nebo TLAC,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vyjádří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jako procentní podíl celkové míry expozic vypočítané v souladu s čl. 429 odst. 4 a článkem 429a nařízení (EU) č. 575/2013.</w:t>
            </w:r>
          </w:p>
          <w:p w14:paraId="4625DFA4" w14:textId="11EAD745" w:rsidR="00D571F6" w:rsidRPr="0008623B" w:rsidRDefault="00F31CFB" w:rsidP="00F31CF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 22 vydělený řádkem 24.</w:t>
            </w:r>
          </w:p>
        </w:tc>
      </w:tr>
      <w:tr w:rsidR="00DD64EE" w:rsidRPr="0008623B" w14:paraId="6226AC49" w14:textId="77777777" w:rsidTr="00E46262">
        <w:tc>
          <w:tcPr>
            <w:tcW w:w="1030" w:type="dxa"/>
          </w:tcPr>
          <w:p w14:paraId="0551FE26" w14:textId="5A7C8577" w:rsidR="00DD64EE" w:rsidRPr="0008623B" w:rsidRDefault="00DD64EE" w:rsidP="00DD6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sz w:val="24"/>
              </w:rPr>
              <w:t>26a</w:t>
            </w:r>
            <w:proofErr w:type="gramEnd"/>
          </w:p>
        </w:tc>
        <w:tc>
          <w:tcPr>
            <w:tcW w:w="7736" w:type="dxa"/>
          </w:tcPr>
          <w:p w14:paraId="20A52E81" w14:textId="3A7027C7" w:rsidR="00DD64EE" w:rsidRPr="0008623B" w:rsidRDefault="00DD64EE" w:rsidP="00DD6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Z toho kapitál a podřízené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závazky</w:t>
            </w:r>
          </w:p>
          <w:p w14:paraId="45B16E43" w14:textId="10BF2834" w:rsidR="00CF449E" w:rsidRPr="0008623B" w:rsidRDefault="00CF449E" w:rsidP="001B5DB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Pro účely tohoto řádku se hodnota kapitálu a podřízených způsobilých závazků, které se započítávají do MREL,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vyjádří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jako procentní podíl celkové míry expozic vypočítané v souladu s čl. 429 odst. 4 a článkem 429a nařízení (EU) č. 575/2013.</w:t>
            </w:r>
          </w:p>
          <w:p w14:paraId="358FA12B" w14:textId="445A7C3B" w:rsidR="00633625" w:rsidRPr="0008623B" w:rsidRDefault="00633625" w:rsidP="001B5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22a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vydělený řádkem 24.</w:t>
            </w:r>
          </w:p>
        </w:tc>
      </w:tr>
      <w:tr w:rsidR="00D571F6" w:rsidRPr="0008623B" w14:paraId="097C48C9" w14:textId="77777777" w:rsidTr="00E46262">
        <w:tc>
          <w:tcPr>
            <w:tcW w:w="1030" w:type="dxa"/>
            <w:vAlign w:val="top"/>
          </w:tcPr>
          <w:p w14:paraId="71DD980C" w14:textId="7575C305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7736" w:type="dxa"/>
          </w:tcPr>
          <w:p w14:paraId="5D1EF640" w14:textId="01C37C4A" w:rsidR="00D571F6" w:rsidRPr="0008623B" w:rsidRDefault="00D571F6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Kmenový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 1 (jako procentní podíl celkového objemu rizikové expozice), který je k dispozici poté, co byly splněny požadavky skupiny řešící krizi</w:t>
            </w:r>
          </w:p>
          <w:p w14:paraId="0227909F" w14:textId="1CB6809D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>Hodnota kmenového kapitálu tier 1 jako procentní podíl celkového objemu rizikové expozice, která se rovná nule či kladnému číslu, dostupná poté, co byly splněny veškeré požadavky uvedené v čl. 141a písm. a), b) a c) směrnice 2013/36/EU, a vyšší z následujících hodnot:</w:t>
            </w:r>
          </w:p>
          <w:p w14:paraId="42E3D4EA" w14:textId="2070C8C0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 xml:space="preserve">a) v příslušných případech požadavek na kapitál a způsobilé závazky G-SVI stanovený v článku 92a nařízení (EU) č. 575/2013, je-li výpočet proveden v souladu s odst. 1 písm. a) uvedeného článku, a </w:t>
            </w:r>
          </w:p>
          <w:p w14:paraId="396BF4D8" w14:textId="21D22CB1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>b) minimální požadavek na kapitál a způsobilé závazky stanovený v článku 45 směrnice 2014/59/EU, je-li výpočet proveden v souladu s odst. 2 písm. a) uvedeného článku.</w:t>
            </w:r>
          </w:p>
          <w:p w14:paraId="7D9CD928" w14:textId="77777777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</w:p>
          <w:p w14:paraId="0543D9CF" w14:textId="084E2193" w:rsidR="00A47BCD" w:rsidRPr="0008623B" w:rsidRDefault="00A47BCD" w:rsidP="00B62DC9">
            <w:pPr>
              <w:pStyle w:val="InstructionsText"/>
              <w:rPr>
                <w:rFonts w:eastAsiaTheme="minorEastAsia"/>
              </w:rPr>
            </w:pPr>
            <w:r>
              <w:t>Vykazovaný údaj musí být ve sloupci MREL i sloupci TLAC stejný.</w:t>
            </w:r>
          </w:p>
          <w:p w14:paraId="7018FBAF" w14:textId="3CA720C2" w:rsidR="00D571F6" w:rsidRPr="0008623B" w:rsidRDefault="00A47BCD" w:rsidP="00940D5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Musí zohledňovat účinek přechodných opatření na kapitál a způsobilé závazky, celkový objem rizikové expozice a samotné požadavky. Pokyn k držení dodatečného kapitálu uvedený v článku 104b směrnice 2013/36/EU ani požadavek kombinovaných kapitálových rezerv stanovený v čl. 128 prvním pododstavci bodě 6 uvedené směrnice se nezohlední.</w:t>
            </w:r>
          </w:p>
        </w:tc>
      </w:tr>
      <w:tr w:rsidR="00D571F6" w:rsidRPr="0008623B" w14:paraId="015114DE" w14:textId="77777777" w:rsidTr="00E46262">
        <w:tc>
          <w:tcPr>
            <w:tcW w:w="1030" w:type="dxa"/>
            <w:vAlign w:val="top"/>
          </w:tcPr>
          <w:p w14:paraId="67C0B6E2" w14:textId="23ADC5ED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736" w:type="dxa"/>
          </w:tcPr>
          <w:p w14:paraId="725380F6" w14:textId="27172D98" w:rsidR="00D571F6" w:rsidRPr="0008623B" w:rsidRDefault="00D571F6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Požadavek kombinovaných kapitálových rezerv týkající se konkrétní instituce </w:t>
            </w:r>
          </w:p>
          <w:p w14:paraId="4829A94F" w14:textId="10305ADD" w:rsidR="00D571F6" w:rsidRPr="0008623B" w:rsidRDefault="00D571F6" w:rsidP="00940D5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Požadavek kombinovaných kapitálových rezerv týkající se konkrétní instituce definovaný v čl. 128 prvním pododstavci bodě 6 směrnice 2013/36/EU, vyjádřený jako procentní podíl celkového objemu rizikové expozice, platný pro skupinu řešící krizi v souladu s prvním pododstavcem bodem 6 uvedeného článku.</w:t>
            </w:r>
          </w:p>
        </w:tc>
      </w:tr>
      <w:tr w:rsidR="00D571F6" w:rsidRPr="0008623B" w14:paraId="0D814418" w14:textId="77777777" w:rsidTr="00E46262">
        <w:tc>
          <w:tcPr>
            <w:tcW w:w="1030" w:type="dxa"/>
            <w:vAlign w:val="top"/>
          </w:tcPr>
          <w:p w14:paraId="2D747295" w14:textId="712C6D78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736" w:type="dxa"/>
            <w:vAlign w:val="top"/>
          </w:tcPr>
          <w:p w14:paraId="793F80F0" w14:textId="2D85B0CB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Požadavek kombinovaných kapitálových rezerv týkající se konkrétní instituce – z toho požadavek bezpečnostní kapitálové rezervy </w:t>
            </w:r>
          </w:p>
          <w:p w14:paraId="5C784879" w14:textId="40A880B0" w:rsidR="00D571F6" w:rsidRPr="0008623B" w:rsidRDefault="00D571F6" w:rsidP="009B242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Objem kombinovaných kapitálových rezerv stanovených konkrétně pro danou instituci (vyjádřený jako procentní podíl celkového objemu rizikové expozice), který se týká požadavku na bezpečnostní kapitálovou rezervu.</w:t>
            </w:r>
          </w:p>
        </w:tc>
      </w:tr>
      <w:tr w:rsidR="00D571F6" w:rsidRPr="0008623B" w14:paraId="63B8627F" w14:textId="77777777" w:rsidTr="00E46262">
        <w:tc>
          <w:tcPr>
            <w:tcW w:w="1030" w:type="dxa"/>
            <w:vAlign w:val="top"/>
          </w:tcPr>
          <w:p w14:paraId="68373BD4" w14:textId="0AC3FF61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7736" w:type="dxa"/>
            <w:vAlign w:val="top"/>
          </w:tcPr>
          <w:p w14:paraId="369B9330" w14:textId="25965D76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Požadavek kombinovaných kapitálových rezerv týkající se konkrétní instituce – z toho požadavek proticyklické kapitálové rezervy </w:t>
            </w:r>
          </w:p>
          <w:p w14:paraId="6E30DDC3" w14:textId="72487262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Objem kombinovaných kapitálových rezerv stanovených konkrétně pro danou instituci (vyjádřený jako procentní podíl celkového objemu rizikové expozice), který se týká požadavku na proticyklickou kapitálovou rezervu.</w:t>
            </w:r>
          </w:p>
        </w:tc>
      </w:tr>
      <w:tr w:rsidR="00D571F6" w:rsidRPr="0008623B" w14:paraId="780D8179" w14:textId="77777777" w:rsidTr="00E46262">
        <w:tc>
          <w:tcPr>
            <w:tcW w:w="1030" w:type="dxa"/>
            <w:vAlign w:val="top"/>
          </w:tcPr>
          <w:p w14:paraId="4011938A" w14:textId="6723E0C3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736" w:type="dxa"/>
            <w:vAlign w:val="top"/>
          </w:tcPr>
          <w:p w14:paraId="40BC9FBF" w14:textId="6369FDFB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Požadavek kombinovaných kapitálových rezerv týkající se konkrétní instituce – z toho požadavek na kapitálovou rezervu pro krytí systémového rizika </w:t>
            </w:r>
          </w:p>
          <w:p w14:paraId="2538331C" w14:textId="1E3B6906" w:rsidR="00D571F6" w:rsidRPr="0008623B" w:rsidRDefault="00D571F6" w:rsidP="009B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Objem kombinovaných kapitálových rezerv stanovených konkrétně pro danou instituci (vyjádřený jako procentní podíl celkového objemu rizikové expozice), který se týká požadavku na kapitálovou rezervu pro krytí systémového rizika.</w:t>
            </w:r>
          </w:p>
        </w:tc>
      </w:tr>
      <w:tr w:rsidR="00D571F6" w:rsidRPr="0008623B" w14:paraId="2321A559" w14:textId="77777777" w:rsidTr="00E46262">
        <w:tc>
          <w:tcPr>
            <w:tcW w:w="1030" w:type="dxa"/>
            <w:vAlign w:val="top"/>
          </w:tcPr>
          <w:p w14:paraId="5B6DF329" w14:textId="537A82C8" w:rsidR="00D571F6" w:rsidRPr="0008623B" w:rsidRDefault="00D571F6" w:rsidP="00D571F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sz w:val="24"/>
              </w:rPr>
              <w:t>31a</w:t>
            </w:r>
            <w:proofErr w:type="gramEnd"/>
          </w:p>
        </w:tc>
        <w:tc>
          <w:tcPr>
            <w:tcW w:w="7736" w:type="dxa"/>
            <w:vAlign w:val="top"/>
          </w:tcPr>
          <w:p w14:paraId="2ACB2A11" w14:textId="0C32CAAA" w:rsidR="00D571F6" w:rsidRPr="0008623B" w:rsidRDefault="00B80F7C" w:rsidP="00D571F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Požadavek kombinovaných kapitálových rezerv týkající se konkrétní instituce – z toho kapitálová rezerva pro globální systémově významné instituce (G-SVI) nebo jiné systémově významné instituce (J-SVI)</w:t>
            </w:r>
          </w:p>
          <w:p w14:paraId="6700C20F" w14:textId="59F7281D" w:rsidR="00D571F6" w:rsidRPr="0008623B" w:rsidRDefault="00D571F6" w:rsidP="00563C8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Objem kombinovaných kapitálových rezerv stanovených konkrétně pro danou instituci (vyjádřený jako procentní podíl celkového objemu rizikové expozice), který se týká požadavku na kapitálovou rezervu pro G-SVI nebo J-SVI.</w:t>
            </w:r>
          </w:p>
        </w:tc>
      </w:tr>
      <w:tr w:rsidR="0023278E" w:rsidRPr="0008623B" w14:paraId="08100425" w14:textId="77777777" w:rsidTr="00E46262">
        <w:tc>
          <w:tcPr>
            <w:tcW w:w="1030" w:type="dxa"/>
            <w:vAlign w:val="top"/>
          </w:tcPr>
          <w:p w14:paraId="6C04F598" w14:textId="5E33E643" w:rsidR="0023278E" w:rsidRPr="0008623B" w:rsidRDefault="0023278E" w:rsidP="0023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EU-32</w:t>
            </w:r>
          </w:p>
        </w:tc>
        <w:tc>
          <w:tcPr>
            <w:tcW w:w="7736" w:type="dxa"/>
            <w:vAlign w:val="top"/>
          </w:tcPr>
          <w:p w14:paraId="154EB8B0" w14:textId="1395906F" w:rsidR="0023278E" w:rsidRPr="0008623B" w:rsidRDefault="0023278E" w:rsidP="0023278E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Celková hodnota vyloučených závazků uvedených v čl. 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72a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odst. 2 nařízení (EU) č. 575/2013</w:t>
            </w:r>
          </w:p>
        </w:tc>
      </w:tr>
    </w:tbl>
    <w:p w14:paraId="79FEC8BB" w14:textId="2A1A82F0" w:rsidR="005C7641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188" w:name="_Toc14769121"/>
      <w:bookmarkStart w:id="189" w:name="_Toc14769395"/>
      <w:bookmarkStart w:id="190" w:name="_Toc14769942"/>
      <w:bookmarkStart w:id="191" w:name="_Toc14770212"/>
      <w:bookmarkStart w:id="192" w:name="_Toc14771101"/>
      <w:bookmarkStart w:id="193" w:name="_Toc14771761"/>
      <w:bookmarkStart w:id="194" w:name="_Toc14769169"/>
      <w:bookmarkStart w:id="195" w:name="_Toc14769443"/>
      <w:bookmarkStart w:id="196" w:name="_Toc14769990"/>
      <w:bookmarkStart w:id="197" w:name="_Toc14770260"/>
      <w:bookmarkStart w:id="198" w:name="_Toc14771149"/>
      <w:bookmarkStart w:id="199" w:name="_Toc14771809"/>
      <w:bookmarkStart w:id="200" w:name="_Toc14769201"/>
      <w:bookmarkStart w:id="201" w:name="_Toc14769475"/>
      <w:bookmarkStart w:id="202" w:name="_Toc14770022"/>
      <w:bookmarkStart w:id="203" w:name="_Toc14770292"/>
      <w:bookmarkStart w:id="204" w:name="_Toc14771181"/>
      <w:bookmarkStart w:id="205" w:name="_Toc14771841"/>
      <w:bookmarkStart w:id="206" w:name="_Toc14770784"/>
      <w:bookmarkStart w:id="207" w:name="_Toc45266928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rFonts w:ascii="Times New Roman" w:hAnsi="Times New Roman"/>
          <w:color w:val="auto"/>
          <w:sz w:val="24"/>
        </w:rPr>
        <w:t>4.</w:t>
      </w:r>
      <w:r>
        <w:rPr>
          <w:rFonts w:ascii="Times New Roman" w:hAnsi="Times New Roman"/>
          <w:color w:val="auto"/>
          <w:sz w:val="24"/>
        </w:rPr>
        <w:tab/>
        <w:t>EU ILAC: Interní kapacita pro absorpci ztrát: interní MREL a případně požadavek na kapitál a způsobilé závazky G-SVI mimo EU</w:t>
      </w:r>
      <w:bookmarkStart w:id="208" w:name="_Toc14770785"/>
      <w:bookmarkEnd w:id="206"/>
      <w:bookmarkEnd w:id="208"/>
      <w:r>
        <w:rPr>
          <w:rFonts w:ascii="Times New Roman" w:hAnsi="Times New Roman"/>
          <w:color w:val="auto"/>
          <w:sz w:val="24"/>
        </w:rPr>
        <w:t xml:space="preserve"> (interní TLAC)</w:t>
      </w:r>
      <w:bookmarkEnd w:id="207"/>
    </w:p>
    <w:p w14:paraId="4B755467" w14:textId="5E1539C5" w:rsidR="00413CCD" w:rsidRPr="0008623B" w:rsidRDefault="00413CCD" w:rsidP="00B62DC9">
      <w:pPr>
        <w:pStyle w:val="InstructionsText2"/>
        <w:numPr>
          <w:ilvl w:val="0"/>
          <w:numId w:val="12"/>
        </w:numPr>
      </w:pPr>
      <w:r>
        <w:t>V této šabloně se vykazuje kapitál a způsobilé závazky subjektů, které pro účely požadavku na kapitál a způsobilé závazky stanoveného v článku 45f směrnice 2014/59/EU (interní MREL), jakož i pro účely požadavku na kapitál a způsobilé závazky G-SVI mimo EU, který se použije na významné dceřiné podniky G-SVI třetí země a který je stanoven v článku 92b nařízení (EU) č. 575/2013 (interní TLAC), samy nejsou subjekty řešícími krizi.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FF6326" w:rsidRPr="0008623B" w14:paraId="4BB456DC" w14:textId="77777777" w:rsidTr="00F42DCD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0BD997C3" w14:textId="77777777" w:rsidR="00FF6326" w:rsidRPr="0008623B" w:rsidRDefault="00FF6326" w:rsidP="00F4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Sloupce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359FBA21" w14:textId="5D467A7A" w:rsidR="00FF6326" w:rsidRPr="0008623B" w:rsidRDefault="00E46262" w:rsidP="00F42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FF6326" w:rsidRPr="0008623B" w14:paraId="4D038DE2" w14:textId="77777777" w:rsidTr="00F42DCD">
        <w:trPr>
          <w:trHeight w:val="637"/>
        </w:trPr>
        <w:tc>
          <w:tcPr>
            <w:tcW w:w="1384" w:type="dxa"/>
          </w:tcPr>
          <w:p w14:paraId="60750BB7" w14:textId="77777777" w:rsidR="00FF6326" w:rsidRPr="0008623B" w:rsidDel="00DE6BC1" w:rsidRDefault="00FF6326" w:rsidP="00F42DCD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655" w:type="dxa"/>
          </w:tcPr>
          <w:p w14:paraId="054F4480" w14:textId="09D63B79" w:rsidR="00FF6326" w:rsidRPr="0008623B" w:rsidRDefault="00CB1021" w:rsidP="00F90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Subjekty v tomto sloupci uvedou příslušné informace o interním MREL v souladu s články 45 a 45f směrnice 2014/59/EU.</w:t>
            </w:r>
          </w:p>
        </w:tc>
      </w:tr>
      <w:tr w:rsidR="00FF6326" w:rsidRPr="0008623B" w14:paraId="1546A396" w14:textId="77777777" w:rsidTr="00F42DCD">
        <w:trPr>
          <w:trHeight w:val="637"/>
        </w:trPr>
        <w:tc>
          <w:tcPr>
            <w:tcW w:w="1384" w:type="dxa"/>
          </w:tcPr>
          <w:p w14:paraId="1C66F776" w14:textId="7AB435E5" w:rsidR="00FF6326" w:rsidRPr="0008623B" w:rsidDel="00DE6BC1" w:rsidRDefault="00F90B2E" w:rsidP="00F90B2E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655" w:type="dxa"/>
          </w:tcPr>
          <w:p w14:paraId="353033F9" w14:textId="2CD18282" w:rsidR="00FF6326" w:rsidRPr="0008623B" w:rsidRDefault="00CB1021" w:rsidP="00F90B2E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Subjekty, které jsou významné dceřiné podniky G-SVI mimo EU podle článku 92b nařízení (EU) č. 575/2013, v tomto sloupci uvedou příslušné informace o interním TLAC v souladu s článkem 92b nařízení (EU) č. 575/2013. </w:t>
            </w:r>
          </w:p>
        </w:tc>
      </w:tr>
      <w:tr w:rsidR="00FF6326" w:rsidRPr="0008623B" w14:paraId="22E6AD38" w14:textId="77777777" w:rsidTr="00F42DCD">
        <w:trPr>
          <w:trHeight w:val="637"/>
        </w:trPr>
        <w:tc>
          <w:tcPr>
            <w:tcW w:w="1384" w:type="dxa"/>
          </w:tcPr>
          <w:p w14:paraId="51FE79F2" w14:textId="77777777" w:rsidR="00FF6326" w:rsidRPr="0008623B" w:rsidDel="00DE6BC1" w:rsidRDefault="00FF6326" w:rsidP="00F42DCD">
            <w:pPr>
              <w:pStyle w:val="Applicationdirecte"/>
              <w:spacing w:before="12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lastRenderedPageBreak/>
              <w:t>c</w:t>
            </w:r>
          </w:p>
        </w:tc>
        <w:tc>
          <w:tcPr>
            <w:tcW w:w="7655" w:type="dxa"/>
          </w:tcPr>
          <w:p w14:paraId="5128BCFA" w14:textId="7C8880AD" w:rsidR="00FF6326" w:rsidRPr="0008623B" w:rsidRDefault="00560736" w:rsidP="00BF6482">
            <w:pPr>
              <w:autoSpaceDE w:val="0"/>
              <w:autoSpaceDN w:val="0"/>
              <w:adjustRightInd w:val="0"/>
              <w:spacing w:before="120" w:after="120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Kvalitativní informace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související s příslušným požadavkem a úrovní uplatňování.</w:t>
            </w:r>
          </w:p>
        </w:tc>
      </w:tr>
    </w:tbl>
    <w:p w14:paraId="11222185" w14:textId="77777777" w:rsidR="00FF6326" w:rsidRPr="000F4804" w:rsidRDefault="00FF6326" w:rsidP="00FF6326">
      <w:pPr>
        <w:jc w:val="both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</w:p>
    <w:p w14:paraId="607A36F9" w14:textId="7120601E" w:rsidR="0082003D" w:rsidRPr="000F4804" w:rsidRDefault="0082003D" w:rsidP="005C7641">
      <w:pPr>
        <w:jc w:val="both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642"/>
      </w:tblGrid>
      <w:tr w:rsidR="00026FC1" w:rsidRPr="0008623B" w14:paraId="0EE47F56" w14:textId="77777777" w:rsidTr="002A0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7BCFB" w14:textId="77777777" w:rsidR="0067351E" w:rsidRPr="0008623B" w:rsidRDefault="0067351E" w:rsidP="00EF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Řádek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9CC04" w14:textId="58876303" w:rsidR="0067351E" w:rsidRPr="0008623B" w:rsidRDefault="00E46262" w:rsidP="00EF4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5D18F8" w:rsidRPr="0008623B" w14:paraId="4273A8E3" w14:textId="77777777" w:rsidTr="002A065A">
        <w:tc>
          <w:tcPr>
            <w:tcW w:w="1109" w:type="dxa"/>
            <w:vAlign w:val="top"/>
          </w:tcPr>
          <w:p w14:paraId="6FB9A622" w14:textId="17181A2D" w:rsidR="005D18F8" w:rsidRPr="0008623B" w:rsidRDefault="005D18F8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EU-1</w:t>
            </w:r>
          </w:p>
        </w:tc>
        <w:tc>
          <w:tcPr>
            <w:tcW w:w="7642" w:type="dxa"/>
          </w:tcPr>
          <w:p w14:paraId="33FA642D" w14:textId="4C8C035D" w:rsidR="005D18F8" w:rsidRPr="0008623B" w:rsidRDefault="005D18F8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Vztahuje se na subjekt požadavek na kapitál a způsobilé závazky G-SVI mimo EU? (A/N)</w:t>
            </w:r>
          </w:p>
          <w:p w14:paraId="402765A8" w14:textId="58B96136" w:rsidR="005D18F8" w:rsidRPr="0008623B" w:rsidRDefault="005D18F8" w:rsidP="00F90B2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Zda subjekt podléhá požadavku na interní TLAC v souladu s článkem 92b nařízení (EU) č. 575/2013.</w:t>
            </w:r>
          </w:p>
        </w:tc>
      </w:tr>
      <w:tr w:rsidR="005D18F8" w:rsidRPr="0008623B" w14:paraId="753D9E0C" w14:textId="77777777" w:rsidTr="002A065A">
        <w:tc>
          <w:tcPr>
            <w:tcW w:w="1109" w:type="dxa"/>
            <w:vAlign w:val="top"/>
          </w:tcPr>
          <w:p w14:paraId="4D6276FA" w14:textId="29D2C84A" w:rsidR="005D18F8" w:rsidRPr="0008623B" w:rsidRDefault="005D18F8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</w:t>
            </w:r>
          </w:p>
        </w:tc>
        <w:tc>
          <w:tcPr>
            <w:tcW w:w="7642" w:type="dxa"/>
          </w:tcPr>
          <w:p w14:paraId="5580A119" w14:textId="4279FE54" w:rsidR="005D18F8" w:rsidRPr="0008623B" w:rsidRDefault="005D18F8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Pokud jste na EU-1 odpověděli „ano“, uplatní se požadavek na konsolidovaném, či individuálním základě? (K/I)</w:t>
            </w:r>
          </w:p>
          <w:p w14:paraId="16349591" w14:textId="439F9DE2" w:rsidR="005D18F8" w:rsidRPr="0008623B" w:rsidRDefault="005D18F8" w:rsidP="005D18F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Zda subjekt podléhá požadavku na interní TLAC na konsolidovaném, nebo individuálním základě v souladu s článkem 18 nařízení (EU) č. 575/2013.</w:t>
            </w:r>
          </w:p>
          <w:p w14:paraId="557B461D" w14:textId="0A55FA2A" w:rsidR="005D18F8" w:rsidRPr="0008623B" w:rsidRDefault="005D18F8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Je-li požadavek na konsolidovaném základě, celá tato šablona se vyplní na konsolidovaném základě. Ve všech ostatních případech se tato šablona vyplní na individuálním základě.</w:t>
            </w:r>
          </w:p>
        </w:tc>
      </w:tr>
      <w:tr w:rsidR="005C4469" w:rsidRPr="0008623B" w14:paraId="3EFBB389" w14:textId="77777777" w:rsidTr="002A065A">
        <w:tc>
          <w:tcPr>
            <w:tcW w:w="1109" w:type="dxa"/>
            <w:vAlign w:val="top"/>
          </w:tcPr>
          <w:p w14:paraId="5EB99A90" w14:textId="2812B763" w:rsidR="005C4469" w:rsidRPr="0008623B" w:rsidRDefault="005C4469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sz w:val="24"/>
              </w:rPr>
              <w:t>2a</w:t>
            </w:r>
            <w:proofErr w:type="gramEnd"/>
          </w:p>
        </w:tc>
        <w:tc>
          <w:tcPr>
            <w:tcW w:w="7642" w:type="dxa"/>
          </w:tcPr>
          <w:p w14:paraId="116B6FE4" w14:textId="5D78B194" w:rsidR="005C4469" w:rsidRPr="0008623B" w:rsidRDefault="005C4469" w:rsidP="0067299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Vztahuje se na subjekt interní MREL? (A/N)</w:t>
            </w:r>
          </w:p>
          <w:p w14:paraId="61B02EAE" w14:textId="61E31496" w:rsidR="005C4469" w:rsidRPr="0008623B" w:rsidRDefault="005C4469" w:rsidP="00B24DB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Zda se na subjekt vztahuje MREL podle článků 45 a 45f směrnice 2014/59/EU.</w:t>
            </w:r>
          </w:p>
        </w:tc>
      </w:tr>
      <w:tr w:rsidR="005C4469" w:rsidRPr="0008623B" w14:paraId="1E79865E" w14:textId="77777777" w:rsidTr="002A065A">
        <w:tc>
          <w:tcPr>
            <w:tcW w:w="1109" w:type="dxa"/>
            <w:vAlign w:val="top"/>
          </w:tcPr>
          <w:p w14:paraId="59235EF1" w14:textId="1C47DD13" w:rsidR="005C4469" w:rsidRPr="0008623B" w:rsidRDefault="005C4469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sz w:val="24"/>
              </w:rPr>
              <w:t>2b</w:t>
            </w:r>
            <w:proofErr w:type="gramEnd"/>
          </w:p>
        </w:tc>
        <w:tc>
          <w:tcPr>
            <w:tcW w:w="7642" w:type="dxa"/>
          </w:tcPr>
          <w:p w14:paraId="3CFE2B07" w14:textId="0BF8D801" w:rsidR="005C4469" w:rsidRPr="0008623B" w:rsidRDefault="005C4469" w:rsidP="0067299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Pokud jste na EU-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2a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odpověděli „ano“, uplatní se požadavek na konsolidovaném, či individuálním základě? (K/I)</w:t>
            </w:r>
          </w:p>
          <w:p w14:paraId="7DC57F76" w14:textId="22478F28" w:rsidR="005C4469" w:rsidRPr="0008623B" w:rsidRDefault="005C4469" w:rsidP="0067299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Zda se na subjekt vztahuje interní MREL na konsolidovaném, nebo individuálním základě.</w:t>
            </w:r>
          </w:p>
          <w:p w14:paraId="4FC6F388" w14:textId="244D10B7" w:rsidR="005C4469" w:rsidRPr="0008623B" w:rsidRDefault="005C4469" w:rsidP="0067299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Je-li požadavek na konsolidovaném základě, celá tato šablona se vyplní na konsolidovaném základě. Ve všech ostatních případech se tato šablona vyplní na individuálním základě.</w:t>
            </w:r>
          </w:p>
        </w:tc>
      </w:tr>
      <w:tr w:rsidR="005D18F8" w:rsidRPr="0008623B" w14:paraId="4F5D32F0" w14:textId="77777777" w:rsidTr="002A065A">
        <w:tc>
          <w:tcPr>
            <w:tcW w:w="1109" w:type="dxa"/>
            <w:vAlign w:val="top"/>
          </w:tcPr>
          <w:p w14:paraId="6EF5BD76" w14:textId="64835762" w:rsidR="005D18F8" w:rsidRPr="0008623B" w:rsidRDefault="005D18F8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EU-3</w:t>
            </w:r>
          </w:p>
        </w:tc>
        <w:tc>
          <w:tcPr>
            <w:tcW w:w="7642" w:type="dxa"/>
          </w:tcPr>
          <w:p w14:paraId="6472530C" w14:textId="5849D3C6" w:rsidR="005D18F8" w:rsidRPr="0008623B" w:rsidRDefault="005D18F8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Kmenový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 1</w:t>
            </w:r>
          </w:p>
          <w:p w14:paraId="071B676A" w14:textId="2ECC0EBE" w:rsidR="005D18F8" w:rsidRPr="0008623B" w:rsidRDefault="003D0BF6" w:rsidP="005D18F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Článek 50 nařízení (EU) č. 575/2013</w:t>
            </w:r>
          </w:p>
          <w:p w14:paraId="224515AC" w14:textId="760620BD" w:rsidR="005D18F8" w:rsidRPr="0008623B" w:rsidRDefault="005D18F8" w:rsidP="00FF632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Kmenový kapitál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 1 na individuálním, případně konsolidovaném základě v souladu s článkem 50 nařízení (EU) č. 575/2013.</w:t>
            </w:r>
          </w:p>
        </w:tc>
      </w:tr>
      <w:tr w:rsidR="005D18F8" w:rsidRPr="0008623B" w14:paraId="65D6A57F" w14:textId="77777777" w:rsidTr="002A065A">
        <w:tc>
          <w:tcPr>
            <w:tcW w:w="1109" w:type="dxa"/>
            <w:vAlign w:val="top"/>
          </w:tcPr>
          <w:p w14:paraId="77011BCF" w14:textId="1DBC2D36" w:rsidR="005D18F8" w:rsidRPr="0008623B" w:rsidRDefault="005D18F8" w:rsidP="006A52E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EU-4</w:t>
            </w:r>
          </w:p>
        </w:tc>
        <w:tc>
          <w:tcPr>
            <w:tcW w:w="7642" w:type="dxa"/>
          </w:tcPr>
          <w:p w14:paraId="38EE0035" w14:textId="22F8D01E" w:rsidR="005D18F8" w:rsidRPr="0008623B" w:rsidRDefault="008A0AF3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Způsobilý vedlejší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1 </w:t>
            </w:r>
          </w:p>
          <w:p w14:paraId="0249C867" w14:textId="75BBE4E4" w:rsidR="00563C8D" w:rsidRPr="0008623B" w:rsidRDefault="003D0BF6" w:rsidP="00510C0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Článek 61 nařízení (EU) č. 575/2013</w:t>
            </w:r>
          </w:p>
          <w:p w14:paraId="5A71C48F" w14:textId="27B14A49" w:rsidR="005D18F8" w:rsidRPr="0008623B" w:rsidRDefault="00FF6326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Nástroje vedlejšího kapitálu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1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se zohlední, pouze pokud splňují kritéria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stanovená v článku 92b nařízení (EU) č. 575/2013 a v čl. 45f odst. 2 písm. b) bodě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ii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) směrnice 2014/59/EU.</w:t>
            </w:r>
          </w:p>
          <w:p w14:paraId="0094C1AC" w14:textId="45113FD1" w:rsidR="007600E9" w:rsidRPr="0008623B" w:rsidRDefault="007600E9" w:rsidP="00D950BA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V případě interního MREL se nástroje uvedené v čl. 89 odst. 2</w:t>
            </w:r>
            <w:r>
              <w:rPr>
                <w:rStyle w:val="FormatvorlageInstructionsTabelleText"/>
              </w:rP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čtvrtém pododstavci směrnice 2014/59/EU zahrnou, pokud se tento odstavec použije. Nástroje, které se řídí právem třetí země, se zahrnou pouze v případě, že splňují požadavky stanovené v článku 55 směrnice 2014/59/EU.</w:t>
            </w:r>
          </w:p>
        </w:tc>
      </w:tr>
      <w:tr w:rsidR="005D18F8" w:rsidRPr="0008623B" w14:paraId="26CF63CA" w14:textId="77777777" w:rsidTr="002A065A">
        <w:tc>
          <w:tcPr>
            <w:tcW w:w="1109" w:type="dxa"/>
          </w:tcPr>
          <w:p w14:paraId="7590CA0F" w14:textId="3E55E188" w:rsidR="005D18F8" w:rsidRPr="0008623B" w:rsidRDefault="006A52ED" w:rsidP="005D18F8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EU-5</w:t>
            </w:r>
          </w:p>
        </w:tc>
        <w:tc>
          <w:tcPr>
            <w:tcW w:w="7642" w:type="dxa"/>
          </w:tcPr>
          <w:p w14:paraId="1D3C1105" w14:textId="5B6AF4D8" w:rsidR="005D18F8" w:rsidRPr="0008623B" w:rsidRDefault="008A0AF3" w:rsidP="005D18F8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Způsobilý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 2</w:t>
            </w:r>
          </w:p>
          <w:p w14:paraId="7C05E6B8" w14:textId="2FF703C8" w:rsidR="00282ED2" w:rsidRPr="0008623B" w:rsidRDefault="003D0BF6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Článek 71 nařízení (EU) č. 575/2013 </w:t>
            </w:r>
          </w:p>
          <w:p w14:paraId="3807E78A" w14:textId="1358321A" w:rsidR="005D18F8" w:rsidRPr="0008623B" w:rsidRDefault="002924A2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Nástroje kapitálu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2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se zohlední, pouze pokud splňují kritéria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stanovená v článku 92b nařízení (EU) č. 575/2013 a v čl. 45f odst. 2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písm. b) bodě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ii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) směrnice 2014/59/EU.</w:t>
            </w:r>
          </w:p>
          <w:p w14:paraId="6CBCECA5" w14:textId="0194AD8C" w:rsidR="007600E9" w:rsidRPr="0008623B" w:rsidRDefault="007600E9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V případě interního MREL se nástroje uvedené v čl. 89 odst. 2</w:t>
            </w:r>
            <w:r>
              <w:rPr>
                <w:rStyle w:val="FormatvorlageInstructionsTabelleText"/>
              </w:rP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čtvrtém pododstavci směrnice 2014/59/EU zahrnou, pokud se tento odstavec použije. Nástroje, které se řídí právem třetí země, se zahrnou pouze v případě, že splňují požadavky stanovené v článku 55 směrnice 2014/59/EU.</w:t>
            </w:r>
          </w:p>
        </w:tc>
      </w:tr>
      <w:tr w:rsidR="00026FC1" w:rsidRPr="0008623B" w14:paraId="2919AE1B" w14:textId="77777777" w:rsidTr="002A065A">
        <w:tc>
          <w:tcPr>
            <w:tcW w:w="1109" w:type="dxa"/>
          </w:tcPr>
          <w:p w14:paraId="251A5712" w14:textId="4B2177BA" w:rsidR="00B907A2" w:rsidRPr="0008623B" w:rsidRDefault="006A52ED" w:rsidP="00B907A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EU-6</w:t>
            </w:r>
          </w:p>
        </w:tc>
        <w:tc>
          <w:tcPr>
            <w:tcW w:w="7642" w:type="dxa"/>
          </w:tcPr>
          <w:p w14:paraId="37F48E22" w14:textId="01DDD07A" w:rsidR="00B907A2" w:rsidRPr="0008623B" w:rsidRDefault="00310603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Způsobilý kapitál</w:t>
            </w:r>
          </w:p>
          <w:p w14:paraId="02484207" w14:textId="3BBDA43F" w:rsidR="00B907A2" w:rsidRPr="0008623B" w:rsidRDefault="00F42DCD" w:rsidP="00AB7C1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Součet kmenového kapitálu </w:t>
            </w:r>
            <w:proofErr w:type="spellStart"/>
            <w:r>
              <w:rPr>
                <w:rStyle w:val="FormatvorlageInstructionsTabelleText"/>
                <w:rFonts w:ascii="Times New Roman" w:hAnsi="Times New Roman"/>
                <w:sz w:val="24"/>
              </w:rPr>
              <w:t>tier</w:t>
            </w:r>
            <w:proofErr w:type="spell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 1, způsobilého vedlejšího kapitálu </w:t>
            </w:r>
            <w:proofErr w:type="spellStart"/>
            <w:r>
              <w:rPr>
                <w:rStyle w:val="FormatvorlageInstructionsTabelleText"/>
                <w:rFonts w:ascii="Times New Roman" w:hAnsi="Times New Roman"/>
                <w:sz w:val="24"/>
              </w:rPr>
              <w:t>tier</w:t>
            </w:r>
            <w:proofErr w:type="spell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 1 a způsobilého kapitálu </w:t>
            </w:r>
            <w:proofErr w:type="spellStart"/>
            <w:r>
              <w:rPr>
                <w:rStyle w:val="FormatvorlageInstructionsTabelleText"/>
                <w:rFonts w:ascii="Times New Roman" w:hAnsi="Times New Roman"/>
                <w:sz w:val="24"/>
              </w:rPr>
              <w:t>tier</w:t>
            </w:r>
            <w:proofErr w:type="spell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2.</w:t>
            </w:r>
          </w:p>
        </w:tc>
      </w:tr>
      <w:tr w:rsidR="00026FC1" w:rsidRPr="0008623B" w14:paraId="30D7B21F" w14:textId="77777777" w:rsidTr="002A065A">
        <w:tc>
          <w:tcPr>
            <w:tcW w:w="1109" w:type="dxa"/>
          </w:tcPr>
          <w:p w14:paraId="5D54FF19" w14:textId="5DFAFBC0" w:rsidR="006A383B" w:rsidRPr="0008623B" w:rsidRDefault="00F42DCD" w:rsidP="006A383B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EU-7</w:t>
            </w:r>
          </w:p>
        </w:tc>
        <w:tc>
          <w:tcPr>
            <w:tcW w:w="7642" w:type="dxa"/>
          </w:tcPr>
          <w:p w14:paraId="3BF153BB" w14:textId="618EB7D0" w:rsidR="006A383B" w:rsidRPr="0008623B" w:rsidRDefault="006A383B" w:rsidP="006A3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Způsobilé závazky </w:t>
            </w:r>
          </w:p>
          <w:p w14:paraId="63CA9295" w14:textId="50FD70BB" w:rsidR="00547B2E" w:rsidRPr="0008623B" w:rsidRDefault="00547B2E" w:rsidP="00F42DCD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Interní MREL</w:t>
            </w:r>
          </w:p>
          <w:p w14:paraId="17E7EEB4" w14:textId="3FD297AB" w:rsidR="00F42DCD" w:rsidRPr="0008623B" w:rsidRDefault="00CC7310" w:rsidP="00F42DC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Způsobilé závazky, které splňují podmínky stanovené v čl. 45f odst. 2 směrnice 2014/59/EU,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přičemž se případně zohlední rovněž čl. 89 odst. </w:t>
            </w:r>
            <w:proofErr w:type="gramStart"/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2 </w:t>
            </w:r>
            <w:r>
              <w:rPr>
                <w:rStyle w:val="FormatvorlageInstructionsTabelleText"/>
              </w:rP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čtvrtý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pododstavec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uvedené směrnice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63956C24" w14:textId="6F2B8506" w:rsidR="00547B2E" w:rsidRPr="0008623B" w:rsidRDefault="00547B2E" w:rsidP="00F42DC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Nástroj, který se řídí právem třetí země, se do tohoto řádku zahrne pouze v případě, že splňuje požadavky stanovené v článku 55 směrnice 2014/59/EU.</w:t>
            </w:r>
          </w:p>
          <w:p w14:paraId="5C695D4E" w14:textId="739B28B1" w:rsidR="00547B2E" w:rsidRPr="0008623B" w:rsidRDefault="00CC7310" w:rsidP="00F42DCD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Pokud orgán dceřiného podniku příslušný k řešení krize povolí subjektu splnit interní MREL prostřednictvím záruk, zahrne se do tohoto řádku rovněž výše záruk, které jsou poskytnuty subjektem řešícím krizi a splňují všechny podmínky stanovené v čl. 45f odst. 5 směrnice 2014/59/EU.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Interní TLAC</w:t>
            </w:r>
          </w:p>
          <w:p w14:paraId="20CB430B" w14:textId="47B5B51E" w:rsidR="00766271" w:rsidRPr="0008623B" w:rsidRDefault="00CC7310" w:rsidP="00CC7310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Hodnota způsobilých závazků se vypočítá v souladu s článkem 72k nařízení (EU) č. 575/2013, splňují-li tyto závazky podmínky stanovené v 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2 uvedeného nařízení.</w:t>
            </w:r>
          </w:p>
        </w:tc>
      </w:tr>
      <w:tr w:rsidR="007600E9" w:rsidRPr="0008623B" w14:paraId="4E845D10" w14:textId="77777777" w:rsidTr="002A065A">
        <w:tc>
          <w:tcPr>
            <w:tcW w:w="1109" w:type="dxa"/>
          </w:tcPr>
          <w:p w14:paraId="153A7C48" w14:textId="5CC7BD86" w:rsidR="007600E9" w:rsidRPr="0008623B" w:rsidRDefault="007600E9" w:rsidP="007600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EU-8</w:t>
            </w:r>
          </w:p>
        </w:tc>
        <w:tc>
          <w:tcPr>
            <w:tcW w:w="7642" w:type="dxa"/>
          </w:tcPr>
          <w:p w14:paraId="49C42D32" w14:textId="17A80A6B" w:rsidR="007600E9" w:rsidRPr="0008623B" w:rsidRDefault="00FF5E0F" w:rsidP="007600E9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Způsobilé závazky – z toho povolené záruky</w:t>
            </w:r>
          </w:p>
          <w:p w14:paraId="7FBE9C6F" w14:textId="39072AA7" w:rsidR="007600E9" w:rsidRPr="0008623B" w:rsidRDefault="009C121A" w:rsidP="009C12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Pokud orgán dceřiného podniku příslušný k řešení krize povolí subjektu splnit interní MREL prostřednictvím záruk, výše záruk, které jsou poskytnuty subjektem řešícím krizi a splňují všechny podmínky stanovené v čl. 45f odst. 5 směrnice 2014/59/EU.</w:t>
            </w:r>
          </w:p>
        </w:tc>
      </w:tr>
      <w:tr w:rsidR="00547B2E" w:rsidRPr="0008623B" w14:paraId="352876D4" w14:textId="77777777" w:rsidTr="002A065A">
        <w:tc>
          <w:tcPr>
            <w:tcW w:w="1109" w:type="dxa"/>
          </w:tcPr>
          <w:p w14:paraId="6DCACB84" w14:textId="766ADF9F" w:rsidR="00547B2E" w:rsidRPr="0008623B" w:rsidRDefault="00644B02" w:rsidP="007600E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9a</w:t>
            </w:r>
            <w:proofErr w:type="gramEnd"/>
          </w:p>
        </w:tc>
        <w:tc>
          <w:tcPr>
            <w:tcW w:w="7642" w:type="dxa"/>
          </w:tcPr>
          <w:p w14:paraId="32608FA7" w14:textId="7D99477C" w:rsidR="00547B2E" w:rsidRPr="0008623B" w:rsidRDefault="00547B2E" w:rsidP="007600E9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(Úpravy)</w:t>
            </w:r>
          </w:p>
          <w:p w14:paraId="716CE6EE" w14:textId="77777777" w:rsidR="00547B2E" w:rsidRPr="0008623B" w:rsidRDefault="00547B2E" w:rsidP="007600E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Záporná hodnota</w:t>
            </w:r>
          </w:p>
          <w:p w14:paraId="53DD0B4C" w14:textId="77777777" w:rsidR="00CB3841" w:rsidRPr="0008623B" w:rsidRDefault="00CB3841" w:rsidP="00CB3841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 tomto řádku se uvedou následující úpravy:</w:t>
            </w:r>
          </w:p>
          <w:p w14:paraId="61271E0C" w14:textId="02F82C25" w:rsidR="00766271" w:rsidRPr="0008623B" w:rsidRDefault="00766271" w:rsidP="0076627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Kapitálové investice do kapitálových nástrojů a nástrojů způsobilých závazků, které mají být odečteny v souladu s čl. 72e odst. 5 nařízení (EU) č. 575/2013</w:t>
            </w:r>
            <w:r>
              <w:rPr>
                <w:rFonts w:ascii="Times New Roman" w:hAnsi="Times New Roman"/>
                <w:sz w:val="24"/>
              </w:rPr>
              <w:t xml:space="preserve"> nebo čl. 45c odst. </w:t>
            </w:r>
            <w:proofErr w:type="gramStart"/>
            <w:r>
              <w:rPr>
                <w:rFonts w:ascii="Times New Roman" w:hAnsi="Times New Roman"/>
                <w:sz w:val="24"/>
              </w:rPr>
              <w:t>2a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pátým pododstavcem směrnice 2014/59/EU.</w:t>
            </w:r>
          </w:p>
          <w:p w14:paraId="17EE89C8" w14:textId="699CDE18" w:rsidR="00547B2E" w:rsidRPr="0008623B" w:rsidRDefault="00766271" w:rsidP="00CB384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Částky, na které se vztahuje svolení k vypovězení, umoření, splacení nebo zpětnému odkupu nástrojů způsobilých závazků v souladu s článkem 78a nařízení (EU) č. 575/2013, v rozsahu, v jakém vykazující subjekt tuto částku k vypovězení, umoření, splacení nebo zpětnému odkupu nástrojů dosud nevyužil („nevyužité částky, pro něž bylo uděleno předběžné svolení“).</w:t>
            </w:r>
          </w:p>
        </w:tc>
      </w:tr>
      <w:tr w:rsidR="00026FC1" w:rsidRPr="0008623B" w14:paraId="79FC726E" w14:textId="77777777" w:rsidTr="002A065A"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161A" w14:textId="75BE9513" w:rsidR="00A9215E" w:rsidRPr="0008623B" w:rsidRDefault="00F42DCD" w:rsidP="008C1523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9b</w:t>
            </w:r>
            <w:proofErr w:type="gramEnd"/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FCBD" w14:textId="4ADDE5EB" w:rsidR="006475ED" w:rsidRPr="0008623B" w:rsidRDefault="00A9215E" w:rsidP="006475ED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položky způsobilých závazků po úpravách</w:t>
            </w:r>
          </w:p>
          <w:p w14:paraId="6DB0E5C7" w14:textId="7B912E87" w:rsidR="00547B2E" w:rsidRPr="0008623B" w:rsidRDefault="00547B2E" w:rsidP="00F42DCD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Interní MREL</w:t>
            </w:r>
          </w:p>
          <w:p w14:paraId="4FED8305" w14:textId="534AF772" w:rsidR="00547B2E" w:rsidRPr="0008623B" w:rsidRDefault="00F42DCD" w:rsidP="00F42DCD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Hodnota způsobilého kapitálu a způsobilých závazků subjektu bez úprav, která se započítává do interního MREL, jak je stanoveno v čl. 45f odst. 2 směrnice 2014/59/EU, přičemž se případně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zohlední rovněž čl. 89 odst. 2čtvrtý pododstavec uvedené směrnice. Nástroj, který se řídí právem třetí země, se do tohoto řádku zahrne pouze v případě, že splňuje požadavky stanovené v článku 55 směrnice 2014/59/EU.</w:t>
            </w:r>
          </w:p>
          <w:p w14:paraId="2C1B0641" w14:textId="08263093" w:rsidR="00547B2E" w:rsidRPr="0008623B" w:rsidRDefault="00547B2E" w:rsidP="00F42DCD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 EU-6 plus řádek EU-7 plus řádek 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  <w:p w14:paraId="2538ACE7" w14:textId="7B547E87" w:rsidR="00547B2E" w:rsidRPr="0008623B" w:rsidRDefault="00547B2E" w:rsidP="00F42DCD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Interní TLAC</w:t>
            </w:r>
          </w:p>
          <w:p w14:paraId="56CFB916" w14:textId="470CF1AB" w:rsidR="006475ED" w:rsidRPr="0008623B" w:rsidRDefault="00547B2E" w:rsidP="00503590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Způsobilý kapitál a způsobilé závazky, které se započítávají do požadavku na kapitál a způsobilé závazky G-SVI mimo EU, jak je stanoveno v čl. 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92b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odst. 2 nařízení (EU) č. 575/2013.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Vypočte se jako řádek EU-6 plus řádek EU-7.</w:t>
            </w:r>
          </w:p>
        </w:tc>
      </w:tr>
      <w:tr w:rsidR="00026FC1" w:rsidRPr="0008623B" w14:paraId="2CEBF3B0" w14:textId="77777777" w:rsidTr="002A065A">
        <w:tc>
          <w:tcPr>
            <w:tcW w:w="1109" w:type="dxa"/>
          </w:tcPr>
          <w:p w14:paraId="43BF2529" w14:textId="36FBE66E" w:rsidR="000C5255" w:rsidRPr="0008623B" w:rsidDel="00FF3133" w:rsidRDefault="007F6136" w:rsidP="00F4217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EU-10</w:t>
            </w:r>
          </w:p>
        </w:tc>
        <w:tc>
          <w:tcPr>
            <w:tcW w:w="7642" w:type="dxa"/>
          </w:tcPr>
          <w:p w14:paraId="09DCE834" w14:textId="5F82E219" w:rsidR="007F6136" w:rsidRPr="0008623B" w:rsidRDefault="007F6136" w:rsidP="00C07CCC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Celkový objem rizikové expozice</w:t>
            </w:r>
          </w:p>
          <w:p w14:paraId="5B78340F" w14:textId="6D0E9C20" w:rsidR="000C5255" w:rsidRPr="0008623B" w:rsidRDefault="000C525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Celkový objem rizikové expozice individuálního subjektu nebo konsolidované skupiny na úrovni, na níž byly požadavky stanoveny, v souladu s čl. 18 odst. 1 druhým pododstavcem nařízení (EU) č. 575/2013.</w:t>
            </w:r>
          </w:p>
          <w:p w14:paraId="17016E2A" w14:textId="75D89C0B" w:rsidR="008149F0" w:rsidRPr="0008623B" w:rsidRDefault="008149F0" w:rsidP="00B7091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Celkový objem rizikové expozice uvedený v tomto řádku je celkový objem rizikové expozice, který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slouží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jako základ pro splnění požadavků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stanovených v článku 45 směrnice 2014/59/EU, případně v článku 92b nařízení (EU) č. 575/2013.</w:t>
            </w:r>
          </w:p>
        </w:tc>
      </w:tr>
      <w:tr w:rsidR="00026FC1" w:rsidRPr="0008623B" w14:paraId="09EE5A03" w14:textId="77777777" w:rsidTr="002A065A">
        <w:tc>
          <w:tcPr>
            <w:tcW w:w="1109" w:type="dxa"/>
          </w:tcPr>
          <w:p w14:paraId="5D0897E5" w14:textId="78C3CD2B" w:rsidR="000C5255" w:rsidRPr="0008623B" w:rsidDel="00FF3133" w:rsidRDefault="007F613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EU-11</w:t>
            </w:r>
          </w:p>
        </w:tc>
        <w:tc>
          <w:tcPr>
            <w:tcW w:w="7642" w:type="dxa"/>
          </w:tcPr>
          <w:p w14:paraId="3D1B444A" w14:textId="48056C18" w:rsidR="000C5255" w:rsidRPr="0008623B" w:rsidRDefault="00D156A3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Celková míra expozic</w:t>
            </w:r>
          </w:p>
          <w:p w14:paraId="53B11114" w14:textId="7FEC6446" w:rsidR="000C5255" w:rsidRPr="0008623B" w:rsidRDefault="006501CC" w:rsidP="00282ED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Celková míra expozic (jmenovatel pákového poměru) individuálního subjektu nebo konsolidované skupiny na úrovni, na níž byly požadavky stanoveny, v souladu s čl. 429 odst. 4 a článkem 429a nařízení (EU) č. 575/2013.</w:t>
            </w:r>
          </w:p>
          <w:p w14:paraId="2DB81445" w14:textId="64886997" w:rsidR="008149F0" w:rsidRPr="0008623B" w:rsidRDefault="008149F0" w:rsidP="00B7091D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Celková míra expozic uvedená v tomto řádku je celková míra expozic, která </w:t>
            </w:r>
            <w:proofErr w:type="gramStart"/>
            <w:r>
              <w:rPr>
                <w:rStyle w:val="FormatvorlageInstructionsTabelleText"/>
                <w:rFonts w:ascii="Times New Roman" w:hAnsi="Times New Roman"/>
                <w:sz w:val="24"/>
              </w:rPr>
              <w:t>slouží</w:t>
            </w:r>
            <w:proofErr w:type="gramEnd"/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jako základ pro splnění požadavků stanovených v článku 45 směrnice 2014/59/EU, případně v článku 92b nařízení (EU) č. 575/2013.</w:t>
            </w:r>
          </w:p>
        </w:tc>
      </w:tr>
      <w:tr w:rsidR="00026FC1" w:rsidRPr="0008623B" w14:paraId="3F7E48D5" w14:textId="77777777" w:rsidTr="002A065A">
        <w:tc>
          <w:tcPr>
            <w:tcW w:w="1109" w:type="dxa"/>
          </w:tcPr>
          <w:p w14:paraId="068C68E0" w14:textId="4F4AB2A0" w:rsidR="000C5255" w:rsidRPr="0008623B" w:rsidRDefault="007F613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EU-12</w:t>
            </w:r>
          </w:p>
        </w:tc>
        <w:tc>
          <w:tcPr>
            <w:tcW w:w="7642" w:type="dxa"/>
          </w:tcPr>
          <w:p w14:paraId="4D8D9DC8" w14:textId="2ACFCB31" w:rsidR="000C5255" w:rsidRPr="0008623B" w:rsidRDefault="000C5255" w:rsidP="000C525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celkového objemu rizikové expozice</w:t>
            </w:r>
          </w:p>
          <w:p w14:paraId="745451FA" w14:textId="77777777" w:rsidR="000C5255" w:rsidRPr="0008623B" w:rsidRDefault="000C5255" w:rsidP="007F6136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Poměr kapitálu a způsobilých závazků jako procentní podíl celkového objemu rizikové expozice.</w:t>
            </w:r>
          </w:p>
          <w:p w14:paraId="53A01624" w14:textId="53B31A41" w:rsidR="00DB779A" w:rsidRPr="0008623B" w:rsidRDefault="00DB779A" w:rsidP="00AB7A3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 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vydělený řádkem EU-10.</w:t>
            </w:r>
          </w:p>
        </w:tc>
      </w:tr>
      <w:tr w:rsidR="000F5992" w:rsidRPr="0008623B" w14:paraId="05A06C82" w14:textId="77777777" w:rsidTr="002A065A">
        <w:tc>
          <w:tcPr>
            <w:tcW w:w="1109" w:type="dxa"/>
          </w:tcPr>
          <w:p w14:paraId="3717A45E" w14:textId="2311289F" w:rsidR="000F5992" w:rsidRPr="0008623B" w:rsidDel="00F42177" w:rsidRDefault="000F5992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EU-13</w:t>
            </w:r>
          </w:p>
        </w:tc>
        <w:tc>
          <w:tcPr>
            <w:tcW w:w="7642" w:type="dxa"/>
          </w:tcPr>
          <w:p w14:paraId="4B61594C" w14:textId="66FE0C57" w:rsidR="000F5992" w:rsidRPr="0008623B" w:rsidRDefault="00FF5E0F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celkového objemu rizikové expozice – z toho povolené záruky</w:t>
            </w:r>
          </w:p>
          <w:p w14:paraId="3E66E9D6" w14:textId="43B7D24C" w:rsidR="000F5992" w:rsidRPr="0008623B" w:rsidRDefault="00B24DB1" w:rsidP="00A963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Pokud orgán dceřiného podniku příslušný k řešení krize povolí subjektu splnit interní MREL prostřednictvím záruk, výše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záruk, které jsou poskytnuty subjektem řešícím krizi a splňují podmínky stanovené v čl. 45f odst. 5 směrnice 2014/59/EU, jako procentní podíl celkového objemu rizikové expozice.</w:t>
            </w:r>
          </w:p>
          <w:p w14:paraId="21098783" w14:textId="24721D46" w:rsidR="00B24DB1" w:rsidRPr="0008623B" w:rsidRDefault="00B07EB6" w:rsidP="00AA067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 EU-8 vydělený řádkem EU-10.</w:t>
            </w:r>
          </w:p>
        </w:tc>
      </w:tr>
      <w:tr w:rsidR="00026FC1" w:rsidRPr="0008623B" w14:paraId="1BE5C236" w14:textId="77777777" w:rsidTr="002A065A">
        <w:tc>
          <w:tcPr>
            <w:tcW w:w="1109" w:type="dxa"/>
          </w:tcPr>
          <w:p w14:paraId="6389E44B" w14:textId="64502185" w:rsidR="000C5255" w:rsidRPr="0008623B" w:rsidRDefault="007F6136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EU-14</w:t>
            </w:r>
          </w:p>
        </w:tc>
        <w:tc>
          <w:tcPr>
            <w:tcW w:w="7642" w:type="dxa"/>
          </w:tcPr>
          <w:p w14:paraId="747FEBA4" w14:textId="71CE299B" w:rsidR="000C5255" w:rsidRPr="0008623B" w:rsidRDefault="000C5255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 míry expozic</w:t>
            </w:r>
          </w:p>
          <w:p w14:paraId="10E78AE1" w14:textId="0BBF5E97" w:rsidR="000C5255" w:rsidRPr="0008623B" w:rsidRDefault="000C5255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Poměr kapitálu a způsobilých závazků jako procentní podíl celkové míry expozic.</w:t>
            </w:r>
          </w:p>
          <w:p w14:paraId="3C080CF4" w14:textId="28CCBF72" w:rsidR="003946D4" w:rsidRPr="0008623B" w:rsidRDefault="003946D4" w:rsidP="00AB7A3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 EU-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vydělený řádkem EU-11.</w:t>
            </w:r>
          </w:p>
        </w:tc>
      </w:tr>
      <w:tr w:rsidR="000F5992" w:rsidRPr="0008623B" w14:paraId="06EE9DB1" w14:textId="77777777" w:rsidTr="002A065A">
        <w:tc>
          <w:tcPr>
            <w:tcW w:w="1109" w:type="dxa"/>
          </w:tcPr>
          <w:p w14:paraId="38BE120A" w14:textId="5E907A17" w:rsidR="000F5992" w:rsidRPr="0008623B" w:rsidDel="00F42177" w:rsidRDefault="000F5992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EU-15</w:t>
            </w:r>
          </w:p>
        </w:tc>
        <w:tc>
          <w:tcPr>
            <w:tcW w:w="7642" w:type="dxa"/>
          </w:tcPr>
          <w:p w14:paraId="6EC6E664" w14:textId="0D1F1FF7" w:rsidR="000F5992" w:rsidRPr="0008623B" w:rsidRDefault="00FF5E0F" w:rsidP="003F5FDC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Kapitál a způsobilé závazky jako procentní podíl celkové míry expozic – z toho povolené záruky</w:t>
            </w:r>
          </w:p>
          <w:p w14:paraId="49C52AE4" w14:textId="4E11ED80" w:rsidR="00B07EB6" w:rsidRPr="0008623B" w:rsidRDefault="00AA0676" w:rsidP="00A963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Pokud orgán dceřiného podniku příslušný k řešení krize povolí subjektu splnit interní MREL prostřednictvím záruk, výše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záruk, které jsou poskytnuty subjektem řešícím krizi a splňují podmínky stanovené v čl. 45f odst. 5 směrnice 2014/59/EU, jako procentní podíl celkové míry expozic.</w:t>
            </w:r>
          </w:p>
          <w:p w14:paraId="5F818595" w14:textId="4B7CE3AB" w:rsidR="000F5992" w:rsidRPr="0008623B" w:rsidRDefault="00B07EB6" w:rsidP="00B07EB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Vypočte se jako řádek EU-8 vydělený řádkem EU-11.</w:t>
            </w:r>
          </w:p>
        </w:tc>
      </w:tr>
      <w:tr w:rsidR="00026FC1" w:rsidRPr="0008623B" w14:paraId="72C7F5C5" w14:textId="77777777" w:rsidTr="002A065A">
        <w:tc>
          <w:tcPr>
            <w:tcW w:w="1109" w:type="dxa"/>
          </w:tcPr>
          <w:p w14:paraId="480E6DB5" w14:textId="4B427067" w:rsidR="000C5255" w:rsidRPr="0008623B" w:rsidRDefault="00F42177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EU-16</w:t>
            </w:r>
          </w:p>
        </w:tc>
        <w:tc>
          <w:tcPr>
            <w:tcW w:w="7642" w:type="dxa"/>
          </w:tcPr>
          <w:p w14:paraId="77339BFA" w14:textId="07707C45" w:rsidR="000C5255" w:rsidRPr="0008623B" w:rsidRDefault="000C5255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Kmenový kapitál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 1 (jako procentní podíl celkového objemu rizikové expozice), který je k dispozici poté, co byly splněny požadavky subjektu</w:t>
            </w:r>
          </w:p>
          <w:p w14:paraId="10969C39" w14:textId="385E6EF9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Hodnota kmenového kapitálu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tier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1, která se rovná nule či kladnému číslu, dostupná poté, co byly splněny veškeré požadavky uvedené v 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141a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písm. a), b) a c) směrnice 2013/36/EU, a vyšší z následujících hodnot:</w:t>
            </w:r>
          </w:p>
          <w:p w14:paraId="58E9B9E9" w14:textId="7860E6DE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a) v příslušných případech požadavek na kapitál a způsobilé závazky G-SVI mimo EU podle článku 92b nařízení (EU) č. 575/2013, je-li vypočten v souladu s čl.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92b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odst. 1 nařízení (EU) č. 575/2013 jako 90 % požadavku stanoveného v čl. 92a odst. 1 písm. a) uvedeného nařízení, a </w:t>
            </w:r>
          </w:p>
          <w:p w14:paraId="198DF7D6" w14:textId="3885C36B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b) minimální požadavek na kapitál a způsobilé závazky podle článku 45f směrnice 2014/59/EU, je-li vypočten v souladu s čl. 45 odst. 2 písm. a) uvedené směrnice.</w:t>
            </w:r>
          </w:p>
          <w:p w14:paraId="4CF4E1A3" w14:textId="6E11E15F" w:rsidR="00A47BCD" w:rsidRPr="0008623B" w:rsidRDefault="00A47BCD" w:rsidP="00AA0676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Vykazovaný údaj musí být ve sloupci MREL i sloupci TLAC stejný.</w:t>
            </w:r>
          </w:p>
          <w:p w14:paraId="6C9387A7" w14:textId="461089FB" w:rsidR="000C5255" w:rsidRPr="0008623B" w:rsidRDefault="00A47BCD" w:rsidP="00AA0676">
            <w:pPr>
              <w:rPr>
                <w:b/>
                <w:noProof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Musí zohledňovat účinek přechodných opatření na kapitál a způsobilé závazky, celkový objem rizikové expozice a samotné požadavky. Pokyn k držení dodatečného kapitálu uvedený v článku 104b směrnice 2013/36/EU ani požadavek kombinovaných kapitálových rezerv stanovený v čl. 128 prvním pododstavci bodě 6 uvedené směrnice se nezohlední.</w:t>
            </w:r>
          </w:p>
        </w:tc>
      </w:tr>
      <w:tr w:rsidR="00026FC1" w:rsidRPr="0008623B" w14:paraId="27986DD8" w14:textId="77777777" w:rsidTr="002A065A">
        <w:tc>
          <w:tcPr>
            <w:tcW w:w="1109" w:type="dxa"/>
          </w:tcPr>
          <w:p w14:paraId="72398D99" w14:textId="0534A19F" w:rsidR="000C5255" w:rsidRPr="0008623B" w:rsidRDefault="000F5992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EU-17</w:t>
            </w:r>
          </w:p>
        </w:tc>
        <w:tc>
          <w:tcPr>
            <w:tcW w:w="7642" w:type="dxa"/>
          </w:tcPr>
          <w:p w14:paraId="76F0E68B" w14:textId="21794D3D" w:rsidR="000C5255" w:rsidRPr="0008623B" w:rsidRDefault="000C5255" w:rsidP="000C5255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Požadavek kombinovaných kapitálových rezerv týkající se konkrétní instituce </w:t>
            </w:r>
          </w:p>
          <w:p w14:paraId="24FA0B83" w14:textId="4835122C" w:rsidR="000C5255" w:rsidRPr="0008623B" w:rsidRDefault="000C5255" w:rsidP="00CB08B2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Požadavek kombinovaných kapitálových rezerv týkající se konkrétní instituce definovaný v čl. 128 prvním pododstavci bodě 6 směrnice 2013/36/EU, vyjádřený jako procentní podíl celkového objemu rizikové expozice, platný pro subjekt v souladu s čl. 128 prvním pododstavcem bodem 6 směrnice 2013/36/EU.</w:t>
            </w:r>
          </w:p>
        </w:tc>
      </w:tr>
      <w:tr w:rsidR="00026FC1" w:rsidRPr="0008623B" w14:paraId="7F2F0D59" w14:textId="77777777" w:rsidTr="002A065A">
        <w:trPr>
          <w:trHeight w:val="58"/>
        </w:trPr>
        <w:tc>
          <w:tcPr>
            <w:tcW w:w="1109" w:type="dxa"/>
          </w:tcPr>
          <w:p w14:paraId="5F6F778C" w14:textId="5F16CF0E" w:rsidR="000F5992" w:rsidRPr="0008623B" w:rsidRDefault="00F42177" w:rsidP="00644B0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EU-18</w:t>
            </w:r>
          </w:p>
        </w:tc>
        <w:tc>
          <w:tcPr>
            <w:tcW w:w="7642" w:type="dxa"/>
          </w:tcPr>
          <w:p w14:paraId="44696FD9" w14:textId="2B694FE0" w:rsidR="008834C5" w:rsidRPr="0008623B" w:rsidRDefault="00F51FA3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Požadavek vyjádřený jako procentní podíl celkového objemu rizikové expozice</w:t>
            </w:r>
          </w:p>
          <w:p w14:paraId="4059E3AD" w14:textId="09123D9B" w:rsidR="00B07EB6" w:rsidRPr="0008623B" w:rsidRDefault="00B07EB6" w:rsidP="0092457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Interní MREL</w:t>
            </w:r>
          </w:p>
          <w:p w14:paraId="7A3B8EB3" w14:textId="022A0950" w:rsidR="00036DB1" w:rsidRPr="0008623B" w:rsidRDefault="00B07EB6" w:rsidP="0092457E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Požadavek na kapitál a způsobilé závazky, který se vztahuje na subjekt v souladu s článkem 45f směrnice 2014/59/EU, vyjádřený jako procentní podíl celkového objemu rizikové expozice (na individuální nebo případně na konsolidované úrovni).</w:t>
            </w:r>
          </w:p>
          <w:p w14:paraId="36F1A57F" w14:textId="701178C9" w:rsidR="00B07EB6" w:rsidRPr="0008623B" w:rsidRDefault="00B07EB6" w:rsidP="00B07EB6">
            <w:pP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Interní TLAC</w:t>
            </w:r>
          </w:p>
          <w:p w14:paraId="524A15B1" w14:textId="10807991" w:rsidR="00D156A3" w:rsidRPr="0008623B" w:rsidRDefault="00B07EB6" w:rsidP="00CB08B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Požadavek stanovený v článku 92b nařízení (EU) č. 575/2013, vyjádřený jako procentní podíl celkového objemu rizikové expozice (na individuální nebo případně na konsolidované úrovni).</w:t>
            </w:r>
          </w:p>
        </w:tc>
      </w:tr>
      <w:tr w:rsidR="00026FC1" w:rsidRPr="0008623B" w14:paraId="33DA72AB" w14:textId="77777777" w:rsidTr="002A065A">
        <w:tc>
          <w:tcPr>
            <w:tcW w:w="1109" w:type="dxa"/>
          </w:tcPr>
          <w:p w14:paraId="784E2295" w14:textId="4500A04A" w:rsidR="008834C5" w:rsidRPr="0008623B" w:rsidRDefault="00F42177" w:rsidP="00CE0D4E">
            <w:pPr>
              <w:keepNext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EU-19</w:t>
            </w:r>
          </w:p>
        </w:tc>
        <w:tc>
          <w:tcPr>
            <w:tcW w:w="7642" w:type="dxa"/>
          </w:tcPr>
          <w:p w14:paraId="168B9372" w14:textId="2BC4791B" w:rsidR="008834C5" w:rsidRPr="0008623B" w:rsidRDefault="00FF5E0F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Požadavek vyjádřený jako procentní podíl celkového objemu rizikové expozice – z toho část požadavku, která může být splněna prostřednictvím záruky</w:t>
            </w:r>
          </w:p>
          <w:p w14:paraId="689193A8" w14:textId="2B66DAF3" w:rsidR="00036DB1" w:rsidRPr="0008623B" w:rsidRDefault="00036DB1" w:rsidP="00102896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 příslušných případech část požadavku na kapitál a způsobilé závazky vyjádřená jako procentní podíl celkového objemu rizikové expozice, která může být splněna prostřednictvím záruky poskytnuté subjektem řešícím krizi v souladu s čl. 45f odst. 5 směrnice 2014/59/EU.</w:t>
            </w:r>
          </w:p>
        </w:tc>
      </w:tr>
      <w:tr w:rsidR="00026FC1" w:rsidRPr="0008623B" w14:paraId="7DB5B45D" w14:textId="77777777" w:rsidTr="002A065A">
        <w:tc>
          <w:tcPr>
            <w:tcW w:w="1109" w:type="dxa"/>
          </w:tcPr>
          <w:p w14:paraId="291F5089" w14:textId="5540E6DA" w:rsidR="008834C5" w:rsidRPr="0008623B" w:rsidRDefault="00BB093D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EU-20</w:t>
            </w:r>
          </w:p>
        </w:tc>
        <w:tc>
          <w:tcPr>
            <w:tcW w:w="7642" w:type="dxa"/>
          </w:tcPr>
          <w:p w14:paraId="517C1D7E" w14:textId="160471A8" w:rsidR="008834C5" w:rsidRPr="0008623B" w:rsidRDefault="00A96376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Požadavek vyjádřený jako procentní podíl celkové míry expozic</w:t>
            </w:r>
          </w:p>
          <w:p w14:paraId="390682C6" w14:textId="2F127DB6" w:rsidR="00B07EB6" w:rsidRPr="0008623B" w:rsidRDefault="00B07EB6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Interní MREL</w:t>
            </w:r>
          </w:p>
          <w:p w14:paraId="15AB0F32" w14:textId="4388F7B3" w:rsidR="00036DB1" w:rsidRPr="0008623B" w:rsidRDefault="00B07EB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Požadavek na kapitál a způsobilé závazky, který se vztahuje na subjekt v souladu s článkem 45f směrnice 2014/59/EU, vyjádřený jako procentní podíl celkové míry expozic (na individuální úrovni nebo případně na konsolidované úrovni mateřského podniku v EU).</w:t>
            </w:r>
          </w:p>
          <w:p w14:paraId="28AE2B52" w14:textId="40D45C6B" w:rsidR="00B07EB6" w:rsidRPr="0008623B" w:rsidRDefault="00B07EB6" w:rsidP="006501CC">
            <w:pP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Interní TLAC </w:t>
            </w:r>
          </w:p>
          <w:p w14:paraId="316152E4" w14:textId="47164313" w:rsidR="00D156A3" w:rsidRPr="0008623B" w:rsidRDefault="00B07EB6" w:rsidP="00CB08B2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Požadavek stanovený v článku 92b nařízení (EU) č. 575/2013, vyjádřený jako procentní podíl celkové míry expozic (na individuální nebo případně na konsolidované úrovni).</w:t>
            </w:r>
          </w:p>
        </w:tc>
      </w:tr>
      <w:tr w:rsidR="00026FC1" w:rsidRPr="0008623B" w14:paraId="665B02CC" w14:textId="77777777" w:rsidTr="002A065A">
        <w:tc>
          <w:tcPr>
            <w:tcW w:w="1109" w:type="dxa"/>
          </w:tcPr>
          <w:p w14:paraId="4CC8B518" w14:textId="34221154" w:rsidR="008834C5" w:rsidRPr="0008623B" w:rsidRDefault="0092457E" w:rsidP="00644B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EU-21</w:t>
            </w:r>
          </w:p>
        </w:tc>
        <w:tc>
          <w:tcPr>
            <w:tcW w:w="7642" w:type="dxa"/>
          </w:tcPr>
          <w:p w14:paraId="5E678549" w14:textId="3C180ACA" w:rsidR="008834C5" w:rsidRPr="0008623B" w:rsidRDefault="00FF5E0F" w:rsidP="008834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Požadavek vyjádřený jako procentní podíl celkové míry expozic – z toho část požadavku, která může být splněna prostřednictvím záruky</w:t>
            </w:r>
          </w:p>
          <w:p w14:paraId="4AD84850" w14:textId="46814386" w:rsidR="00036DB1" w:rsidRPr="0008623B" w:rsidRDefault="00036DB1" w:rsidP="00CB08B2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 příslušných případech část požadavku na kapitál a způsobilé závazky vyjádřená jako procentní podíl celkové míry expozic, která může být splněna prostřednictvím záruky poskytnuté subjektem řešícím krizi v souladu s čl. 45f odst. 5 směrnice 2014/59/EU.</w:t>
            </w:r>
          </w:p>
        </w:tc>
      </w:tr>
      <w:tr w:rsidR="000B47A2" w:rsidRPr="0008623B" w14:paraId="2ACBD5CA" w14:textId="77777777" w:rsidTr="002A065A">
        <w:tc>
          <w:tcPr>
            <w:tcW w:w="1119" w:type="dxa"/>
            <w:vAlign w:val="top"/>
          </w:tcPr>
          <w:p w14:paraId="41CF7AC6" w14:textId="519C4DAD" w:rsidR="000B47A2" w:rsidRPr="0008623B" w:rsidRDefault="000B47A2" w:rsidP="0033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EU-22</w:t>
            </w:r>
          </w:p>
        </w:tc>
        <w:tc>
          <w:tcPr>
            <w:tcW w:w="7642" w:type="dxa"/>
            <w:vAlign w:val="top"/>
          </w:tcPr>
          <w:p w14:paraId="4FA5E841" w14:textId="053232BD" w:rsidR="000B47A2" w:rsidRPr="0008623B" w:rsidRDefault="000B47A2" w:rsidP="003312F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Celková hodnota vyloučených závazků uvedených v čl. 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72a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odst. 2 nařízení (EU) č. 575/2013</w:t>
            </w:r>
          </w:p>
        </w:tc>
      </w:tr>
    </w:tbl>
    <w:p w14:paraId="0C6C28B8" w14:textId="738A3B7A" w:rsidR="003956D6" w:rsidRPr="0008623B" w:rsidRDefault="003956D6" w:rsidP="003956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9" w:name="_Toc521936439"/>
      <w:bookmarkStart w:id="210" w:name="_Toc521936455"/>
      <w:bookmarkStart w:id="211" w:name="_Toc521936215"/>
      <w:bookmarkStart w:id="212" w:name="_Toc521936440"/>
      <w:bookmarkStart w:id="213" w:name="_Toc521936456"/>
      <w:bookmarkStart w:id="214" w:name="_Toc521936554"/>
      <w:bookmarkStart w:id="215" w:name="_Toc521938414"/>
      <w:bookmarkStart w:id="216" w:name="_Toc521941535"/>
      <w:bookmarkStart w:id="217" w:name="_Toc521936122"/>
      <w:bookmarkStart w:id="218" w:name="_Toc521936139"/>
      <w:bookmarkStart w:id="219" w:name="_Toc521936178"/>
      <w:bookmarkStart w:id="220" w:name="_Toc521936190"/>
      <w:bookmarkStart w:id="221" w:name="_Toc521936218"/>
      <w:bookmarkStart w:id="222" w:name="_Toc521936278"/>
      <w:bookmarkStart w:id="223" w:name="_Toc521936409"/>
      <w:bookmarkStart w:id="224" w:name="_Toc521936443"/>
      <w:bookmarkStart w:id="225" w:name="_Toc521936459"/>
      <w:bookmarkStart w:id="226" w:name="_Toc521936503"/>
      <w:bookmarkStart w:id="227" w:name="_Toc521936555"/>
      <w:bookmarkStart w:id="228" w:name="_Toc521938415"/>
      <w:bookmarkStart w:id="229" w:name="_Toc521941536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2A405E3F" w14:textId="56A87181" w:rsidR="00134FA4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30" w:name="_Toc529272911"/>
      <w:bookmarkStart w:id="231" w:name="_Toc14770786"/>
      <w:bookmarkStart w:id="232" w:name="_Toc4526692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auto"/>
          <w:sz w:val="24"/>
        </w:rPr>
        <w:t>5.</w:t>
      </w:r>
      <w:r>
        <w:rPr>
          <w:rFonts w:ascii="Times New Roman" w:hAnsi="Times New Roman"/>
          <w:color w:val="auto"/>
          <w:sz w:val="24"/>
        </w:rPr>
        <w:tab/>
        <w:t>EU TLAC2: Pořadí věřitelů –</w:t>
      </w:r>
      <w:bookmarkEnd w:id="230"/>
      <w:r>
        <w:rPr>
          <w:rFonts w:ascii="Times New Roman" w:hAnsi="Times New Roman"/>
          <w:color w:val="auto"/>
          <w:sz w:val="24"/>
        </w:rPr>
        <w:t xml:space="preserve"> subjekty, které nejsou subjekty řešícími krizi</w:t>
      </w:r>
      <w:bookmarkEnd w:id="231"/>
      <w:bookmarkEnd w:id="232"/>
    </w:p>
    <w:p w14:paraId="7A03C7D5" w14:textId="52B10ED1" w:rsidR="00EE122D" w:rsidRPr="0008623B" w:rsidRDefault="00EE122D" w:rsidP="00B62DC9">
      <w:pPr>
        <w:pStyle w:val="InstructionsText2"/>
        <w:numPr>
          <w:ilvl w:val="0"/>
          <w:numId w:val="12"/>
        </w:numPr>
      </w:pPr>
      <w:r>
        <w:t>Informace zahrnuté do šablony EU TLAC2 se zveřejňují na úrovni individuálního subjektu.</w:t>
      </w:r>
    </w:p>
    <w:p w14:paraId="37B5040A" w14:textId="241394B6" w:rsidR="00D76A01" w:rsidRPr="0008623B" w:rsidRDefault="00D76A01" w:rsidP="00B62DC9">
      <w:pPr>
        <w:pStyle w:val="InstructionsText2"/>
        <w:numPr>
          <w:ilvl w:val="0"/>
          <w:numId w:val="12"/>
        </w:numPr>
      </w:pPr>
      <w:r>
        <w:t>Šablona EU TLAC2 existuje ve dvou verzích, EU TLAC2a a EU TLAC2b. Šablona TLAC2a zachycuje veškeré financování, které je na stejné úrovni jako nástroje způsobilé pro MREL nebo je jim podřízené, včetně kapitálu a jiných kapitálových nástrojů. Šablona EU TLAC2b zachycuje pouze kapitál a závazky, které jsou v souladu s článkem 45f směrnice 2014/59/EU způsobilé pro splnění požadavku stanoveného v článku 45 uvedené směrnice.</w:t>
      </w:r>
    </w:p>
    <w:p w14:paraId="51E3EFB7" w14:textId="5F05BD0B" w:rsidR="00410769" w:rsidRPr="0008623B" w:rsidRDefault="00410769" w:rsidP="00B62DC9">
      <w:pPr>
        <w:pStyle w:val="InstructionsText2"/>
        <w:numPr>
          <w:ilvl w:val="0"/>
          <w:numId w:val="12"/>
        </w:numPr>
      </w:pPr>
      <w:r>
        <w:t xml:space="preserve">V souladu s čl. 13 odst. 2 tohoto nařízení si subjekty, na které se nevztahuje povinnost splnit požadavek stanovený v článku 92b nařízení (EU) č. 575/2013, ale </w:t>
      </w:r>
      <w:r>
        <w:lastRenderedPageBreak/>
        <w:t>na které se v souladu s článkem 45f směrnice 2014/59/EU vztahuje povinnost splnit požadavek stanovený v článku 45 uvedené směrnice, mohou vybrat, zda za účelem splnění požadavku na zveřejňování informací stanoveného v čl. 45i odst. 3 písm. b) směrnice 2014/59/EU použijí šablonu EU TLAC2a, nebo EU TLAC2b.</w:t>
      </w:r>
    </w:p>
    <w:p w14:paraId="0E950EC5" w14:textId="2D041687" w:rsidR="00510C0E" w:rsidRPr="0008623B" w:rsidRDefault="0071460A" w:rsidP="00B62DC9">
      <w:pPr>
        <w:pStyle w:val="InstructionsText2"/>
        <w:numPr>
          <w:ilvl w:val="0"/>
          <w:numId w:val="12"/>
        </w:numPr>
      </w:pPr>
      <w:r>
        <w:t>Od data použitelnosti čl. 45i odst. 3 směrnice 2014/59/EU jsou emitenti povinni v rámci šablony TLAC2a zveřejňovat závazky, které jsou potenciálně způsobilé pro splnění požadavků na interní MREL a interní TLAC. Před tímto datem zveřejňují emitenti závazky, které jsou potenciálně způsobilé pro splnění požadavku na interní TLAC.</w:t>
      </w:r>
    </w:p>
    <w:p w14:paraId="6CD2E5E7" w14:textId="10E10F4A" w:rsidR="00134FA4" w:rsidRPr="0008623B" w:rsidRDefault="00134FA4" w:rsidP="00B62DC9">
      <w:pPr>
        <w:pStyle w:val="InstructionsText2"/>
        <w:numPr>
          <w:ilvl w:val="0"/>
          <w:numId w:val="12"/>
        </w:numPr>
      </w:pPr>
      <w:r>
        <w:t>Nesplacené částky uvedené v řádcích musí být rozděleny do pozic z hlediska pořadí v úpadkovém řízení, a to na základě insolvenčních právních předpisů emitenta bez ohledu na rozhodné právo nástroje.</w:t>
      </w:r>
    </w:p>
    <w:p w14:paraId="0B0B9A5D" w14:textId="25143FFC" w:rsidR="00134FA4" w:rsidRPr="0008623B" w:rsidRDefault="00522875" w:rsidP="00B62DC9">
      <w:pPr>
        <w:pStyle w:val="InstructionsText2"/>
        <w:numPr>
          <w:ilvl w:val="0"/>
          <w:numId w:val="12"/>
        </w:numPr>
      </w:pPr>
      <w:r>
        <w:t>Pozice z hlediska pořadí v úpadkovém řízení jsou pozice sdělené orgánem příslušným k řešení krize v souladu se standardizovanou formou upřesněnou v článku 8 tohoto nařízení.</w:t>
      </w:r>
    </w:p>
    <w:p w14:paraId="572D872C" w14:textId="35C5457F" w:rsidR="00134FA4" w:rsidRPr="0008623B" w:rsidRDefault="00134FA4" w:rsidP="00B62DC9">
      <w:pPr>
        <w:pStyle w:val="InstructionsText2"/>
        <w:numPr>
          <w:ilvl w:val="0"/>
          <w:numId w:val="12"/>
        </w:numPr>
      </w:pPr>
      <w:r>
        <w:t xml:space="preserve">Pořadí je uváděno od nejméně prioritních po nejvíce prioritní. Sloupce pro jednotlivé pozice je třeba přidávat tak dlouho, dokud nebudou zveřejněny nejvíce prioritní pozice potenciálně způsobilých nástrojů. </w:t>
      </w:r>
    </w:p>
    <w:p w14:paraId="451EEEC0" w14:textId="6C07DCB8" w:rsidR="00134FA4" w:rsidRPr="0008623B" w:rsidRDefault="00134FA4" w:rsidP="00B62DC9">
      <w:pPr>
        <w:pStyle w:val="InstructionsText2"/>
        <w:numPr>
          <w:ilvl w:val="0"/>
          <w:numId w:val="12"/>
        </w:numPr>
      </w:pPr>
      <w:r>
        <w:t>Hodnota, kterou je možné připsat každému pořadí, je dále rozdělena na částky vlastněné subjektem řešícím krizi, případně včetně částek přímo či nepřímo vlastněných subjektem řešícím krizi prostřednictvím subjektů v řetězci vlastnictví; a případně na částky, které nejsou vlastněny subjektem řešícím krizi. Celková hodnota každého řádku se vyplní do posledního sloupce každého řádku.</w:t>
      </w:r>
    </w:p>
    <w:p w14:paraId="4EBA1B5C" w14:textId="77777777" w:rsidR="00134FA4" w:rsidRPr="000F4804" w:rsidRDefault="00134FA4" w:rsidP="00134FA4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134FA4" w:rsidRPr="0008623B" w14:paraId="31E0F598" w14:textId="77777777" w:rsidTr="006E57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1E16BF2A" w14:textId="77777777" w:rsidR="00134FA4" w:rsidRPr="0008623B" w:rsidRDefault="00134FA4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Řádky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9B07763" w14:textId="240E225B" w:rsidR="00134FA4" w:rsidRPr="0008623B" w:rsidRDefault="00E46262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8871C6" w:rsidRPr="0008623B" w14:paraId="209D319D" w14:textId="77777777" w:rsidTr="00AA4A01">
        <w:trPr>
          <w:trHeight w:val="70"/>
        </w:trPr>
        <w:tc>
          <w:tcPr>
            <w:tcW w:w="1384" w:type="dxa"/>
          </w:tcPr>
          <w:p w14:paraId="6E58CC27" w14:textId="0752B747" w:rsidR="008871C6" w:rsidRPr="0008623B" w:rsidRDefault="008871C6" w:rsidP="000C3B9F">
            <w:pPr>
              <w:pStyle w:val="Applicationdirecte"/>
              <w:spacing w:before="120"/>
              <w:rPr>
                <w:szCs w:val="24"/>
              </w:rPr>
            </w:pPr>
            <w:r>
              <w:t>1</w:t>
            </w:r>
          </w:p>
        </w:tc>
        <w:tc>
          <w:tcPr>
            <w:tcW w:w="7655" w:type="dxa"/>
          </w:tcPr>
          <w:p w14:paraId="5F9CE229" w14:textId="006CF2E0" w:rsidR="008871C6" w:rsidRPr="0008623B" w:rsidRDefault="008871C6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V EU prázdná množina</w:t>
            </w:r>
          </w:p>
        </w:tc>
      </w:tr>
      <w:tr w:rsidR="000C3B9F" w:rsidRPr="0008623B" w14:paraId="568E403E" w14:textId="77777777" w:rsidTr="006E5727">
        <w:trPr>
          <w:trHeight w:val="1014"/>
        </w:trPr>
        <w:tc>
          <w:tcPr>
            <w:tcW w:w="1384" w:type="dxa"/>
          </w:tcPr>
          <w:p w14:paraId="1E3A9FE3" w14:textId="763A11D8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2</w:t>
            </w:r>
          </w:p>
        </w:tc>
        <w:tc>
          <w:tcPr>
            <w:tcW w:w="7655" w:type="dxa"/>
          </w:tcPr>
          <w:p w14:paraId="4A148EDF" w14:textId="407C4BEB" w:rsidR="000C3B9F" w:rsidRPr="0008623B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Popis pořadí v úpadkovém řízení (volný text)</w:t>
            </w:r>
          </w:p>
          <w:p w14:paraId="11B9DED3" w14:textId="414A0BB6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 xml:space="preserve">Počet pozic z hlediska pořadí v úpadkovém řízení (n) v hierarchii věřitelů bude záviset na souboru závazků emitenta. Popis by měl zahrnovat upřesnění typu pohledávek zahrnutých v dané pozici z hlediska pořadí v úpadkovém řízení (např. kmenový kapitál </w:t>
            </w:r>
            <w:proofErr w:type="spellStart"/>
            <w:r>
              <w:rPr>
                <w:color w:val="000000" w:themeColor="text1"/>
              </w:rPr>
              <w:t>tier</w:t>
            </w:r>
            <w:proofErr w:type="spellEnd"/>
            <w:r>
              <w:rPr>
                <w:color w:val="000000" w:themeColor="text1"/>
              </w:rPr>
              <w:t xml:space="preserve"> 1, nástroje kapitálu </w:t>
            </w:r>
            <w:proofErr w:type="spellStart"/>
            <w:r>
              <w:rPr>
                <w:color w:val="000000" w:themeColor="text1"/>
              </w:rPr>
              <w:t>tier</w:t>
            </w:r>
            <w:proofErr w:type="spellEnd"/>
            <w:r>
              <w:rPr>
                <w:color w:val="000000" w:themeColor="text1"/>
              </w:rPr>
              <w:t xml:space="preserve"> 2). </w:t>
            </w:r>
          </w:p>
          <w:p w14:paraId="22A60804" w14:textId="5BBC2F70" w:rsidR="000C3B9F" w:rsidRPr="0008623B" w:rsidRDefault="000C3B9F" w:rsidP="00331959">
            <w:pPr>
              <w:pStyle w:val="Applicationdirecte"/>
              <w:spacing w:before="120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Každá pozice z hlediska pořadí v úpadkovém řízení má jeden sloupec, kde je částka zcela v držení subjektu řešícího krizi,</w:t>
            </w:r>
            <w:r>
              <w:t xml:space="preserve"> a to případně včetně částek přímo či nepřímo vlastněných subjektem řešícím krizi prostřednictvím subjektů v řetězci vlastnictví, </w:t>
            </w:r>
            <w:r>
              <w:rPr>
                <w:color w:val="000000" w:themeColor="text1"/>
              </w:rPr>
              <w:t xml:space="preserve">a druhý sloupec, kde je část částky na dané pozici rovněž v držení vlastníků, kteří nejsou subjektem řešícím krizi. </w:t>
            </w:r>
          </w:p>
        </w:tc>
      </w:tr>
      <w:tr w:rsidR="000C3B9F" w:rsidRPr="0008623B" w14:paraId="4F584FCC" w14:textId="77777777" w:rsidTr="006E5727">
        <w:trPr>
          <w:trHeight w:val="1014"/>
        </w:trPr>
        <w:tc>
          <w:tcPr>
            <w:tcW w:w="1384" w:type="dxa"/>
          </w:tcPr>
          <w:p w14:paraId="2A436C9B" w14:textId="2CCB8C6C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lastRenderedPageBreak/>
              <w:t>3</w:t>
            </w:r>
          </w:p>
        </w:tc>
        <w:tc>
          <w:tcPr>
            <w:tcW w:w="7655" w:type="dxa"/>
          </w:tcPr>
          <w:p w14:paraId="77AA473A" w14:textId="5D74CC27" w:rsidR="000C3B9F" w:rsidRPr="0008623B" w:rsidRDefault="00367DF1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Závazky a kapitál</w:t>
            </w:r>
          </w:p>
          <w:p w14:paraId="4216384F" w14:textId="0D31DC4A" w:rsidR="000C3B9F" w:rsidRPr="0008623B" w:rsidRDefault="00BB21F0" w:rsidP="00AA4A01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Hodnota kapitálu, způsobilých závazků a závazků, jejichž stupeň priority je nižší nebo na stejné úrovni jako kapitál nebo způsobilé závazky.</w:t>
            </w:r>
          </w:p>
          <w:p w14:paraId="1B0E819E" w14:textId="77777777" w:rsidR="00BB21F0" w:rsidRPr="0008623B" w:rsidRDefault="00BB21F0" w:rsidP="00AA4A01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Zahrnou se sem rovněž závazky vyloučené z rekapitalizace z vnitřních zdrojů.</w:t>
            </w:r>
          </w:p>
          <w:p w14:paraId="5A7B82DD" w14:textId="368405A5" w:rsidR="008907A6" w:rsidRPr="0008623B" w:rsidRDefault="00410769" w:rsidP="005F391D">
            <w:pPr>
              <w:pStyle w:val="Fait"/>
            </w:pPr>
            <w:r>
              <w:t>Tento řádek se v šabloně EU TLAC2b nepoužije.</w:t>
            </w:r>
          </w:p>
        </w:tc>
      </w:tr>
      <w:tr w:rsidR="000C3B9F" w:rsidRPr="0008623B" w14:paraId="27EAD1F9" w14:textId="77777777" w:rsidTr="006E5727">
        <w:trPr>
          <w:trHeight w:val="483"/>
        </w:trPr>
        <w:tc>
          <w:tcPr>
            <w:tcW w:w="1384" w:type="dxa"/>
          </w:tcPr>
          <w:p w14:paraId="09FA1416" w14:textId="27DA35B3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4</w:t>
            </w:r>
          </w:p>
        </w:tc>
        <w:tc>
          <w:tcPr>
            <w:tcW w:w="7655" w:type="dxa"/>
          </w:tcPr>
          <w:p w14:paraId="59E154B3" w14:textId="0A45A9DB" w:rsidR="000C3B9F" w:rsidRPr="0008623B" w:rsidRDefault="00A14A6B" w:rsidP="000C3B9F">
            <w:pPr>
              <w:pStyle w:val="Fait"/>
              <w:rPr>
                <w:rFonts w:eastAsiaTheme="minorEastAsia"/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Závazky a kapitál – z toho vyloučené závazky</w:t>
            </w:r>
          </w:p>
          <w:p w14:paraId="543649CA" w14:textId="35542114" w:rsidR="006C6694" w:rsidRPr="0008623B" w:rsidRDefault="000C3B9F" w:rsidP="005F391D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Rozdělení závazků vyloučených v souladu s čl. </w:t>
            </w:r>
            <w:proofErr w:type="gramStart"/>
            <w:r>
              <w:rPr>
                <w:color w:val="000000" w:themeColor="text1"/>
              </w:rPr>
              <w:t>72a</w:t>
            </w:r>
            <w:proofErr w:type="gramEnd"/>
            <w:r>
              <w:rPr>
                <w:color w:val="000000" w:themeColor="text1"/>
              </w:rPr>
              <w:t xml:space="preserve"> odst. 2 nařízení (EU) č. 575/2013 nebo s čl. 44 odst. 2 směrnice 2014/59/EU a případně s čl. 44 odst. 3 směrnice 2014/59/EU.</w:t>
            </w:r>
          </w:p>
          <w:p w14:paraId="182D9647" w14:textId="5AEB0362" w:rsidR="008907A6" w:rsidRPr="0008623B" w:rsidRDefault="00410769" w:rsidP="005F391D">
            <w:pPr>
              <w:pStyle w:val="Applicationdirecte"/>
              <w:spacing w:before="120"/>
            </w:pPr>
            <w:r>
              <w:t>Tento řádek se v šabloně EU TLAC2b nepoužije.</w:t>
            </w:r>
          </w:p>
        </w:tc>
      </w:tr>
      <w:tr w:rsidR="000C3B9F" w:rsidRPr="0008623B" w14:paraId="3CFAFBE4" w14:textId="77777777" w:rsidTr="006E5727">
        <w:trPr>
          <w:trHeight w:val="1014"/>
        </w:trPr>
        <w:tc>
          <w:tcPr>
            <w:tcW w:w="1384" w:type="dxa"/>
          </w:tcPr>
          <w:p w14:paraId="76860F6D" w14:textId="42C3686D" w:rsidR="000C3B9F" w:rsidRPr="0008623B" w:rsidRDefault="000C3B9F" w:rsidP="000C3B9F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5</w:t>
            </w:r>
          </w:p>
        </w:tc>
        <w:tc>
          <w:tcPr>
            <w:tcW w:w="7655" w:type="dxa"/>
          </w:tcPr>
          <w:p w14:paraId="005DF5FF" w14:textId="228C6814" w:rsidR="0016339F" w:rsidRPr="0008623B" w:rsidRDefault="00367DF1" w:rsidP="00EF47A4">
            <w:pPr>
              <w:pStyle w:val="Fait"/>
            </w:pPr>
            <w:r>
              <w:rPr>
                <w:b/>
                <w:color w:val="000000" w:themeColor="text1"/>
              </w:rPr>
              <w:t>Závazky a kapitál bez vyloučených závazků</w:t>
            </w:r>
          </w:p>
          <w:p w14:paraId="359D335B" w14:textId="3554B9D3" w:rsidR="008907A6" w:rsidRPr="0008623B" w:rsidRDefault="00367DF1" w:rsidP="005F391D">
            <w:pPr>
              <w:pStyle w:val="Fait"/>
            </w:pPr>
            <w:r>
              <w:rPr>
                <w:color w:val="000000" w:themeColor="text1"/>
              </w:rPr>
              <w:t>Závazky a kapitál bez vyloučených závazků.</w:t>
            </w:r>
          </w:p>
          <w:p w14:paraId="52590AAA" w14:textId="18E701D2" w:rsidR="000C3B9F" w:rsidRPr="0008623B" w:rsidRDefault="00410769" w:rsidP="008907A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Tento řádek se v šabloně EU TLAC2b nepoužije.</w:t>
            </w:r>
          </w:p>
        </w:tc>
      </w:tr>
      <w:tr w:rsidR="000C3B9F" w:rsidRPr="0008623B" w14:paraId="2699A3CB" w14:textId="77777777" w:rsidTr="006E5727">
        <w:trPr>
          <w:trHeight w:val="316"/>
        </w:trPr>
        <w:tc>
          <w:tcPr>
            <w:tcW w:w="1384" w:type="dxa"/>
          </w:tcPr>
          <w:p w14:paraId="039E3565" w14:textId="2A27D53A" w:rsidR="000C3B9F" w:rsidRPr="0008623B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55" w:type="dxa"/>
          </w:tcPr>
          <w:p w14:paraId="677315D1" w14:textId="45D4D61F" w:rsidR="000C3B9F" w:rsidRPr="0008623B" w:rsidRDefault="000C3B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Podskupina závazků a kapitálu bez vyloučených závazků, které představují kapitál a způsobilé závazky pro účely interního MREL / interního TLAC</w:t>
            </w:r>
          </w:p>
          <w:p w14:paraId="666E0A9A" w14:textId="0E7111CB" w:rsidR="000C3B9F" w:rsidRPr="0008623B" w:rsidRDefault="000C3B9F" w:rsidP="00341F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Rozdělení hodnoty kapitálu a způsobilých závazků pro účely interního MREL, nebo pro účely interního TLAC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v souladu s výše uvedeným odstavcem 11. </w:t>
            </w:r>
          </w:p>
        </w:tc>
      </w:tr>
      <w:tr w:rsidR="000C3B9F" w:rsidRPr="0008623B" w14:paraId="0BED3052" w14:textId="77777777" w:rsidTr="006E5727">
        <w:trPr>
          <w:trHeight w:val="316"/>
        </w:trPr>
        <w:tc>
          <w:tcPr>
            <w:tcW w:w="1384" w:type="dxa"/>
          </w:tcPr>
          <w:p w14:paraId="6F2D6129" w14:textId="1A05DE99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55" w:type="dxa"/>
          </w:tcPr>
          <w:p w14:paraId="3AF5477F" w14:textId="1583355E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 toho zbytková splatnost ≥ 1 rok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&lt; 2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roky </w:t>
            </w:r>
          </w:p>
          <w:p w14:paraId="6EC4B8A9" w14:textId="6798BA07" w:rsidR="000C3B9F" w:rsidRPr="0008623B" w:rsidRDefault="0016339F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6 s příslušnou zbytkovou splatností.</w:t>
            </w:r>
          </w:p>
        </w:tc>
      </w:tr>
      <w:tr w:rsidR="000C3B9F" w:rsidRPr="0008623B" w14:paraId="094D1657" w14:textId="77777777" w:rsidTr="006E5727">
        <w:trPr>
          <w:trHeight w:val="316"/>
        </w:trPr>
        <w:tc>
          <w:tcPr>
            <w:tcW w:w="1384" w:type="dxa"/>
          </w:tcPr>
          <w:p w14:paraId="25637642" w14:textId="2444ED10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55" w:type="dxa"/>
          </w:tcPr>
          <w:p w14:paraId="73BC8BDA" w14:textId="65A30D65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 toho zbytková splatnost ≥ 2 roky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&lt; 5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let</w:t>
            </w:r>
          </w:p>
          <w:p w14:paraId="234E2E25" w14:textId="7A58A472" w:rsidR="000C3B9F" w:rsidRPr="0008623B" w:rsidRDefault="00F04275" w:rsidP="00F042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6 s příslušnou zbytkovou splatností.</w:t>
            </w:r>
          </w:p>
        </w:tc>
      </w:tr>
      <w:tr w:rsidR="000C3B9F" w:rsidRPr="0008623B" w14:paraId="55CCE5FF" w14:textId="77777777" w:rsidTr="006E5727">
        <w:trPr>
          <w:trHeight w:val="316"/>
        </w:trPr>
        <w:tc>
          <w:tcPr>
            <w:tcW w:w="1384" w:type="dxa"/>
          </w:tcPr>
          <w:p w14:paraId="6D5EB35C" w14:textId="61800317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55" w:type="dxa"/>
          </w:tcPr>
          <w:p w14:paraId="6513D39F" w14:textId="3B45C903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 toho zbytková splatnost ≥ 5 let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&lt; 10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let</w:t>
            </w:r>
          </w:p>
          <w:p w14:paraId="44AA56B3" w14:textId="34E09E5C" w:rsidR="000C3B9F" w:rsidRPr="0008623B" w:rsidRDefault="00F04275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6 s příslušnou zbytkovou splatností.</w:t>
            </w:r>
          </w:p>
        </w:tc>
      </w:tr>
      <w:tr w:rsidR="000C3B9F" w:rsidRPr="0008623B" w14:paraId="0B08B0F5" w14:textId="77777777" w:rsidTr="006E5727">
        <w:trPr>
          <w:trHeight w:val="316"/>
        </w:trPr>
        <w:tc>
          <w:tcPr>
            <w:tcW w:w="1384" w:type="dxa"/>
          </w:tcPr>
          <w:p w14:paraId="30A040BA" w14:textId="2B401877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5" w:type="dxa"/>
          </w:tcPr>
          <w:p w14:paraId="0EDFF84A" w14:textId="7F3D5273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 toho zbytková splatnost ≥ 10 let, ale bez věčných cenných papírů</w:t>
            </w:r>
          </w:p>
          <w:p w14:paraId="4144E4C2" w14:textId="6B7049FC" w:rsidR="000C3B9F" w:rsidRPr="0008623B" w:rsidRDefault="00F04275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6 s příslušnou zbytkovou splatností.</w:t>
            </w:r>
          </w:p>
        </w:tc>
      </w:tr>
      <w:tr w:rsidR="000C3B9F" w:rsidRPr="0008623B" w14:paraId="23AD712F" w14:textId="77777777" w:rsidTr="006E5727">
        <w:trPr>
          <w:trHeight w:val="316"/>
        </w:trPr>
        <w:tc>
          <w:tcPr>
            <w:tcW w:w="1384" w:type="dxa"/>
          </w:tcPr>
          <w:p w14:paraId="67796F9B" w14:textId="308AC29C" w:rsidR="000C3B9F" w:rsidRPr="0008623B" w:rsidRDefault="000C3B9F" w:rsidP="000C3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655" w:type="dxa"/>
          </w:tcPr>
          <w:p w14:paraId="38BB8DE3" w14:textId="6E91083A" w:rsidR="000C3B9F" w:rsidRPr="0008623B" w:rsidRDefault="00216E68" w:rsidP="000C3B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 toho věčné cenné papíry</w:t>
            </w:r>
          </w:p>
          <w:p w14:paraId="0E3F0B9E" w14:textId="5C0A7C24" w:rsidR="000C3B9F" w:rsidRPr="0008623B" w:rsidRDefault="00F04275" w:rsidP="00F042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 6 odpovídající věčným cenným papírům.</w:t>
            </w:r>
          </w:p>
        </w:tc>
      </w:tr>
    </w:tbl>
    <w:p w14:paraId="4FDBE82C" w14:textId="77777777" w:rsidR="00134FA4" w:rsidRPr="000F4804" w:rsidRDefault="00134FA4" w:rsidP="00134FA4">
      <w:pPr>
        <w:jc w:val="both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</w:rPr>
      </w:pPr>
    </w:p>
    <w:p w14:paraId="4266C07E" w14:textId="3B554313" w:rsidR="00134FA4" w:rsidRPr="0008623B" w:rsidRDefault="002A5117" w:rsidP="002A5117">
      <w:pPr>
        <w:pStyle w:val="Numberedtilelevel1"/>
        <w:keepNext/>
        <w:pBdr>
          <w:bottom w:val="none" w:sz="0" w:space="0" w:color="auto"/>
        </w:pBdr>
        <w:spacing w:before="240" w:after="240" w:line="240" w:lineRule="auto"/>
        <w:ind w:left="360" w:hanging="360"/>
        <w:jc w:val="both"/>
        <w:outlineLvl w:val="1"/>
        <w:rPr>
          <w:rFonts w:ascii="Times New Roman" w:eastAsia="Arial" w:hAnsi="Times New Roman" w:cs="Times New Roman"/>
          <w:color w:val="auto"/>
          <w:spacing w:val="0"/>
          <w:kern w:val="0"/>
          <w:sz w:val="24"/>
          <w:szCs w:val="24"/>
        </w:rPr>
      </w:pPr>
      <w:bookmarkStart w:id="233" w:name="_Toc529272912"/>
      <w:bookmarkStart w:id="234" w:name="_Toc14770787"/>
      <w:bookmarkStart w:id="235" w:name="_Toc45266930"/>
      <w:r>
        <w:rPr>
          <w:rFonts w:ascii="Times New Roman" w:hAnsi="Times New Roman"/>
          <w:color w:val="auto"/>
          <w:sz w:val="24"/>
        </w:rPr>
        <w:lastRenderedPageBreak/>
        <w:t>6.</w:t>
      </w:r>
      <w:r>
        <w:rPr>
          <w:rFonts w:ascii="Times New Roman" w:hAnsi="Times New Roman"/>
          <w:color w:val="auto"/>
          <w:sz w:val="24"/>
        </w:rPr>
        <w:tab/>
        <w:t xml:space="preserve">EU TLAC3: Pořadí věřitelů – subjekt řešící </w:t>
      </w:r>
      <w:bookmarkEnd w:id="233"/>
      <w:bookmarkEnd w:id="234"/>
      <w:r>
        <w:rPr>
          <w:rFonts w:ascii="Times New Roman" w:hAnsi="Times New Roman"/>
          <w:color w:val="auto"/>
          <w:sz w:val="24"/>
        </w:rPr>
        <w:t>krizi</w:t>
      </w:r>
      <w:bookmarkEnd w:id="235"/>
    </w:p>
    <w:p w14:paraId="578097FF" w14:textId="1EA4E7A0" w:rsidR="00EE122D" w:rsidRPr="0008623B" w:rsidRDefault="00EE122D" w:rsidP="00B62DC9">
      <w:pPr>
        <w:pStyle w:val="InstructionsText2"/>
        <w:numPr>
          <w:ilvl w:val="0"/>
          <w:numId w:val="12"/>
        </w:numPr>
      </w:pPr>
      <w:r>
        <w:t>Informace zahrnuté v šabloně EU TLAC3 se zveřejňují na úrovni individuálního subjektu.</w:t>
      </w:r>
    </w:p>
    <w:p w14:paraId="0EB7EFE1" w14:textId="7A32417C" w:rsidR="00410769" w:rsidRPr="0008623B" w:rsidRDefault="00410769" w:rsidP="00B62DC9">
      <w:pPr>
        <w:pStyle w:val="InstructionsText2"/>
        <w:numPr>
          <w:ilvl w:val="0"/>
          <w:numId w:val="12"/>
        </w:numPr>
      </w:pPr>
      <w:r>
        <w:t>Šablona EU TLAC3 existuje ve dvou verzích, EU TLAC3a a EU TLAC3b. Šablona EU TLAC3a zachycuje veškeré financování, které je na stejné úrovni jako nástroje potenciálně způsobilé pro MREL nebo je jim podřízené, včetně kapitálu a jiných kapitálových nástrojů. Částky, které nejsou způsobilé pouze v důsledku požadavků týkajících se podřízenosti, se plně zahrnou do řádku odpovídajícího příslušné pozici z hlediska pořadí v úpadkovém řízení, tj. bez uplatnění horní hranice. Šablona EU TLAC3b zachycuje pouze kapitál a závazky, které jsou v souladu s článkem 45e směrnice 2014/59/EU způsobilé pro splnění požadavku stanoveného v článku 45 uvedené směrnice.</w:t>
      </w:r>
    </w:p>
    <w:p w14:paraId="417A390B" w14:textId="2D84B100" w:rsidR="00410769" w:rsidRPr="0008623B" w:rsidRDefault="00410769" w:rsidP="00B62DC9">
      <w:pPr>
        <w:pStyle w:val="InstructionsText2"/>
        <w:numPr>
          <w:ilvl w:val="0"/>
          <w:numId w:val="12"/>
        </w:numPr>
      </w:pPr>
      <w:r>
        <w:t>V souladu s čl. 14 odst. 2 tohoto nařízení si subjekty, na které se nevztahuje povinnost splnit požadavek stanovený v článku 92a nařízení (EU) č. 575/2013, ale na které se v souladu s článkem 45e směrnice 2014/59/EU vztahuje povinnost splnit požadavek stanovený v článku 45 uvedené směrnice, mohou vybrat, zda za účelem splnění požadavku na zveřejňování informací stanoveného v čl. 45i odst. 3 písm. b) směrnice 2014/59/EU použijí šablonu EU TLAC3a, nebo EU TLAC3b.</w:t>
      </w:r>
    </w:p>
    <w:p w14:paraId="7914D4A7" w14:textId="50C29BF6" w:rsidR="005F391D" w:rsidRPr="0008623B" w:rsidRDefault="005F391D" w:rsidP="00B62DC9">
      <w:pPr>
        <w:pStyle w:val="InstructionsText2"/>
        <w:numPr>
          <w:ilvl w:val="0"/>
          <w:numId w:val="12"/>
        </w:numPr>
      </w:pPr>
      <w:r>
        <w:t>Od data použitelnosti čl. 45i odst. 3 směrnice 2014/59/EU jsou emitenti povinni v rámci šablony TLAC3a zveřejňovat závazky, které jsou potenciálně způsobilé pro splnění požadavků na MREL a TLAC. Před tímto datem zveřejňují emitenti závazky, které jsou potenciálně způsobilé pro splnění požadavku na interní TLAC.</w:t>
      </w:r>
    </w:p>
    <w:p w14:paraId="0643F6F9" w14:textId="54E61B56" w:rsidR="005F391D" w:rsidRPr="0008623B" w:rsidRDefault="00134FA4" w:rsidP="00B62DC9">
      <w:pPr>
        <w:pStyle w:val="InstructionsText2"/>
        <w:numPr>
          <w:ilvl w:val="0"/>
          <w:numId w:val="12"/>
        </w:numPr>
      </w:pPr>
      <w:r>
        <w:t>Nesplacené částky uvedené v řádcích 2 až 10 musí být rozděleny do pozic z hlediska pořadí v úpadkovém řízení, a to na základě insolvenčních právních předpisů emitenta, bez ohledu na rozhodné právo nástroje.</w:t>
      </w:r>
    </w:p>
    <w:p w14:paraId="2ED9C4B9" w14:textId="752032A7" w:rsidR="005F391D" w:rsidRPr="0008623B" w:rsidRDefault="00EA31AA" w:rsidP="00B62DC9">
      <w:pPr>
        <w:pStyle w:val="InstructionsText2"/>
        <w:numPr>
          <w:ilvl w:val="0"/>
          <w:numId w:val="12"/>
        </w:numPr>
      </w:pPr>
      <w:r>
        <w:t>Pozice z hlediska pořadí v úpadkovém řízení jsou pozice sdělené orgánem příslušným k řešení krize v souladu se standardizovanou formou upřesněnou v příslušné šabloně pro vykazování.</w:t>
      </w:r>
    </w:p>
    <w:p w14:paraId="098D1362" w14:textId="424912A1" w:rsidR="003D2D85" w:rsidRPr="0008623B" w:rsidRDefault="00134FA4" w:rsidP="00B62DC9">
      <w:pPr>
        <w:pStyle w:val="InstructionsText2"/>
        <w:numPr>
          <w:ilvl w:val="0"/>
          <w:numId w:val="12"/>
        </w:numPr>
      </w:pPr>
      <w:r>
        <w:t>Pořadí je uváděno od nejméně prioritních po nejvíce prioritní. Sloupce pro jednotlivé pozice je třeba přidávat tak dlouho, dokud nebudou zveřejněny nejvíce prioritní pozice potenciálně způsobilých nástrojů.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55"/>
      </w:tblGrid>
      <w:tr w:rsidR="00134FA4" w:rsidRPr="0008623B" w14:paraId="6CE82287" w14:textId="77777777" w:rsidTr="006E5727">
        <w:trPr>
          <w:trHeight w:val="238"/>
        </w:trPr>
        <w:tc>
          <w:tcPr>
            <w:tcW w:w="1384" w:type="dxa"/>
            <w:shd w:val="clear" w:color="auto" w:fill="D9D9D9" w:themeFill="background1" w:themeFillShade="D9"/>
          </w:tcPr>
          <w:p w14:paraId="35ABF31F" w14:textId="77777777" w:rsidR="00134FA4" w:rsidRPr="0008623B" w:rsidRDefault="00134FA4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Řádky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209AC79A" w14:textId="70829AEF" w:rsidR="00134FA4" w:rsidRPr="0008623B" w:rsidRDefault="00E46262" w:rsidP="006E5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Odkazy na právní předpisy a pokyny</w:t>
            </w:r>
          </w:p>
        </w:tc>
      </w:tr>
      <w:tr w:rsidR="001D5616" w:rsidRPr="0008623B" w14:paraId="0C101719" w14:textId="77777777" w:rsidTr="006E5727">
        <w:trPr>
          <w:trHeight w:val="1014"/>
        </w:trPr>
        <w:tc>
          <w:tcPr>
            <w:tcW w:w="1384" w:type="dxa"/>
          </w:tcPr>
          <w:p w14:paraId="20818F1A" w14:textId="6C8CC711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1</w:t>
            </w:r>
          </w:p>
        </w:tc>
        <w:tc>
          <w:tcPr>
            <w:tcW w:w="7655" w:type="dxa"/>
          </w:tcPr>
          <w:p w14:paraId="255BAE3D" w14:textId="6FBDCDA3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Popis pořadí v úpadkovém řízení (volný text)</w:t>
            </w:r>
          </w:p>
          <w:p w14:paraId="4938332D" w14:textId="624185AF" w:rsidR="001D5616" w:rsidRPr="0008623B" w:rsidRDefault="001D5616" w:rsidP="00EA31AA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 xml:space="preserve">Počet pozic z hlediska pořadí v úpadkovém řízení (n) v hierarchii věřitelů bude záviset na souboru závazků subjektu. Každá pozice z hlediska pořadí v úpadkovém řízení má jeden sloupec. Popis by měl zahrnovat upřesnění typu pohledávek zahrnutých v dané pozici z hlediska pořadí v úpadkovém řízení (např. kmenový kapitál </w:t>
            </w:r>
            <w:proofErr w:type="spellStart"/>
            <w:r>
              <w:rPr>
                <w:color w:val="000000" w:themeColor="text1"/>
              </w:rPr>
              <w:t>tier</w:t>
            </w:r>
            <w:proofErr w:type="spellEnd"/>
            <w:r>
              <w:rPr>
                <w:color w:val="000000" w:themeColor="text1"/>
              </w:rPr>
              <w:t xml:space="preserve"> 1, nástroje kapitálu </w:t>
            </w:r>
            <w:proofErr w:type="spellStart"/>
            <w:r>
              <w:rPr>
                <w:color w:val="000000" w:themeColor="text1"/>
              </w:rPr>
              <w:t>tier</w:t>
            </w:r>
            <w:proofErr w:type="spellEnd"/>
            <w:r>
              <w:rPr>
                <w:color w:val="000000" w:themeColor="text1"/>
              </w:rPr>
              <w:t> 2).</w:t>
            </w:r>
          </w:p>
        </w:tc>
      </w:tr>
      <w:tr w:rsidR="001D5616" w:rsidRPr="0008623B" w14:paraId="282F3909" w14:textId="77777777" w:rsidTr="006E5727">
        <w:trPr>
          <w:trHeight w:val="1014"/>
        </w:trPr>
        <w:tc>
          <w:tcPr>
            <w:tcW w:w="1384" w:type="dxa"/>
          </w:tcPr>
          <w:p w14:paraId="6052D413" w14:textId="27A1C7E6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7655" w:type="dxa"/>
          </w:tcPr>
          <w:p w14:paraId="649ECD5E" w14:textId="0534C38B" w:rsidR="001D5616" w:rsidRPr="0008623B" w:rsidRDefault="00367DF1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Závazky a kapitál</w:t>
            </w:r>
          </w:p>
          <w:p w14:paraId="6CEB4608" w14:textId="77777777" w:rsidR="003D2D85" w:rsidRPr="0008623B" w:rsidRDefault="003D2D85" w:rsidP="003D2D85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Hodnota kapitálu, způsobilých závazků a závazků, jejichž stupeň priority je nižší nebo na stejné úrovni jako kapitál nebo způsobilé závazky.</w:t>
            </w:r>
          </w:p>
          <w:p w14:paraId="7ABCDC8B" w14:textId="193792D4" w:rsidR="00585921" w:rsidRPr="0008623B" w:rsidRDefault="003D2D85" w:rsidP="00E13544">
            <w:pPr>
              <w:pStyle w:val="Applicationdirecte"/>
              <w:spacing w:before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Zahrnou se sem rovněž závazky vyloučené z rekapitalizace z vnitřních zdrojů.</w:t>
            </w:r>
            <w:r>
              <w:t xml:space="preserve"> </w:t>
            </w:r>
          </w:p>
          <w:p w14:paraId="3B3981A4" w14:textId="543E66EA" w:rsidR="003D2D85" w:rsidRPr="0008623B" w:rsidRDefault="008348B0" w:rsidP="00640F37">
            <w:pPr>
              <w:pStyle w:val="Fait"/>
            </w:pPr>
            <w:r>
              <w:t>Tento řádek se v šabloně EU TLAC3b nepoužije.</w:t>
            </w:r>
          </w:p>
        </w:tc>
      </w:tr>
      <w:tr w:rsidR="001D5616" w:rsidRPr="0008623B" w14:paraId="7EFDEF71" w14:textId="77777777" w:rsidTr="006E5727">
        <w:trPr>
          <w:trHeight w:val="483"/>
        </w:trPr>
        <w:tc>
          <w:tcPr>
            <w:tcW w:w="1384" w:type="dxa"/>
          </w:tcPr>
          <w:p w14:paraId="36ABDA8C" w14:textId="78FEFA6B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3</w:t>
            </w:r>
          </w:p>
        </w:tc>
        <w:tc>
          <w:tcPr>
            <w:tcW w:w="7655" w:type="dxa"/>
          </w:tcPr>
          <w:p w14:paraId="79EC0340" w14:textId="06B26FCE" w:rsidR="001D5616" w:rsidRPr="0008623B" w:rsidRDefault="00A14A6B" w:rsidP="001D5616">
            <w:pPr>
              <w:pStyle w:val="Fait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</w:rPr>
              <w:t>Závazky a kapitál – z toho vyloučené závazky</w:t>
            </w:r>
          </w:p>
          <w:p w14:paraId="0FF41010" w14:textId="001ECF54" w:rsidR="003D2D85" w:rsidRPr="0008623B" w:rsidRDefault="003D2D85" w:rsidP="003D2D85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Rozdělení závazků vyloučených v souladu s čl. </w:t>
            </w:r>
            <w:proofErr w:type="gramStart"/>
            <w:r>
              <w:rPr>
                <w:color w:val="000000" w:themeColor="text1"/>
              </w:rPr>
              <w:t>72a</w:t>
            </w:r>
            <w:proofErr w:type="gramEnd"/>
            <w:r>
              <w:rPr>
                <w:color w:val="000000" w:themeColor="text1"/>
              </w:rPr>
              <w:t xml:space="preserve"> odst. 2 nařízení (EU) č. 575/2013 nebo s čl. 44 odst. 2 směrnice 2014/59/EU a případně s čl. 44 odst. 3 uvedené směrnice.</w:t>
            </w:r>
          </w:p>
          <w:p w14:paraId="6E4598A5" w14:textId="066BD409" w:rsidR="003D2D85" w:rsidRPr="0008623B" w:rsidRDefault="008348B0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Tento řádek se v šabloně EU TLAC3b nepoužije.</w:t>
            </w:r>
          </w:p>
        </w:tc>
      </w:tr>
      <w:tr w:rsidR="001D5616" w:rsidRPr="0008623B" w14:paraId="3040763E" w14:textId="77777777" w:rsidTr="006E5727">
        <w:trPr>
          <w:trHeight w:val="1014"/>
        </w:trPr>
        <w:tc>
          <w:tcPr>
            <w:tcW w:w="1384" w:type="dxa"/>
          </w:tcPr>
          <w:p w14:paraId="6ED7CBD7" w14:textId="71B213F7" w:rsidR="001D5616" w:rsidRPr="0008623B" w:rsidRDefault="008871C6" w:rsidP="001D5616">
            <w:pPr>
              <w:pStyle w:val="Applicationdirecte"/>
              <w:spacing w:before="120"/>
              <w:rPr>
                <w:color w:val="000000" w:themeColor="text1"/>
                <w:szCs w:val="24"/>
              </w:rPr>
            </w:pPr>
            <w:r>
              <w:t>4</w:t>
            </w:r>
          </w:p>
        </w:tc>
        <w:tc>
          <w:tcPr>
            <w:tcW w:w="7655" w:type="dxa"/>
          </w:tcPr>
          <w:p w14:paraId="67B3F8CE" w14:textId="50557F36" w:rsidR="001D5616" w:rsidRPr="0008623B" w:rsidRDefault="00367DF1" w:rsidP="001D5616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Závazky a kapitál bez vyloučených závazků</w:t>
            </w:r>
          </w:p>
          <w:p w14:paraId="09D8C04D" w14:textId="0C90618C" w:rsidR="001D5616" w:rsidRPr="0008623B" w:rsidRDefault="00367DF1" w:rsidP="001D561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Závazky a kapitál bez vyloučených závazků.</w:t>
            </w:r>
            <w:r>
              <w:rPr>
                <w:color w:val="000000" w:themeColor="text1"/>
              </w:rPr>
              <w:t xml:space="preserve"> </w:t>
            </w:r>
          </w:p>
          <w:p w14:paraId="4C2B3296" w14:textId="5FECF8AC" w:rsidR="003D2D85" w:rsidRPr="0008623B" w:rsidRDefault="008348B0" w:rsidP="001D56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Tento řádek se v šabloně EU TLAC3b nepoužije.</w:t>
            </w:r>
          </w:p>
        </w:tc>
      </w:tr>
      <w:tr w:rsidR="001D5616" w:rsidRPr="0008623B" w14:paraId="3A2C5DDE" w14:textId="77777777" w:rsidTr="006E5727">
        <w:trPr>
          <w:trHeight w:val="316"/>
        </w:trPr>
        <w:tc>
          <w:tcPr>
            <w:tcW w:w="1384" w:type="dxa"/>
          </w:tcPr>
          <w:p w14:paraId="3404E285" w14:textId="021B6A65" w:rsidR="001D5616" w:rsidRPr="0008623B" w:rsidRDefault="008871C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655" w:type="dxa"/>
          </w:tcPr>
          <w:p w14:paraId="3A72D26C" w14:textId="33DDDACD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Podskupina závazků a kapitálu bez vyloučených závazků, které představují kapitál a závazky potenciálně způsobilé ke splnění MREL/TLAC</w:t>
            </w:r>
          </w:p>
          <w:p w14:paraId="4D791BCD" w14:textId="72DDE991" w:rsidR="001D5616" w:rsidRPr="0008623B" w:rsidRDefault="001D5616" w:rsidP="008B671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Rozdělení hodnoty kapitálu a závazků způsobilých pro účely MREL nebo pro účely TLAC v souladu s výše uvedeným odstavcem 19, bez uplatnění horních hranic na uznání nepodřízených závazků.</w:t>
            </w:r>
          </w:p>
        </w:tc>
      </w:tr>
      <w:tr w:rsidR="001D5616" w:rsidRPr="0008623B" w14:paraId="1AD03E0A" w14:textId="77777777" w:rsidTr="006E5727">
        <w:trPr>
          <w:trHeight w:val="316"/>
        </w:trPr>
        <w:tc>
          <w:tcPr>
            <w:tcW w:w="1384" w:type="dxa"/>
          </w:tcPr>
          <w:p w14:paraId="5319D1AF" w14:textId="74E28EE0" w:rsidR="001D5616" w:rsidRPr="0008623B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655" w:type="dxa"/>
          </w:tcPr>
          <w:p w14:paraId="208DFDB8" w14:textId="6F2FB385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 toho zbytková splatnost ≥ 1 rok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&lt; 2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roky </w:t>
            </w:r>
          </w:p>
          <w:p w14:paraId="024B38D7" w14:textId="23586DB1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5 s příslušnou zbytkovou splatností.</w:t>
            </w:r>
          </w:p>
        </w:tc>
      </w:tr>
      <w:tr w:rsidR="001D5616" w:rsidRPr="0008623B" w14:paraId="589F2978" w14:textId="77777777" w:rsidTr="006E5727">
        <w:trPr>
          <w:trHeight w:val="316"/>
        </w:trPr>
        <w:tc>
          <w:tcPr>
            <w:tcW w:w="1384" w:type="dxa"/>
          </w:tcPr>
          <w:p w14:paraId="41E8C660" w14:textId="7938235A" w:rsidR="001D5616" w:rsidRPr="0008623B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55" w:type="dxa"/>
          </w:tcPr>
          <w:p w14:paraId="1A0F18F5" w14:textId="1406EA6F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 toho zbytková splatnost ≥ 2 roky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&lt; 5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let</w:t>
            </w:r>
          </w:p>
          <w:p w14:paraId="503D3ECD" w14:textId="3E0914A8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5 s příslušnou zbytkovou splatností.</w:t>
            </w:r>
          </w:p>
        </w:tc>
      </w:tr>
      <w:tr w:rsidR="001D5616" w:rsidRPr="0008623B" w14:paraId="1CE5BF41" w14:textId="77777777" w:rsidTr="006E5727">
        <w:trPr>
          <w:trHeight w:val="316"/>
        </w:trPr>
        <w:tc>
          <w:tcPr>
            <w:tcW w:w="1384" w:type="dxa"/>
          </w:tcPr>
          <w:p w14:paraId="6D06C91E" w14:textId="6BE3FA67" w:rsidR="001D5616" w:rsidRPr="0008623B" w:rsidRDefault="008871C6" w:rsidP="001D56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55" w:type="dxa"/>
          </w:tcPr>
          <w:p w14:paraId="385E6CA6" w14:textId="685C5434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Z toho zbytková splatnost ≥ 5 let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&lt; 10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let</w:t>
            </w:r>
          </w:p>
          <w:p w14:paraId="197AF3C0" w14:textId="56872A6F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Podskupina řádku 5 s příslušnou zbytkovou splatností.</w:t>
            </w:r>
          </w:p>
        </w:tc>
      </w:tr>
      <w:tr w:rsidR="001D5616" w:rsidRPr="0008623B" w14:paraId="6652A440" w14:textId="77777777" w:rsidTr="006E5727">
        <w:trPr>
          <w:trHeight w:val="316"/>
        </w:trPr>
        <w:tc>
          <w:tcPr>
            <w:tcW w:w="1384" w:type="dxa"/>
          </w:tcPr>
          <w:p w14:paraId="34E6E46D" w14:textId="5ECCD03F" w:rsidR="001D5616" w:rsidRPr="0008623B" w:rsidRDefault="008871C6" w:rsidP="008871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655" w:type="dxa"/>
          </w:tcPr>
          <w:p w14:paraId="18D5EBD6" w14:textId="39172B5A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 toho zbytková splatnost ≥ 10 let, ale bez věčných cenných papírů</w:t>
            </w:r>
          </w:p>
          <w:p w14:paraId="61C53A18" w14:textId="6ED02288" w:rsidR="001D5616" w:rsidRPr="0008623B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Podskupina řádku 5 s příslušnou zbytkovou splatností. </w:t>
            </w:r>
          </w:p>
        </w:tc>
      </w:tr>
      <w:tr w:rsidR="001D5616" w:rsidRPr="00F7311F" w14:paraId="122BED89" w14:textId="77777777" w:rsidTr="006E5727">
        <w:trPr>
          <w:trHeight w:val="316"/>
        </w:trPr>
        <w:tc>
          <w:tcPr>
            <w:tcW w:w="1384" w:type="dxa"/>
          </w:tcPr>
          <w:p w14:paraId="0B741CEB" w14:textId="37EB6C3B" w:rsidR="001D5616" w:rsidRPr="0008623B" w:rsidRDefault="001D5616" w:rsidP="001D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5" w:type="dxa"/>
          </w:tcPr>
          <w:p w14:paraId="00862BE8" w14:textId="48E6FB14" w:rsidR="001D5616" w:rsidRPr="0008623B" w:rsidRDefault="008E3ADF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Z toho věčné cenné papíry</w:t>
            </w:r>
          </w:p>
          <w:p w14:paraId="364F102A" w14:textId="35E5C977" w:rsidR="001D5616" w:rsidRPr="00F7311F" w:rsidRDefault="001D5616" w:rsidP="001D561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Podskupina řádku 5 odpovídající věčným cenným papírům. </w:t>
            </w:r>
          </w:p>
        </w:tc>
      </w:tr>
    </w:tbl>
    <w:p w14:paraId="727A9C45" w14:textId="513EB7A2" w:rsidR="002E3F40" w:rsidRPr="00DE7C85" w:rsidRDefault="00676354" w:rsidP="00AA4A01">
      <w:pPr>
        <w:pStyle w:val="body"/>
      </w:pPr>
      <w:r>
        <w:t>“</w:t>
      </w:r>
    </w:p>
    <w:sectPr w:rsidR="002E3F40" w:rsidRPr="00DE7C85" w:rsidSect="00807127">
      <w:headerReference w:type="even" r:id="rId8"/>
      <w:footerReference w:type="default" r:id="rId9"/>
      <w:headerReference w:type="first" r:id="rId10"/>
      <w:pgSz w:w="11900" w:h="16840"/>
      <w:pgMar w:top="2268" w:right="1418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5B52" w14:textId="77777777" w:rsidR="00EE5DE6" w:rsidRDefault="00EE5DE6" w:rsidP="00A00E34">
      <w:r>
        <w:separator/>
      </w:r>
    </w:p>
    <w:p w14:paraId="6D9A16C1" w14:textId="77777777" w:rsidR="00EE5DE6" w:rsidRDefault="00EE5DE6"/>
  </w:endnote>
  <w:endnote w:type="continuationSeparator" w:id="0">
    <w:p w14:paraId="68144B1B" w14:textId="77777777" w:rsidR="00EE5DE6" w:rsidRDefault="00EE5DE6" w:rsidP="00A00E34">
      <w:r>
        <w:continuationSeparator/>
      </w:r>
    </w:p>
    <w:p w14:paraId="6D92350E" w14:textId="77777777" w:rsidR="00EE5DE6" w:rsidRDefault="00EE5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EUAlbertina">
    <w:altName w:val="Times New Roman"/>
    <w:charset w:val="00"/>
    <w:family w:val="auto"/>
    <w:pitch w:val="variable"/>
    <w:sig w:usb0="00000001" w:usb1="1000E0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65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60D88" w14:textId="580CA2FB" w:rsidR="00EE5DE6" w:rsidRDefault="00EE5DE6" w:rsidP="009400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9D"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0FCA" w14:textId="77777777" w:rsidR="00EE5DE6" w:rsidRPr="00DB5E8F" w:rsidRDefault="00EE5DE6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14:paraId="6AD737B5" w14:textId="77777777" w:rsidR="00EE5DE6" w:rsidRDefault="00EE5DE6" w:rsidP="00A00E34">
      <w:r>
        <w:continuationSeparator/>
      </w:r>
    </w:p>
    <w:p w14:paraId="5D810347" w14:textId="77777777" w:rsidR="00EE5DE6" w:rsidRDefault="00EE5DE6"/>
  </w:footnote>
  <w:footnote w:type="continuationNotice" w:id="1">
    <w:p w14:paraId="57FCC2A8" w14:textId="77777777" w:rsidR="00EE5DE6" w:rsidRDefault="00EE5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B2EC" w14:textId="00F9D07C" w:rsidR="00EE5DE6" w:rsidRDefault="00CF0B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BFD109" wp14:editId="13862CD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2540"/>
              <wp:wrapSquare wrapText="bothSides"/>
              <wp:docPr id="2" name="Text Box 2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10E33" w14:textId="033AAB4C" w:rsidR="00CF0B8E" w:rsidRPr="00CF0B8E" w:rsidRDefault="00CF0B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FD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BA Regular Use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3710E33" w14:textId="033AAB4C" w:rsidR="00CF0B8E" w:rsidRPr="00CF0B8E" w:rsidRDefault="00CF0B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C792" w14:textId="02EA7972" w:rsidR="00EE5DE6" w:rsidRDefault="00CF0B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1ADB4" wp14:editId="57113CA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2540"/>
              <wp:wrapSquare wrapText="bothSides"/>
              <wp:docPr id="1" name="Text Box 1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BD6C" w14:textId="64E8C075" w:rsidR="00CF0B8E" w:rsidRPr="00CF0B8E" w:rsidRDefault="00CF0B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A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BA Regular Us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9CDBD6C" w14:textId="64E8C075" w:rsidR="00CF0B8E" w:rsidRPr="00CF0B8E" w:rsidRDefault="00CF0B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5920"/>
    <w:multiLevelType w:val="hybridMultilevel"/>
    <w:tmpl w:val="CA5CBCCC"/>
    <w:lvl w:ilvl="0" w:tplc="E7565B6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B43CB"/>
    <w:multiLevelType w:val="hybridMultilevel"/>
    <w:tmpl w:val="0B82EB28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286D"/>
    <w:multiLevelType w:val="hybridMultilevel"/>
    <w:tmpl w:val="3D6A5B4C"/>
    <w:lvl w:ilvl="0" w:tplc="E11EE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8B8"/>
    <w:multiLevelType w:val="multilevel"/>
    <w:tmpl w:val="FEE42B3C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ascii="Tahoma" w:eastAsia="Calibri" w:hAnsi="Tahoma" w:cs="Tahoma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1C645D18"/>
    <w:multiLevelType w:val="hybridMultilevel"/>
    <w:tmpl w:val="3BE2C7B8"/>
    <w:lvl w:ilvl="0" w:tplc="D47C1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B3A92"/>
    <w:multiLevelType w:val="singleLevel"/>
    <w:tmpl w:val="73D64A0E"/>
    <w:name w:val="Considérant__1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9" w15:restartNumberingAfterBreak="0">
    <w:nsid w:val="2D4A3D6B"/>
    <w:multiLevelType w:val="hybridMultilevel"/>
    <w:tmpl w:val="AE94D732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71C07"/>
    <w:multiLevelType w:val="hybridMultilevel"/>
    <w:tmpl w:val="EA86ACB4"/>
    <w:lvl w:ilvl="0" w:tplc="1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57CB8"/>
    <w:multiLevelType w:val="hybridMultilevel"/>
    <w:tmpl w:val="58AC2FEC"/>
    <w:lvl w:ilvl="0" w:tplc="236EA62C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686A3D"/>
    <w:multiLevelType w:val="hybridMultilevel"/>
    <w:tmpl w:val="F92E0946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E03EB"/>
    <w:multiLevelType w:val="hybridMultilevel"/>
    <w:tmpl w:val="67A836AC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57A9"/>
    <w:multiLevelType w:val="hybridMultilevel"/>
    <w:tmpl w:val="42E0F2FC"/>
    <w:lvl w:ilvl="0" w:tplc="9AF65EF2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D7471F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27369"/>
    <w:multiLevelType w:val="hybridMultilevel"/>
    <w:tmpl w:val="8E7A791A"/>
    <w:lvl w:ilvl="0" w:tplc="4A2A8390">
      <w:start w:val="1"/>
      <w:numFmt w:val="decimal"/>
      <w:pStyle w:val="numberedparagraph"/>
      <w:lvlText w:val="%1.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307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8027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8747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9467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10187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10907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11627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12347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13067" w:hanging="180"/>
      </w:pPr>
      <w:rPr>
        <w:rFonts w:cs="Times New Roman"/>
      </w:rPr>
    </w:lvl>
  </w:abstractNum>
  <w:abstractNum w:abstractNumId="20" w15:restartNumberingAfterBreak="0">
    <w:nsid w:val="6A4767C0"/>
    <w:multiLevelType w:val="hybridMultilevel"/>
    <w:tmpl w:val="06983D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 w15:restartNumberingAfterBreak="0">
    <w:nsid w:val="6BCD57BB"/>
    <w:multiLevelType w:val="multilevel"/>
    <w:tmpl w:val="F60CCED6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734B1"/>
    <w:multiLevelType w:val="hybridMultilevel"/>
    <w:tmpl w:val="CBBED26E"/>
    <w:lvl w:ilvl="0" w:tplc="E11EE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05749">
    <w:abstractNumId w:val="16"/>
  </w:num>
  <w:num w:numId="2" w16cid:durableId="1184441859">
    <w:abstractNumId w:val="3"/>
  </w:num>
  <w:num w:numId="3" w16cid:durableId="1028918299">
    <w:abstractNumId w:val="13"/>
  </w:num>
  <w:num w:numId="4" w16cid:durableId="776296339">
    <w:abstractNumId w:val="22"/>
  </w:num>
  <w:num w:numId="5" w16cid:durableId="750153091">
    <w:abstractNumId w:val="1"/>
  </w:num>
  <w:num w:numId="6" w16cid:durableId="336813224">
    <w:abstractNumId w:val="21"/>
  </w:num>
  <w:num w:numId="7" w16cid:durableId="465779702">
    <w:abstractNumId w:val="18"/>
  </w:num>
  <w:num w:numId="8" w16cid:durableId="663163219">
    <w:abstractNumId w:val="0"/>
  </w:num>
  <w:num w:numId="9" w16cid:durableId="1917978329">
    <w:abstractNumId w:val="8"/>
  </w:num>
  <w:num w:numId="10" w16cid:durableId="353311820">
    <w:abstractNumId w:val="23"/>
  </w:num>
  <w:num w:numId="11" w16cid:durableId="6709576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785784">
    <w:abstractNumId w:val="15"/>
  </w:num>
  <w:num w:numId="13" w16cid:durableId="1831798045">
    <w:abstractNumId w:val="20"/>
  </w:num>
  <w:num w:numId="14" w16cid:durableId="1121650833">
    <w:abstractNumId w:val="19"/>
  </w:num>
  <w:num w:numId="15" w16cid:durableId="1026759010">
    <w:abstractNumId w:val="11"/>
  </w:num>
  <w:num w:numId="16" w16cid:durableId="826094156">
    <w:abstractNumId w:val="9"/>
  </w:num>
  <w:num w:numId="17" w16cid:durableId="1348865239">
    <w:abstractNumId w:val="17"/>
  </w:num>
  <w:num w:numId="18" w16cid:durableId="1335106368">
    <w:abstractNumId w:val="7"/>
  </w:num>
  <w:num w:numId="19" w16cid:durableId="227693673">
    <w:abstractNumId w:val="11"/>
  </w:num>
  <w:num w:numId="20" w16cid:durableId="748769138">
    <w:abstractNumId w:val="11"/>
  </w:num>
  <w:num w:numId="21" w16cid:durableId="935597942">
    <w:abstractNumId w:val="2"/>
  </w:num>
  <w:num w:numId="22" w16cid:durableId="1734306422">
    <w:abstractNumId w:val="5"/>
  </w:num>
  <w:num w:numId="23" w16cid:durableId="451824100">
    <w:abstractNumId w:val="14"/>
  </w:num>
  <w:num w:numId="24" w16cid:durableId="398483654">
    <w:abstractNumId w:val="12"/>
  </w:num>
  <w:num w:numId="25" w16cid:durableId="818500383">
    <w:abstractNumId w:val="4"/>
  </w:num>
  <w:num w:numId="26" w16cid:durableId="1235430350">
    <w:abstractNumId w:val="11"/>
  </w:num>
  <w:num w:numId="27" w16cid:durableId="1326936538">
    <w:abstractNumId w:val="11"/>
  </w:num>
  <w:num w:numId="28" w16cid:durableId="1637417445">
    <w:abstractNumId w:val="11"/>
  </w:num>
  <w:num w:numId="29" w16cid:durableId="1921674367">
    <w:abstractNumId w:val="11"/>
  </w:num>
  <w:num w:numId="30" w16cid:durableId="1001541118">
    <w:abstractNumId w:val="11"/>
  </w:num>
  <w:num w:numId="31" w16cid:durableId="24329730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LW_DocType" w:val="EBA GL-REC 20XX XX (FINAL GLS-REC ON"/>
  </w:docVars>
  <w:rsids>
    <w:rsidRoot w:val="006307A5"/>
    <w:rsid w:val="00000DE2"/>
    <w:rsid w:val="00001873"/>
    <w:rsid w:val="00002ED7"/>
    <w:rsid w:val="00003F50"/>
    <w:rsid w:val="00004389"/>
    <w:rsid w:val="0000671C"/>
    <w:rsid w:val="000115C7"/>
    <w:rsid w:val="000121E8"/>
    <w:rsid w:val="0001312A"/>
    <w:rsid w:val="00013281"/>
    <w:rsid w:val="000145DB"/>
    <w:rsid w:val="00015DE4"/>
    <w:rsid w:val="0001617D"/>
    <w:rsid w:val="0002022F"/>
    <w:rsid w:val="00021902"/>
    <w:rsid w:val="00021E4F"/>
    <w:rsid w:val="00022F5A"/>
    <w:rsid w:val="000231B7"/>
    <w:rsid w:val="00023BE0"/>
    <w:rsid w:val="00026E75"/>
    <w:rsid w:val="00026FC1"/>
    <w:rsid w:val="00027CA0"/>
    <w:rsid w:val="00030D65"/>
    <w:rsid w:val="000360DE"/>
    <w:rsid w:val="00036DB1"/>
    <w:rsid w:val="00037C74"/>
    <w:rsid w:val="00037D40"/>
    <w:rsid w:val="00040129"/>
    <w:rsid w:val="000445F0"/>
    <w:rsid w:val="000457FD"/>
    <w:rsid w:val="00045B67"/>
    <w:rsid w:val="000602F0"/>
    <w:rsid w:val="00060F40"/>
    <w:rsid w:val="000611BF"/>
    <w:rsid w:val="00062830"/>
    <w:rsid w:val="00062937"/>
    <w:rsid w:val="00066A9A"/>
    <w:rsid w:val="00070882"/>
    <w:rsid w:val="000774B3"/>
    <w:rsid w:val="00083C33"/>
    <w:rsid w:val="000843CD"/>
    <w:rsid w:val="00085838"/>
    <w:rsid w:val="0008623B"/>
    <w:rsid w:val="00097F01"/>
    <w:rsid w:val="000A1C81"/>
    <w:rsid w:val="000A2295"/>
    <w:rsid w:val="000A2565"/>
    <w:rsid w:val="000A3851"/>
    <w:rsid w:val="000A53C4"/>
    <w:rsid w:val="000A553F"/>
    <w:rsid w:val="000B1645"/>
    <w:rsid w:val="000B1CB3"/>
    <w:rsid w:val="000B22D4"/>
    <w:rsid w:val="000B3C02"/>
    <w:rsid w:val="000B47A2"/>
    <w:rsid w:val="000B4D72"/>
    <w:rsid w:val="000B51DB"/>
    <w:rsid w:val="000C0577"/>
    <w:rsid w:val="000C2E1B"/>
    <w:rsid w:val="000C3B9F"/>
    <w:rsid w:val="000C5255"/>
    <w:rsid w:val="000C5A8A"/>
    <w:rsid w:val="000C6F8C"/>
    <w:rsid w:val="000C74DC"/>
    <w:rsid w:val="000C7FD8"/>
    <w:rsid w:val="000D0E56"/>
    <w:rsid w:val="000D19EC"/>
    <w:rsid w:val="000D1FC3"/>
    <w:rsid w:val="000D7A44"/>
    <w:rsid w:val="000E0614"/>
    <w:rsid w:val="000E0C27"/>
    <w:rsid w:val="000E4902"/>
    <w:rsid w:val="000E4D2F"/>
    <w:rsid w:val="000E5B26"/>
    <w:rsid w:val="000E6ABB"/>
    <w:rsid w:val="000E6D15"/>
    <w:rsid w:val="000E7BBF"/>
    <w:rsid w:val="000F33D3"/>
    <w:rsid w:val="000F3E72"/>
    <w:rsid w:val="000F4804"/>
    <w:rsid w:val="000F5992"/>
    <w:rsid w:val="000F607B"/>
    <w:rsid w:val="000F6495"/>
    <w:rsid w:val="000F6FD8"/>
    <w:rsid w:val="0010098C"/>
    <w:rsid w:val="00101B32"/>
    <w:rsid w:val="00102896"/>
    <w:rsid w:val="00103DB7"/>
    <w:rsid w:val="001061FA"/>
    <w:rsid w:val="0011007A"/>
    <w:rsid w:val="00111034"/>
    <w:rsid w:val="001142F6"/>
    <w:rsid w:val="0011517F"/>
    <w:rsid w:val="00121BB0"/>
    <w:rsid w:val="00121E46"/>
    <w:rsid w:val="0012686C"/>
    <w:rsid w:val="001300F0"/>
    <w:rsid w:val="0013022F"/>
    <w:rsid w:val="0013090C"/>
    <w:rsid w:val="00131C5D"/>
    <w:rsid w:val="00134FA4"/>
    <w:rsid w:val="001358FD"/>
    <w:rsid w:val="00136D98"/>
    <w:rsid w:val="00141B74"/>
    <w:rsid w:val="00142DF6"/>
    <w:rsid w:val="00145255"/>
    <w:rsid w:val="00145D24"/>
    <w:rsid w:val="00150101"/>
    <w:rsid w:val="001515F1"/>
    <w:rsid w:val="00152832"/>
    <w:rsid w:val="00154596"/>
    <w:rsid w:val="001600FC"/>
    <w:rsid w:val="0016339F"/>
    <w:rsid w:val="001651F7"/>
    <w:rsid w:val="0016737A"/>
    <w:rsid w:val="00170316"/>
    <w:rsid w:val="00170DA1"/>
    <w:rsid w:val="00172007"/>
    <w:rsid w:val="001736AB"/>
    <w:rsid w:val="001741D6"/>
    <w:rsid w:val="0017446F"/>
    <w:rsid w:val="00177CB9"/>
    <w:rsid w:val="0018025F"/>
    <w:rsid w:val="001834D4"/>
    <w:rsid w:val="00185F8E"/>
    <w:rsid w:val="0018755F"/>
    <w:rsid w:val="00187B95"/>
    <w:rsid w:val="00192287"/>
    <w:rsid w:val="00193B9E"/>
    <w:rsid w:val="00195025"/>
    <w:rsid w:val="001A016C"/>
    <w:rsid w:val="001A2A81"/>
    <w:rsid w:val="001A5BD4"/>
    <w:rsid w:val="001A70A8"/>
    <w:rsid w:val="001A79EE"/>
    <w:rsid w:val="001A7C5B"/>
    <w:rsid w:val="001B2C0D"/>
    <w:rsid w:val="001B350C"/>
    <w:rsid w:val="001B5DB5"/>
    <w:rsid w:val="001B6017"/>
    <w:rsid w:val="001B7A0B"/>
    <w:rsid w:val="001B7EB3"/>
    <w:rsid w:val="001C19B7"/>
    <w:rsid w:val="001C1FD9"/>
    <w:rsid w:val="001C5BC2"/>
    <w:rsid w:val="001C7800"/>
    <w:rsid w:val="001D0179"/>
    <w:rsid w:val="001D2F20"/>
    <w:rsid w:val="001D5361"/>
    <w:rsid w:val="001D5616"/>
    <w:rsid w:val="001D5620"/>
    <w:rsid w:val="001E0DA8"/>
    <w:rsid w:val="001E1188"/>
    <w:rsid w:val="001E1FDE"/>
    <w:rsid w:val="001E2C89"/>
    <w:rsid w:val="001E3599"/>
    <w:rsid w:val="001F1CB9"/>
    <w:rsid w:val="001F4C02"/>
    <w:rsid w:val="001F4CE8"/>
    <w:rsid w:val="001F7501"/>
    <w:rsid w:val="001F75A3"/>
    <w:rsid w:val="001F7EB8"/>
    <w:rsid w:val="00205878"/>
    <w:rsid w:val="00213065"/>
    <w:rsid w:val="002138F0"/>
    <w:rsid w:val="00213D7B"/>
    <w:rsid w:val="00214DEC"/>
    <w:rsid w:val="00214E35"/>
    <w:rsid w:val="00216E68"/>
    <w:rsid w:val="002216A2"/>
    <w:rsid w:val="00223B7E"/>
    <w:rsid w:val="00224761"/>
    <w:rsid w:val="00224A3F"/>
    <w:rsid w:val="00224D96"/>
    <w:rsid w:val="002306C7"/>
    <w:rsid w:val="00230A15"/>
    <w:rsid w:val="00232344"/>
    <w:rsid w:val="0023278E"/>
    <w:rsid w:val="00241BD8"/>
    <w:rsid w:val="0024295D"/>
    <w:rsid w:val="002432DE"/>
    <w:rsid w:val="002434B0"/>
    <w:rsid w:val="002461BD"/>
    <w:rsid w:val="002462A7"/>
    <w:rsid w:val="00247621"/>
    <w:rsid w:val="00247AB7"/>
    <w:rsid w:val="00253125"/>
    <w:rsid w:val="00254CA9"/>
    <w:rsid w:val="00254DFD"/>
    <w:rsid w:val="0026239C"/>
    <w:rsid w:val="00264555"/>
    <w:rsid w:val="002645B6"/>
    <w:rsid w:val="00264EA5"/>
    <w:rsid w:val="00266F94"/>
    <w:rsid w:val="0027418E"/>
    <w:rsid w:val="002767AA"/>
    <w:rsid w:val="002814F8"/>
    <w:rsid w:val="00281891"/>
    <w:rsid w:val="00282ED2"/>
    <w:rsid w:val="00285E97"/>
    <w:rsid w:val="002907FA"/>
    <w:rsid w:val="00290A9D"/>
    <w:rsid w:val="00290DA3"/>
    <w:rsid w:val="002924A2"/>
    <w:rsid w:val="002928F8"/>
    <w:rsid w:val="00295727"/>
    <w:rsid w:val="00297816"/>
    <w:rsid w:val="002A065A"/>
    <w:rsid w:val="002A0FF0"/>
    <w:rsid w:val="002A1CB5"/>
    <w:rsid w:val="002A34A3"/>
    <w:rsid w:val="002A3A19"/>
    <w:rsid w:val="002A5117"/>
    <w:rsid w:val="002A5279"/>
    <w:rsid w:val="002B6AA3"/>
    <w:rsid w:val="002B71D4"/>
    <w:rsid w:val="002B7668"/>
    <w:rsid w:val="002C0DCF"/>
    <w:rsid w:val="002D0461"/>
    <w:rsid w:val="002D1867"/>
    <w:rsid w:val="002D724B"/>
    <w:rsid w:val="002E1FC7"/>
    <w:rsid w:val="002E32D3"/>
    <w:rsid w:val="002E3F40"/>
    <w:rsid w:val="002E4D38"/>
    <w:rsid w:val="002E6355"/>
    <w:rsid w:val="002F2009"/>
    <w:rsid w:val="002F3554"/>
    <w:rsid w:val="002F47AF"/>
    <w:rsid w:val="00300924"/>
    <w:rsid w:val="003025A8"/>
    <w:rsid w:val="00306345"/>
    <w:rsid w:val="00306F09"/>
    <w:rsid w:val="00310603"/>
    <w:rsid w:val="003129B6"/>
    <w:rsid w:val="00313D08"/>
    <w:rsid w:val="003149FA"/>
    <w:rsid w:val="00314D6E"/>
    <w:rsid w:val="00315264"/>
    <w:rsid w:val="00320E57"/>
    <w:rsid w:val="003221EF"/>
    <w:rsid w:val="00322C23"/>
    <w:rsid w:val="003248A2"/>
    <w:rsid w:val="00324A6D"/>
    <w:rsid w:val="00325425"/>
    <w:rsid w:val="0032589A"/>
    <w:rsid w:val="003306DD"/>
    <w:rsid w:val="00330C6C"/>
    <w:rsid w:val="003312F4"/>
    <w:rsid w:val="00331959"/>
    <w:rsid w:val="00334BA5"/>
    <w:rsid w:val="00335F4B"/>
    <w:rsid w:val="00336FAF"/>
    <w:rsid w:val="0034127D"/>
    <w:rsid w:val="00341FB2"/>
    <w:rsid w:val="00346BC4"/>
    <w:rsid w:val="00350D0D"/>
    <w:rsid w:val="00351057"/>
    <w:rsid w:val="00352220"/>
    <w:rsid w:val="0035477B"/>
    <w:rsid w:val="00355C4C"/>
    <w:rsid w:val="003604AA"/>
    <w:rsid w:val="00362F08"/>
    <w:rsid w:val="00364AD2"/>
    <w:rsid w:val="003651A6"/>
    <w:rsid w:val="00365358"/>
    <w:rsid w:val="00367DF1"/>
    <w:rsid w:val="003705AC"/>
    <w:rsid w:val="00371481"/>
    <w:rsid w:val="0037295D"/>
    <w:rsid w:val="00372BEC"/>
    <w:rsid w:val="00376814"/>
    <w:rsid w:val="00385DE1"/>
    <w:rsid w:val="00386F82"/>
    <w:rsid w:val="003909DE"/>
    <w:rsid w:val="00392385"/>
    <w:rsid w:val="0039300A"/>
    <w:rsid w:val="003946D4"/>
    <w:rsid w:val="003956D6"/>
    <w:rsid w:val="00396053"/>
    <w:rsid w:val="00397B7E"/>
    <w:rsid w:val="003A0F02"/>
    <w:rsid w:val="003A2580"/>
    <w:rsid w:val="003A2BF5"/>
    <w:rsid w:val="003A4578"/>
    <w:rsid w:val="003A4F6C"/>
    <w:rsid w:val="003B30F3"/>
    <w:rsid w:val="003B6A5A"/>
    <w:rsid w:val="003B6D48"/>
    <w:rsid w:val="003C0C1E"/>
    <w:rsid w:val="003C10CA"/>
    <w:rsid w:val="003C3E07"/>
    <w:rsid w:val="003C527B"/>
    <w:rsid w:val="003D01F8"/>
    <w:rsid w:val="003D0BF6"/>
    <w:rsid w:val="003D116C"/>
    <w:rsid w:val="003D263E"/>
    <w:rsid w:val="003D2D85"/>
    <w:rsid w:val="003D6072"/>
    <w:rsid w:val="003D6E27"/>
    <w:rsid w:val="003D7A72"/>
    <w:rsid w:val="003D7D9F"/>
    <w:rsid w:val="003E318D"/>
    <w:rsid w:val="003E4086"/>
    <w:rsid w:val="003E4404"/>
    <w:rsid w:val="003F5FDC"/>
    <w:rsid w:val="00401EDD"/>
    <w:rsid w:val="0040501C"/>
    <w:rsid w:val="00406F30"/>
    <w:rsid w:val="00407DCE"/>
    <w:rsid w:val="00410769"/>
    <w:rsid w:val="00412567"/>
    <w:rsid w:val="00413CCD"/>
    <w:rsid w:val="004172D1"/>
    <w:rsid w:val="004172D6"/>
    <w:rsid w:val="00421B3A"/>
    <w:rsid w:val="00422C16"/>
    <w:rsid w:val="00424530"/>
    <w:rsid w:val="0043577F"/>
    <w:rsid w:val="0043584F"/>
    <w:rsid w:val="0043675A"/>
    <w:rsid w:val="004372C4"/>
    <w:rsid w:val="00440D98"/>
    <w:rsid w:val="00441F85"/>
    <w:rsid w:val="004421C3"/>
    <w:rsid w:val="00447BBE"/>
    <w:rsid w:val="00452468"/>
    <w:rsid w:val="0045301B"/>
    <w:rsid w:val="00453020"/>
    <w:rsid w:val="004541F3"/>
    <w:rsid w:val="00455CD2"/>
    <w:rsid w:val="00455E0E"/>
    <w:rsid w:val="00455F54"/>
    <w:rsid w:val="004657A7"/>
    <w:rsid w:val="00466C09"/>
    <w:rsid w:val="004719B4"/>
    <w:rsid w:val="00471CA1"/>
    <w:rsid w:val="00471CCE"/>
    <w:rsid w:val="004730A0"/>
    <w:rsid w:val="0047368B"/>
    <w:rsid w:val="00475770"/>
    <w:rsid w:val="004806FA"/>
    <w:rsid w:val="00480FBC"/>
    <w:rsid w:val="00481540"/>
    <w:rsid w:val="00481AC4"/>
    <w:rsid w:val="004825E8"/>
    <w:rsid w:val="00482FB6"/>
    <w:rsid w:val="004871EA"/>
    <w:rsid w:val="0048795F"/>
    <w:rsid w:val="004955E7"/>
    <w:rsid w:val="0049781D"/>
    <w:rsid w:val="00497CEA"/>
    <w:rsid w:val="004A2984"/>
    <w:rsid w:val="004A5B8D"/>
    <w:rsid w:val="004A5D8B"/>
    <w:rsid w:val="004A7656"/>
    <w:rsid w:val="004B1382"/>
    <w:rsid w:val="004B2FC0"/>
    <w:rsid w:val="004B3067"/>
    <w:rsid w:val="004B7784"/>
    <w:rsid w:val="004C1B19"/>
    <w:rsid w:val="004C320A"/>
    <w:rsid w:val="004C6392"/>
    <w:rsid w:val="004C7EBE"/>
    <w:rsid w:val="004D09C0"/>
    <w:rsid w:val="004D3523"/>
    <w:rsid w:val="004D509A"/>
    <w:rsid w:val="004D7668"/>
    <w:rsid w:val="004E0D97"/>
    <w:rsid w:val="004E3901"/>
    <w:rsid w:val="004E405B"/>
    <w:rsid w:val="004E5F86"/>
    <w:rsid w:val="004E6DCC"/>
    <w:rsid w:val="004F0AB6"/>
    <w:rsid w:val="004F2D8A"/>
    <w:rsid w:val="004F63DB"/>
    <w:rsid w:val="004F7817"/>
    <w:rsid w:val="0050071E"/>
    <w:rsid w:val="00501097"/>
    <w:rsid w:val="00503590"/>
    <w:rsid w:val="00505C64"/>
    <w:rsid w:val="005105EF"/>
    <w:rsid w:val="00510C0E"/>
    <w:rsid w:val="00516561"/>
    <w:rsid w:val="005177B5"/>
    <w:rsid w:val="005202C1"/>
    <w:rsid w:val="00522875"/>
    <w:rsid w:val="00522E99"/>
    <w:rsid w:val="00523895"/>
    <w:rsid w:val="0053035C"/>
    <w:rsid w:val="00531879"/>
    <w:rsid w:val="00537D0F"/>
    <w:rsid w:val="005410AB"/>
    <w:rsid w:val="00542965"/>
    <w:rsid w:val="0054335F"/>
    <w:rsid w:val="00543A44"/>
    <w:rsid w:val="005445E6"/>
    <w:rsid w:val="00547B2E"/>
    <w:rsid w:val="00547EE4"/>
    <w:rsid w:val="00552ECB"/>
    <w:rsid w:val="00557BAA"/>
    <w:rsid w:val="00560736"/>
    <w:rsid w:val="00562A39"/>
    <w:rsid w:val="00563C8D"/>
    <w:rsid w:val="00565691"/>
    <w:rsid w:val="00565C4E"/>
    <w:rsid w:val="005673AC"/>
    <w:rsid w:val="00571ACB"/>
    <w:rsid w:val="00571BB6"/>
    <w:rsid w:val="005723E4"/>
    <w:rsid w:val="0057596B"/>
    <w:rsid w:val="00575BA7"/>
    <w:rsid w:val="00582AA7"/>
    <w:rsid w:val="0058477C"/>
    <w:rsid w:val="00584E53"/>
    <w:rsid w:val="00584E70"/>
    <w:rsid w:val="0058568F"/>
    <w:rsid w:val="00585921"/>
    <w:rsid w:val="0059058A"/>
    <w:rsid w:val="00591101"/>
    <w:rsid w:val="00593D83"/>
    <w:rsid w:val="00595DC1"/>
    <w:rsid w:val="00597146"/>
    <w:rsid w:val="00597386"/>
    <w:rsid w:val="00597933"/>
    <w:rsid w:val="005A06E1"/>
    <w:rsid w:val="005A4EA0"/>
    <w:rsid w:val="005A6911"/>
    <w:rsid w:val="005A70AE"/>
    <w:rsid w:val="005A75A5"/>
    <w:rsid w:val="005B1FEA"/>
    <w:rsid w:val="005B31FE"/>
    <w:rsid w:val="005B33E7"/>
    <w:rsid w:val="005B465F"/>
    <w:rsid w:val="005B4A4C"/>
    <w:rsid w:val="005B5C09"/>
    <w:rsid w:val="005B627B"/>
    <w:rsid w:val="005B765F"/>
    <w:rsid w:val="005B7D63"/>
    <w:rsid w:val="005C1F5E"/>
    <w:rsid w:val="005C2EE0"/>
    <w:rsid w:val="005C3676"/>
    <w:rsid w:val="005C3DFF"/>
    <w:rsid w:val="005C4469"/>
    <w:rsid w:val="005C498B"/>
    <w:rsid w:val="005C590A"/>
    <w:rsid w:val="005C7641"/>
    <w:rsid w:val="005D0DDE"/>
    <w:rsid w:val="005D18F8"/>
    <w:rsid w:val="005D3988"/>
    <w:rsid w:val="005D4005"/>
    <w:rsid w:val="005D40D1"/>
    <w:rsid w:val="005D5C25"/>
    <w:rsid w:val="005D7065"/>
    <w:rsid w:val="005D7532"/>
    <w:rsid w:val="005E59A5"/>
    <w:rsid w:val="005E79AA"/>
    <w:rsid w:val="005F10A2"/>
    <w:rsid w:val="005F391D"/>
    <w:rsid w:val="006017FA"/>
    <w:rsid w:val="006037CC"/>
    <w:rsid w:val="006059B2"/>
    <w:rsid w:val="00610305"/>
    <w:rsid w:val="00610419"/>
    <w:rsid w:val="00611DDB"/>
    <w:rsid w:val="00612C7B"/>
    <w:rsid w:val="00615CA4"/>
    <w:rsid w:val="0061775D"/>
    <w:rsid w:val="00620307"/>
    <w:rsid w:val="006209BD"/>
    <w:rsid w:val="006224C1"/>
    <w:rsid w:val="00622726"/>
    <w:rsid w:val="00622FCD"/>
    <w:rsid w:val="00623AB1"/>
    <w:rsid w:val="006269B7"/>
    <w:rsid w:val="00626D85"/>
    <w:rsid w:val="006307A5"/>
    <w:rsid w:val="00630EA1"/>
    <w:rsid w:val="00630FE1"/>
    <w:rsid w:val="00633625"/>
    <w:rsid w:val="00633DC7"/>
    <w:rsid w:val="00636E1D"/>
    <w:rsid w:val="006404D8"/>
    <w:rsid w:val="006405E3"/>
    <w:rsid w:val="00640F37"/>
    <w:rsid w:val="0064224B"/>
    <w:rsid w:val="00642D3B"/>
    <w:rsid w:val="00644B02"/>
    <w:rsid w:val="006453C4"/>
    <w:rsid w:val="00645CF4"/>
    <w:rsid w:val="00646735"/>
    <w:rsid w:val="006475ED"/>
    <w:rsid w:val="00650183"/>
    <w:rsid w:val="006501CC"/>
    <w:rsid w:val="00653FD1"/>
    <w:rsid w:val="00655112"/>
    <w:rsid w:val="0065594A"/>
    <w:rsid w:val="0066112E"/>
    <w:rsid w:val="00662B01"/>
    <w:rsid w:val="00662BA0"/>
    <w:rsid w:val="00662E70"/>
    <w:rsid w:val="00663B0A"/>
    <w:rsid w:val="006641F8"/>
    <w:rsid w:val="006671A5"/>
    <w:rsid w:val="00670254"/>
    <w:rsid w:val="0067299C"/>
    <w:rsid w:val="0067351E"/>
    <w:rsid w:val="0067520E"/>
    <w:rsid w:val="00676354"/>
    <w:rsid w:val="006776E9"/>
    <w:rsid w:val="00680E3F"/>
    <w:rsid w:val="0068246F"/>
    <w:rsid w:val="00692662"/>
    <w:rsid w:val="006973AC"/>
    <w:rsid w:val="00697737"/>
    <w:rsid w:val="006A0D6A"/>
    <w:rsid w:val="006A2D78"/>
    <w:rsid w:val="006A383B"/>
    <w:rsid w:val="006A52ED"/>
    <w:rsid w:val="006B3B29"/>
    <w:rsid w:val="006B4E80"/>
    <w:rsid w:val="006B7D83"/>
    <w:rsid w:val="006C023A"/>
    <w:rsid w:val="006C186D"/>
    <w:rsid w:val="006C4574"/>
    <w:rsid w:val="006C6694"/>
    <w:rsid w:val="006D1E95"/>
    <w:rsid w:val="006D2DAD"/>
    <w:rsid w:val="006D3144"/>
    <w:rsid w:val="006D34EB"/>
    <w:rsid w:val="006D4640"/>
    <w:rsid w:val="006D7393"/>
    <w:rsid w:val="006E05F4"/>
    <w:rsid w:val="006E55E1"/>
    <w:rsid w:val="006E5727"/>
    <w:rsid w:val="006E6D34"/>
    <w:rsid w:val="006E6D4C"/>
    <w:rsid w:val="006F2E13"/>
    <w:rsid w:val="006F3256"/>
    <w:rsid w:val="006F445D"/>
    <w:rsid w:val="006F72C6"/>
    <w:rsid w:val="006F735A"/>
    <w:rsid w:val="007004F7"/>
    <w:rsid w:val="007019F9"/>
    <w:rsid w:val="00702377"/>
    <w:rsid w:val="00703E4E"/>
    <w:rsid w:val="00705FB0"/>
    <w:rsid w:val="007071C6"/>
    <w:rsid w:val="0070732E"/>
    <w:rsid w:val="00711E1C"/>
    <w:rsid w:val="00712D2C"/>
    <w:rsid w:val="00713C09"/>
    <w:rsid w:val="00713E33"/>
    <w:rsid w:val="0071460A"/>
    <w:rsid w:val="0071592D"/>
    <w:rsid w:val="00717DB0"/>
    <w:rsid w:val="00721FBA"/>
    <w:rsid w:val="00725A92"/>
    <w:rsid w:val="00730352"/>
    <w:rsid w:val="00733A42"/>
    <w:rsid w:val="00736334"/>
    <w:rsid w:val="0073688E"/>
    <w:rsid w:val="00742839"/>
    <w:rsid w:val="0075022F"/>
    <w:rsid w:val="00752710"/>
    <w:rsid w:val="00753C69"/>
    <w:rsid w:val="00755505"/>
    <w:rsid w:val="007600E9"/>
    <w:rsid w:val="007604B4"/>
    <w:rsid w:val="0076316D"/>
    <w:rsid w:val="00766271"/>
    <w:rsid w:val="00772993"/>
    <w:rsid w:val="00774940"/>
    <w:rsid w:val="00776697"/>
    <w:rsid w:val="007815FB"/>
    <w:rsid w:val="00781D80"/>
    <w:rsid w:val="007857A2"/>
    <w:rsid w:val="00790A5B"/>
    <w:rsid w:val="00791122"/>
    <w:rsid w:val="00791DE5"/>
    <w:rsid w:val="00794ADC"/>
    <w:rsid w:val="00794EAB"/>
    <w:rsid w:val="007A0054"/>
    <w:rsid w:val="007A2A87"/>
    <w:rsid w:val="007A38F2"/>
    <w:rsid w:val="007A394A"/>
    <w:rsid w:val="007A44A6"/>
    <w:rsid w:val="007A5353"/>
    <w:rsid w:val="007A54D3"/>
    <w:rsid w:val="007A7324"/>
    <w:rsid w:val="007B177F"/>
    <w:rsid w:val="007B3D63"/>
    <w:rsid w:val="007B69D6"/>
    <w:rsid w:val="007C357B"/>
    <w:rsid w:val="007C55D0"/>
    <w:rsid w:val="007D1315"/>
    <w:rsid w:val="007D7196"/>
    <w:rsid w:val="007E12BA"/>
    <w:rsid w:val="007E17FF"/>
    <w:rsid w:val="007E25B9"/>
    <w:rsid w:val="007E2DD6"/>
    <w:rsid w:val="007E57CE"/>
    <w:rsid w:val="007E71F7"/>
    <w:rsid w:val="007F2439"/>
    <w:rsid w:val="007F3548"/>
    <w:rsid w:val="007F501F"/>
    <w:rsid w:val="007F5A93"/>
    <w:rsid w:val="007F6136"/>
    <w:rsid w:val="007F7EED"/>
    <w:rsid w:val="00800B73"/>
    <w:rsid w:val="008028B7"/>
    <w:rsid w:val="00806FEC"/>
    <w:rsid w:val="00807127"/>
    <w:rsid w:val="0080752F"/>
    <w:rsid w:val="008111EF"/>
    <w:rsid w:val="008123E1"/>
    <w:rsid w:val="00812B3B"/>
    <w:rsid w:val="00813BAC"/>
    <w:rsid w:val="00813CD4"/>
    <w:rsid w:val="008149F0"/>
    <w:rsid w:val="0081560B"/>
    <w:rsid w:val="00815C25"/>
    <w:rsid w:val="0082003D"/>
    <w:rsid w:val="00821B9D"/>
    <w:rsid w:val="00823FF9"/>
    <w:rsid w:val="00825520"/>
    <w:rsid w:val="00825672"/>
    <w:rsid w:val="00832DE5"/>
    <w:rsid w:val="008348B0"/>
    <w:rsid w:val="00834CE6"/>
    <w:rsid w:val="00840915"/>
    <w:rsid w:val="0084468C"/>
    <w:rsid w:val="00844EE2"/>
    <w:rsid w:val="0085041F"/>
    <w:rsid w:val="00851DC4"/>
    <w:rsid w:val="008521E0"/>
    <w:rsid w:val="008552A0"/>
    <w:rsid w:val="008611DE"/>
    <w:rsid w:val="00862D23"/>
    <w:rsid w:val="0086363B"/>
    <w:rsid w:val="00863CFB"/>
    <w:rsid w:val="008640A2"/>
    <w:rsid w:val="00865492"/>
    <w:rsid w:val="00867CB4"/>
    <w:rsid w:val="008708AB"/>
    <w:rsid w:val="008717F1"/>
    <w:rsid w:val="00874ED5"/>
    <w:rsid w:val="00875BE3"/>
    <w:rsid w:val="00876CD5"/>
    <w:rsid w:val="008776CA"/>
    <w:rsid w:val="008810BC"/>
    <w:rsid w:val="008834C5"/>
    <w:rsid w:val="008871C6"/>
    <w:rsid w:val="008874AF"/>
    <w:rsid w:val="008907A6"/>
    <w:rsid w:val="00892F55"/>
    <w:rsid w:val="00895BF6"/>
    <w:rsid w:val="00897B68"/>
    <w:rsid w:val="008A02D3"/>
    <w:rsid w:val="008A0AF3"/>
    <w:rsid w:val="008A67AD"/>
    <w:rsid w:val="008A71DF"/>
    <w:rsid w:val="008A72C8"/>
    <w:rsid w:val="008B0845"/>
    <w:rsid w:val="008B1AF1"/>
    <w:rsid w:val="008B237A"/>
    <w:rsid w:val="008B63BC"/>
    <w:rsid w:val="008B671A"/>
    <w:rsid w:val="008B78D5"/>
    <w:rsid w:val="008C1523"/>
    <w:rsid w:val="008C1A94"/>
    <w:rsid w:val="008C2161"/>
    <w:rsid w:val="008C2E99"/>
    <w:rsid w:val="008C2EEB"/>
    <w:rsid w:val="008C5B82"/>
    <w:rsid w:val="008C7F33"/>
    <w:rsid w:val="008D5FF2"/>
    <w:rsid w:val="008E3015"/>
    <w:rsid w:val="008E3ADF"/>
    <w:rsid w:val="008E71C3"/>
    <w:rsid w:val="008F1FDA"/>
    <w:rsid w:val="008F3908"/>
    <w:rsid w:val="008F435C"/>
    <w:rsid w:val="008F63C9"/>
    <w:rsid w:val="008F66E2"/>
    <w:rsid w:val="009014B6"/>
    <w:rsid w:val="009026E7"/>
    <w:rsid w:val="00912882"/>
    <w:rsid w:val="00912895"/>
    <w:rsid w:val="00914DAA"/>
    <w:rsid w:val="00915305"/>
    <w:rsid w:val="009168E0"/>
    <w:rsid w:val="009210DE"/>
    <w:rsid w:val="00922937"/>
    <w:rsid w:val="0092311E"/>
    <w:rsid w:val="0092457E"/>
    <w:rsid w:val="00927883"/>
    <w:rsid w:val="00933758"/>
    <w:rsid w:val="009342D4"/>
    <w:rsid w:val="009358C9"/>
    <w:rsid w:val="00936956"/>
    <w:rsid w:val="00940030"/>
    <w:rsid w:val="00940D58"/>
    <w:rsid w:val="00941E13"/>
    <w:rsid w:val="009425B2"/>
    <w:rsid w:val="00943B87"/>
    <w:rsid w:val="00943C57"/>
    <w:rsid w:val="00945E98"/>
    <w:rsid w:val="00950374"/>
    <w:rsid w:val="009531CB"/>
    <w:rsid w:val="00956949"/>
    <w:rsid w:val="00960683"/>
    <w:rsid w:val="0096160F"/>
    <w:rsid w:val="00962389"/>
    <w:rsid w:val="009632A3"/>
    <w:rsid w:val="00965B80"/>
    <w:rsid w:val="00970EEF"/>
    <w:rsid w:val="0097126E"/>
    <w:rsid w:val="009776BD"/>
    <w:rsid w:val="009902A6"/>
    <w:rsid w:val="00993B1E"/>
    <w:rsid w:val="00994534"/>
    <w:rsid w:val="0099485B"/>
    <w:rsid w:val="00995853"/>
    <w:rsid w:val="00996BB3"/>
    <w:rsid w:val="009A312F"/>
    <w:rsid w:val="009A3433"/>
    <w:rsid w:val="009A4D08"/>
    <w:rsid w:val="009A532A"/>
    <w:rsid w:val="009A57FF"/>
    <w:rsid w:val="009A62CD"/>
    <w:rsid w:val="009B2422"/>
    <w:rsid w:val="009B2AC4"/>
    <w:rsid w:val="009B4CEE"/>
    <w:rsid w:val="009B64D4"/>
    <w:rsid w:val="009B7538"/>
    <w:rsid w:val="009B7766"/>
    <w:rsid w:val="009C0507"/>
    <w:rsid w:val="009C1086"/>
    <w:rsid w:val="009C121A"/>
    <w:rsid w:val="009C12C9"/>
    <w:rsid w:val="009C13C2"/>
    <w:rsid w:val="009C1CE7"/>
    <w:rsid w:val="009C27F8"/>
    <w:rsid w:val="009C2D83"/>
    <w:rsid w:val="009C4B32"/>
    <w:rsid w:val="009D05E0"/>
    <w:rsid w:val="009D16D2"/>
    <w:rsid w:val="009D2279"/>
    <w:rsid w:val="009D2B00"/>
    <w:rsid w:val="009D55F7"/>
    <w:rsid w:val="009E2A50"/>
    <w:rsid w:val="009E38A2"/>
    <w:rsid w:val="009E4107"/>
    <w:rsid w:val="009E56B1"/>
    <w:rsid w:val="009E7102"/>
    <w:rsid w:val="009E76BE"/>
    <w:rsid w:val="009E79BF"/>
    <w:rsid w:val="009F12DA"/>
    <w:rsid w:val="009F3FE6"/>
    <w:rsid w:val="009F41C4"/>
    <w:rsid w:val="009F53AF"/>
    <w:rsid w:val="00A00793"/>
    <w:rsid w:val="00A00E34"/>
    <w:rsid w:val="00A062C7"/>
    <w:rsid w:val="00A06B05"/>
    <w:rsid w:val="00A10257"/>
    <w:rsid w:val="00A14332"/>
    <w:rsid w:val="00A14A6B"/>
    <w:rsid w:val="00A150DD"/>
    <w:rsid w:val="00A205B4"/>
    <w:rsid w:val="00A20F19"/>
    <w:rsid w:val="00A2301F"/>
    <w:rsid w:val="00A23608"/>
    <w:rsid w:val="00A26C98"/>
    <w:rsid w:val="00A27B9D"/>
    <w:rsid w:val="00A27D88"/>
    <w:rsid w:val="00A304D0"/>
    <w:rsid w:val="00A347B2"/>
    <w:rsid w:val="00A36C1C"/>
    <w:rsid w:val="00A3785C"/>
    <w:rsid w:val="00A37ABE"/>
    <w:rsid w:val="00A37FED"/>
    <w:rsid w:val="00A42159"/>
    <w:rsid w:val="00A45BEA"/>
    <w:rsid w:val="00A4607D"/>
    <w:rsid w:val="00A47BCD"/>
    <w:rsid w:val="00A52987"/>
    <w:rsid w:val="00A53EC9"/>
    <w:rsid w:val="00A63B7B"/>
    <w:rsid w:val="00A64297"/>
    <w:rsid w:val="00A65948"/>
    <w:rsid w:val="00A70777"/>
    <w:rsid w:val="00A70974"/>
    <w:rsid w:val="00A725D6"/>
    <w:rsid w:val="00A72AEE"/>
    <w:rsid w:val="00A72C7D"/>
    <w:rsid w:val="00A73E7C"/>
    <w:rsid w:val="00A76095"/>
    <w:rsid w:val="00A81586"/>
    <w:rsid w:val="00A8548B"/>
    <w:rsid w:val="00A85B4D"/>
    <w:rsid w:val="00A8715E"/>
    <w:rsid w:val="00A9023F"/>
    <w:rsid w:val="00A9215E"/>
    <w:rsid w:val="00A92440"/>
    <w:rsid w:val="00A9426B"/>
    <w:rsid w:val="00A95705"/>
    <w:rsid w:val="00A95806"/>
    <w:rsid w:val="00A96376"/>
    <w:rsid w:val="00A97842"/>
    <w:rsid w:val="00AA0676"/>
    <w:rsid w:val="00AA38EB"/>
    <w:rsid w:val="00AA4A01"/>
    <w:rsid w:val="00AA66FF"/>
    <w:rsid w:val="00AA7DCF"/>
    <w:rsid w:val="00AB104D"/>
    <w:rsid w:val="00AB149D"/>
    <w:rsid w:val="00AB197D"/>
    <w:rsid w:val="00AB2476"/>
    <w:rsid w:val="00AB4C8F"/>
    <w:rsid w:val="00AB64A8"/>
    <w:rsid w:val="00AB77FD"/>
    <w:rsid w:val="00AB7A3C"/>
    <w:rsid w:val="00AB7C15"/>
    <w:rsid w:val="00AC1927"/>
    <w:rsid w:val="00AD0C73"/>
    <w:rsid w:val="00AE1A2D"/>
    <w:rsid w:val="00AE5347"/>
    <w:rsid w:val="00AE55F6"/>
    <w:rsid w:val="00AE56DB"/>
    <w:rsid w:val="00AE5775"/>
    <w:rsid w:val="00AE5F3C"/>
    <w:rsid w:val="00AF2AB2"/>
    <w:rsid w:val="00AF5581"/>
    <w:rsid w:val="00AF7442"/>
    <w:rsid w:val="00B00CC4"/>
    <w:rsid w:val="00B01098"/>
    <w:rsid w:val="00B012FF"/>
    <w:rsid w:val="00B03E49"/>
    <w:rsid w:val="00B07EB6"/>
    <w:rsid w:val="00B131DC"/>
    <w:rsid w:val="00B13C87"/>
    <w:rsid w:val="00B1710D"/>
    <w:rsid w:val="00B23E9B"/>
    <w:rsid w:val="00B24DB1"/>
    <w:rsid w:val="00B301F0"/>
    <w:rsid w:val="00B3120E"/>
    <w:rsid w:val="00B32510"/>
    <w:rsid w:val="00B3293A"/>
    <w:rsid w:val="00B3595C"/>
    <w:rsid w:val="00B36D5E"/>
    <w:rsid w:val="00B375DF"/>
    <w:rsid w:val="00B409EF"/>
    <w:rsid w:val="00B43E07"/>
    <w:rsid w:val="00B4462F"/>
    <w:rsid w:val="00B45872"/>
    <w:rsid w:val="00B526A8"/>
    <w:rsid w:val="00B55FAB"/>
    <w:rsid w:val="00B611F1"/>
    <w:rsid w:val="00B61E83"/>
    <w:rsid w:val="00B62D70"/>
    <w:rsid w:val="00B62DC9"/>
    <w:rsid w:val="00B654C4"/>
    <w:rsid w:val="00B6669B"/>
    <w:rsid w:val="00B6734E"/>
    <w:rsid w:val="00B7091D"/>
    <w:rsid w:val="00B7360D"/>
    <w:rsid w:val="00B75164"/>
    <w:rsid w:val="00B759B1"/>
    <w:rsid w:val="00B76198"/>
    <w:rsid w:val="00B7667F"/>
    <w:rsid w:val="00B767C1"/>
    <w:rsid w:val="00B803BA"/>
    <w:rsid w:val="00B80C00"/>
    <w:rsid w:val="00B80F7C"/>
    <w:rsid w:val="00B81CBB"/>
    <w:rsid w:val="00B836E8"/>
    <w:rsid w:val="00B83D9D"/>
    <w:rsid w:val="00B84529"/>
    <w:rsid w:val="00B85E10"/>
    <w:rsid w:val="00B907A2"/>
    <w:rsid w:val="00B96861"/>
    <w:rsid w:val="00B96F7F"/>
    <w:rsid w:val="00BA006A"/>
    <w:rsid w:val="00BA04C8"/>
    <w:rsid w:val="00BA315F"/>
    <w:rsid w:val="00BA3E3D"/>
    <w:rsid w:val="00BA414B"/>
    <w:rsid w:val="00BB093D"/>
    <w:rsid w:val="00BB1195"/>
    <w:rsid w:val="00BB2111"/>
    <w:rsid w:val="00BB21F0"/>
    <w:rsid w:val="00BB35EA"/>
    <w:rsid w:val="00BB3A7F"/>
    <w:rsid w:val="00BB516B"/>
    <w:rsid w:val="00BC150E"/>
    <w:rsid w:val="00BC21D5"/>
    <w:rsid w:val="00BC59E5"/>
    <w:rsid w:val="00BC7FD2"/>
    <w:rsid w:val="00BD05E6"/>
    <w:rsid w:val="00BD45CF"/>
    <w:rsid w:val="00BD6570"/>
    <w:rsid w:val="00BE06F2"/>
    <w:rsid w:val="00BE1110"/>
    <w:rsid w:val="00BE5F2B"/>
    <w:rsid w:val="00BF10F6"/>
    <w:rsid w:val="00BF16DB"/>
    <w:rsid w:val="00BF1E4B"/>
    <w:rsid w:val="00BF2D59"/>
    <w:rsid w:val="00BF6482"/>
    <w:rsid w:val="00BF6D7C"/>
    <w:rsid w:val="00C03AE7"/>
    <w:rsid w:val="00C044C1"/>
    <w:rsid w:val="00C05D9D"/>
    <w:rsid w:val="00C07CCC"/>
    <w:rsid w:val="00C12FA8"/>
    <w:rsid w:val="00C13DEE"/>
    <w:rsid w:val="00C15414"/>
    <w:rsid w:val="00C1757D"/>
    <w:rsid w:val="00C20764"/>
    <w:rsid w:val="00C261D1"/>
    <w:rsid w:val="00C2638F"/>
    <w:rsid w:val="00C316C6"/>
    <w:rsid w:val="00C31F21"/>
    <w:rsid w:val="00C35592"/>
    <w:rsid w:val="00C356AF"/>
    <w:rsid w:val="00C41927"/>
    <w:rsid w:val="00C439D6"/>
    <w:rsid w:val="00C43FD9"/>
    <w:rsid w:val="00C44EB2"/>
    <w:rsid w:val="00C4776A"/>
    <w:rsid w:val="00C47E8F"/>
    <w:rsid w:val="00C54CC8"/>
    <w:rsid w:val="00C54D12"/>
    <w:rsid w:val="00C57BC4"/>
    <w:rsid w:val="00C60915"/>
    <w:rsid w:val="00C62E84"/>
    <w:rsid w:val="00C64457"/>
    <w:rsid w:val="00C64E27"/>
    <w:rsid w:val="00C7138A"/>
    <w:rsid w:val="00C7417A"/>
    <w:rsid w:val="00C74F59"/>
    <w:rsid w:val="00C767FF"/>
    <w:rsid w:val="00C81E10"/>
    <w:rsid w:val="00C85374"/>
    <w:rsid w:val="00C85A9B"/>
    <w:rsid w:val="00C8603E"/>
    <w:rsid w:val="00C91877"/>
    <w:rsid w:val="00C924F1"/>
    <w:rsid w:val="00C93804"/>
    <w:rsid w:val="00C95BAB"/>
    <w:rsid w:val="00C964B8"/>
    <w:rsid w:val="00C97011"/>
    <w:rsid w:val="00CA28F2"/>
    <w:rsid w:val="00CA76A0"/>
    <w:rsid w:val="00CB08B2"/>
    <w:rsid w:val="00CB1021"/>
    <w:rsid w:val="00CB3841"/>
    <w:rsid w:val="00CB3B6B"/>
    <w:rsid w:val="00CC25E6"/>
    <w:rsid w:val="00CC38AC"/>
    <w:rsid w:val="00CC3E46"/>
    <w:rsid w:val="00CC4210"/>
    <w:rsid w:val="00CC5D73"/>
    <w:rsid w:val="00CC7273"/>
    <w:rsid w:val="00CC7310"/>
    <w:rsid w:val="00CC7B25"/>
    <w:rsid w:val="00CD4AF7"/>
    <w:rsid w:val="00CD4C1C"/>
    <w:rsid w:val="00CD5473"/>
    <w:rsid w:val="00CD6024"/>
    <w:rsid w:val="00CD738B"/>
    <w:rsid w:val="00CD7C1C"/>
    <w:rsid w:val="00CD7CA4"/>
    <w:rsid w:val="00CE0D4E"/>
    <w:rsid w:val="00CE3517"/>
    <w:rsid w:val="00CE3C0C"/>
    <w:rsid w:val="00CE61DA"/>
    <w:rsid w:val="00CE78A2"/>
    <w:rsid w:val="00CE79AB"/>
    <w:rsid w:val="00CF0B8E"/>
    <w:rsid w:val="00CF21D0"/>
    <w:rsid w:val="00CF449E"/>
    <w:rsid w:val="00CF5357"/>
    <w:rsid w:val="00D01670"/>
    <w:rsid w:val="00D01CB8"/>
    <w:rsid w:val="00D048AC"/>
    <w:rsid w:val="00D05C26"/>
    <w:rsid w:val="00D062AC"/>
    <w:rsid w:val="00D10C48"/>
    <w:rsid w:val="00D120EF"/>
    <w:rsid w:val="00D152E7"/>
    <w:rsid w:val="00D156A3"/>
    <w:rsid w:val="00D20381"/>
    <w:rsid w:val="00D218D0"/>
    <w:rsid w:val="00D21F91"/>
    <w:rsid w:val="00D30EDF"/>
    <w:rsid w:val="00D33027"/>
    <w:rsid w:val="00D33D65"/>
    <w:rsid w:val="00D34065"/>
    <w:rsid w:val="00D36B9B"/>
    <w:rsid w:val="00D36DC6"/>
    <w:rsid w:val="00D3796C"/>
    <w:rsid w:val="00D413AD"/>
    <w:rsid w:val="00D42C57"/>
    <w:rsid w:val="00D44360"/>
    <w:rsid w:val="00D45306"/>
    <w:rsid w:val="00D45878"/>
    <w:rsid w:val="00D46178"/>
    <w:rsid w:val="00D50981"/>
    <w:rsid w:val="00D53948"/>
    <w:rsid w:val="00D5416C"/>
    <w:rsid w:val="00D549B9"/>
    <w:rsid w:val="00D557EE"/>
    <w:rsid w:val="00D56058"/>
    <w:rsid w:val="00D56CD5"/>
    <w:rsid w:val="00D571F6"/>
    <w:rsid w:val="00D578FF"/>
    <w:rsid w:val="00D57F4B"/>
    <w:rsid w:val="00D61179"/>
    <w:rsid w:val="00D62224"/>
    <w:rsid w:val="00D63D0E"/>
    <w:rsid w:val="00D656AD"/>
    <w:rsid w:val="00D67A13"/>
    <w:rsid w:val="00D70EE2"/>
    <w:rsid w:val="00D73135"/>
    <w:rsid w:val="00D73E5E"/>
    <w:rsid w:val="00D76A01"/>
    <w:rsid w:val="00D76E91"/>
    <w:rsid w:val="00D77AA1"/>
    <w:rsid w:val="00D77E54"/>
    <w:rsid w:val="00D80264"/>
    <w:rsid w:val="00D819D9"/>
    <w:rsid w:val="00D830AD"/>
    <w:rsid w:val="00D831F2"/>
    <w:rsid w:val="00D849AA"/>
    <w:rsid w:val="00D85804"/>
    <w:rsid w:val="00D86434"/>
    <w:rsid w:val="00D872D1"/>
    <w:rsid w:val="00D9187B"/>
    <w:rsid w:val="00D93BA2"/>
    <w:rsid w:val="00D950BA"/>
    <w:rsid w:val="00DA5515"/>
    <w:rsid w:val="00DA6122"/>
    <w:rsid w:val="00DB3B95"/>
    <w:rsid w:val="00DB4809"/>
    <w:rsid w:val="00DB4BDE"/>
    <w:rsid w:val="00DB5E8F"/>
    <w:rsid w:val="00DB61B8"/>
    <w:rsid w:val="00DB733C"/>
    <w:rsid w:val="00DB779A"/>
    <w:rsid w:val="00DC012C"/>
    <w:rsid w:val="00DC3E99"/>
    <w:rsid w:val="00DC7C3E"/>
    <w:rsid w:val="00DD3FF2"/>
    <w:rsid w:val="00DD64EE"/>
    <w:rsid w:val="00DD7FA1"/>
    <w:rsid w:val="00DE0A1C"/>
    <w:rsid w:val="00DE30E0"/>
    <w:rsid w:val="00DE6BC1"/>
    <w:rsid w:val="00DE7C85"/>
    <w:rsid w:val="00DF04DA"/>
    <w:rsid w:val="00DF06E8"/>
    <w:rsid w:val="00DF6D5F"/>
    <w:rsid w:val="00DF724A"/>
    <w:rsid w:val="00DF735F"/>
    <w:rsid w:val="00E02765"/>
    <w:rsid w:val="00E033C3"/>
    <w:rsid w:val="00E038C3"/>
    <w:rsid w:val="00E06D47"/>
    <w:rsid w:val="00E07416"/>
    <w:rsid w:val="00E11C60"/>
    <w:rsid w:val="00E13544"/>
    <w:rsid w:val="00E1386E"/>
    <w:rsid w:val="00E14AA0"/>
    <w:rsid w:val="00E16F59"/>
    <w:rsid w:val="00E22BC2"/>
    <w:rsid w:val="00E22BCE"/>
    <w:rsid w:val="00E24AAF"/>
    <w:rsid w:val="00E258D8"/>
    <w:rsid w:val="00E30718"/>
    <w:rsid w:val="00E31391"/>
    <w:rsid w:val="00E3179D"/>
    <w:rsid w:val="00E326FF"/>
    <w:rsid w:val="00E3467E"/>
    <w:rsid w:val="00E34B8E"/>
    <w:rsid w:val="00E361B0"/>
    <w:rsid w:val="00E41563"/>
    <w:rsid w:val="00E415C9"/>
    <w:rsid w:val="00E46262"/>
    <w:rsid w:val="00E516B0"/>
    <w:rsid w:val="00E51BB1"/>
    <w:rsid w:val="00E54BA8"/>
    <w:rsid w:val="00E54D7F"/>
    <w:rsid w:val="00E55705"/>
    <w:rsid w:val="00E574A1"/>
    <w:rsid w:val="00E6275C"/>
    <w:rsid w:val="00E62DB8"/>
    <w:rsid w:val="00E63010"/>
    <w:rsid w:val="00E63399"/>
    <w:rsid w:val="00E66893"/>
    <w:rsid w:val="00E66BA7"/>
    <w:rsid w:val="00E677EF"/>
    <w:rsid w:val="00E6790C"/>
    <w:rsid w:val="00E70BB6"/>
    <w:rsid w:val="00E7159B"/>
    <w:rsid w:val="00E75F07"/>
    <w:rsid w:val="00E859DF"/>
    <w:rsid w:val="00E85A8B"/>
    <w:rsid w:val="00E87041"/>
    <w:rsid w:val="00E916E4"/>
    <w:rsid w:val="00E94218"/>
    <w:rsid w:val="00E95201"/>
    <w:rsid w:val="00E96304"/>
    <w:rsid w:val="00EA1807"/>
    <w:rsid w:val="00EA251B"/>
    <w:rsid w:val="00EA31AA"/>
    <w:rsid w:val="00EA4947"/>
    <w:rsid w:val="00EC0C41"/>
    <w:rsid w:val="00EC11F0"/>
    <w:rsid w:val="00EC1594"/>
    <w:rsid w:val="00EC1C8C"/>
    <w:rsid w:val="00EC365B"/>
    <w:rsid w:val="00EC5AD1"/>
    <w:rsid w:val="00ED161F"/>
    <w:rsid w:val="00ED2521"/>
    <w:rsid w:val="00ED2F67"/>
    <w:rsid w:val="00ED2FB9"/>
    <w:rsid w:val="00ED36B7"/>
    <w:rsid w:val="00ED7637"/>
    <w:rsid w:val="00EE013F"/>
    <w:rsid w:val="00EE0C7D"/>
    <w:rsid w:val="00EE122D"/>
    <w:rsid w:val="00EE456B"/>
    <w:rsid w:val="00EE5DE6"/>
    <w:rsid w:val="00EE6267"/>
    <w:rsid w:val="00EE6613"/>
    <w:rsid w:val="00EE6988"/>
    <w:rsid w:val="00EF2A23"/>
    <w:rsid w:val="00EF35BF"/>
    <w:rsid w:val="00EF381C"/>
    <w:rsid w:val="00EF47A4"/>
    <w:rsid w:val="00EF685F"/>
    <w:rsid w:val="00F00755"/>
    <w:rsid w:val="00F00C37"/>
    <w:rsid w:val="00F034AC"/>
    <w:rsid w:val="00F04275"/>
    <w:rsid w:val="00F1590F"/>
    <w:rsid w:val="00F160D2"/>
    <w:rsid w:val="00F27395"/>
    <w:rsid w:val="00F31CFB"/>
    <w:rsid w:val="00F339A4"/>
    <w:rsid w:val="00F33C22"/>
    <w:rsid w:val="00F42177"/>
    <w:rsid w:val="00F42DCD"/>
    <w:rsid w:val="00F4484F"/>
    <w:rsid w:val="00F45638"/>
    <w:rsid w:val="00F4748D"/>
    <w:rsid w:val="00F50E9C"/>
    <w:rsid w:val="00F51116"/>
    <w:rsid w:val="00F5117A"/>
    <w:rsid w:val="00F51FA3"/>
    <w:rsid w:val="00F52F33"/>
    <w:rsid w:val="00F53841"/>
    <w:rsid w:val="00F53B21"/>
    <w:rsid w:val="00F60ACD"/>
    <w:rsid w:val="00F612B3"/>
    <w:rsid w:val="00F650BC"/>
    <w:rsid w:val="00F653FF"/>
    <w:rsid w:val="00F66078"/>
    <w:rsid w:val="00F67EF6"/>
    <w:rsid w:val="00F7064A"/>
    <w:rsid w:val="00F7198E"/>
    <w:rsid w:val="00F7311F"/>
    <w:rsid w:val="00F747AD"/>
    <w:rsid w:val="00F8260F"/>
    <w:rsid w:val="00F83279"/>
    <w:rsid w:val="00F87F11"/>
    <w:rsid w:val="00F90B2E"/>
    <w:rsid w:val="00F91302"/>
    <w:rsid w:val="00F942CA"/>
    <w:rsid w:val="00F9452C"/>
    <w:rsid w:val="00F9689B"/>
    <w:rsid w:val="00F97395"/>
    <w:rsid w:val="00F97508"/>
    <w:rsid w:val="00FA0160"/>
    <w:rsid w:val="00FA3503"/>
    <w:rsid w:val="00FA590B"/>
    <w:rsid w:val="00FA5C42"/>
    <w:rsid w:val="00FA68AB"/>
    <w:rsid w:val="00FB021F"/>
    <w:rsid w:val="00FB0A9F"/>
    <w:rsid w:val="00FB2C5B"/>
    <w:rsid w:val="00FB33E0"/>
    <w:rsid w:val="00FB52EB"/>
    <w:rsid w:val="00FB7206"/>
    <w:rsid w:val="00FB7367"/>
    <w:rsid w:val="00FB77F3"/>
    <w:rsid w:val="00FC1D72"/>
    <w:rsid w:val="00FC309B"/>
    <w:rsid w:val="00FC62C4"/>
    <w:rsid w:val="00FD17AA"/>
    <w:rsid w:val="00FE0C92"/>
    <w:rsid w:val="00FE0D29"/>
    <w:rsid w:val="00FE35E0"/>
    <w:rsid w:val="00FE4173"/>
    <w:rsid w:val="00FE4DD2"/>
    <w:rsid w:val="00FE5577"/>
    <w:rsid w:val="00FE78A3"/>
    <w:rsid w:val="00FF2A56"/>
    <w:rsid w:val="00FF3133"/>
    <w:rsid w:val="00FF34CA"/>
    <w:rsid w:val="00FF39DE"/>
    <w:rsid w:val="00FF3AA8"/>
    <w:rsid w:val="00FF5E0F"/>
    <w:rsid w:val="00FF63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33EF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177"/>
  </w:style>
  <w:style w:type="paragraph" w:styleId="Heading1">
    <w:name w:val="heading 1"/>
    <w:aliases w:val="Cover title white"/>
    <w:basedOn w:val="Normal"/>
    <w:next w:val="Normal"/>
    <w:link w:val="Heading1Char"/>
    <w:uiPriority w:val="9"/>
    <w:qFormat/>
    <w:rsid w:val="00F4217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3415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03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aliases w:val="Title 2"/>
    <w:basedOn w:val="Normal"/>
    <w:next w:val="Normal"/>
    <w:link w:val="Heading3Char"/>
    <w:uiPriority w:val="9"/>
    <w:semiHidden/>
    <w:unhideWhenUsed/>
    <w:qFormat/>
    <w:rsid w:val="00F421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02B4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D4C52" w:themeColor="accent5" w:themeShade="BF"/>
      <w:sz w:val="25"/>
      <w:szCs w:val="25"/>
    </w:rPr>
  </w:style>
  <w:style w:type="paragraph" w:styleId="Heading5">
    <w:name w:val="heading 5"/>
    <w:aliases w:val="Cover subtitle white"/>
    <w:basedOn w:val="Normal"/>
    <w:next w:val="Normal"/>
    <w:link w:val="Heading5Char"/>
    <w:uiPriority w:val="9"/>
    <w:semiHidden/>
    <w:unhideWhenUsed/>
    <w:qFormat/>
    <w:rsid w:val="00F421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4490E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B1C2C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72B3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4490E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B1C2C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uiPriority w:val="9"/>
    <w:rsid w:val="00F42177"/>
    <w:rPr>
      <w:rFonts w:asciiTheme="majorHAnsi" w:eastAsiaTheme="majorEastAsia" w:hAnsiTheme="majorHAnsi" w:cstheme="majorBidi"/>
      <w:color w:val="234156" w:themeColor="accent1" w:themeShade="BF"/>
      <w:sz w:val="30"/>
      <w:szCs w:val="30"/>
    </w:rPr>
  </w:style>
  <w:style w:type="paragraph" w:customStyle="1" w:styleId="Numberedtilelevel1">
    <w:name w:val="Numbered tile level 1"/>
    <w:basedOn w:val="Titlelevel1"/>
    <w:link w:val="Numberedtilelevel1Char"/>
    <w:qFormat/>
    <w:rsid w:val="00482FB6"/>
  </w:style>
  <w:style w:type="character" w:customStyle="1" w:styleId="Heading2Char">
    <w:name w:val="Heading 2 Char"/>
    <w:basedOn w:val="DefaultParagraphFont"/>
    <w:link w:val="Heading2"/>
    <w:uiPriority w:val="9"/>
    <w:semiHidden/>
    <w:rsid w:val="00940030"/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Numberedtitlelevel2">
    <w:name w:val="Numbered title level 2"/>
    <w:basedOn w:val="Titlelevel2"/>
    <w:next w:val="body"/>
    <w:rsid w:val="00482FB6"/>
    <w:pPr>
      <w:numPr>
        <w:ilvl w:val="1"/>
        <w:numId w:val="6"/>
      </w:numPr>
    </w:pPr>
  </w:style>
  <w:style w:type="paragraph" w:customStyle="1" w:styleId="Titlelevel2">
    <w:name w:val="Title level 2"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CD4AF7"/>
    <w:pPr>
      <w:spacing w:before="240" w:after="120" w:line="276" w:lineRule="auto"/>
      <w:jc w:val="both"/>
    </w:p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F42177"/>
    <w:rPr>
      <w:rFonts w:asciiTheme="majorHAnsi" w:eastAsiaTheme="majorEastAsia" w:hAnsiTheme="majorHAnsi" w:cstheme="majorBidi"/>
      <w:color w:val="102B4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77"/>
    <w:rPr>
      <w:rFonts w:asciiTheme="majorHAnsi" w:eastAsiaTheme="majorEastAsia" w:hAnsiTheme="majorHAnsi" w:cstheme="majorBidi"/>
      <w:i/>
      <w:iCs/>
      <w:color w:val="3D4C52" w:themeColor="accent5" w:themeShade="BF"/>
      <w:sz w:val="25"/>
      <w:szCs w:val="25"/>
    </w:rPr>
  </w:style>
  <w:style w:type="character" w:customStyle="1" w:styleId="Heading5Char">
    <w:name w:val="Heading 5 Char"/>
    <w:aliases w:val="Cover subtitle white Char"/>
    <w:basedOn w:val="DefaultParagraphFont"/>
    <w:link w:val="Heading5"/>
    <w:uiPriority w:val="9"/>
    <w:semiHidden/>
    <w:rsid w:val="00F42177"/>
    <w:rPr>
      <w:rFonts w:asciiTheme="majorHAnsi" w:eastAsiaTheme="majorEastAsia" w:hAnsiTheme="majorHAnsi" w:cstheme="majorBidi"/>
      <w:i/>
      <w:iCs/>
      <w:color w:val="84490E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77"/>
    <w:rPr>
      <w:rFonts w:asciiTheme="majorHAnsi" w:eastAsiaTheme="majorEastAsia" w:hAnsiTheme="majorHAnsi" w:cstheme="majorBidi"/>
      <w:i/>
      <w:iCs/>
      <w:color w:val="0B1C2C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77"/>
    <w:rPr>
      <w:rFonts w:asciiTheme="majorHAnsi" w:eastAsiaTheme="majorEastAsia" w:hAnsiTheme="majorHAnsi" w:cstheme="majorBidi"/>
      <w:color w:val="172B3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77"/>
    <w:rPr>
      <w:rFonts w:asciiTheme="majorHAnsi" w:eastAsiaTheme="majorEastAsia" w:hAnsiTheme="majorHAnsi" w:cstheme="majorBidi"/>
      <w:color w:val="84490E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77"/>
    <w:rPr>
      <w:rFonts w:asciiTheme="majorHAnsi" w:eastAsiaTheme="majorEastAsia" w:hAnsiTheme="majorHAnsi" w:cstheme="majorBidi"/>
      <w:color w:val="0B1C2C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rsid w:val="00813BAC"/>
    <w:pPr>
      <w:spacing w:after="80"/>
    </w:pPr>
    <w:rPr>
      <w:rFonts w:ascii="Calibri" w:eastAsia="Times New Roman" w:hAnsi="Calibri" w:cs="Times New Roman"/>
      <w:b/>
      <w:color w:val="000000"/>
    </w:rPr>
  </w:style>
  <w:style w:type="paragraph" w:customStyle="1" w:styleId="Tabledata">
    <w:name w:val="Table data"/>
    <w:basedOn w:val="body"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lang w:eastAsia="en-GB"/>
    </w:rPr>
  </w:style>
  <w:style w:type="paragraph" w:customStyle="1" w:styleId="List1">
    <w:name w:val="List1"/>
    <w:autoRedefine/>
    <w:rsid w:val="008F3908"/>
    <w:pPr>
      <w:numPr>
        <w:numId w:val="4"/>
      </w:numPr>
    </w:p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aliases w:val="Tabla CUADROS"/>
    <w:basedOn w:val="TableProfessional"/>
    <w:uiPriority w:val="59"/>
    <w:rsid w:val="00A14332"/>
    <w:rPr>
      <w:sz w:val="20"/>
      <w:szCs w:val="20"/>
      <w:lang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rsid w:val="007A0054"/>
    <w:pPr>
      <w:numPr>
        <w:numId w:val="5"/>
      </w:numPr>
      <w:spacing w:before="240" w:after="120"/>
      <w:contextualSpacing/>
    </w:pPr>
  </w:style>
  <w:style w:type="paragraph" w:customStyle="1" w:styleId="Titlelevel1">
    <w:name w:val="Title level 1"/>
    <w:link w:val="Titlelevel1Char"/>
    <w:autoRedefine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eastAsia="en-GB"/>
    </w:rPr>
  </w:style>
  <w:style w:type="table" w:customStyle="1" w:styleId="EBAtable">
    <w:name w:val="EBA table"/>
    <w:basedOn w:val="TableNormal"/>
    <w:uiPriority w:val="99"/>
    <w:rsid w:val="002434B0"/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82AA7"/>
    <w:rPr>
      <w:sz w:val="18"/>
      <w:szCs w:val="18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"/>
    <w:basedOn w:val="DefaultParagraphFont"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rsid w:val="001C5BC2"/>
    <w:pPr>
      <w:numPr>
        <w:numId w:val="2"/>
      </w:numPr>
    </w:pPr>
  </w:style>
  <w:style w:type="paragraph" w:styleId="TOC1">
    <w:name w:val="toc 1"/>
    <w:autoRedefine/>
    <w:uiPriority w:val="39"/>
    <w:rsid w:val="001F4C02"/>
    <w:pPr>
      <w:tabs>
        <w:tab w:val="right" w:pos="8771"/>
      </w:tabs>
      <w:spacing w:before="120" w:after="120"/>
      <w:ind w:left="426" w:hanging="426"/>
      <w:outlineLvl w:val="0"/>
    </w:pPr>
    <w:rPr>
      <w:b/>
      <w:bCs/>
      <w:noProof/>
      <w:color w:val="2F5773" w:themeColor="text2"/>
    </w:rPr>
  </w:style>
  <w:style w:type="paragraph" w:styleId="TOC2">
    <w:name w:val="toc 2"/>
    <w:next w:val="Normal"/>
    <w:autoRedefine/>
    <w:uiPriority w:val="39"/>
    <w:rsid w:val="00C41927"/>
    <w:pPr>
      <w:tabs>
        <w:tab w:val="left" w:pos="529"/>
        <w:tab w:val="right" w:pos="8771"/>
      </w:tabs>
      <w:spacing w:before="80" w:after="8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63B0A"/>
    <w:pPr>
      <w:tabs>
        <w:tab w:val="right" w:pos="8771"/>
      </w:tabs>
      <w:ind w:left="567"/>
    </w:pPr>
  </w:style>
  <w:style w:type="paragraph" w:styleId="TOC4">
    <w:name w:val="toc 4"/>
    <w:basedOn w:val="Normal"/>
    <w:next w:val="Normal"/>
    <w:autoRedefine/>
    <w:uiPriority w:val="39"/>
    <w:rsid w:val="00EE456B"/>
    <w:pPr>
      <w:tabs>
        <w:tab w:val="right" w:pos="8771"/>
      </w:tabs>
      <w:ind w:left="1134"/>
    </w:pPr>
  </w:style>
  <w:style w:type="paragraph" w:customStyle="1" w:styleId="bullet2">
    <w:name w:val="bullet 2"/>
    <w:basedOn w:val="body"/>
    <w:rsid w:val="001C5BC2"/>
    <w:pPr>
      <w:numPr>
        <w:numId w:val="1"/>
      </w:numPr>
    </w:pPr>
  </w:style>
  <w:style w:type="paragraph" w:customStyle="1" w:styleId="Numberedtitlelevel3">
    <w:name w:val="Numbered title level 3"/>
    <w:basedOn w:val="Titlelevel3"/>
    <w:next w:val="body"/>
    <w:rsid w:val="008F3908"/>
    <w:pPr>
      <w:numPr>
        <w:ilvl w:val="2"/>
        <w:numId w:val="6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Borders>
        <w:top w:val="single" w:sz="8" w:space="0" w:color="2F5773" w:themeColor="accent1"/>
        <w:bottom w:val="single" w:sz="8" w:space="0" w:color="2F57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rsid w:val="00172007"/>
  </w:style>
  <w:style w:type="paragraph" w:customStyle="1" w:styleId="Numberedtitlelevel4">
    <w:name w:val="Numbered title level 4"/>
    <w:basedOn w:val="Titlelevel4"/>
    <w:rsid w:val="005D400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421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3415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177"/>
    <w:rPr>
      <w:rFonts w:asciiTheme="majorHAnsi" w:eastAsiaTheme="majorEastAsia" w:hAnsiTheme="majorHAnsi" w:cstheme="majorBidi"/>
      <w:color w:val="234156" w:themeColor="accent1" w:themeShade="BF"/>
      <w:spacing w:val="-10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rsid w:val="00172007"/>
    <w:pPr>
      <w:spacing w:before="1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F421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42177"/>
    <w:rPr>
      <w:rFonts w:asciiTheme="majorHAnsi" w:eastAsiaTheme="majorEastAsia" w:hAnsiTheme="majorHAnsi" w:cstheme="majorBidi"/>
    </w:rPr>
  </w:style>
  <w:style w:type="character" w:styleId="BookTitle">
    <w:name w:val="Book Title"/>
    <w:basedOn w:val="DefaultParagraphFont"/>
    <w:uiPriority w:val="33"/>
    <w:qFormat/>
    <w:rsid w:val="00F42177"/>
    <w:rPr>
      <w:b/>
      <w:bCs/>
      <w:smallCaps/>
    </w:rPr>
  </w:style>
  <w:style w:type="character" w:customStyle="1" w:styleId="Highlighttext">
    <w:name w:val="Highlight text"/>
    <w:basedOn w:val="DefaultParagraphFont"/>
    <w:uiPriority w:val="1"/>
    <w:semiHidden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rsid w:val="00455E0E"/>
    <w:rPr>
      <w:bCs/>
      <w:lang w:eastAsia="en-GB"/>
    </w:rPr>
  </w:style>
  <w:style w:type="paragraph" w:styleId="ListBullet">
    <w:name w:val="List Bullet"/>
    <w:basedOn w:val="Normal"/>
    <w:semiHidden/>
    <w:rsid w:val="00A304D0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rsid w:val="00E22BCE"/>
    <w:pPr>
      <w:numPr>
        <w:numId w:val="7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customStyle="1" w:styleId="Default">
    <w:name w:val="Default"/>
    <w:rsid w:val="000C7FD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42177"/>
    <w:pPr>
      <w:outlineLvl w:val="9"/>
    </w:pPr>
  </w:style>
  <w:style w:type="character" w:customStyle="1" w:styleId="Marker">
    <w:name w:val="Marker"/>
    <w:rsid w:val="00B43E07"/>
    <w:rPr>
      <w:color w:val="0000FF"/>
      <w:shd w:val="clear" w:color="auto" w:fill="auto"/>
    </w:rPr>
  </w:style>
  <w:style w:type="character" w:customStyle="1" w:styleId="Marker2">
    <w:name w:val="Marker2"/>
    <w:rsid w:val="00B43E07"/>
    <w:rPr>
      <w:color w:val="FF0000"/>
      <w:shd w:val="clear" w:color="auto" w:fill="auto"/>
    </w:rPr>
  </w:style>
  <w:style w:type="paragraph" w:customStyle="1" w:styleId="Annexetitre">
    <w:name w:val="Annexe titre"/>
    <w:basedOn w:val="Normal"/>
    <w:next w:val="Normal"/>
    <w:rsid w:val="00B43E07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u w:val="single"/>
    </w:rPr>
  </w:style>
  <w:style w:type="paragraph" w:customStyle="1" w:styleId="Applicationdirecte">
    <w:name w:val="Application directe"/>
    <w:basedOn w:val="Normal"/>
    <w:next w:val="Fait"/>
    <w:rsid w:val="00B43E07"/>
    <w:pPr>
      <w:spacing w:before="48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idrant">
    <w:name w:val="Considérant"/>
    <w:basedOn w:val="Normal"/>
    <w:rsid w:val="00B43E07"/>
    <w:pPr>
      <w:numPr>
        <w:numId w:val="9"/>
      </w:num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Datedadoption">
    <w:name w:val="Date d'adoption"/>
    <w:basedOn w:val="Normal"/>
    <w:next w:val="Titreobjet"/>
    <w:rsid w:val="00B43E07"/>
    <w:pPr>
      <w:spacing w:before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Fait">
    <w:name w:val="Fait à"/>
    <w:basedOn w:val="Normal"/>
    <w:next w:val="Institutionquisigne"/>
    <w:rsid w:val="00B43E07"/>
    <w:pPr>
      <w:keepNext/>
      <w:spacing w:before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Formuledadoption">
    <w:name w:val="Formule d'adoption"/>
    <w:basedOn w:val="Normal"/>
    <w:next w:val="Titrearticle"/>
    <w:rsid w:val="00B43E07"/>
    <w:pPr>
      <w:keepNext/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signe">
    <w:name w:val="Institution qui signe"/>
    <w:basedOn w:val="Normal"/>
    <w:next w:val="Personnequisigne"/>
    <w:rsid w:val="00B43E07"/>
    <w:pPr>
      <w:keepNext/>
      <w:tabs>
        <w:tab w:val="left" w:pos="4252"/>
      </w:tabs>
      <w:spacing w:before="720"/>
      <w:jc w:val="both"/>
    </w:pPr>
    <w:rPr>
      <w:rFonts w:ascii="Times New Roman" w:eastAsia="Times New Roman" w:hAnsi="Times New Roman" w:cs="Times New Roman"/>
      <w:i/>
      <w:sz w:val="24"/>
    </w:rPr>
  </w:style>
  <w:style w:type="paragraph" w:customStyle="1" w:styleId="Personnequisigne">
    <w:name w:val="Personne qui signe"/>
    <w:basedOn w:val="Normal"/>
    <w:next w:val="Institutionquisigne"/>
    <w:rsid w:val="00B43E07"/>
    <w:pPr>
      <w:tabs>
        <w:tab w:val="left" w:pos="4252"/>
      </w:tabs>
    </w:pPr>
    <w:rPr>
      <w:rFonts w:ascii="Times New Roman" w:eastAsia="Times New Roman" w:hAnsi="Times New Roman" w:cs="Times New Roman"/>
      <w:i/>
      <w:sz w:val="24"/>
    </w:rPr>
  </w:style>
  <w:style w:type="paragraph" w:customStyle="1" w:styleId="Titrearticle">
    <w:name w:val="Titre article"/>
    <w:basedOn w:val="Normal"/>
    <w:next w:val="Normal"/>
    <w:rsid w:val="00B43E07"/>
    <w:pPr>
      <w:keepNext/>
      <w:spacing w:before="360" w:after="120"/>
      <w:jc w:val="center"/>
    </w:pPr>
    <w:rPr>
      <w:rFonts w:ascii="Times New Roman" w:eastAsia="Times New Roman" w:hAnsi="Times New Roman" w:cs="Times New Roman"/>
      <w:i/>
      <w:sz w:val="24"/>
    </w:rPr>
  </w:style>
  <w:style w:type="paragraph" w:customStyle="1" w:styleId="Titreobjet">
    <w:name w:val="Titre objet"/>
    <w:basedOn w:val="Normal"/>
    <w:next w:val="Normal"/>
    <w:rsid w:val="00B43E07"/>
    <w:pPr>
      <w:spacing w:before="360" w:after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ypedudocument">
    <w:name w:val="Type du document"/>
    <w:basedOn w:val="Normal"/>
    <w:next w:val="Titreobjet"/>
    <w:rsid w:val="00B43E07"/>
    <w:pPr>
      <w:spacing w:before="360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Pagedecouverture">
    <w:name w:val="Page de couverture"/>
    <w:basedOn w:val="Normal"/>
    <w:next w:val="Normal"/>
    <w:rsid w:val="00B43E07"/>
    <w:pPr>
      <w:spacing w:before="120" w:after="12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Institutionquiagit">
    <w:name w:val="Institution qui agit"/>
    <w:basedOn w:val="Normal"/>
    <w:next w:val="Normal"/>
    <w:rsid w:val="00B43E07"/>
    <w:pPr>
      <w:keepNext/>
      <w:spacing w:before="600" w:after="120"/>
      <w:jc w:val="both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F12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1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9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42177"/>
    <w:pPr>
      <w:spacing w:line="240" w:lineRule="auto"/>
    </w:pPr>
    <w:rPr>
      <w:b/>
      <w:bCs/>
      <w:smallCaps/>
      <w:color w:val="2F5773" w:themeColor="accent1"/>
      <w:spacing w:val="6"/>
    </w:rPr>
  </w:style>
  <w:style w:type="paragraph" w:customStyle="1" w:styleId="Point1letter">
    <w:name w:val="Point 1 (letter)"/>
    <w:basedOn w:val="Normal"/>
    <w:rsid w:val="003956D6"/>
    <w:pPr>
      <w:widowControl w:val="0"/>
      <w:tabs>
        <w:tab w:val="left" w:pos="709"/>
      </w:tabs>
      <w:adjustRightInd w:val="0"/>
      <w:spacing w:before="120" w:after="1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Point2number">
    <w:name w:val="Point 2 (number)"/>
    <w:basedOn w:val="Normal"/>
    <w:rsid w:val="003956D6"/>
    <w:pPr>
      <w:widowControl w:val="0"/>
      <w:adjustRightInd w:val="0"/>
      <w:spacing w:after="240"/>
      <w:ind w:left="1418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M1">
    <w:name w:val="CM1"/>
    <w:basedOn w:val="Default"/>
    <w:next w:val="Default"/>
    <w:uiPriority w:val="99"/>
    <w:rsid w:val="00597146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597146"/>
    <w:rPr>
      <w:rFonts w:ascii="EUAlbertina" w:eastAsiaTheme="minorEastAsia" w:hAnsi="EUAlbertina" w:cstheme="minorBidi"/>
      <w:color w:val="auto"/>
    </w:rPr>
  </w:style>
  <w:style w:type="table" w:customStyle="1" w:styleId="Grilledetableauclaire1">
    <w:name w:val="Grille de tableau claire1"/>
    <w:basedOn w:val="TableNormal"/>
    <w:uiPriority w:val="40"/>
    <w:rsid w:val="00A760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int0number">
    <w:name w:val="Point 0 (number)"/>
    <w:basedOn w:val="Normal"/>
    <w:rsid w:val="00A76095"/>
    <w:pPr>
      <w:spacing w:before="120" w:after="120"/>
      <w:ind w:left="72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1number">
    <w:name w:val="Point 1 (number)"/>
    <w:basedOn w:val="Normal"/>
    <w:rsid w:val="00A76095"/>
    <w:pPr>
      <w:spacing w:before="120" w:after="120"/>
      <w:ind w:left="2160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3number">
    <w:name w:val="Point 3 (number)"/>
    <w:basedOn w:val="Normal"/>
    <w:rsid w:val="00A76095"/>
    <w:pPr>
      <w:spacing w:before="120" w:after="120"/>
      <w:ind w:left="5040" w:hanging="360"/>
      <w:jc w:val="both"/>
    </w:pPr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42177"/>
    <w:rPr>
      <w:b/>
      <w:bCs/>
    </w:rPr>
  </w:style>
  <w:style w:type="character" w:styleId="Emphasis">
    <w:name w:val="Emphasis"/>
    <w:basedOn w:val="DefaultParagraphFont"/>
    <w:uiPriority w:val="20"/>
    <w:qFormat/>
    <w:rsid w:val="00F42177"/>
    <w:rPr>
      <w:i/>
      <w:iCs/>
    </w:rPr>
  </w:style>
  <w:style w:type="paragraph" w:styleId="NoSpacing">
    <w:name w:val="No Spacing"/>
    <w:uiPriority w:val="1"/>
    <w:qFormat/>
    <w:rsid w:val="00F421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17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1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7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2F577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77"/>
    <w:rPr>
      <w:rFonts w:asciiTheme="majorHAnsi" w:eastAsiaTheme="majorEastAsia" w:hAnsiTheme="majorHAnsi" w:cstheme="majorBidi"/>
      <w:color w:val="2F5773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421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42177"/>
    <w:rPr>
      <w:b w:val="0"/>
      <w:bCs w:val="0"/>
      <w:i/>
      <w:iCs/>
      <w:color w:val="2F5773" w:themeColor="accent1"/>
    </w:rPr>
  </w:style>
  <w:style w:type="character" w:styleId="SubtleReference">
    <w:name w:val="Subtle Reference"/>
    <w:basedOn w:val="DefaultParagraphFont"/>
    <w:uiPriority w:val="31"/>
    <w:qFormat/>
    <w:rsid w:val="00F421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42177"/>
    <w:rPr>
      <w:b/>
      <w:bCs/>
      <w:smallCaps/>
      <w:color w:val="2F5773" w:themeColor="accent1"/>
      <w:spacing w:val="5"/>
      <w:u w:val="single"/>
    </w:rPr>
  </w:style>
  <w:style w:type="paragraph" w:customStyle="1" w:styleId="InstructionsText">
    <w:name w:val="Instructions Text"/>
    <w:basedOn w:val="Normal"/>
    <w:link w:val="InstructionsTextChar"/>
    <w:autoRedefine/>
    <w:rsid w:val="00B62DC9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character" w:customStyle="1" w:styleId="FormatvorlageInstructionsTabelleText">
    <w:name w:val="Formatvorlage Instructions Tabelle Text"/>
    <w:uiPriority w:val="99"/>
    <w:qFormat/>
    <w:rsid w:val="00807127"/>
    <w:rPr>
      <w:rFonts w:ascii="Verdana" w:hAnsi="Verdana" w:cs="Times New Roman"/>
      <w:bCs/>
      <w:sz w:val="20"/>
      <w:u w:val="none"/>
    </w:rPr>
  </w:style>
  <w:style w:type="character" w:customStyle="1" w:styleId="InstructionsTextChar">
    <w:name w:val="Instructions Text Char"/>
    <w:link w:val="InstructionsText"/>
    <w:locked/>
    <w:rsid w:val="00B62DC9"/>
    <w:rPr>
      <w:rFonts w:ascii="Times New Roman" w:eastAsia="Times New Roman" w:hAnsi="Times New Roman" w:cs="Times New Roman"/>
      <w:noProof/>
      <w:sz w:val="24"/>
      <w:szCs w:val="24"/>
      <w:lang w:val="cs-CZ" w:eastAsia="de-DE"/>
    </w:rPr>
  </w:style>
  <w:style w:type="paragraph" w:styleId="Revision">
    <w:name w:val="Revision"/>
    <w:hidden/>
    <w:uiPriority w:val="99"/>
    <w:semiHidden/>
    <w:rsid w:val="00510C0E"/>
    <w:pPr>
      <w:spacing w:after="0" w:line="240" w:lineRule="auto"/>
    </w:pPr>
  </w:style>
  <w:style w:type="paragraph" w:customStyle="1" w:styleId="Heading">
    <w:name w:val="Heading"/>
    <w:basedOn w:val="Numberedtilelevel1"/>
    <w:link w:val="HeadingChar"/>
    <w:qFormat/>
    <w:rsid w:val="001F4C02"/>
    <w:pPr>
      <w:ind w:left="709" w:hanging="709"/>
    </w:pPr>
    <w:rPr>
      <w:rFonts w:ascii="Times New Roman" w:hAnsi="Times New Roman" w:cs="Times New Roman"/>
      <w:sz w:val="24"/>
      <w:szCs w:val="24"/>
    </w:rPr>
  </w:style>
  <w:style w:type="character" w:customStyle="1" w:styleId="Titlelevel1Char">
    <w:name w:val="Title level 1 Char"/>
    <w:basedOn w:val="DefaultParagraphFont"/>
    <w:link w:val="Titlelevel1"/>
    <w:rsid w:val="00FD17AA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Numberedtilelevel1Char">
    <w:name w:val="Numbered tile level 1 Char"/>
    <w:basedOn w:val="Titlelevel1Char"/>
    <w:link w:val="Numberedtilelevel1"/>
    <w:rsid w:val="00FD17AA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HeadingChar">
    <w:name w:val="Heading Char"/>
    <w:basedOn w:val="Numberedtilelevel1Char"/>
    <w:link w:val="Heading"/>
    <w:rsid w:val="001F4C02"/>
    <w:rPr>
      <w:rFonts w:ascii="Times New Roman" w:eastAsiaTheme="majorEastAsia" w:hAnsi="Times New Roman" w:cs="Times New Roman"/>
      <w:color w:val="2F5773" w:themeColor="text2"/>
      <w:spacing w:val="5"/>
      <w:kern w:val="28"/>
      <w:sz w:val="24"/>
      <w:szCs w:val="24"/>
    </w:rPr>
  </w:style>
  <w:style w:type="paragraph" w:customStyle="1" w:styleId="Instructionsberschrift2">
    <w:name w:val="Instructions Überschrift 2"/>
    <w:basedOn w:val="Heading2"/>
    <w:rsid w:val="0065594A"/>
    <w:pPr>
      <w:keepLines w:val="0"/>
      <w:numPr>
        <w:numId w:val="14"/>
      </w:numPr>
      <w:spacing w:before="240" w:after="240"/>
      <w:jc w:val="both"/>
    </w:pPr>
    <w:rPr>
      <w:rFonts w:ascii="Verdana" w:eastAsia="Arial" w:hAnsi="Verdana" w:cs="Arial"/>
      <w:sz w:val="20"/>
      <w:szCs w:val="24"/>
      <w:u w:val="single"/>
      <w:lang w:eastAsia="x-none"/>
    </w:rPr>
  </w:style>
  <w:style w:type="paragraph" w:customStyle="1" w:styleId="InstructionsText2">
    <w:name w:val="Instructions Text 2"/>
    <w:basedOn w:val="InstructionsText"/>
    <w:qFormat/>
    <w:rsid w:val="0065594A"/>
    <w:pPr>
      <w:spacing w:after="240"/>
    </w:pPr>
  </w:style>
  <w:style w:type="character" w:customStyle="1" w:styleId="InstructionsTabelleberschrift">
    <w:name w:val="Instructions Tabelle Überschrift"/>
    <w:qFormat/>
    <w:rsid w:val="00A47BCD"/>
    <w:rPr>
      <w:rFonts w:ascii="Verdana" w:hAnsi="Verdana" w:cs="Times New Roman"/>
      <w:b/>
      <w:bCs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5F79D-63F7-42D0-8F31-2808AF242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7661</Words>
  <Characters>42295</Characters>
  <Application>Microsoft Office Word</Application>
  <DocSecurity>0</DocSecurity>
  <Lines>1007</Lines>
  <Paragraphs>567</Paragraphs>
  <ScaleCrop>false</ScaleCrop>
  <Company/>
  <LinksUpToDate>false</LinksUpToDate>
  <CharactersWithSpaces>49389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2024-04-05T10:29:00Z</dcterms:created>
  <dcterms:modified xsi:type="dcterms:W3CDTF">2024-05-13T13:20:00Z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2024-03-04T17:54:16Z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91b58fde-dfad-47dc-b1e2-20839b75e6a2</vt:lpwstr>
  </property>
  <property fmtid="{D5CDD505-2E9C-101B-9397-08002B2CF9AE}" pid="8" name="MSIP_Label_6bd9ddd1-4d20-43f6-abfa-fc3c07406f94_ContentBits">
    <vt:lpwstr>0</vt:lpwstr>
  </property>
</Properties>
</file>