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C7955" w14:textId="77777777" w:rsidR="00E21249" w:rsidRDefault="00E21249" w:rsidP="00E21249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HR</w:t>
      </w:r>
    </w:p>
    <w:p w14:paraId="31477444" w14:textId="77777777" w:rsidR="00E21249" w:rsidRDefault="00E21249" w:rsidP="00E21249">
      <w:pPr>
        <w:rPr>
          <w:rFonts w:asciiTheme="minorHAnsi" w:hAnsiTheme="minorHAnsi"/>
          <w:sz w:val="22"/>
        </w:rPr>
      </w:pPr>
    </w:p>
    <w:p w14:paraId="4F5FBDAA" w14:textId="325443EF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r>
        <w:rPr>
          <w:i w:val="0"/>
        </w:rPr>
        <w:t xml:space="preserve">PRILOG VII.</w:t>
      </w:r>
    </w:p>
    <w:p w14:paraId="26FC133A" w14:textId="59A74890" w:rsidR="00C87CEE" w:rsidRPr="00F4528F" w:rsidRDefault="00713F52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IZVJEŠĆIVANJE O GUBICIMA NA TEMELJU IZLOŽENOSTI OSIGURANIH NEKRETNINAMA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3EA9A525" w:rsidR="00C87CE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U ovom Prilogu navode se upute u vezi s obrascima iz Priloga VI. ovoj Uredbi.</w:t>
      </w:r>
    </w:p>
    <w:p w14:paraId="38924FD3" w14:textId="36DF2FD0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Primjenjuju se i sve opće upute iz dijela I. Priloga II. ovoj Uredbi.</w:t>
      </w:r>
    </w:p>
    <w:p w14:paraId="600D280B" w14:textId="77777777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Opseg izvješćivanja</w:t>
      </w:r>
    </w:p>
    <w:p w14:paraId="359D7D30" w14:textId="4FEFDEC0" w:rsidR="000907F9" w:rsidRPr="008A4E00" w:rsidRDefault="001E7A23" w:rsidP="002B6F88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Institucije koje koriste nekretnine u skladu s dijelom trećim glavom II. Uredbe (EU) br. 575/2013 iskazuju podatke navedene u članku 430.a stavku 1. Uredbe (EU) br. 575/2013.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11A2B1D6" w14:textId="4041595C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Obrazac obuhvaća sva nacionalna tržišta kojima je institucija / grupa institucija izložena (vidjeti članak 430.a stavak 1. Uredbe (EU) br. 575/2013).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U skladu s člankom 430.a stavkom 2. trećom rečenicom, za svako tržište nekretnina u Uniji podaci se iskazuju odvojeno.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Definicije</w:t>
      </w:r>
    </w:p>
    <w:p w14:paraId="2570AF77" w14:textId="02CB4066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„Gubitak” znači gubitak kako je definiran u članku 5. stavku 2. Uredbe (EU) br. 575/2013, uključujući gubitke koji proizlaze iz unajmljenih nekretnina.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Style w:val="InstructionsTabelleText"/>
          <w:rFonts w:ascii="Times New Roman" w:hAnsi="Times New Roman"/>
        </w:rPr>
        <w:t xml:space="preserve">Tokovi naplate na temelju drugih izvora (npr. bankovna jamstva, životno osiguranje, itd.) ne priznaju se kao smanjenje gubitaka pri izračunu gubitaka koji proizlaze iz nekretnina.</w:t>
      </w:r>
      <w:r>
        <w:rPr>
          <w:sz w:val="24"/>
          <w:u w:val="none"/>
          <w:rStyle w:val="InstructionsTabelleText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Netiranje gubitaka jedne pozicije s pomoću dobiti uspješne naplate druge pozicije nije dopušteno.</w:t>
      </w:r>
    </w:p>
    <w:p w14:paraId="6F0824D8" w14:textId="0A599737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6.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Izračun ekonomskog gubitka započinje se s nepodmirenom vrijednošću izloženosti na izvještajni datum i uključuje barem: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i. primitke od realizacije naplate iz kolaterala;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ii. izravne troškove (uključujući isplatu kamata i troškove naplate povezane s unovčenjem kolaterala);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 iii. neizravne troškove (uključujući troškove poslovanja jedinice za naplatu).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Sve komponente diskontiraju se na referentni izvještajni datum.</w:t>
      </w:r>
    </w:p>
    <w:p w14:paraId="267A70A6" w14:textId="1C8033F6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7.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Vrijednost izloženosti utvrđuje se u skladu s pravilima iz dijela trećeg glave II. Uredbe (EU) br. 575/2013 (vidjeti poglavlje 2. za institucije koje koriste standardizirani pristup i poglavlje 3. za institucije koje koriste IRB pristup).</w:t>
      </w:r>
    </w:p>
    <w:p w14:paraId="424065A6" w14:textId="1475E130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8.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Vrijednost nekretnine utvrđuje se u skladu s</w:t>
      </w:r>
      <w:r>
        <w:rPr>
          <w:sz w:val="24"/>
          <w:rStyle w:val="InstructionsTabelleText"/>
          <w:rFonts w:ascii="Times New Roman" w:hAnsi="Times New Roman"/>
        </w:rPr>
        <w:t xml:space="preserve"> člankom 4. stavkom 1. točkom 74.a</w:t>
      </w:r>
      <w:r>
        <w:rPr>
          <w:sz w:val="24"/>
          <w:rFonts w:ascii="Times New Roman" w:hAnsi="Times New Roman"/>
        </w:rPr>
        <w:t xml:space="preserve"> Uredbe (EU) br. 575/2013.</w:t>
      </w:r>
    </w:p>
    <w:p w14:paraId="3B8866E0" w14:textId="623D5995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9.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Valutni učinak: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iznosi se preračunavaju u izvještajnu valutu prema tečaju na izvještajni datum.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Nadalje, u procjenama ekonomskih gubitaka trebalo bi uzeti u obzir valutni učinak ako je izloženost ili kolateral izražen u drugoj valuti.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Geografska raščlamba</w:t>
      </w:r>
    </w:p>
    <w:p w14:paraId="66F86A28" w14:textId="68A51B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10.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Institucije dostavljaju sljedeće obrasce:</w:t>
      </w:r>
    </w:p>
    <w:p w14:paraId="630D5FC3" w14:textId="77777777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(a)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jedan ukupni obrazac;</w:t>
      </w:r>
    </w:p>
    <w:p w14:paraId="131FB6E0" w14:textId="21132544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(b)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po jedan obrazac za svako nacionalno tržište u Uniji kojemu je institucija izložena i</w:t>
      </w:r>
    </w:p>
    <w:p w14:paraId="42B76C97" w14:textId="7689725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c)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jedan obrazac s agregiranim podacima za svako nacionalno tržište izvan Unije kojemu je institucija izložena.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Izvješćivanje o izloženostima i gubicima</w:t>
      </w:r>
    </w:p>
    <w:p w14:paraId="7DA3503A" w14:textId="02BE28D2" w:rsidR="007E3047" w:rsidRDefault="001E7A23" w:rsidP="00E27BC7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Izloženosti i gubici iskazuju se na sljedeći način:</w:t>
      </w:r>
    </w:p>
    <w:p w14:paraId="0806F39A" w14:textId="47B78A1A" w:rsidR="00E27BC7" w:rsidRDefault="00415BAF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Stupac 0010: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iskazani u skladu s člankom 430.a stavkom 1. točkama (a) i (d) su gubici koji proizlaze iz izloženosti za koje je institucija priznala stambenu ili poslovnu nekretninu kao kolateral, u svakom pojedinom slučaju, do založenog iznosa ili 55 % vrijednosti nekretnine, ovisno o tome koji je iznos niži, osim ako je drukčije odlučeno u skladu s člankom 124. stavkom 9., ovisno o slučaju.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proizlaze iz izloženosti određenih u skladu s pravilima utvrđenima u dijelu trećem glavi II. Uredbe (EU) br. 575/2013.</w:t>
      </w:r>
    </w:p>
    <w:p w14:paraId="0DBC1AB6" w14:textId="20D2E23B" w:rsidR="00E27BC7" w:rsidRDefault="00CE73B0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Stupac 0030: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iskazani u skladu s člankom 430.a stavkom 1. točkama (b) i (e) su gubici koji proizlaze iz izloženosti za koje je institucija priznala stambenu ili poslovnu nekretninu kao kolateral, u svakom pojedinom slučaju, do založenog iznosa ili 100 % vrijednosti nekretnine, ovisno o tome koji je iznos niži.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proizlaze iz izloženosti određenih u skladu s pravilima utvrđenima u dijelu trećem glavi II. Uredbe (EU) br. 575/2013.</w:t>
      </w:r>
    </w:p>
    <w:p w14:paraId="2C15211F" w14:textId="47254851" w:rsidR="009E21CF" w:rsidRPr="00820370" w:rsidRDefault="00CE73B0" w:rsidP="00E11A0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Stupac 0050: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Vrijednosti izloženosti za preostale izloženosti iskazane u skladu s člankom 430.a stavkom 1. točkama (c) i (f) izloženosti su za koje je banka priznala stambenu ili poslovnu nekretninu kao kolateral, u svakom pojedinom slučaju, do založenog iznosa ili 100 % vrijednosti nekretnine, ovisno o tome koji je iznos niži.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Vrijednosti izloženosti utvrđuje se u skladu s pravilima iz dijela trećeg glave II. Uredbe (EU) br. 575/2013.</w:t>
      </w:r>
    </w:p>
    <w:p w14:paraId="75C4E60E" w14:textId="2244A615" w:rsidR="003F65EC" w:rsidRDefault="00DD2656" w:rsidP="00DD6D4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U obrascu C 15.00 iskazuju se sve izloženosti osigurane stambenim i poslovnim nekretninama na koje se primjenjuju zahtjevi iz dijela trećeg glave II. Uredbe (EU) br. 575/2013 i kod kojih bi priznavanje kolaterala dovelo do smanjenja iznosa izloženosti ponderiranog rizikom, čak i ako je to smanjenje poništeno odlukom nadležnog ili imenovanog tijela ako se primjenjuje članak 124. stavak 9.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To znači i da se dotične izloženosti i gubici ne smiju iskazivati ako se učinak smanjenja rizika nekretnina koristi samo za interne potrebe (npr. u okviru drugog stupa) ili za velike izloženosti (vidjeti dio četvrti Uredbe (EU) br. 575/2013).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Konkretno, ne iskazuju se izloženosti u skladu s člankom 124. stavkom 1. Uredbe (EU) br. 575/2013.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Izloženost se iskazuje čak i ako je u statusu neispunjavanja obveza.</w:t>
      </w:r>
    </w:p>
    <w:p w14:paraId="355D0107" w14:textId="405B1CCF" w:rsidR="008C6A88" w:rsidRPr="008A4E00" w:rsidRDefault="004C41D1" w:rsidP="00DD6D4C">
      <w:pPr>
        <w:pStyle w:val="Instructionsberschrift2"/>
        <w:numPr>
          <w:ilvl w:val="0"/>
          <w:numId w:val="37"/>
        </w:numPr>
        <w:ind w:left="709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U skladu s člankom 430.a stavkom 1. točkama (a) i (d) Uredbe (EU) br. 575/2013, ako se primjenjuje članak 124. stavak 9., podaci se iskazuju u stupcu 0010 u skladu s prilagođenim referentnim postotcima, ako je primjenjivo.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Podaci se iskazuju u stupcima 0030-0050 u skladu s člankom 430.a stavkom 1. točkama (b), (c), (e) i (f).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476B3438" w14:textId="4EA61BBD" w:rsidR="000471B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Gubici: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institucija koja ima izloženost na kraju izvještajnog razdoblja iskazuje gubitke.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se iskazuju čim se rezerviranja trebaju knjižiti u skladu s računovodstvenim pravilima.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Iskazuju se i procijenjeni gubici.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od izloženosti osiguranih nekretninama izračunavaju se za svaki kredit posebno i agregiraju za potrebe izvješćivanja.</w:t>
      </w:r>
    </w:p>
    <w:p w14:paraId="76BF16A4" w14:textId="30BD44C0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Referentni datum: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Upotrebljava se vrijednost izloženosti na referentni datum.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Za izloženosti koje su tijekom tog razdoblja došle u status neispunjavanja obveza primjenjuje se vrijednost izloženosti u trenutku nastanka statusa neispunjavanja obveza.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Za izloženosti koje su tijekom prošlih razdoblja došle u status neispunjavanja obveza primjenjuje se vrijednost izloženosti na referentni datum.</w:t>
      </w:r>
    </w:p>
    <w:p w14:paraId="1BD48AAA" w14:textId="4601E799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(a)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Gubici se iskazuju za sve statuse neispunjavanja obveza po kreditima osiguranim nekretninama koji nastanu za vrijeme izvještajnog razdoblja odnosno, neovisno o tome je li naplata završena.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Gubici koji se iskazuju od 31. prosinca odnose se na cijelu kalendarsku godinu.</w:t>
      </w:r>
      <w:r>
        <w:rPr>
          <w:sz w:val="24"/>
          <w:u w:val="none"/>
          <w:rFonts w:ascii="Times New Roman" w:hAnsi="Times New Roman"/>
        </w:rPr>
        <w:t xml:space="preserve"> </w:t>
      </w:r>
    </w:p>
    <w:p w14:paraId="43D8639D" w14:textId="4DBF6D57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(b)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Postoje tri scenarija za sve statuse neispunjavanja obveza zabilježene tijekom izvještajnog razdoblja: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i. kredit koji je u statusu neispunjavanja obveza može se restrukturirati tako da se više ne tretira kao kredit koji je u statusu neispunjavanja obveza (nije zabilježen gubitak);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ii. realizirana je naplata iz cijelog kolaterala (naplata je završena, stvarni gubitak je poznat);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ili iii. naplata nije završena (potrebno je upotrijebiti procjene gubitaka).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Izvješćivanje o gubicima uključuje samo gubitke koji proizlaze iz scenarija ii. realizacije naplate iz kolaterala (zabilježeni gubici) i scenarija iii. nezavršene naplate (procjene gubitaka).</w:t>
      </w:r>
    </w:p>
    <w:p w14:paraId="5F725F4A" w14:textId="7B7604AC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bCs/>
          <w:sz w:val="24"/>
          <w:szCs w:val="24"/>
          <w:u w:val="none"/>
          <w:rFonts w:ascii="Times New Roman" w:hAnsi="Times New Roman"/>
        </w:rPr>
      </w:pPr>
      <w:r>
        <w:rPr>
          <w:sz w:val="24"/>
          <w:u w:val="none"/>
          <w:rFonts w:ascii="Times New Roman" w:hAnsi="Times New Roman"/>
        </w:rPr>
        <w:t xml:space="preserve">c)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Budući da se gubici iskazuju samo za izloženosti koje su u statusu neispunjavanja obveza tijekom izvještajnog razdoblja, promjene u gubicima izloženosti koje su bile u statusu neispunjavanja obveza u prethodnim izvještajnim razdobljima ne odražavaju se u iskazanim podacima, tj. primici od realizacije naplate iz kolaterala u kasnijem izvještajnom razdoblju ili niži ostvareni troškovi od procijenjenih se ne iskazuju.</w:t>
      </w:r>
    </w:p>
    <w:p w14:paraId="41BE913E" w14:textId="23CFCE93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u w:val="none"/>
          <w:sz w:val="24"/>
          <w:rFonts w:ascii="Times New Roman" w:hAnsi="Times New Roman"/>
        </w:rPr>
        <w:t xml:space="preserve">14.</w:t>
      </w:r>
      <w:r>
        <w:rPr>
          <w:u w:val="none"/>
          <w:sz w:val="24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Uloga procjene vrijednosti nekretnine: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posljednja procjena vrijednosti nekretnine prije datuma nastanka statusa neispunjavanja obveza izloženosti potrebna je kao referenca za iskazivanje dijela izloženosti osigurane nekretninama.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Nakon nastanka statusa neispunjavanja obveza, nekretninu se može ponovno procijeniti.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</w:rPr>
        <w:t xml:space="preserve">Međutim, ta nova vrijednost ne bi trebala biti relevantna za utvrđivanje dijela izloženosti koji je izvorno osiguran </w:t>
      </w:r>
      <w:r>
        <w:rPr>
          <w:u w:val="none"/>
          <w:rStyle w:val="InstructionsTabelleText"/>
        </w:rPr>
        <w:t xml:space="preserve">do dijela vrijednosti izloženosti koji je osiguran do založenog iznosa ili 55 % vrijednosti nekretnine,</w:t>
      </w:r>
      <w:r>
        <w:rPr>
          <w:u w:val="none"/>
        </w:rPr>
        <w:t xml:space="preserve"> ovisno o tome koji je iznos niži,</w:t>
      </w:r>
      <w:r>
        <w:rPr>
          <w:u w:val="none"/>
          <w:rStyle w:val="InstructionsTabelleText"/>
        </w:rPr>
        <w:t xml:space="preserve"> </w:t>
      </w:r>
      <w:r>
        <w:rPr>
          <w:u w:val="none"/>
        </w:rPr>
        <w:t xml:space="preserve">osim ako je drukčije odlučeno na temelju članka 124. stavka 9. Uredbe (EU) br. 575/2013.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Međutim, ta nova vrijednost nekretnine uzima se u obzir pri izvješćivanju ekonomskog gubitka (smanjenje vrijednosti nekretnine dio je ekonomskog troška).</w:t>
      </w:r>
      <w:r>
        <w:rPr>
          <w:u w:val="none"/>
          <w:sz w:val="24"/>
          <w:rFonts w:ascii="Times New Roman" w:hAnsi="Times New Roman"/>
        </w:rPr>
        <w:t xml:space="preserve"> </w:t>
      </w:r>
      <w:r>
        <w:rPr>
          <w:u w:val="none"/>
          <w:sz w:val="24"/>
          <w:rFonts w:ascii="Times New Roman" w:hAnsi="Times New Roman"/>
        </w:rPr>
        <w:t xml:space="preserve">Drugim riječima, posljednja procjena vrijednosti nekretnine prije datuma nastanka statusa neispunjavanja obveza upotrebljava se za utvrđivanje dijela gubitka koji se iskazuje u stupcu 0010 i ponovno procijenjene vrijednosti nekretnine za iznos koji se iskazuje (procjena moguće naplate iz kolaterala) u stupcima 0010 i 0030.</w:t>
      </w:r>
    </w:p>
    <w:p w14:paraId="46D6DEED" w14:textId="7777777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Tretman prodaje kredita tijekom izvještajnog razdoblja: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institucija koja ima izloženost na kraju izvještajnog razdoblja iskazuje gubitke, ali samo ako je za tu izloženost utvrđen status neispunjavanja obveza.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sz w:val="24"/>
          <w:rFonts w:ascii="Times New Roman" w:hAnsi="Times New Roman" w:cs="Times New Roman"/>
        </w:rPr>
      </w:pPr>
      <w:bookmarkStart w:id="2" w:name="_Toc310008820"/>
      <w:r>
        <w:rPr>
          <w:sz w:val="24"/>
          <w:u w:val="none"/>
          <w:rFonts w:ascii="Times New Roman" w:hAnsi="Times New Roman"/>
        </w:rPr>
        <w:t xml:space="preserve">5.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Upute za specifične pozicije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Stupci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Zbroj gubitaka koji proizlazi iz kreditiranja do referentnih postotaka</w:t>
            </w:r>
          </w:p>
          <w:p w14:paraId="07E5E64A" w14:textId="2F881E1B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Članak 430.a stavak 1. točke (a) i (d) </w:t>
            </w:r>
            <w:r>
              <w:rPr>
                <w:sz w:val="24"/>
                <w:rFonts w:ascii="Times New Roman" w:hAnsi="Times New Roman"/>
              </w:rPr>
              <w:t xml:space="preserve">Uredbe (EU) br. 575/2013,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  <w:p w14:paraId="19C0501E" w14:textId="00748038" w:rsidR="000471B0" w:rsidRPr="008A4E00" w:rsidRDefault="00A30A3F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vrijednost nekretnine u skladu s člankom 4. stavkom 1. točkom 74.a </w:t>
            </w:r>
            <w:r>
              <w:rPr>
                <w:sz w:val="24"/>
                <w:rFonts w:ascii="Times New Roman" w:hAnsi="Times New Roman"/>
              </w:rPr>
              <w:t xml:space="preserve">Uredbe (EU) br. 575/2013.</w:t>
            </w:r>
          </w:p>
          <w:p w14:paraId="01CE6153" w14:textId="48C64144" w:rsidR="000471B0" w:rsidRPr="00F67747" w:rsidRDefault="00D87924" w:rsidP="00C60BE1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sz w:val="24"/>
                <w:rFonts w:ascii="Times New Roman" w:hAnsi="Times New Roman"/>
              </w:rPr>
              <w:t xml:space="preserve">U ovom se stupcu prikupljaju svi gubici koji proizlaze iz izloženosti za koje je institucija priznala stambenu ili poslovnu nekretninu kao kolateral, u svakom pojedinom slučaju, do dijela vrijednosti izloženosti koji je osiguran do založenog iznosa ili 55 % vrijednosti nekretnine,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 xml:space="preserve">ovisno o tome koji je iznos niži, osim ako je drukčije odlučeno na temelju članka 124. stavka 9., ako je primjenjivo</w:t>
            </w:r>
            <w:r>
              <w:rPr>
                <w:rStyle w:val="InstructionsTabelleText"/>
              </w:rPr>
              <w:t xml:space="preserve">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Zbroj ukupnih gubitaka</w:t>
            </w:r>
          </w:p>
          <w:p w14:paraId="7CD90D4F" w14:textId="4EFAFAF3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Članak 430.a stavak 1. točke (b) i (e) </w:t>
            </w:r>
            <w:r>
              <w:rPr>
                <w:sz w:val="24"/>
                <w:rFonts w:ascii="Times New Roman" w:hAnsi="Times New Roman"/>
              </w:rPr>
              <w:t xml:space="preserve">Uredbe (EU) br. 575/2013;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vrijednost nekretnine u skladu s točkom 74.a </w:t>
            </w:r>
            <w:r>
              <w:rPr>
                <w:sz w:val="24"/>
                <w:rFonts w:ascii="Times New Roman" w:hAnsi="Times New Roman"/>
              </w:rPr>
              <w:t xml:space="preserve">Uredbe (EU) br. 575/2013.</w:t>
            </w:r>
          </w:p>
          <w:p w14:paraId="2DE09B4B" w14:textId="2B3BA46D" w:rsidR="004E748D" w:rsidRPr="00F402D0" w:rsidRDefault="00713F52" w:rsidP="00C60BE1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U ovom se stupcu prikupljaju svi gubici koji proizlaze iz izloženosti za koje je institucija priznala stambenu ili poslovnu nekretninu kao kolateral, u svakom pojedinom slučaju, do dijela vrijednosti izloženosti koji je osiguran do založenog iznosa ili 100 % vrijednosti nekretnine, ovisno o tome koji je iznos niži.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Zbroj izloženosti</w:t>
            </w:r>
          </w:p>
          <w:p w14:paraId="7C6ADC5B" w14:textId="3D42E377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Članak 430.a stavak 1. točke (c) i (f)</w:t>
            </w:r>
            <w:r>
              <w:rPr>
                <w:sz w:val="24"/>
                <w:rFonts w:ascii="Times New Roman" w:hAnsi="Times New Roman"/>
              </w:rPr>
              <w:t xml:space="preserve"> Uredbe (EU) br. 575/2013.</w:t>
            </w:r>
          </w:p>
          <w:p w14:paraId="59F027DB" w14:textId="5CBC3927" w:rsidR="00206DF5" w:rsidRDefault="00DC5657" w:rsidP="00A6020A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Vrijednost izloženosti za izloženosti za koje je banka priznala stambene ili poslovne nekretnine, u svakom pojedinom slučaju, do dijela vrijednosti izloženosti koji je osiguran do založenog iznosa ili 100 % vrijednosti nekretnine, ovisno o tome koji je iznos niži.</w:t>
            </w:r>
          </w:p>
          <w:p w14:paraId="1CF31593" w14:textId="7B1602CE" w:rsidR="00A122F8" w:rsidRPr="008A4E00" w:rsidRDefault="00A122F8" w:rsidP="000D2664">
            <w:pPr>
              <w:spacing w:beforeLines="60" w:before="144" w:afterLines="60" w:after="144"/>
              <w:jc w:val="left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U slučaju neispunjavanja obveza, za izloženosti koje su dobile status neispunjavanja obveza tijekom tog razdoblja, iskazana vrijednost izloženosti jednaka je vrijednosti izloženosti neposredno prije nastanka statusa neispunjavanja obveza, a za izloženosti koje su dobile status neispunjavanja obveza tijekom prošlih razdoblja, iskazana vrijednost izloženosti jednaka je vrijednosti izloženosti na referentni datum.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Redci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Stambene nekretnine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BFD2574" w14:textId="2863C850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Stambene nekretnine kako su definirane člankom 4. stavkom 1. točkom 75. </w:t>
            </w:r>
            <w:r>
              <w:rPr>
                <w:sz w:val="24"/>
                <w:rFonts w:ascii="Times New Roman" w:hAnsi="Times New Roman"/>
              </w:rPr>
              <w:t xml:space="preserve">Uredbe (EU) br. 575/2013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.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8004" w:type="dxa"/>
          </w:tcPr>
          <w:p w14:paraId="7BAFC089" w14:textId="77777777" w:rsidR="00A50938" w:rsidRDefault="00F76469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Poslovne nekretnine</w:t>
            </w:r>
          </w:p>
          <w:p w14:paraId="44906BD1" w14:textId="55C01692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berschrift"/>
                <w:b w:val="0"/>
                <w:b w:val="0"/>
                <w:rFonts w:ascii="Times New Roman" w:hAnsi="Times New Roman"/>
              </w:rPr>
              <w:t xml:space="preserve">Poslovne nekretnine kako su definirane člankom 4. stavkom 1. točkom 75.a</w:t>
            </w:r>
            <w:r>
              <w:rPr>
                <w:sz w:val="24"/>
                <w:rFonts w:ascii="Times New Roman" w:hAnsi="Times New Roman"/>
              </w:rPr>
              <w:t xml:space="preserve"> Uredbe (EU) br. 575/2013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.</w:t>
            </w:r>
          </w:p>
        </w:tc>
      </w:tr>
      <w:bookmarkEnd w:id="0"/>
      <w:bookmarkEnd w:id="1"/>
      <w:bookmarkEnd w:id="2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2589" w14:textId="77777777" w:rsidR="00640FF8" w:rsidRDefault="00640FF8" w:rsidP="00D946DB">
      <w:pPr>
        <w:spacing w:before="0" w:after="0"/>
      </w:pPr>
      <w:r>
        <w:separator/>
      </w:r>
    </w:p>
  </w:endnote>
  <w:endnote w:type="continuationSeparator" w:id="0">
    <w:p w14:paraId="233F7309" w14:textId="77777777" w:rsidR="00640FF8" w:rsidRDefault="00640FF8" w:rsidP="00D946DB">
      <w:pPr>
        <w:spacing w:before="0" w:after="0"/>
      </w:pPr>
      <w:r>
        <w:continuationSeparator/>
      </w:r>
    </w:p>
  </w:endnote>
  <w:endnote w:type="continuationNotice" w:id="1">
    <w:p w14:paraId="5839C73F" w14:textId="77777777" w:rsidR="00640FF8" w:rsidRDefault="00640F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20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845FA" w14:textId="62FC12DF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</w:rPr>
      <w:fldChar w:fldCharType="begin"/>
    </w:r>
    <w:r w:rsidR="00422064">
      <w:rPr>
        <w:rStyle w:val="PageNumber"/>
        <w:rFonts w:cs="Verdana"/>
      </w:rPr>
      <w:instrText xml:space="preserve">PAGE  </w:instrText>
    </w:r>
    <w:r>
      <w:rPr>
        <w:rStyle w:val="PageNumber"/>
        <w:rFonts w:cs="Verdana"/>
      </w:rPr>
      <w:fldChar w:fldCharType="separate"/>
    </w:r>
    <w:r w:rsidR="00FF5C6D">
      <w:rPr>
        <w:rStyle w:val="PageNumber"/>
        <w:rFonts w:cs="Verdana"/>
      </w:rPr>
      <w:t>5</w:t>
    </w:r>
    <w:r>
      <w:rPr>
        <w:rStyle w:val="PageNumber"/>
        <w:rFonts w:cs="Verda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1A4F860A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AC6"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DC588" w14:textId="77777777" w:rsidR="00640FF8" w:rsidRDefault="00640FF8" w:rsidP="00D946DB">
      <w:pPr>
        <w:spacing w:before="0" w:after="0"/>
      </w:pPr>
      <w:r>
        <w:separator/>
      </w:r>
    </w:p>
  </w:footnote>
  <w:footnote w:type="continuationSeparator" w:id="0">
    <w:p w14:paraId="4D79FF37" w14:textId="77777777" w:rsidR="00640FF8" w:rsidRDefault="00640FF8" w:rsidP="00D946DB">
      <w:pPr>
        <w:spacing w:before="0" w:after="0"/>
      </w:pPr>
      <w:r>
        <w:continuationSeparator/>
      </w:r>
    </w:p>
  </w:footnote>
  <w:footnote w:type="continuationNotice" w:id="1">
    <w:p w14:paraId="399F63B9" w14:textId="77777777" w:rsidR="00640FF8" w:rsidRDefault="00640F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4EAA8" w14:textId="062CB9A6" w:rsidR="00D25D7E" w:rsidRDefault="00AE7099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7CDABB71" wp14:editId="7572572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" name="Text Box 2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17A37D" w14:textId="36E7D23F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DABB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upotreba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517A37D" w14:textId="36E7D23F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862A" w14:textId="201CB573" w:rsidR="00A6020A" w:rsidRDefault="00AE7099" w:rsidP="00E577B1">
    <w:pPr>
      <w:pStyle w:val="Header"/>
      <w:jc w:val="cent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0869C610" wp14:editId="4F40754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" name="Text Box 3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29FE0" w14:textId="4DFC2B24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9C61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upotreba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3429FE0" w14:textId="4DFC2B24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HR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AD72C" w14:textId="7DBF2B83" w:rsidR="00D25D7E" w:rsidRDefault="00AE7099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9F548E3" wp14:editId="21030F7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" name="Text Box 1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5F575C" w14:textId="64A70D7B" w:rsidR="00AE7099" w:rsidRPr="00AE7099" w:rsidRDefault="00AE7099" w:rsidP="00AE7099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54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upotr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005F575C" w14:textId="64A70D7B" w:rsidR="00AE7099" w:rsidRPr="00AE7099" w:rsidRDefault="00AE7099" w:rsidP="00AE7099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73D3853"/>
    <w:multiLevelType w:val="hybridMultilevel"/>
    <w:tmpl w:val="30522BE8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18233CA"/>
    <w:multiLevelType w:val="hybridMultilevel"/>
    <w:tmpl w:val="121E8CF0"/>
    <w:lvl w:ilvl="0" w:tplc="CA244EBE">
      <w:start w:val="18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4C71D7"/>
    <w:multiLevelType w:val="hybridMultilevel"/>
    <w:tmpl w:val="BC489BA8"/>
    <w:lvl w:ilvl="0" w:tplc="0809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7370B5"/>
    <w:multiLevelType w:val="hybridMultilevel"/>
    <w:tmpl w:val="6552965A"/>
    <w:lvl w:ilvl="0" w:tplc="0809001B">
      <w:start w:val="1"/>
      <w:numFmt w:val="lowerRoman"/>
      <w:lvlText w:val="%1."/>
      <w:lvlJc w:val="righ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627253">
    <w:abstractNumId w:val="0"/>
  </w:num>
  <w:num w:numId="2" w16cid:durableId="798644585">
    <w:abstractNumId w:val="19"/>
  </w:num>
  <w:num w:numId="3" w16cid:durableId="1024133282">
    <w:abstractNumId w:val="26"/>
  </w:num>
  <w:num w:numId="4" w16cid:durableId="1992908972">
    <w:abstractNumId w:val="14"/>
  </w:num>
  <w:num w:numId="5" w16cid:durableId="961426123">
    <w:abstractNumId w:val="22"/>
  </w:num>
  <w:num w:numId="6" w16cid:durableId="2133818245">
    <w:abstractNumId w:val="13"/>
  </w:num>
  <w:num w:numId="7" w16cid:durableId="138495051">
    <w:abstractNumId w:val="25"/>
  </w:num>
  <w:num w:numId="8" w16cid:durableId="2031376384">
    <w:abstractNumId w:val="4"/>
  </w:num>
  <w:num w:numId="9" w16cid:durableId="618881500">
    <w:abstractNumId w:val="20"/>
  </w:num>
  <w:num w:numId="10" w16cid:durableId="739792580">
    <w:abstractNumId w:val="11"/>
  </w:num>
  <w:num w:numId="11" w16cid:durableId="1574702319">
    <w:abstractNumId w:val="16"/>
  </w:num>
  <w:num w:numId="12" w16cid:durableId="292907557">
    <w:abstractNumId w:val="8"/>
  </w:num>
  <w:num w:numId="13" w16cid:durableId="635065301">
    <w:abstractNumId w:val="21"/>
  </w:num>
  <w:num w:numId="14" w16cid:durableId="2070495094">
    <w:abstractNumId w:val="18"/>
  </w:num>
  <w:num w:numId="15" w16cid:durableId="1490900145">
    <w:abstractNumId w:val="24"/>
  </w:num>
  <w:num w:numId="16" w16cid:durableId="2002273627">
    <w:abstractNumId w:val="10"/>
  </w:num>
  <w:num w:numId="17" w16cid:durableId="186867669">
    <w:abstractNumId w:val="15"/>
  </w:num>
  <w:num w:numId="18" w16cid:durableId="692345895">
    <w:abstractNumId w:val="9"/>
  </w:num>
  <w:num w:numId="19" w16cid:durableId="632297362">
    <w:abstractNumId w:val="23"/>
  </w:num>
  <w:num w:numId="20" w16cid:durableId="1526017383">
    <w:abstractNumId w:val="1"/>
  </w:num>
  <w:num w:numId="21" w16cid:durableId="1185287795">
    <w:abstractNumId w:val="6"/>
  </w:num>
  <w:num w:numId="22" w16cid:durableId="526065923">
    <w:abstractNumId w:val="3"/>
  </w:num>
  <w:num w:numId="23" w16cid:durableId="1553075888">
    <w:abstractNumId w:val="12"/>
  </w:num>
  <w:num w:numId="24" w16cid:durableId="474299294">
    <w:abstractNumId w:val="21"/>
  </w:num>
  <w:num w:numId="25" w16cid:durableId="89858312">
    <w:abstractNumId w:val="21"/>
  </w:num>
  <w:num w:numId="26" w16cid:durableId="1371304306">
    <w:abstractNumId w:val="21"/>
  </w:num>
  <w:num w:numId="27" w16cid:durableId="713700720">
    <w:abstractNumId w:val="21"/>
  </w:num>
  <w:num w:numId="28" w16cid:durableId="320695268">
    <w:abstractNumId w:val="17"/>
  </w:num>
  <w:num w:numId="29" w16cid:durableId="1538926268">
    <w:abstractNumId w:val="5"/>
  </w:num>
  <w:num w:numId="30" w16cid:durableId="1999142083">
    <w:abstractNumId w:val="2"/>
  </w:num>
  <w:num w:numId="31" w16cid:durableId="2070807001">
    <w:abstractNumId w:val="21"/>
  </w:num>
  <w:num w:numId="32" w16cid:durableId="1536692119">
    <w:abstractNumId w:val="21"/>
  </w:num>
  <w:num w:numId="33" w16cid:durableId="1935822808">
    <w:abstractNumId w:val="21"/>
  </w:num>
  <w:num w:numId="34" w16cid:durableId="1916696446">
    <w:abstractNumId w:val="21"/>
  </w:num>
  <w:num w:numId="35" w16cid:durableId="579212693">
    <w:abstractNumId w:val="21"/>
  </w:num>
  <w:num w:numId="36" w16cid:durableId="500699256">
    <w:abstractNumId w:val="21"/>
  </w:num>
  <w:num w:numId="37" w16cid:durableId="313922558">
    <w:abstractNumId w:val="7"/>
  </w:num>
  <w:num w:numId="38" w16cid:durableId="53713351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20E5"/>
    <w:rsid w:val="00004535"/>
    <w:rsid w:val="00004FE8"/>
    <w:rsid w:val="00005765"/>
    <w:rsid w:val="00005FFC"/>
    <w:rsid w:val="0000647C"/>
    <w:rsid w:val="000078BB"/>
    <w:rsid w:val="00007D0D"/>
    <w:rsid w:val="00011BD0"/>
    <w:rsid w:val="00013EF3"/>
    <w:rsid w:val="00014890"/>
    <w:rsid w:val="00020A6B"/>
    <w:rsid w:val="000232E2"/>
    <w:rsid w:val="000243CE"/>
    <w:rsid w:val="00025213"/>
    <w:rsid w:val="0002657F"/>
    <w:rsid w:val="00027242"/>
    <w:rsid w:val="000308EC"/>
    <w:rsid w:val="000326C1"/>
    <w:rsid w:val="000326ED"/>
    <w:rsid w:val="00037093"/>
    <w:rsid w:val="000471B0"/>
    <w:rsid w:val="0005400A"/>
    <w:rsid w:val="0005609F"/>
    <w:rsid w:val="00057362"/>
    <w:rsid w:val="0006041B"/>
    <w:rsid w:val="0006070B"/>
    <w:rsid w:val="00061381"/>
    <w:rsid w:val="00061E48"/>
    <w:rsid w:val="00063085"/>
    <w:rsid w:val="00072201"/>
    <w:rsid w:val="000752C0"/>
    <w:rsid w:val="00076091"/>
    <w:rsid w:val="00076252"/>
    <w:rsid w:val="00076880"/>
    <w:rsid w:val="000828C6"/>
    <w:rsid w:val="00084E48"/>
    <w:rsid w:val="0008513B"/>
    <w:rsid w:val="000858A9"/>
    <w:rsid w:val="000907F9"/>
    <w:rsid w:val="0009555F"/>
    <w:rsid w:val="000958DC"/>
    <w:rsid w:val="00097D02"/>
    <w:rsid w:val="000A1640"/>
    <w:rsid w:val="000A1FD8"/>
    <w:rsid w:val="000B0613"/>
    <w:rsid w:val="000B0EBE"/>
    <w:rsid w:val="000C03AE"/>
    <w:rsid w:val="000C1DA4"/>
    <w:rsid w:val="000C43E4"/>
    <w:rsid w:val="000C4999"/>
    <w:rsid w:val="000C57E4"/>
    <w:rsid w:val="000D220D"/>
    <w:rsid w:val="000D2539"/>
    <w:rsid w:val="000D2664"/>
    <w:rsid w:val="000D77A6"/>
    <w:rsid w:val="000E13C0"/>
    <w:rsid w:val="000E1572"/>
    <w:rsid w:val="000E20F0"/>
    <w:rsid w:val="000E29C9"/>
    <w:rsid w:val="000E6DE9"/>
    <w:rsid w:val="000E7BA8"/>
    <w:rsid w:val="000F083B"/>
    <w:rsid w:val="000F0ADF"/>
    <w:rsid w:val="000F2F09"/>
    <w:rsid w:val="000F4183"/>
    <w:rsid w:val="000F4702"/>
    <w:rsid w:val="000F4EF7"/>
    <w:rsid w:val="000F6A80"/>
    <w:rsid w:val="000F6B25"/>
    <w:rsid w:val="00102A42"/>
    <w:rsid w:val="00111EB1"/>
    <w:rsid w:val="001152F0"/>
    <w:rsid w:val="001156CB"/>
    <w:rsid w:val="0012049B"/>
    <w:rsid w:val="00122DF3"/>
    <w:rsid w:val="00124B85"/>
    <w:rsid w:val="00124BAE"/>
    <w:rsid w:val="001273B5"/>
    <w:rsid w:val="00133671"/>
    <w:rsid w:val="00133AC1"/>
    <w:rsid w:val="00136316"/>
    <w:rsid w:val="001402DB"/>
    <w:rsid w:val="00141BC0"/>
    <w:rsid w:val="001432EE"/>
    <w:rsid w:val="00153D11"/>
    <w:rsid w:val="001570C4"/>
    <w:rsid w:val="0016249C"/>
    <w:rsid w:val="00163DBA"/>
    <w:rsid w:val="00165232"/>
    <w:rsid w:val="001721BD"/>
    <w:rsid w:val="0017420B"/>
    <w:rsid w:val="00174E95"/>
    <w:rsid w:val="00175742"/>
    <w:rsid w:val="00175957"/>
    <w:rsid w:val="00175E85"/>
    <w:rsid w:val="001809F0"/>
    <w:rsid w:val="00183B7A"/>
    <w:rsid w:val="00184E8A"/>
    <w:rsid w:val="001854F6"/>
    <w:rsid w:val="00185877"/>
    <w:rsid w:val="001919E9"/>
    <w:rsid w:val="0019727E"/>
    <w:rsid w:val="001A387F"/>
    <w:rsid w:val="001A40BD"/>
    <w:rsid w:val="001A44B3"/>
    <w:rsid w:val="001A45DE"/>
    <w:rsid w:val="001A646C"/>
    <w:rsid w:val="001B1C31"/>
    <w:rsid w:val="001B2E15"/>
    <w:rsid w:val="001B416C"/>
    <w:rsid w:val="001B4EA5"/>
    <w:rsid w:val="001C05DD"/>
    <w:rsid w:val="001C1392"/>
    <w:rsid w:val="001D1143"/>
    <w:rsid w:val="001D3931"/>
    <w:rsid w:val="001D7FA7"/>
    <w:rsid w:val="001E01BA"/>
    <w:rsid w:val="001E0746"/>
    <w:rsid w:val="001E0A00"/>
    <w:rsid w:val="001E1770"/>
    <w:rsid w:val="001E2C99"/>
    <w:rsid w:val="001E4846"/>
    <w:rsid w:val="001E5A75"/>
    <w:rsid w:val="001E6B9D"/>
    <w:rsid w:val="001E7A23"/>
    <w:rsid w:val="001F13DC"/>
    <w:rsid w:val="001F2920"/>
    <w:rsid w:val="001F5AC3"/>
    <w:rsid w:val="001F5FFF"/>
    <w:rsid w:val="002008A8"/>
    <w:rsid w:val="00203471"/>
    <w:rsid w:val="00204C72"/>
    <w:rsid w:val="002065F3"/>
    <w:rsid w:val="00206DF5"/>
    <w:rsid w:val="0021389C"/>
    <w:rsid w:val="00213DC3"/>
    <w:rsid w:val="002145FC"/>
    <w:rsid w:val="0021767A"/>
    <w:rsid w:val="002201EA"/>
    <w:rsid w:val="0022074D"/>
    <w:rsid w:val="00221103"/>
    <w:rsid w:val="00221BC8"/>
    <w:rsid w:val="0022286F"/>
    <w:rsid w:val="00222AC6"/>
    <w:rsid w:val="00225D42"/>
    <w:rsid w:val="002272AF"/>
    <w:rsid w:val="0023488F"/>
    <w:rsid w:val="002357EA"/>
    <w:rsid w:val="0023744A"/>
    <w:rsid w:val="00245325"/>
    <w:rsid w:val="00250176"/>
    <w:rsid w:val="002501FF"/>
    <w:rsid w:val="002506A3"/>
    <w:rsid w:val="00253022"/>
    <w:rsid w:val="00253C85"/>
    <w:rsid w:val="00254DF6"/>
    <w:rsid w:val="00257DD0"/>
    <w:rsid w:val="00260BC4"/>
    <w:rsid w:val="00260FD8"/>
    <w:rsid w:val="00261161"/>
    <w:rsid w:val="00262C1B"/>
    <w:rsid w:val="00264FBF"/>
    <w:rsid w:val="002664C7"/>
    <w:rsid w:val="0026790E"/>
    <w:rsid w:val="00271C8B"/>
    <w:rsid w:val="00272446"/>
    <w:rsid w:val="002779CE"/>
    <w:rsid w:val="00281D57"/>
    <w:rsid w:val="002837CF"/>
    <w:rsid w:val="00285E2F"/>
    <w:rsid w:val="00291779"/>
    <w:rsid w:val="002920FF"/>
    <w:rsid w:val="002A04D3"/>
    <w:rsid w:val="002A076F"/>
    <w:rsid w:val="002A242A"/>
    <w:rsid w:val="002A7428"/>
    <w:rsid w:val="002A74C1"/>
    <w:rsid w:val="002A7FF5"/>
    <w:rsid w:val="002B264F"/>
    <w:rsid w:val="002B6F88"/>
    <w:rsid w:val="002C41F1"/>
    <w:rsid w:val="002C6263"/>
    <w:rsid w:val="002D2648"/>
    <w:rsid w:val="002D4E10"/>
    <w:rsid w:val="002D6B9E"/>
    <w:rsid w:val="002E053A"/>
    <w:rsid w:val="002E2061"/>
    <w:rsid w:val="002E28B2"/>
    <w:rsid w:val="002E30C8"/>
    <w:rsid w:val="002E3720"/>
    <w:rsid w:val="002E4EB7"/>
    <w:rsid w:val="002E587F"/>
    <w:rsid w:val="002F0367"/>
    <w:rsid w:val="002F0D58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4A28"/>
    <w:rsid w:val="00325A59"/>
    <w:rsid w:val="003261B0"/>
    <w:rsid w:val="00331FE6"/>
    <w:rsid w:val="00332D09"/>
    <w:rsid w:val="00333A44"/>
    <w:rsid w:val="003369E2"/>
    <w:rsid w:val="00340064"/>
    <w:rsid w:val="0034414E"/>
    <w:rsid w:val="00345E53"/>
    <w:rsid w:val="00347FF9"/>
    <w:rsid w:val="00357F63"/>
    <w:rsid w:val="003616A1"/>
    <w:rsid w:val="00363FCE"/>
    <w:rsid w:val="00365FA3"/>
    <w:rsid w:val="00367F15"/>
    <w:rsid w:val="00370EBE"/>
    <w:rsid w:val="00371593"/>
    <w:rsid w:val="0037299F"/>
    <w:rsid w:val="00372D30"/>
    <w:rsid w:val="00373A71"/>
    <w:rsid w:val="00375F61"/>
    <w:rsid w:val="003859C7"/>
    <w:rsid w:val="00387AB9"/>
    <w:rsid w:val="00387E40"/>
    <w:rsid w:val="00390DDA"/>
    <w:rsid w:val="00391956"/>
    <w:rsid w:val="00393539"/>
    <w:rsid w:val="003A0C05"/>
    <w:rsid w:val="003A200A"/>
    <w:rsid w:val="003A2135"/>
    <w:rsid w:val="003A3C8E"/>
    <w:rsid w:val="003A3E0C"/>
    <w:rsid w:val="003A449C"/>
    <w:rsid w:val="003A767F"/>
    <w:rsid w:val="003B0BD3"/>
    <w:rsid w:val="003B166F"/>
    <w:rsid w:val="003B3DBB"/>
    <w:rsid w:val="003B6551"/>
    <w:rsid w:val="003B784B"/>
    <w:rsid w:val="003C05CB"/>
    <w:rsid w:val="003C2566"/>
    <w:rsid w:val="003C60B9"/>
    <w:rsid w:val="003D108A"/>
    <w:rsid w:val="003D10E9"/>
    <w:rsid w:val="003D2987"/>
    <w:rsid w:val="003D431C"/>
    <w:rsid w:val="003D446E"/>
    <w:rsid w:val="003D56DE"/>
    <w:rsid w:val="003E0595"/>
    <w:rsid w:val="003E2A3B"/>
    <w:rsid w:val="003E2DB4"/>
    <w:rsid w:val="003F1100"/>
    <w:rsid w:val="003F15BB"/>
    <w:rsid w:val="003F29ED"/>
    <w:rsid w:val="003F2C1B"/>
    <w:rsid w:val="003F4BA1"/>
    <w:rsid w:val="003F65EC"/>
    <w:rsid w:val="00400DDB"/>
    <w:rsid w:val="00401111"/>
    <w:rsid w:val="00405B22"/>
    <w:rsid w:val="00406A75"/>
    <w:rsid w:val="00410FAC"/>
    <w:rsid w:val="00412D44"/>
    <w:rsid w:val="00415627"/>
    <w:rsid w:val="00415A1B"/>
    <w:rsid w:val="00415BAF"/>
    <w:rsid w:val="00417752"/>
    <w:rsid w:val="00422064"/>
    <w:rsid w:val="00427728"/>
    <w:rsid w:val="0043001B"/>
    <w:rsid w:val="004345C2"/>
    <w:rsid w:val="00435F58"/>
    <w:rsid w:val="004374F3"/>
    <w:rsid w:val="004377DA"/>
    <w:rsid w:val="004377E2"/>
    <w:rsid w:val="0044118B"/>
    <w:rsid w:val="00443003"/>
    <w:rsid w:val="00445E06"/>
    <w:rsid w:val="00446C32"/>
    <w:rsid w:val="00452FEF"/>
    <w:rsid w:val="0045477F"/>
    <w:rsid w:val="00455364"/>
    <w:rsid w:val="0046092C"/>
    <w:rsid w:val="00461A5A"/>
    <w:rsid w:val="00461E72"/>
    <w:rsid w:val="00462F08"/>
    <w:rsid w:val="0047002B"/>
    <w:rsid w:val="0047503C"/>
    <w:rsid w:val="00480C9B"/>
    <w:rsid w:val="0048116C"/>
    <w:rsid w:val="00481E04"/>
    <w:rsid w:val="00484DDA"/>
    <w:rsid w:val="004901BE"/>
    <w:rsid w:val="004927EA"/>
    <w:rsid w:val="0049414E"/>
    <w:rsid w:val="004965AF"/>
    <w:rsid w:val="00496F5D"/>
    <w:rsid w:val="004A23BC"/>
    <w:rsid w:val="004A4CEC"/>
    <w:rsid w:val="004A4FE1"/>
    <w:rsid w:val="004A5880"/>
    <w:rsid w:val="004A5B72"/>
    <w:rsid w:val="004A5FA6"/>
    <w:rsid w:val="004A6C52"/>
    <w:rsid w:val="004B18DC"/>
    <w:rsid w:val="004B2023"/>
    <w:rsid w:val="004B2302"/>
    <w:rsid w:val="004B2A17"/>
    <w:rsid w:val="004B3DB3"/>
    <w:rsid w:val="004B4BB9"/>
    <w:rsid w:val="004B5E54"/>
    <w:rsid w:val="004B6CDE"/>
    <w:rsid w:val="004C0B2A"/>
    <w:rsid w:val="004C2CFD"/>
    <w:rsid w:val="004C41D1"/>
    <w:rsid w:val="004C46D2"/>
    <w:rsid w:val="004D10E3"/>
    <w:rsid w:val="004E04BF"/>
    <w:rsid w:val="004E6287"/>
    <w:rsid w:val="004E748D"/>
    <w:rsid w:val="004F5080"/>
    <w:rsid w:val="00502390"/>
    <w:rsid w:val="00502665"/>
    <w:rsid w:val="00502FC6"/>
    <w:rsid w:val="00503445"/>
    <w:rsid w:val="0050399F"/>
    <w:rsid w:val="005040F5"/>
    <w:rsid w:val="005067A1"/>
    <w:rsid w:val="00511DAB"/>
    <w:rsid w:val="005135D6"/>
    <w:rsid w:val="005144BB"/>
    <w:rsid w:val="005161E1"/>
    <w:rsid w:val="00516E92"/>
    <w:rsid w:val="00527482"/>
    <w:rsid w:val="00530AF1"/>
    <w:rsid w:val="00530FC7"/>
    <w:rsid w:val="005324B7"/>
    <w:rsid w:val="0053327A"/>
    <w:rsid w:val="00533D6A"/>
    <w:rsid w:val="005353CF"/>
    <w:rsid w:val="00536020"/>
    <w:rsid w:val="00536E77"/>
    <w:rsid w:val="005418AC"/>
    <w:rsid w:val="00541F3E"/>
    <w:rsid w:val="005429A0"/>
    <w:rsid w:val="00543CDC"/>
    <w:rsid w:val="005509E5"/>
    <w:rsid w:val="005511AD"/>
    <w:rsid w:val="00552E3E"/>
    <w:rsid w:val="0055302C"/>
    <w:rsid w:val="0055791B"/>
    <w:rsid w:val="005616B4"/>
    <w:rsid w:val="00563313"/>
    <w:rsid w:val="00563728"/>
    <w:rsid w:val="00563BBC"/>
    <w:rsid w:val="00564A89"/>
    <w:rsid w:val="00564CFE"/>
    <w:rsid w:val="00565031"/>
    <w:rsid w:val="0057435E"/>
    <w:rsid w:val="00575744"/>
    <w:rsid w:val="005809CD"/>
    <w:rsid w:val="00585466"/>
    <w:rsid w:val="0058585A"/>
    <w:rsid w:val="00587BFA"/>
    <w:rsid w:val="005911AC"/>
    <w:rsid w:val="005932A3"/>
    <w:rsid w:val="00593E1F"/>
    <w:rsid w:val="00595F1C"/>
    <w:rsid w:val="005A18FB"/>
    <w:rsid w:val="005A2363"/>
    <w:rsid w:val="005A6305"/>
    <w:rsid w:val="005A7228"/>
    <w:rsid w:val="005A79D0"/>
    <w:rsid w:val="005A7F4C"/>
    <w:rsid w:val="005B02DE"/>
    <w:rsid w:val="005B0C8D"/>
    <w:rsid w:val="005B13A0"/>
    <w:rsid w:val="005B1BC6"/>
    <w:rsid w:val="005B1CE2"/>
    <w:rsid w:val="005B1D1D"/>
    <w:rsid w:val="005B1F21"/>
    <w:rsid w:val="005B45AF"/>
    <w:rsid w:val="005B4769"/>
    <w:rsid w:val="005B6F8B"/>
    <w:rsid w:val="005B790A"/>
    <w:rsid w:val="005C1BC9"/>
    <w:rsid w:val="005C287F"/>
    <w:rsid w:val="005C453E"/>
    <w:rsid w:val="005C4A33"/>
    <w:rsid w:val="005C7A91"/>
    <w:rsid w:val="005D254B"/>
    <w:rsid w:val="005D6364"/>
    <w:rsid w:val="005F16BE"/>
    <w:rsid w:val="005F5B6B"/>
    <w:rsid w:val="005F6FDF"/>
    <w:rsid w:val="006001D9"/>
    <w:rsid w:val="00601450"/>
    <w:rsid w:val="0060294D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01A8"/>
    <w:rsid w:val="00627143"/>
    <w:rsid w:val="006317A9"/>
    <w:rsid w:val="00632F57"/>
    <w:rsid w:val="006331D1"/>
    <w:rsid w:val="00634466"/>
    <w:rsid w:val="0063522C"/>
    <w:rsid w:val="00640FF8"/>
    <w:rsid w:val="00643011"/>
    <w:rsid w:val="006444FA"/>
    <w:rsid w:val="00645620"/>
    <w:rsid w:val="00646CBA"/>
    <w:rsid w:val="00650DB8"/>
    <w:rsid w:val="00651C18"/>
    <w:rsid w:val="00652DF7"/>
    <w:rsid w:val="00652F11"/>
    <w:rsid w:val="00654440"/>
    <w:rsid w:val="00657F38"/>
    <w:rsid w:val="0066173C"/>
    <w:rsid w:val="00663E49"/>
    <w:rsid w:val="00670A5E"/>
    <w:rsid w:val="00673F9D"/>
    <w:rsid w:val="006746DB"/>
    <w:rsid w:val="006771CE"/>
    <w:rsid w:val="006778A2"/>
    <w:rsid w:val="00686F1D"/>
    <w:rsid w:val="006916DC"/>
    <w:rsid w:val="00693708"/>
    <w:rsid w:val="00694888"/>
    <w:rsid w:val="00696F12"/>
    <w:rsid w:val="006A01F5"/>
    <w:rsid w:val="006A5CCF"/>
    <w:rsid w:val="006A7489"/>
    <w:rsid w:val="006B10DE"/>
    <w:rsid w:val="006B19A0"/>
    <w:rsid w:val="006B2A31"/>
    <w:rsid w:val="006B34BE"/>
    <w:rsid w:val="006B55D6"/>
    <w:rsid w:val="006B5BA8"/>
    <w:rsid w:val="006B6512"/>
    <w:rsid w:val="006B7228"/>
    <w:rsid w:val="006C0915"/>
    <w:rsid w:val="006C11BB"/>
    <w:rsid w:val="006C22E7"/>
    <w:rsid w:val="006C3FF9"/>
    <w:rsid w:val="006C4174"/>
    <w:rsid w:val="006C45C6"/>
    <w:rsid w:val="006D3D79"/>
    <w:rsid w:val="006D4517"/>
    <w:rsid w:val="006D49F3"/>
    <w:rsid w:val="006D5FE5"/>
    <w:rsid w:val="006E3A33"/>
    <w:rsid w:val="006E3E65"/>
    <w:rsid w:val="006E52E7"/>
    <w:rsid w:val="006F11C3"/>
    <w:rsid w:val="006F1DEB"/>
    <w:rsid w:val="006F3133"/>
    <w:rsid w:val="00704711"/>
    <w:rsid w:val="007111EB"/>
    <w:rsid w:val="00711602"/>
    <w:rsid w:val="00711F3A"/>
    <w:rsid w:val="00712B6C"/>
    <w:rsid w:val="00713F52"/>
    <w:rsid w:val="00715084"/>
    <w:rsid w:val="0072061E"/>
    <w:rsid w:val="00721A22"/>
    <w:rsid w:val="00721CEA"/>
    <w:rsid w:val="00721E4B"/>
    <w:rsid w:val="007247ED"/>
    <w:rsid w:val="007260B2"/>
    <w:rsid w:val="00727CAB"/>
    <w:rsid w:val="00734FC1"/>
    <w:rsid w:val="0073581C"/>
    <w:rsid w:val="00736AD5"/>
    <w:rsid w:val="00736D27"/>
    <w:rsid w:val="007420C6"/>
    <w:rsid w:val="007434D0"/>
    <w:rsid w:val="007503D4"/>
    <w:rsid w:val="0075401D"/>
    <w:rsid w:val="00754E7E"/>
    <w:rsid w:val="0075517F"/>
    <w:rsid w:val="007567D8"/>
    <w:rsid w:val="0076257F"/>
    <w:rsid w:val="00763A4B"/>
    <w:rsid w:val="00764E61"/>
    <w:rsid w:val="00766432"/>
    <w:rsid w:val="0076755A"/>
    <w:rsid w:val="00770527"/>
    <w:rsid w:val="00773564"/>
    <w:rsid w:val="00773C32"/>
    <w:rsid w:val="00774712"/>
    <w:rsid w:val="007759BD"/>
    <w:rsid w:val="0078015D"/>
    <w:rsid w:val="00781160"/>
    <w:rsid w:val="007827A3"/>
    <w:rsid w:val="00785C81"/>
    <w:rsid w:val="00785E60"/>
    <w:rsid w:val="007864CA"/>
    <w:rsid w:val="00787CDE"/>
    <w:rsid w:val="007A1D61"/>
    <w:rsid w:val="007A3E00"/>
    <w:rsid w:val="007A6B83"/>
    <w:rsid w:val="007B003C"/>
    <w:rsid w:val="007B0068"/>
    <w:rsid w:val="007B0AC3"/>
    <w:rsid w:val="007B2752"/>
    <w:rsid w:val="007B5341"/>
    <w:rsid w:val="007B5523"/>
    <w:rsid w:val="007C2A7D"/>
    <w:rsid w:val="007C4C33"/>
    <w:rsid w:val="007D2AEF"/>
    <w:rsid w:val="007D7518"/>
    <w:rsid w:val="007E18BB"/>
    <w:rsid w:val="007E1AB4"/>
    <w:rsid w:val="007E3047"/>
    <w:rsid w:val="007E33D4"/>
    <w:rsid w:val="007E475F"/>
    <w:rsid w:val="007E4FF6"/>
    <w:rsid w:val="007F0442"/>
    <w:rsid w:val="007F6890"/>
    <w:rsid w:val="007F7A60"/>
    <w:rsid w:val="00800D4D"/>
    <w:rsid w:val="008024B2"/>
    <w:rsid w:val="00804409"/>
    <w:rsid w:val="008049DD"/>
    <w:rsid w:val="00810020"/>
    <w:rsid w:val="00815352"/>
    <w:rsid w:val="00816866"/>
    <w:rsid w:val="00816B32"/>
    <w:rsid w:val="00820370"/>
    <w:rsid w:val="00820E23"/>
    <w:rsid w:val="00826369"/>
    <w:rsid w:val="008274E7"/>
    <w:rsid w:val="00827661"/>
    <w:rsid w:val="0083444D"/>
    <w:rsid w:val="00835434"/>
    <w:rsid w:val="00835C71"/>
    <w:rsid w:val="00837C8C"/>
    <w:rsid w:val="00840FC0"/>
    <w:rsid w:val="008420D9"/>
    <w:rsid w:val="0084251A"/>
    <w:rsid w:val="008427C5"/>
    <w:rsid w:val="008451D4"/>
    <w:rsid w:val="00845545"/>
    <w:rsid w:val="00851AEB"/>
    <w:rsid w:val="00852B3E"/>
    <w:rsid w:val="00856854"/>
    <w:rsid w:val="00861241"/>
    <w:rsid w:val="00862FC2"/>
    <w:rsid w:val="0087489F"/>
    <w:rsid w:val="00875044"/>
    <w:rsid w:val="008774F3"/>
    <w:rsid w:val="008815DE"/>
    <w:rsid w:val="0088172D"/>
    <w:rsid w:val="00882CA0"/>
    <w:rsid w:val="00884FEB"/>
    <w:rsid w:val="0088630E"/>
    <w:rsid w:val="00892068"/>
    <w:rsid w:val="00895A26"/>
    <w:rsid w:val="00896567"/>
    <w:rsid w:val="008A054E"/>
    <w:rsid w:val="008A4E00"/>
    <w:rsid w:val="008A68FE"/>
    <w:rsid w:val="008A7A5D"/>
    <w:rsid w:val="008B0FC6"/>
    <w:rsid w:val="008B2F5E"/>
    <w:rsid w:val="008B5777"/>
    <w:rsid w:val="008B6066"/>
    <w:rsid w:val="008B622E"/>
    <w:rsid w:val="008B702C"/>
    <w:rsid w:val="008B7267"/>
    <w:rsid w:val="008C122C"/>
    <w:rsid w:val="008C60AC"/>
    <w:rsid w:val="008C6A88"/>
    <w:rsid w:val="008C6E0B"/>
    <w:rsid w:val="008D2210"/>
    <w:rsid w:val="008D3AC5"/>
    <w:rsid w:val="008D5239"/>
    <w:rsid w:val="008D62B0"/>
    <w:rsid w:val="008D699A"/>
    <w:rsid w:val="008D72DD"/>
    <w:rsid w:val="008D74CD"/>
    <w:rsid w:val="008D7ACC"/>
    <w:rsid w:val="008E039B"/>
    <w:rsid w:val="008E09A8"/>
    <w:rsid w:val="008E0E86"/>
    <w:rsid w:val="008E0F08"/>
    <w:rsid w:val="008E32E9"/>
    <w:rsid w:val="008E3CA9"/>
    <w:rsid w:val="008E47D2"/>
    <w:rsid w:val="008E4B2C"/>
    <w:rsid w:val="008E6D8E"/>
    <w:rsid w:val="008F1D51"/>
    <w:rsid w:val="008F37D9"/>
    <w:rsid w:val="00900C1D"/>
    <w:rsid w:val="00906126"/>
    <w:rsid w:val="00915950"/>
    <w:rsid w:val="00920D63"/>
    <w:rsid w:val="00924EEF"/>
    <w:rsid w:val="00930971"/>
    <w:rsid w:val="0093297E"/>
    <w:rsid w:val="00932D3E"/>
    <w:rsid w:val="00933CEB"/>
    <w:rsid w:val="00934788"/>
    <w:rsid w:val="0093740A"/>
    <w:rsid w:val="00940F49"/>
    <w:rsid w:val="009412BB"/>
    <w:rsid w:val="009421B9"/>
    <w:rsid w:val="00942368"/>
    <w:rsid w:val="0094252A"/>
    <w:rsid w:val="00943222"/>
    <w:rsid w:val="00950950"/>
    <w:rsid w:val="00955F25"/>
    <w:rsid w:val="00965272"/>
    <w:rsid w:val="00971A2C"/>
    <w:rsid w:val="0097489D"/>
    <w:rsid w:val="00980064"/>
    <w:rsid w:val="0098245F"/>
    <w:rsid w:val="00985397"/>
    <w:rsid w:val="0098778D"/>
    <w:rsid w:val="009914EE"/>
    <w:rsid w:val="00991C37"/>
    <w:rsid w:val="0099694B"/>
    <w:rsid w:val="00997789"/>
    <w:rsid w:val="009A0EB0"/>
    <w:rsid w:val="009A1317"/>
    <w:rsid w:val="009A1DC3"/>
    <w:rsid w:val="009A2454"/>
    <w:rsid w:val="009A2E43"/>
    <w:rsid w:val="009A4B3E"/>
    <w:rsid w:val="009A6E08"/>
    <w:rsid w:val="009A7016"/>
    <w:rsid w:val="009B389F"/>
    <w:rsid w:val="009B5A09"/>
    <w:rsid w:val="009B6A46"/>
    <w:rsid w:val="009C001E"/>
    <w:rsid w:val="009C2C58"/>
    <w:rsid w:val="009C3801"/>
    <w:rsid w:val="009C4291"/>
    <w:rsid w:val="009C482C"/>
    <w:rsid w:val="009C4A52"/>
    <w:rsid w:val="009C7987"/>
    <w:rsid w:val="009C7D6A"/>
    <w:rsid w:val="009D19B5"/>
    <w:rsid w:val="009D1D65"/>
    <w:rsid w:val="009D3244"/>
    <w:rsid w:val="009D352D"/>
    <w:rsid w:val="009D386A"/>
    <w:rsid w:val="009D6955"/>
    <w:rsid w:val="009E21CF"/>
    <w:rsid w:val="009E7878"/>
    <w:rsid w:val="009F0F81"/>
    <w:rsid w:val="009F240D"/>
    <w:rsid w:val="009F2A4F"/>
    <w:rsid w:val="009F3AD0"/>
    <w:rsid w:val="009F4E0B"/>
    <w:rsid w:val="00A01C72"/>
    <w:rsid w:val="00A02850"/>
    <w:rsid w:val="00A03C89"/>
    <w:rsid w:val="00A03DC9"/>
    <w:rsid w:val="00A047BA"/>
    <w:rsid w:val="00A0483F"/>
    <w:rsid w:val="00A059BB"/>
    <w:rsid w:val="00A07D99"/>
    <w:rsid w:val="00A1207F"/>
    <w:rsid w:val="00A122F8"/>
    <w:rsid w:val="00A1288A"/>
    <w:rsid w:val="00A136CD"/>
    <w:rsid w:val="00A16DDA"/>
    <w:rsid w:val="00A20C02"/>
    <w:rsid w:val="00A22F1F"/>
    <w:rsid w:val="00A24751"/>
    <w:rsid w:val="00A253E6"/>
    <w:rsid w:val="00A25B20"/>
    <w:rsid w:val="00A27C72"/>
    <w:rsid w:val="00A30A3F"/>
    <w:rsid w:val="00A320B1"/>
    <w:rsid w:val="00A35584"/>
    <w:rsid w:val="00A41B0C"/>
    <w:rsid w:val="00A4309F"/>
    <w:rsid w:val="00A50938"/>
    <w:rsid w:val="00A513E2"/>
    <w:rsid w:val="00A51E75"/>
    <w:rsid w:val="00A6020A"/>
    <w:rsid w:val="00A62F79"/>
    <w:rsid w:val="00A64421"/>
    <w:rsid w:val="00A64C0C"/>
    <w:rsid w:val="00A7074C"/>
    <w:rsid w:val="00A72DF3"/>
    <w:rsid w:val="00A801A9"/>
    <w:rsid w:val="00A80A02"/>
    <w:rsid w:val="00A85CE0"/>
    <w:rsid w:val="00A87F6C"/>
    <w:rsid w:val="00A90BDF"/>
    <w:rsid w:val="00A91E90"/>
    <w:rsid w:val="00A95DED"/>
    <w:rsid w:val="00AA2CD4"/>
    <w:rsid w:val="00AA38AA"/>
    <w:rsid w:val="00AB0383"/>
    <w:rsid w:val="00AB2F46"/>
    <w:rsid w:val="00AB3FB6"/>
    <w:rsid w:val="00AB4E51"/>
    <w:rsid w:val="00AC13D0"/>
    <w:rsid w:val="00AC14E2"/>
    <w:rsid w:val="00AC4B8E"/>
    <w:rsid w:val="00AC5975"/>
    <w:rsid w:val="00AC5EA4"/>
    <w:rsid w:val="00AC5F45"/>
    <w:rsid w:val="00AC7EDE"/>
    <w:rsid w:val="00AD061B"/>
    <w:rsid w:val="00AD3F2E"/>
    <w:rsid w:val="00AD4571"/>
    <w:rsid w:val="00AD4BAD"/>
    <w:rsid w:val="00AD65AE"/>
    <w:rsid w:val="00AD7510"/>
    <w:rsid w:val="00AE1CD7"/>
    <w:rsid w:val="00AE7099"/>
    <w:rsid w:val="00AF13EE"/>
    <w:rsid w:val="00AF3AC6"/>
    <w:rsid w:val="00AF51F7"/>
    <w:rsid w:val="00AF62BC"/>
    <w:rsid w:val="00AF672F"/>
    <w:rsid w:val="00B0091C"/>
    <w:rsid w:val="00B00AEB"/>
    <w:rsid w:val="00B01163"/>
    <w:rsid w:val="00B01830"/>
    <w:rsid w:val="00B0317F"/>
    <w:rsid w:val="00B05632"/>
    <w:rsid w:val="00B057CA"/>
    <w:rsid w:val="00B12EA6"/>
    <w:rsid w:val="00B15280"/>
    <w:rsid w:val="00B17100"/>
    <w:rsid w:val="00B238DE"/>
    <w:rsid w:val="00B31A22"/>
    <w:rsid w:val="00B31FE8"/>
    <w:rsid w:val="00B33BBC"/>
    <w:rsid w:val="00B36BA6"/>
    <w:rsid w:val="00B439B1"/>
    <w:rsid w:val="00B44C92"/>
    <w:rsid w:val="00B45021"/>
    <w:rsid w:val="00B5171B"/>
    <w:rsid w:val="00B51AB6"/>
    <w:rsid w:val="00B51F42"/>
    <w:rsid w:val="00B52219"/>
    <w:rsid w:val="00B52E63"/>
    <w:rsid w:val="00B53022"/>
    <w:rsid w:val="00B53BC8"/>
    <w:rsid w:val="00B53D48"/>
    <w:rsid w:val="00B54B58"/>
    <w:rsid w:val="00B55397"/>
    <w:rsid w:val="00B62EC8"/>
    <w:rsid w:val="00B65AA1"/>
    <w:rsid w:val="00B72188"/>
    <w:rsid w:val="00B743FB"/>
    <w:rsid w:val="00B7489C"/>
    <w:rsid w:val="00B753A9"/>
    <w:rsid w:val="00B822A4"/>
    <w:rsid w:val="00B90541"/>
    <w:rsid w:val="00B9443C"/>
    <w:rsid w:val="00B9580E"/>
    <w:rsid w:val="00B97547"/>
    <w:rsid w:val="00BA3836"/>
    <w:rsid w:val="00BA6E03"/>
    <w:rsid w:val="00BB0ADD"/>
    <w:rsid w:val="00BB24ED"/>
    <w:rsid w:val="00BB4760"/>
    <w:rsid w:val="00BB47EF"/>
    <w:rsid w:val="00BB50BB"/>
    <w:rsid w:val="00BC068F"/>
    <w:rsid w:val="00BC6C9C"/>
    <w:rsid w:val="00BD0C03"/>
    <w:rsid w:val="00BD3607"/>
    <w:rsid w:val="00BD6554"/>
    <w:rsid w:val="00BE1311"/>
    <w:rsid w:val="00BE16D7"/>
    <w:rsid w:val="00BE1EE0"/>
    <w:rsid w:val="00BE358B"/>
    <w:rsid w:val="00BE596A"/>
    <w:rsid w:val="00BF1BCE"/>
    <w:rsid w:val="00BF34CE"/>
    <w:rsid w:val="00BF3E1F"/>
    <w:rsid w:val="00BF3F28"/>
    <w:rsid w:val="00BF7593"/>
    <w:rsid w:val="00C01554"/>
    <w:rsid w:val="00C029A7"/>
    <w:rsid w:val="00C029BC"/>
    <w:rsid w:val="00C04AB6"/>
    <w:rsid w:val="00C04D37"/>
    <w:rsid w:val="00C06D30"/>
    <w:rsid w:val="00C074C4"/>
    <w:rsid w:val="00C10ADF"/>
    <w:rsid w:val="00C10C80"/>
    <w:rsid w:val="00C12FEB"/>
    <w:rsid w:val="00C14552"/>
    <w:rsid w:val="00C21877"/>
    <w:rsid w:val="00C23E10"/>
    <w:rsid w:val="00C25670"/>
    <w:rsid w:val="00C2636B"/>
    <w:rsid w:val="00C2758E"/>
    <w:rsid w:val="00C277FB"/>
    <w:rsid w:val="00C30D17"/>
    <w:rsid w:val="00C312C1"/>
    <w:rsid w:val="00C3194E"/>
    <w:rsid w:val="00C356C8"/>
    <w:rsid w:val="00C367B4"/>
    <w:rsid w:val="00C36B2D"/>
    <w:rsid w:val="00C40D60"/>
    <w:rsid w:val="00C43A7D"/>
    <w:rsid w:val="00C454C9"/>
    <w:rsid w:val="00C46DB1"/>
    <w:rsid w:val="00C47BD3"/>
    <w:rsid w:val="00C503D4"/>
    <w:rsid w:val="00C54763"/>
    <w:rsid w:val="00C563A1"/>
    <w:rsid w:val="00C60BE1"/>
    <w:rsid w:val="00C62E09"/>
    <w:rsid w:val="00C635CF"/>
    <w:rsid w:val="00C66CDE"/>
    <w:rsid w:val="00C707EE"/>
    <w:rsid w:val="00C7499D"/>
    <w:rsid w:val="00C81295"/>
    <w:rsid w:val="00C82CDC"/>
    <w:rsid w:val="00C82E22"/>
    <w:rsid w:val="00C84817"/>
    <w:rsid w:val="00C84BAF"/>
    <w:rsid w:val="00C87CEE"/>
    <w:rsid w:val="00C93F96"/>
    <w:rsid w:val="00C941FF"/>
    <w:rsid w:val="00C942C4"/>
    <w:rsid w:val="00C960CE"/>
    <w:rsid w:val="00C973FB"/>
    <w:rsid w:val="00CA41C1"/>
    <w:rsid w:val="00CA6079"/>
    <w:rsid w:val="00CB28CC"/>
    <w:rsid w:val="00CB484B"/>
    <w:rsid w:val="00CB6B58"/>
    <w:rsid w:val="00CB70A8"/>
    <w:rsid w:val="00CB72F9"/>
    <w:rsid w:val="00CC5B35"/>
    <w:rsid w:val="00CC6811"/>
    <w:rsid w:val="00CC6C57"/>
    <w:rsid w:val="00CD7ED8"/>
    <w:rsid w:val="00CE5ACF"/>
    <w:rsid w:val="00CE73B0"/>
    <w:rsid w:val="00CF25FB"/>
    <w:rsid w:val="00D02770"/>
    <w:rsid w:val="00D027B0"/>
    <w:rsid w:val="00D02EE5"/>
    <w:rsid w:val="00D054C0"/>
    <w:rsid w:val="00D06F70"/>
    <w:rsid w:val="00D146A5"/>
    <w:rsid w:val="00D14A32"/>
    <w:rsid w:val="00D15F38"/>
    <w:rsid w:val="00D177D8"/>
    <w:rsid w:val="00D2018B"/>
    <w:rsid w:val="00D20C67"/>
    <w:rsid w:val="00D2506C"/>
    <w:rsid w:val="00D25D7E"/>
    <w:rsid w:val="00D27CDE"/>
    <w:rsid w:val="00D27F99"/>
    <w:rsid w:val="00D30BE6"/>
    <w:rsid w:val="00D31C7A"/>
    <w:rsid w:val="00D33388"/>
    <w:rsid w:val="00D33B36"/>
    <w:rsid w:val="00D35C30"/>
    <w:rsid w:val="00D36501"/>
    <w:rsid w:val="00D402EE"/>
    <w:rsid w:val="00D452AA"/>
    <w:rsid w:val="00D45770"/>
    <w:rsid w:val="00D523BE"/>
    <w:rsid w:val="00D52DB5"/>
    <w:rsid w:val="00D52FEA"/>
    <w:rsid w:val="00D56AF5"/>
    <w:rsid w:val="00D60795"/>
    <w:rsid w:val="00D60F96"/>
    <w:rsid w:val="00D6494A"/>
    <w:rsid w:val="00D64B66"/>
    <w:rsid w:val="00D6508D"/>
    <w:rsid w:val="00D656E8"/>
    <w:rsid w:val="00D70C93"/>
    <w:rsid w:val="00D71556"/>
    <w:rsid w:val="00D71A84"/>
    <w:rsid w:val="00D808F4"/>
    <w:rsid w:val="00D818F5"/>
    <w:rsid w:val="00D8369E"/>
    <w:rsid w:val="00D84EB7"/>
    <w:rsid w:val="00D87924"/>
    <w:rsid w:val="00D87BAB"/>
    <w:rsid w:val="00D92396"/>
    <w:rsid w:val="00D938B7"/>
    <w:rsid w:val="00D946DB"/>
    <w:rsid w:val="00D96413"/>
    <w:rsid w:val="00D97B1F"/>
    <w:rsid w:val="00DA3B36"/>
    <w:rsid w:val="00DA4B0C"/>
    <w:rsid w:val="00DA4E52"/>
    <w:rsid w:val="00DA537D"/>
    <w:rsid w:val="00DA77E1"/>
    <w:rsid w:val="00DB0F07"/>
    <w:rsid w:val="00DC0752"/>
    <w:rsid w:val="00DC1E52"/>
    <w:rsid w:val="00DC2D05"/>
    <w:rsid w:val="00DC40DA"/>
    <w:rsid w:val="00DC53C0"/>
    <w:rsid w:val="00DC5657"/>
    <w:rsid w:val="00DC5E71"/>
    <w:rsid w:val="00DD2656"/>
    <w:rsid w:val="00DD2B80"/>
    <w:rsid w:val="00DD3562"/>
    <w:rsid w:val="00DD5371"/>
    <w:rsid w:val="00DD6D4C"/>
    <w:rsid w:val="00DD72AA"/>
    <w:rsid w:val="00DE0962"/>
    <w:rsid w:val="00DE2DDE"/>
    <w:rsid w:val="00DE4EF2"/>
    <w:rsid w:val="00DE6E00"/>
    <w:rsid w:val="00DF2805"/>
    <w:rsid w:val="00E001F8"/>
    <w:rsid w:val="00E00708"/>
    <w:rsid w:val="00E00D48"/>
    <w:rsid w:val="00E019D7"/>
    <w:rsid w:val="00E02641"/>
    <w:rsid w:val="00E027A6"/>
    <w:rsid w:val="00E04817"/>
    <w:rsid w:val="00E048CD"/>
    <w:rsid w:val="00E052A9"/>
    <w:rsid w:val="00E07C8E"/>
    <w:rsid w:val="00E10AC3"/>
    <w:rsid w:val="00E11A0C"/>
    <w:rsid w:val="00E11F7B"/>
    <w:rsid w:val="00E133A7"/>
    <w:rsid w:val="00E13733"/>
    <w:rsid w:val="00E1378D"/>
    <w:rsid w:val="00E13A03"/>
    <w:rsid w:val="00E143FD"/>
    <w:rsid w:val="00E1696D"/>
    <w:rsid w:val="00E1750A"/>
    <w:rsid w:val="00E17F31"/>
    <w:rsid w:val="00E20910"/>
    <w:rsid w:val="00E21249"/>
    <w:rsid w:val="00E23B2B"/>
    <w:rsid w:val="00E26869"/>
    <w:rsid w:val="00E27969"/>
    <w:rsid w:val="00E27BC7"/>
    <w:rsid w:val="00E27C4F"/>
    <w:rsid w:val="00E32DA2"/>
    <w:rsid w:val="00E33161"/>
    <w:rsid w:val="00E3319C"/>
    <w:rsid w:val="00E35DE2"/>
    <w:rsid w:val="00E41A58"/>
    <w:rsid w:val="00E46936"/>
    <w:rsid w:val="00E47900"/>
    <w:rsid w:val="00E47CCD"/>
    <w:rsid w:val="00E54B05"/>
    <w:rsid w:val="00E54B9D"/>
    <w:rsid w:val="00E577B1"/>
    <w:rsid w:val="00E62817"/>
    <w:rsid w:val="00E63B98"/>
    <w:rsid w:val="00E66FEA"/>
    <w:rsid w:val="00E70357"/>
    <w:rsid w:val="00E712F9"/>
    <w:rsid w:val="00E75993"/>
    <w:rsid w:val="00E7776E"/>
    <w:rsid w:val="00E804CC"/>
    <w:rsid w:val="00E82ECC"/>
    <w:rsid w:val="00E87EA1"/>
    <w:rsid w:val="00E979D5"/>
    <w:rsid w:val="00EA084B"/>
    <w:rsid w:val="00EA3FEF"/>
    <w:rsid w:val="00EA419C"/>
    <w:rsid w:val="00EB154B"/>
    <w:rsid w:val="00EB4529"/>
    <w:rsid w:val="00EB5804"/>
    <w:rsid w:val="00EB6F18"/>
    <w:rsid w:val="00EC305A"/>
    <w:rsid w:val="00EC35BA"/>
    <w:rsid w:val="00EC5046"/>
    <w:rsid w:val="00ED1CE1"/>
    <w:rsid w:val="00ED4B06"/>
    <w:rsid w:val="00ED55F7"/>
    <w:rsid w:val="00ED5D86"/>
    <w:rsid w:val="00ED74D4"/>
    <w:rsid w:val="00ED7C8E"/>
    <w:rsid w:val="00EE2205"/>
    <w:rsid w:val="00EF0DA4"/>
    <w:rsid w:val="00EF68B1"/>
    <w:rsid w:val="00F00068"/>
    <w:rsid w:val="00F007B3"/>
    <w:rsid w:val="00F0086E"/>
    <w:rsid w:val="00F015E6"/>
    <w:rsid w:val="00F0322C"/>
    <w:rsid w:val="00F12EA3"/>
    <w:rsid w:val="00F1455C"/>
    <w:rsid w:val="00F14B04"/>
    <w:rsid w:val="00F14C0B"/>
    <w:rsid w:val="00F16ACE"/>
    <w:rsid w:val="00F16DFF"/>
    <w:rsid w:val="00F22A29"/>
    <w:rsid w:val="00F30076"/>
    <w:rsid w:val="00F325B9"/>
    <w:rsid w:val="00F33DF7"/>
    <w:rsid w:val="00F356CE"/>
    <w:rsid w:val="00F402D0"/>
    <w:rsid w:val="00F40C76"/>
    <w:rsid w:val="00F41918"/>
    <w:rsid w:val="00F423F0"/>
    <w:rsid w:val="00F44634"/>
    <w:rsid w:val="00F4528F"/>
    <w:rsid w:val="00F459BD"/>
    <w:rsid w:val="00F463F5"/>
    <w:rsid w:val="00F50A59"/>
    <w:rsid w:val="00F5381F"/>
    <w:rsid w:val="00F5524C"/>
    <w:rsid w:val="00F60EC7"/>
    <w:rsid w:val="00F60F37"/>
    <w:rsid w:val="00F61095"/>
    <w:rsid w:val="00F611F0"/>
    <w:rsid w:val="00F620A2"/>
    <w:rsid w:val="00F63BA7"/>
    <w:rsid w:val="00F67747"/>
    <w:rsid w:val="00F6799F"/>
    <w:rsid w:val="00F702D4"/>
    <w:rsid w:val="00F7072C"/>
    <w:rsid w:val="00F71619"/>
    <w:rsid w:val="00F76469"/>
    <w:rsid w:val="00F7749E"/>
    <w:rsid w:val="00F777C7"/>
    <w:rsid w:val="00F80E6B"/>
    <w:rsid w:val="00F875F5"/>
    <w:rsid w:val="00F9369B"/>
    <w:rsid w:val="00F93B5F"/>
    <w:rsid w:val="00FA1268"/>
    <w:rsid w:val="00FA2372"/>
    <w:rsid w:val="00FA37DD"/>
    <w:rsid w:val="00FA5CA1"/>
    <w:rsid w:val="00FA7EBB"/>
    <w:rsid w:val="00FB175F"/>
    <w:rsid w:val="00FB199D"/>
    <w:rsid w:val="00FB1C26"/>
    <w:rsid w:val="00FB1D44"/>
    <w:rsid w:val="00FB2B2F"/>
    <w:rsid w:val="00FB3795"/>
    <w:rsid w:val="00FB4960"/>
    <w:rsid w:val="00FB5258"/>
    <w:rsid w:val="00FC19B1"/>
    <w:rsid w:val="00FC371D"/>
    <w:rsid w:val="00FC4D06"/>
    <w:rsid w:val="00FC56B2"/>
    <w:rsid w:val="00FC6BA7"/>
    <w:rsid w:val="00FC7558"/>
    <w:rsid w:val="00FD09A2"/>
    <w:rsid w:val="00FD7524"/>
    <w:rsid w:val="00FE1465"/>
    <w:rsid w:val="00FE1F45"/>
    <w:rsid w:val="00FE4AE0"/>
    <w:rsid w:val="00FE4D22"/>
    <w:rsid w:val="00FE72ED"/>
    <w:rsid w:val="00FF256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5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hr-H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val="hr-HR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hr-HR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hr-HR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r-HR"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val="hr-HR"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val="hr-HR"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val="hr-H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hr-HR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hr-HR"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val="hr-HR"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hr-HR"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hr-HR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hr-HR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val="hr-HR"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val="hr-HR"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hr-HR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val="hr-HR"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hr-H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val="hr-HR"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hr-H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hr-HR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hr-HR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hr-HR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val="hr-HR"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hr-H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hr-HR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hr-HR"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r-HR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val="hr-HR"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hr-HR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hr-HR" w:eastAsia="en-GB"/>
    </w:rPr>
  </w:style>
  <w:style w:type="character" w:customStyle="1" w:styleId="cf01">
    <w:name w:val="cf01"/>
    <w:basedOn w:val="DefaultParagraphFont"/>
    <w:rsid w:val="00D97B1F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2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50FA9-F1DC-4D93-A245-85D3BE6E7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42F242-5175-476B-9BAF-C8C8C52C2563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32E37A1B-FFA2-4C39-87F5-F668BE76E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C48E29-9BC5-4BF7-8E96-19056709EEB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1554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2024-06-19T18:10:00Z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