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HR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PRILOG II.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„PRILOG II.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UPUTE ZA IZVJEŠĆIVANJE O REGULATORNOM KAPITALU I KAPITALNIM ZAHTJEVIMA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DIO II.: UPUTE ZA OBRASCE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 xml:space="preserve">C 36.00 IZLOŽENOSTI PREMA </w:t>
      </w:r>
      <w:proofErr w:type="spellStart"/>
      <w:r>
        <w:rPr>
          <w:rFonts w:ascii="Times New Roman" w:hAnsi="Times New Roman"/>
          <w:sz w:val="24"/>
          <w:u w:val="single"/>
        </w:rPr>
        <w:t>KRIPTOIMOVINI</w:t>
      </w:r>
      <w:proofErr w:type="spellEnd"/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10.1. Opće napomene</w:t>
      </w:r>
    </w:p>
    <w:p w14:paraId="6942FA35" w14:textId="77777777" w:rsidR="005F103E" w:rsidRDefault="005F103E" w:rsidP="00CF4FBC">
      <w:pPr>
        <w:pStyle w:val="InstructionsText2"/>
      </w:pPr>
      <w:r>
        <w:t xml:space="preserve">Ovaj se obrazac upotrebljava za dostavljanje informacija o izloženostima prema </w:t>
      </w:r>
      <w:proofErr w:type="spellStart"/>
      <w:r>
        <w:t>kriptoimovini</w:t>
      </w:r>
      <w:proofErr w:type="spellEnd"/>
      <w:r>
        <w:t xml:space="preserve"> u skladu s člankom 501.d stavcima 2. i 3. Uredbe (EU) br. 575/2013.</w:t>
      </w:r>
    </w:p>
    <w:p w14:paraId="4985A436" w14:textId="77777777" w:rsidR="005F103E" w:rsidRDefault="005F103E" w:rsidP="005F103E">
      <w:pPr>
        <w:pStyle w:val="InstructionsText2"/>
      </w:pPr>
      <w:r>
        <w:t xml:space="preserve">Izloženosti prema </w:t>
      </w:r>
      <w:proofErr w:type="spellStart"/>
      <w:r>
        <w:t>kriptoimovini</w:t>
      </w:r>
      <w:proofErr w:type="spellEnd"/>
      <w:r>
        <w:t xml:space="preserve"> iskazuju se samo u ovom obrascu.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10.2. Upute za specifične pozicije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Stupac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Pravna osnova i upute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Vrijednost izloženosti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Vrijednost izloženosti prema </w:t>
            </w:r>
            <w:proofErr w:type="spellStart"/>
            <w:r>
              <w:t>kriptoimovini</w:t>
            </w:r>
            <w:proofErr w:type="spellEnd"/>
            <w:r>
              <w:t xml:space="preserve"> za različite vrste kriptoimovine iz </w:t>
            </w:r>
            <w:r>
              <w:rPr>
                <w:rStyle w:val="InstructionsTabelleberschrift"/>
                <w:b w:val="0"/>
              </w:rPr>
              <w:t>članka 501.d stavka 2.</w:t>
            </w:r>
            <w:r>
              <w:t xml:space="preserve"> Uredbe (EU) br. 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Iznosi izloženosti ponderirani rizikom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RWEA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>Članak 501.d stavak 2. Uredbe (EU) br. 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Iznosi izloženosti ponderirani rizikom za različite vrste izloženosti prema </w:t>
            </w:r>
            <w:proofErr w:type="spellStart"/>
            <w:r>
              <w:t>kriptoimovini</w:t>
            </w:r>
            <w:proofErr w:type="spellEnd"/>
            <w:r>
              <w:t xml:space="preserve"> izračunani u skladu s člankom 501.d stavkom 2. Uredbe (EU) br. 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Redak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Pravna osnova i upute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Ukupne izloženosti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Ukupne vrijednosti izračunane kao zbroj redaka 0020, 0030 i 0040.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Vrijednost u stupcu 0020 jednaka je ukupnim iznosima izloženosti riziku iskazanima u retku 0780 obrasca C 02.00 (Kapitalni zahtjevi).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Izloženosti prema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kriptoimovini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prema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tokeniziranoj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tradicionalnoj imovini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Članak 501.d stavak 2. točka (a) </w:t>
            </w:r>
            <w:r>
              <w:t>Uredbe (EU) br.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Izloženosti prema tokenima vezanima uz imovinu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>Članak 501.d stavak 2. točka (b) Uredbe (EU) br.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Izloženosti prema drugoj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kriptoimovini</w:t>
            </w:r>
            <w:proofErr w:type="spellEnd"/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Članak 501.d stavak 2. točka (c) </w:t>
            </w:r>
            <w:r>
              <w:t>Uredbe (EU) br.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Ostale izloženosti prema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kriptoimovini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koje se razlikuju od onih iz članka 501.d stavka 2. točaka (a) i (b)</w:t>
            </w:r>
            <w:r>
              <w:t xml:space="preserve"> Uredbe (EU) br. 575/2013</w:t>
            </w:r>
            <w:r>
              <w:rPr>
                <w:rStyle w:val="InstructionsTabelleberschrift"/>
              </w:rPr>
              <w:t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Redak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Bilješka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Izloženosti prema drugoj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kriptoimovini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izražene kao postotak osnovnog kapitala institucija.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Članak 501.d stavak 3.</w:t>
            </w:r>
            <w:r>
              <w:t xml:space="preserve"> Uredbe (EU) br. 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</w:t>
    </w:r>
    <w:r>
      <w:rPr>
        <w:rFonts w:ascii="Times New Roman" w:hAnsi="Times New Roman"/>
        <w:sz w:val="20"/>
      </w:rPr>
      <w:t>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dovita upotr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dovita upotr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Redovita upotreba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dovita upotr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dovita upotreb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Redovita upotreba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dovita upotr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dovita upotr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Redovita upotreba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36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1FA8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A0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hr-HR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hr-HR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hr-HR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hr-HR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hr-HR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hr-HR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hr-HR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hr-HR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hr-HR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hr-HR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hr-HR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r-HR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hr-HR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64923CB6-AB9D-46FD-9FC1-AC606F78FA7F}"/>
</file>

<file path=customXml/itemProps4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1564</Characters>
  <Application>Microsoft Office Word</Application>
  <DocSecurity>0</DocSecurity>
  <Lines>57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2025-01-27T11:04:00Z</dcterms:created>
  <dcterms:modified xsi:type="dcterms:W3CDTF">2025-01-27T11:04:00Z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2025-01-27T11:04:25Z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d5e2123e-88c9-4d3c-98bc-99796ab84198</vt:lpwstr>
  </property>
  <property fmtid="{D5CDD505-2E9C-101B-9397-08002B2CF9AE}" pid="9" name="MSIP_Label_6bd9ddd1-4d20-43f6-abfa-fc3c07406f94_ContentBits">
    <vt:lpwstr>0</vt:lpwstr>
  </property>
</Properties>
</file>