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C1CCFF" w14:textId="77777777" w:rsidR="00632962" w:rsidRDefault="00632962" w:rsidP="00632962">
      <w:pPr>
        <w:jc w:val="center"/>
        <w:rPr>
          <w:sz w:val="24"/>
          <w:szCs w:val="22"/>
          <w:rFonts w:ascii="Times New Roman" w:hAnsi="Times New Roman"/>
        </w:rPr>
      </w:pPr>
      <w:r>
        <w:rPr>
          <w:sz w:val="24"/>
          <w:rFonts w:ascii="Times New Roman" w:hAnsi="Times New Roman"/>
        </w:rPr>
        <w:t xml:space="preserve">HR</w:t>
      </w:r>
    </w:p>
    <w:p w14:paraId="2A25A977" w14:textId="77777777" w:rsidR="00074AC8" w:rsidRPr="00037E7B" w:rsidRDefault="00074AC8" w:rsidP="00632962">
      <w:pPr>
        <w:rPr>
          <w:rFonts w:ascii="Times New Roman" w:hAnsi="Times New Roman"/>
          <w:sz w:val="24"/>
        </w:rPr>
      </w:pPr>
    </w:p>
    <w:p w14:paraId="01E2F594" w14:textId="77777777" w:rsidR="00074AC8" w:rsidRPr="00037E7B" w:rsidRDefault="00074AC8" w:rsidP="00074AC8">
      <w:pPr>
        <w:jc w:val="center"/>
        <w:rPr>
          <w:sz w:val="24"/>
          <w:rFonts w:ascii="Times New Roman" w:hAnsi="Times New Roman"/>
        </w:rPr>
      </w:pPr>
      <w:r>
        <w:rPr>
          <w:sz w:val="24"/>
          <w:rFonts w:ascii="Times New Roman" w:hAnsi="Times New Roman"/>
        </w:rPr>
        <w:t xml:space="preserve">PRILOG II.</w:t>
      </w:r>
    </w:p>
    <w:p w14:paraId="7AF3DCD8" w14:textId="77777777" w:rsidR="00074AC8" w:rsidRPr="00037E7B" w:rsidRDefault="00074AC8" w:rsidP="00074AC8">
      <w:pPr>
        <w:jc w:val="center"/>
        <w:rPr>
          <w:sz w:val="24"/>
          <w:rFonts w:ascii="Times New Roman" w:hAnsi="Times New Roman"/>
        </w:rPr>
      </w:pPr>
      <w:r>
        <w:rPr>
          <w:sz w:val="24"/>
          <w:rFonts w:ascii="Times New Roman" w:hAnsi="Times New Roman"/>
        </w:rPr>
        <w:t xml:space="preserve">„PRILOG II.</w:t>
      </w:r>
    </w:p>
    <w:p w14:paraId="786C3F82" w14:textId="77777777" w:rsidR="00074AC8" w:rsidRPr="00037E7B" w:rsidRDefault="00074AC8" w:rsidP="00074AC8">
      <w:pPr>
        <w:jc w:val="center"/>
        <w:rPr>
          <w:b/>
          <w:sz w:val="24"/>
          <w:rFonts w:ascii="Times New Roman" w:hAnsi="Times New Roman"/>
        </w:rPr>
      </w:pPr>
      <w:r>
        <w:rPr>
          <w:b/>
          <w:sz w:val="24"/>
          <w:rFonts w:ascii="Times New Roman" w:hAnsi="Times New Roman"/>
        </w:rPr>
        <w:t xml:space="preserve">UPUTE ZA IZVJEŠĆIVANJE O REGULATORNOM KAPITALU I KAPITALNIM ZAHTJEVIMA</w:t>
      </w:r>
    </w:p>
    <w:p w14:paraId="6BCD4480" w14:textId="77777777" w:rsidR="00074AC8" w:rsidRPr="00037E7B" w:rsidRDefault="00074AC8" w:rsidP="00074AC8">
      <w:pPr>
        <w:jc w:val="center"/>
        <w:rPr>
          <w:rFonts w:ascii="Times New Roman" w:hAnsi="Times New Roman"/>
          <w:b/>
          <w:sz w:val="24"/>
          <w:lang w:eastAsia="de-DE"/>
        </w:rPr>
      </w:pPr>
    </w:p>
    <w:p w14:paraId="3CC9E074" w14:textId="77777777" w:rsidR="00074AC8" w:rsidRPr="00037E7B" w:rsidRDefault="00074AC8" w:rsidP="00074AC8">
      <w:pPr>
        <w:rPr>
          <w:rFonts w:ascii="Times New Roman" w:hAnsi="Times New Roman"/>
          <w:sz w:val="24"/>
        </w:rPr>
      </w:pPr>
    </w:p>
    <w:p w14:paraId="27B4A905" w14:textId="77777777" w:rsidR="00074AC8" w:rsidRPr="00037E7B" w:rsidRDefault="00074AC8" w:rsidP="00074AC8">
      <w:pPr>
        <w:pStyle w:val="Heading2"/>
        <w:rPr>
          <w:rFonts w:ascii="Times New Roman" w:hAnsi="Times New Roman"/>
        </w:rPr>
      </w:pPr>
      <w:bookmarkStart w:id="0" w:name="_Toc360188322"/>
      <w:bookmarkStart w:id="1" w:name="_Toc473560870"/>
      <w:bookmarkStart w:id="2" w:name="_Toc151714358"/>
      <w:r>
        <w:rPr>
          <w:rFonts w:ascii="Times New Roman" w:hAnsi="Times New Roman"/>
        </w:rPr>
        <w:t xml:space="preserve">DIO II.:</w:t>
      </w:r>
      <w:r>
        <w:rPr>
          <w:rFonts w:ascii="Times New Roman" w:hAnsi="Times New Roman"/>
        </w:rPr>
        <w:t xml:space="preserve"> </w:t>
      </w:r>
      <w:r>
        <w:rPr>
          <w:rFonts w:ascii="Times New Roman" w:hAnsi="Times New Roman"/>
        </w:rPr>
        <w:t xml:space="preserve">UPUTE ZA POJEDINE OBRASCE</w:t>
      </w:r>
      <w:bookmarkEnd w:id="0"/>
      <w:bookmarkEnd w:id="1"/>
      <w:bookmarkEnd w:id="2"/>
    </w:p>
    <w:p w14:paraId="58C4E75A" w14:textId="77777777" w:rsidR="00074AC8" w:rsidRPr="00037E7B" w:rsidRDefault="00074AC8" w:rsidP="00074AC8">
      <w:pPr>
        <w:rPr>
          <w:lang w:eastAsia="x-none"/>
        </w:rPr>
      </w:pPr>
    </w:p>
    <w:p w14:paraId="14EC4CED" w14:textId="77777777" w:rsidR="00074AC8" w:rsidRPr="00037E7B" w:rsidRDefault="00074AC8" w:rsidP="00074AC8">
      <w:r>
        <w:t xml:space="preserve">(…)</w:t>
      </w:r>
    </w:p>
    <w:p w14:paraId="6B9B322A" w14:textId="77777777" w:rsidR="00E26A90" w:rsidRDefault="00E26A90"/>
    <w:p w14:paraId="1A7CCECF" w14:textId="77777777" w:rsidR="00EF74C7" w:rsidRPr="002A677E" w:rsidRDefault="00EF74C7" w:rsidP="00EF74C7">
      <w:pPr>
        <w:pStyle w:val="ListParagraph"/>
        <w:keepNext/>
        <w:numPr>
          <w:ilvl w:val="1"/>
          <w:numId w:val="29"/>
        </w:numPr>
        <w:spacing w:before="240" w:after="240"/>
        <w:outlineLvl w:val="1"/>
        <w:rPr>
          <w:sz w:val="24"/>
          <w:rFonts w:ascii="Times New Roman" w:hAnsi="Times New Roman"/>
        </w:rPr>
      </w:pPr>
      <w:bookmarkStart w:id="3" w:name="_Toc19715796"/>
      <w:bookmarkStart w:id="4" w:name="_Toc151714441"/>
      <w:r>
        <w:rPr>
          <w:sz w:val="24"/>
          <w:rFonts w:ascii="Times New Roman" w:hAnsi="Times New Roman"/>
        </w:rPr>
        <w:t xml:space="preserve">Kreditni rizik druge ugovorne strane</w:t>
      </w:r>
      <w:bookmarkEnd w:id="3"/>
      <w:bookmarkEnd w:id="4"/>
    </w:p>
    <w:p w14:paraId="41169173" w14:textId="77777777" w:rsidR="00EF74C7" w:rsidRPr="002A677E" w:rsidRDefault="00EF74C7" w:rsidP="00EF74C7">
      <w:pPr>
        <w:pStyle w:val="Instructionsberschrift2"/>
        <w:numPr>
          <w:ilvl w:val="2"/>
          <w:numId w:val="29"/>
        </w:numPr>
        <w:rPr>
          <w:sz w:val="24"/>
          <w:rFonts w:ascii="Times New Roman" w:hAnsi="Times New Roman" w:cs="Times New Roman"/>
        </w:rPr>
      </w:pPr>
      <w:bookmarkStart w:id="5" w:name="_Toc19712307"/>
      <w:bookmarkStart w:id="6" w:name="_Toc19715797"/>
      <w:bookmarkStart w:id="7" w:name="_Toc19715798"/>
      <w:bookmarkStart w:id="8" w:name="_Toc19715799"/>
      <w:bookmarkStart w:id="9" w:name="_Toc19715800"/>
      <w:bookmarkStart w:id="10" w:name="_Toc19715801"/>
      <w:bookmarkStart w:id="11" w:name="_Toc5612629"/>
      <w:bookmarkStart w:id="12" w:name="_Toc19715802"/>
      <w:bookmarkStart w:id="13" w:name="_Toc151714442"/>
      <w:bookmarkEnd w:id="5"/>
      <w:bookmarkEnd w:id="6"/>
      <w:bookmarkEnd w:id="7"/>
      <w:bookmarkEnd w:id="8"/>
      <w:bookmarkEnd w:id="9"/>
      <w:bookmarkEnd w:id="10"/>
      <w:r>
        <w:rPr>
          <w:sz w:val="24"/>
          <w:rFonts w:ascii="Times New Roman" w:hAnsi="Times New Roman"/>
        </w:rPr>
        <w:t xml:space="preserve">Područje primjene obrazaca za kreditni rizik druge ugovorne strane</w:t>
      </w:r>
      <w:bookmarkEnd w:id="11"/>
      <w:bookmarkEnd w:id="12"/>
      <w:bookmarkEnd w:id="13"/>
    </w:p>
    <w:p w14:paraId="19D6AFBD" w14:textId="47A5FE99" w:rsidR="00EF74C7" w:rsidRPr="002A677E" w:rsidRDefault="00EF74C7" w:rsidP="00EF74C7">
      <w:pPr>
        <w:pStyle w:val="InstructionsText2"/>
        <w:numPr>
          <w:ilvl w:val="0"/>
          <w:numId w:val="0"/>
        </w:numPr>
        <w:ind w:left="993"/>
      </w:pPr>
      <w:r>
        <w:fldChar w:fldCharType="begin" w:dirty="true"/>
      </w:r>
      <w:r>
        <w:instrText>seq paragraphs</w:instrText>
      </w:r>
      <w:r>
        <w:fldChar w:fldCharType="separate"/>
      </w:r>
      <w:r w:rsidRPr="002A677E">
        <w:t>119</w:t>
      </w:r>
      <w:r>
        <w:fldChar w:fldCharType="end"/>
      </w:r>
      <w:r>
        <w:t xml:space="preserve">.</w:t>
      </w:r>
      <w:r>
        <w:t xml:space="preserve"> </w:t>
      </w:r>
      <w:r>
        <w:t xml:space="preserve">Obrasci za kreditni rizik druge ugovorne strane obuhvaćaju informacije o izloženostima kreditnom riziku druge ugovorne strane pri primjeni dijela trećeg glave II. poglavlja 4. i 6. Uredbe (EU) br. 575/2013.</w:t>
      </w:r>
    </w:p>
    <w:p w14:paraId="5C2099A9" w14:textId="470C3ABA" w:rsidR="00EF74C7" w:rsidRPr="002A677E" w:rsidRDefault="00EF74C7" w:rsidP="00EF74C7">
      <w:pPr>
        <w:pStyle w:val="InstructionsText2"/>
        <w:numPr>
          <w:ilvl w:val="0"/>
          <w:numId w:val="0"/>
        </w:numPr>
        <w:ind w:left="993"/>
      </w:pPr>
      <w:r>
        <w:fldChar w:fldCharType="begin" w:dirty="true"/>
      </w:r>
      <w:r>
        <w:instrText>seq paragraphs</w:instrText>
      </w:r>
      <w:r>
        <w:fldChar w:fldCharType="separate"/>
      </w:r>
      <w:r w:rsidRPr="002A677E">
        <w:t>120</w:t>
      </w:r>
      <w:r>
        <w:fldChar w:fldCharType="end"/>
      </w:r>
      <w:r>
        <w:t xml:space="preserve">.</w:t>
      </w:r>
      <w:r>
        <w:t xml:space="preserve"> </w:t>
      </w:r>
      <w:r>
        <w:t xml:space="preserve">Obrasci ne uključuju kapitalne zahtjeve za CVA rizik (članak 92. stavak 3. točka (d) i dio treći glava VI. Uredbe (EU) br. 575/2013) koji se iskazuju u obrascu za CVA rizik.</w:t>
      </w:r>
      <w:r>
        <w:t xml:space="preserve"> </w:t>
      </w:r>
    </w:p>
    <w:p w14:paraId="69B3C47B" w14:textId="3B35D766" w:rsidR="00EF74C7" w:rsidRPr="002A677E" w:rsidRDefault="00EF74C7" w:rsidP="00EF74C7">
      <w:pPr>
        <w:pStyle w:val="InstructionsText2"/>
        <w:numPr>
          <w:ilvl w:val="0"/>
          <w:numId w:val="0"/>
        </w:numPr>
        <w:ind w:left="993"/>
      </w:pPr>
      <w:r>
        <w:fldChar w:fldCharType="begin" w:dirty="true"/>
      </w:r>
      <w:r>
        <w:instrText>seq paragraphs</w:instrText>
      </w:r>
      <w:r>
        <w:fldChar w:fldCharType="separate"/>
      </w:r>
      <w:r w:rsidRPr="002A677E">
        <w:t>121</w:t>
      </w:r>
      <w:r>
        <w:fldChar w:fldCharType="end"/>
      </w:r>
      <w:r>
        <w:t xml:space="preserve">.</w:t>
      </w:r>
      <w:r>
        <w:t xml:space="preserve"> </w:t>
      </w:r>
      <w:r>
        <w:t xml:space="preserve">Izloženosti kreditnom riziku druge ugovorne strane (CCR) prema središnjim drugim ugovornim stranama (dio treći glava II. poglavlja 4. i 6. odjeljak 9. Uredbe (EU) br. 575/2013) trebale bi biti uključene u iznose kreditnog rizika druge ugovorne strane, osim ako je navedeno drugačije.</w:t>
      </w:r>
      <w:r>
        <w:t xml:space="preserve"> </w:t>
      </w:r>
      <w:r>
        <w:t xml:space="preserve">Ipak, uplate u jamstveni fond izračunate u skladu s člancima od 307. do 310. Uredbe (EU) br. 575/2013 ne iskazuju se u obrascima za kreditni rizik druge ugovorne strane, s iznimkom obrasca C 34.10, u posebnim odgovarajućim redcima.</w:t>
      </w:r>
      <w:r>
        <w:t xml:space="preserve"> </w:t>
      </w:r>
      <w:r>
        <w:t xml:space="preserve">Općenito se iznosi izloženosti ponderirani rizikom za uplate u jamstveni fond iskazuju izravno u obrascu C 02.00 retku 0460.</w:t>
      </w:r>
    </w:p>
    <w:p w14:paraId="30858597" w14:textId="77777777" w:rsidR="00EF74C7" w:rsidRPr="002A677E" w:rsidRDefault="00EF74C7" w:rsidP="00EF74C7">
      <w:pPr>
        <w:pStyle w:val="Instructionsberschrift2"/>
        <w:numPr>
          <w:ilvl w:val="2"/>
          <w:numId w:val="29"/>
        </w:numPr>
        <w:rPr>
          <w:sz w:val="24"/>
          <w:rFonts w:ascii="Times New Roman" w:hAnsi="Times New Roman" w:cs="Times New Roman"/>
        </w:rPr>
      </w:pPr>
      <w:bookmarkStart w:id="14" w:name="_Toc19715803"/>
      <w:bookmarkStart w:id="15" w:name="_Toc151714443"/>
      <w:bookmarkStart w:id="16" w:name="_Toc516210659"/>
      <w:r>
        <w:rPr>
          <w:sz w:val="24"/>
          <w:rFonts w:ascii="Times New Roman" w:hAnsi="Times New Roman"/>
        </w:rPr>
        <w:t xml:space="preserve">C 34.01 – Obujam poslova s izvedenicama</w:t>
      </w:r>
      <w:bookmarkEnd w:id="14"/>
      <w:bookmarkEnd w:id="15"/>
    </w:p>
    <w:p w14:paraId="0D62C2B5" w14:textId="77777777" w:rsidR="00EF74C7" w:rsidRPr="002A677E" w:rsidRDefault="00EF74C7" w:rsidP="00EF74C7">
      <w:pPr>
        <w:pStyle w:val="Instructionsberschrift2"/>
        <w:numPr>
          <w:ilvl w:val="3"/>
          <w:numId w:val="29"/>
        </w:numPr>
        <w:rPr>
          <w:sz w:val="24"/>
          <w:rFonts w:ascii="Times New Roman" w:hAnsi="Times New Roman" w:cs="Times New Roman"/>
        </w:rPr>
      </w:pPr>
      <w:bookmarkStart w:id="17" w:name="_Toc19715804"/>
      <w:bookmarkStart w:id="18" w:name="_Toc151714444"/>
      <w:r>
        <w:rPr>
          <w:sz w:val="24"/>
          <w:rFonts w:ascii="Times New Roman" w:hAnsi="Times New Roman"/>
        </w:rPr>
        <w:t xml:space="preserve">Opće napomene</w:t>
      </w:r>
      <w:bookmarkEnd w:id="16"/>
      <w:bookmarkEnd w:id="17"/>
      <w:bookmarkEnd w:id="18"/>
    </w:p>
    <w:p w14:paraId="20D44CDB" w14:textId="375893F1" w:rsidR="00EF74C7" w:rsidRPr="002A677E" w:rsidRDefault="00EF74C7" w:rsidP="00EF74C7">
      <w:pPr>
        <w:pStyle w:val="InstructionsText2"/>
        <w:numPr>
          <w:ilvl w:val="0"/>
          <w:numId w:val="0"/>
        </w:numPr>
        <w:ind w:left="993"/>
      </w:pPr>
      <w:r>
        <w:fldChar w:fldCharType="begin" w:dirty="true"/>
      </w:r>
      <w:r>
        <w:instrText>seq paragraphs</w:instrText>
      </w:r>
      <w:r>
        <w:fldChar w:fldCharType="separate"/>
      </w:r>
      <w:r w:rsidRPr="002A677E">
        <w:t>122</w:t>
      </w:r>
      <w:r>
        <w:fldChar w:fldCharType="end"/>
      </w:r>
      <w:r>
        <w:t xml:space="preserve">.</w:t>
      </w:r>
      <w:r>
        <w:t xml:space="preserve"> </w:t>
      </w:r>
      <w:r>
        <w:t xml:space="preserve">U skladu s člankom 273.a Uredbe (EU) br. 575/2013, institucija može izračunati vrijednost izloženosti svojih pozicija u izvedenicama primjenom metode iz dijela trećeg glave II. poglavlja 6. odjeljka 4. ili 5. Uredbe (EU) br. 575/2013, pod uvjetom da je obujam njezinih bilančnih i izvanbilančnih poslova s izvedenicama jednak odnosno manji od unaprijed definiranih pragova.</w:t>
      </w:r>
      <w:r>
        <w:t xml:space="preserve"> </w:t>
      </w:r>
      <w:r>
        <w:t xml:space="preserve">Odgovarajuća procjena provodi se jednom mjesečno na temelju podataka od zadnjeg dana u mjesecu.</w:t>
      </w:r>
      <w:r>
        <w:t xml:space="preserve"> </w:t>
      </w:r>
      <w:r>
        <w:t xml:space="preserve">U ovom obrascu navode se podaci o usklađenosti s tim pragovima i, općenitije, važne informacije o obujmu poslova s izvedenicama.</w:t>
      </w:r>
    </w:p>
    <w:p w14:paraId="0B9542C1" w14:textId="25E74705" w:rsidR="00EF74C7" w:rsidRPr="002A677E" w:rsidRDefault="00EF74C7" w:rsidP="00EF74C7">
      <w:pPr>
        <w:pStyle w:val="InstructionsText2"/>
        <w:numPr>
          <w:ilvl w:val="0"/>
          <w:numId w:val="0"/>
        </w:numPr>
        <w:ind w:left="993"/>
      </w:pPr>
      <w:r>
        <w:fldChar w:fldCharType="begin" w:dirty="true"/>
      </w:r>
      <w:r>
        <w:instrText>seq paragraphs</w:instrText>
      </w:r>
      <w:r>
        <w:fldChar w:fldCharType="separate"/>
      </w:r>
      <w:r w:rsidRPr="002A677E">
        <w:t>123</w:t>
      </w:r>
      <w:r>
        <w:fldChar w:fldCharType="end"/>
      </w:r>
      <w:r>
        <w:t xml:space="preserve">.</w:t>
      </w:r>
      <w:r>
        <w:t xml:space="preserve"> </w:t>
      </w:r>
      <w:r>
        <w:t xml:space="preserve">Mjesec 1, mjesec 2 i mjesec 3 odnose se na prvi, drugi odnosno zadnji mjesec tromjesečja o kojem se izvješćuje.</w:t>
      </w:r>
      <w:r>
        <w:t xml:space="preserve"> </w:t>
      </w:r>
      <w:r>
        <w:t xml:space="preserve">Informacije se iskazuju samo za kraj mjeseca nakon 28. lipnja 2021.</w:t>
      </w:r>
    </w:p>
    <w:p w14:paraId="782EADBE" w14:textId="77777777" w:rsidR="00EF74C7" w:rsidRPr="002A677E" w:rsidRDefault="00EF74C7" w:rsidP="00EF74C7">
      <w:pPr>
        <w:pStyle w:val="Instructionsberschrift2"/>
        <w:numPr>
          <w:ilvl w:val="3"/>
          <w:numId w:val="29"/>
        </w:numPr>
        <w:rPr>
          <w:sz w:val="24"/>
          <w:rFonts w:ascii="Times New Roman" w:hAnsi="Times New Roman" w:cs="Times New Roman"/>
        </w:rPr>
      </w:pPr>
      <w:bookmarkStart w:id="19" w:name="_Toc516210660"/>
      <w:bookmarkStart w:id="20" w:name="_Toc19715805"/>
      <w:bookmarkStart w:id="21" w:name="_Toc151714445"/>
      <w:r>
        <w:rPr>
          <w:sz w:val="24"/>
          <w:rFonts w:ascii="Times New Roman" w:hAnsi="Times New Roman"/>
        </w:rPr>
        <w:t xml:space="preserve">Upute za specifične pozicije</w:t>
      </w:r>
      <w:bookmarkEnd w:id="19"/>
      <w:bookmarkEnd w:id="20"/>
      <w:bookmarkEnd w:id="21"/>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6"/>
        <w:gridCol w:w="7771"/>
      </w:tblGrid>
      <w:tr w:rsidR="00EF74C7" w:rsidRPr="002A677E" w14:paraId="0475E41A" w14:textId="77777777" w:rsidTr="00822842">
        <w:tc>
          <w:tcPr>
            <w:tcW w:w="851" w:type="dxa"/>
            <w:gridSpan w:val="2"/>
            <w:shd w:val="clear" w:color="auto" w:fill="CCCCCC"/>
          </w:tcPr>
          <w:p w14:paraId="31CC44BD" w14:textId="77777777" w:rsidR="00EF74C7" w:rsidRPr="002A677E" w:rsidRDefault="00EF74C7" w:rsidP="00822842">
            <w:pPr>
              <w:spacing w:beforeLines="60" w:before="144" w:afterLines="60" w:after="144"/>
              <w:rPr>
                <w:b/>
                <w:sz w:val="24"/>
                <w:rFonts w:ascii="Times New Roman" w:hAnsi="Times New Roman"/>
              </w:rPr>
            </w:pPr>
            <w:r>
              <w:rPr>
                <w:b/>
                <w:sz w:val="24"/>
                <w:rFonts w:ascii="Times New Roman" w:hAnsi="Times New Roman"/>
              </w:rPr>
              <w:t xml:space="preserve">Stupci</w:t>
            </w:r>
          </w:p>
        </w:tc>
      </w:tr>
      <w:tr w:rsidR="00EF74C7" w:rsidRPr="002A677E" w14:paraId="39875704" w14:textId="77777777" w:rsidTr="00822842">
        <w:tc>
          <w:tcPr>
            <w:tcW w:w="851" w:type="dxa"/>
          </w:tcPr>
          <w:p w14:paraId="39BC59F7" w14:textId="77777777" w:rsidR="00EF74C7" w:rsidRPr="002A677E" w:rsidRDefault="00EF74C7" w:rsidP="00822842">
            <w:pPr>
              <w:spacing w:beforeLines="60" w:before="144" w:afterLines="60" w:after="144"/>
              <w:rPr>
                <w:sz w:val="24"/>
                <w:rFonts w:ascii="Times New Roman" w:hAnsi="Times New Roman"/>
              </w:rPr>
            </w:pPr>
            <w:r>
              <w:rPr>
                <w:sz w:val="24"/>
                <w:rFonts w:ascii="Times New Roman" w:hAnsi="Times New Roman"/>
              </w:rPr>
              <w:t xml:space="preserve">0010,0040, 0070</w:t>
            </w:r>
          </w:p>
        </w:tc>
        <w:tc>
          <w:tcPr>
            <w:tcW w:w="8108" w:type="dxa"/>
          </w:tcPr>
          <w:p w14:paraId="09D42C21"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DUGE POZICIJE U IZVEDENICAMA</w:t>
            </w:r>
          </w:p>
          <w:p w14:paraId="2BADA7D6" w14:textId="77777777" w:rsidR="00EF74C7" w:rsidRPr="002A677E" w:rsidRDefault="00EF74C7" w:rsidP="00822842">
            <w:pPr>
              <w:spacing w:beforeLines="60" w:before="144" w:afterLines="60" w:after="144"/>
              <w:rPr>
                <w:rStyle w:val="InstructionsTabelleberschrift"/>
                <w:b w:val="0"/>
                <w:sz w:val="24"/>
                <w:rFonts w:ascii="Times New Roman" w:hAnsi="Times New Roman"/>
              </w:rPr>
            </w:pPr>
            <w:r>
              <w:rPr>
                <w:rStyle w:val="InstructionsTabelleberschrift"/>
                <w:sz w:val="24"/>
                <w:rFonts w:ascii="Times New Roman" w:hAnsi="Times New Roman"/>
              </w:rPr>
              <w:t xml:space="preserve">Članak 273.a stavak 3. Uredbe (EU) br. 575/2013</w:t>
            </w:r>
          </w:p>
          <w:p w14:paraId="400C78E9" w14:textId="77777777" w:rsidR="00EF74C7" w:rsidRPr="002A677E" w:rsidRDefault="00EF74C7" w:rsidP="00822842">
            <w:pPr>
              <w:spacing w:beforeLines="60" w:before="144" w:afterLines="60" w:after="144"/>
              <w:rPr>
                <w:sz w:val="24"/>
                <w:rFonts w:ascii="Times New Roman" w:hAnsi="Times New Roman"/>
              </w:rPr>
            </w:pPr>
            <w:r>
              <w:rPr>
                <w:sz w:val="24"/>
                <w:rFonts w:ascii="Times New Roman" w:hAnsi="Times New Roman"/>
              </w:rPr>
              <w:t xml:space="preserve">Iskazuje se zbroj apsolutnih tržišnih vrijednosti dugih pozicija u izvedenicama na zadnji dan u mjesecu.</w:t>
            </w:r>
          </w:p>
        </w:tc>
      </w:tr>
      <w:tr w:rsidR="00EF74C7" w:rsidRPr="002A677E" w14:paraId="76F76EF8" w14:textId="77777777" w:rsidTr="00822842">
        <w:tc>
          <w:tcPr>
            <w:tcW w:w="851" w:type="dxa"/>
          </w:tcPr>
          <w:p w14:paraId="1821FC2A" w14:textId="77777777" w:rsidR="00EF74C7" w:rsidRPr="002A677E" w:rsidRDefault="00EF74C7" w:rsidP="00822842">
            <w:pPr>
              <w:spacing w:beforeLines="60" w:before="144" w:afterLines="60" w:after="144"/>
              <w:rPr>
                <w:sz w:val="24"/>
                <w:rFonts w:ascii="Times New Roman" w:hAnsi="Times New Roman"/>
              </w:rPr>
            </w:pPr>
            <w:r>
              <w:rPr>
                <w:sz w:val="24"/>
                <w:rFonts w:ascii="Times New Roman" w:hAnsi="Times New Roman"/>
              </w:rPr>
              <w:t xml:space="preserve">0020,0050,</w:t>
            </w:r>
          </w:p>
          <w:p w14:paraId="6AD38436" w14:textId="77777777" w:rsidR="00EF74C7" w:rsidRPr="002A677E" w:rsidRDefault="00EF74C7" w:rsidP="00822842">
            <w:pPr>
              <w:spacing w:beforeLines="60" w:before="144" w:afterLines="60" w:after="144"/>
              <w:rPr>
                <w:sz w:val="24"/>
                <w:rFonts w:ascii="Times New Roman" w:hAnsi="Times New Roman"/>
              </w:rPr>
            </w:pPr>
            <w:r>
              <w:rPr>
                <w:sz w:val="24"/>
                <w:rFonts w:ascii="Times New Roman" w:hAnsi="Times New Roman"/>
              </w:rPr>
              <w:t xml:space="preserve">0080</w:t>
            </w:r>
          </w:p>
        </w:tc>
        <w:tc>
          <w:tcPr>
            <w:tcW w:w="8108" w:type="dxa"/>
          </w:tcPr>
          <w:p w14:paraId="4F840B38"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KRATKE POZICIJE U IZVEDENICAMA</w:t>
            </w:r>
          </w:p>
          <w:p w14:paraId="17AF4A13" w14:textId="77777777" w:rsidR="00EF74C7" w:rsidRPr="002A677E" w:rsidRDefault="00EF74C7" w:rsidP="00822842">
            <w:pPr>
              <w:spacing w:beforeLines="60" w:before="144" w:afterLines="60" w:after="144"/>
              <w:rPr>
                <w:rStyle w:val="InstructionsTabelleberschrift"/>
                <w:b w:val="0"/>
                <w:sz w:val="24"/>
                <w:rFonts w:ascii="Times New Roman" w:hAnsi="Times New Roman"/>
              </w:rPr>
            </w:pPr>
            <w:r>
              <w:rPr>
                <w:rStyle w:val="InstructionsTabelleberschrift"/>
                <w:sz w:val="24"/>
                <w:rFonts w:ascii="Times New Roman" w:hAnsi="Times New Roman"/>
              </w:rPr>
              <w:t xml:space="preserve">Članak 273.a stavak 3. Uredbe (EU) br. 575/2013</w:t>
            </w:r>
          </w:p>
          <w:p w14:paraId="3AB96F81" w14:textId="77777777" w:rsidR="00EF74C7" w:rsidRPr="002A677E" w:rsidRDefault="00EF74C7" w:rsidP="00822842">
            <w:pPr>
              <w:spacing w:beforeLines="60" w:before="144" w:afterLines="60" w:after="144"/>
              <w:rPr>
                <w:sz w:val="24"/>
                <w:rFonts w:ascii="Times New Roman" w:hAnsi="Times New Roman"/>
              </w:rPr>
            </w:pPr>
            <w:r>
              <w:rPr>
                <w:sz w:val="24"/>
                <w:rFonts w:ascii="Times New Roman" w:hAnsi="Times New Roman"/>
              </w:rPr>
              <w:t xml:space="preserve">Iskazuje se zbroj apsolutnih tržišnih vrijednosti kratkih pozicija u izvedenicama na zadnji dan u mjesecu.</w:t>
            </w:r>
          </w:p>
        </w:tc>
      </w:tr>
      <w:tr w:rsidR="00EF74C7" w:rsidRPr="002A677E" w14:paraId="03A14C37" w14:textId="77777777" w:rsidTr="00822842">
        <w:tc>
          <w:tcPr>
            <w:tcW w:w="851" w:type="dxa"/>
          </w:tcPr>
          <w:p w14:paraId="0D690866" w14:textId="77777777" w:rsidR="00EF74C7" w:rsidRPr="002A677E" w:rsidRDefault="00EF74C7" w:rsidP="00822842">
            <w:pPr>
              <w:spacing w:beforeLines="60" w:before="144" w:afterLines="60" w:after="144"/>
              <w:rPr>
                <w:sz w:val="24"/>
                <w:rFonts w:ascii="Times New Roman" w:hAnsi="Times New Roman"/>
              </w:rPr>
            </w:pPr>
            <w:r>
              <w:rPr>
                <w:sz w:val="24"/>
                <w:rFonts w:ascii="Times New Roman" w:hAnsi="Times New Roman"/>
              </w:rPr>
              <w:t xml:space="preserve">0030,0060,</w:t>
            </w:r>
          </w:p>
          <w:p w14:paraId="1173DE8A" w14:textId="77777777" w:rsidR="00EF74C7" w:rsidRPr="002A677E" w:rsidRDefault="00EF74C7" w:rsidP="00822842">
            <w:pPr>
              <w:spacing w:beforeLines="60" w:before="144" w:afterLines="60" w:after="144"/>
              <w:rPr>
                <w:sz w:val="24"/>
                <w:rFonts w:ascii="Times New Roman" w:hAnsi="Times New Roman"/>
              </w:rPr>
            </w:pPr>
            <w:r>
              <w:rPr>
                <w:sz w:val="24"/>
                <w:rFonts w:ascii="Times New Roman" w:hAnsi="Times New Roman"/>
              </w:rPr>
              <w:t xml:space="preserve">0090</w:t>
            </w:r>
          </w:p>
        </w:tc>
        <w:tc>
          <w:tcPr>
            <w:tcW w:w="8108" w:type="dxa"/>
          </w:tcPr>
          <w:p w14:paraId="252D116D"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UKUPNO</w:t>
            </w:r>
          </w:p>
          <w:p w14:paraId="4D024C67" w14:textId="77777777" w:rsidR="00EF74C7" w:rsidRPr="002A677E" w:rsidRDefault="00EF74C7" w:rsidP="00822842">
            <w:pPr>
              <w:spacing w:beforeLines="60" w:before="144" w:afterLines="60" w:after="144"/>
              <w:rPr>
                <w:rStyle w:val="InstructionsTabelleberschrift"/>
                <w:b w:val="0"/>
                <w:sz w:val="24"/>
                <w:u w:val="none"/>
                <w:rFonts w:ascii="Times New Roman" w:hAnsi="Times New Roman"/>
              </w:rPr>
            </w:pPr>
            <w:r>
              <w:rPr>
                <w:sz w:val="24"/>
                <w:rStyle w:val="InstructionsTabelleberschrift"/>
                <w:b w:val="0"/>
                <w:u w:val="none"/>
                <w:rFonts w:ascii="Times New Roman" w:hAnsi="Times New Roman"/>
              </w:rPr>
              <w:t xml:space="preserve">Članak 273.a stavak 3. točka (b)</w:t>
            </w:r>
            <w:r>
              <w:rPr>
                <w:sz w:val="24"/>
                <w:rFonts w:ascii="Times New Roman" w:hAnsi="Times New Roman"/>
              </w:rPr>
              <w:t xml:space="preserve"> Uredbe (EU) br. 575/2013</w:t>
            </w:r>
          </w:p>
          <w:p w14:paraId="6C39E208" w14:textId="77777777" w:rsidR="00EF74C7" w:rsidRPr="002A677E" w:rsidRDefault="00EF74C7" w:rsidP="00822842">
            <w:pPr>
              <w:spacing w:beforeLines="60" w:before="144" w:afterLines="60" w:after="144"/>
              <w:rPr>
                <w:sz w:val="24"/>
                <w:rFonts w:ascii="Times New Roman" w:hAnsi="Times New Roman"/>
              </w:rPr>
            </w:pPr>
            <w:r>
              <w:rPr>
                <w:sz w:val="24"/>
                <w:rFonts w:ascii="Times New Roman" w:hAnsi="Times New Roman"/>
              </w:rPr>
              <w:t xml:space="preserve">Zbroj apsolutne vrijednosti dugih pozicija u izvedenicama i apsolutne vrijednosti kratkih pozicija u izvedenicama.</w:t>
            </w:r>
          </w:p>
        </w:tc>
      </w:tr>
    </w:tbl>
    <w:p w14:paraId="5DF57E78" w14:textId="77777777" w:rsidR="00EF74C7" w:rsidRPr="002A677E" w:rsidRDefault="00EF74C7" w:rsidP="00EF74C7">
      <w:pPr>
        <w:rPr>
          <w:rFonts w:ascii="Times New Roman" w:hAnsi="Times New Roman"/>
          <w:noProof/>
          <w:szCs w:val="22"/>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187"/>
      </w:tblGrid>
      <w:tr w:rsidR="00EF74C7" w:rsidRPr="002A677E" w14:paraId="1158449C" w14:textId="77777777" w:rsidTr="00822842">
        <w:tc>
          <w:tcPr>
            <w:tcW w:w="9039" w:type="dxa"/>
            <w:gridSpan w:val="2"/>
            <w:shd w:val="clear" w:color="auto" w:fill="CCCCCC"/>
          </w:tcPr>
          <w:p w14:paraId="2E01AD0B" w14:textId="77777777" w:rsidR="00EF74C7" w:rsidRPr="002A677E" w:rsidRDefault="00EF74C7" w:rsidP="00822842">
            <w:pPr>
              <w:spacing w:beforeLines="60" w:before="144" w:afterLines="60" w:after="144"/>
              <w:rPr>
                <w:b/>
                <w:sz w:val="24"/>
                <w:rFonts w:ascii="Times New Roman" w:hAnsi="Times New Roman"/>
              </w:rPr>
            </w:pPr>
            <w:r>
              <w:rPr>
                <w:b/>
                <w:sz w:val="24"/>
                <w:rFonts w:ascii="Times New Roman" w:hAnsi="Times New Roman"/>
              </w:rPr>
              <w:t xml:space="preserve">Redci</w:t>
            </w:r>
          </w:p>
        </w:tc>
      </w:tr>
      <w:tr w:rsidR="00EF74C7" w:rsidRPr="002A677E" w14:paraId="2C6F42AE" w14:textId="77777777" w:rsidTr="00822842">
        <w:tc>
          <w:tcPr>
            <w:tcW w:w="852" w:type="dxa"/>
          </w:tcPr>
          <w:p w14:paraId="024CBE56" w14:textId="77777777" w:rsidR="00EF74C7" w:rsidRPr="002A677E" w:rsidRDefault="00EF74C7" w:rsidP="00822842">
            <w:pPr>
              <w:spacing w:beforeLines="60" w:before="144" w:afterLines="60" w:after="144"/>
              <w:rPr>
                <w:sz w:val="24"/>
                <w:rFonts w:ascii="Times New Roman" w:hAnsi="Times New Roman"/>
              </w:rPr>
            </w:pPr>
            <w:r>
              <w:rPr>
                <w:sz w:val="24"/>
                <w:rFonts w:ascii="Times New Roman" w:hAnsi="Times New Roman"/>
              </w:rPr>
              <w:t xml:space="preserve">0010</w:t>
            </w:r>
          </w:p>
        </w:tc>
        <w:tc>
          <w:tcPr>
            <w:tcW w:w="8187" w:type="dxa"/>
          </w:tcPr>
          <w:p w14:paraId="552E9C6B"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Obujam poslova s izvedenicama</w:t>
            </w:r>
          </w:p>
          <w:p w14:paraId="78339108" w14:textId="77777777" w:rsidR="00EF74C7" w:rsidRPr="002A677E" w:rsidRDefault="00EF74C7" w:rsidP="00822842">
            <w:pPr>
              <w:spacing w:beforeLines="60" w:before="144" w:afterLines="60" w:after="144"/>
              <w:rPr>
                <w:bCs/>
                <w:sz w:val="24"/>
                <w:rFonts w:ascii="Times New Roman" w:hAnsi="Times New Roman"/>
              </w:rPr>
            </w:pPr>
            <w:r>
              <w:rPr>
                <w:sz w:val="24"/>
                <w:rFonts w:ascii="Times New Roman" w:hAnsi="Times New Roman"/>
              </w:rPr>
              <w:t xml:space="preserve">Članak 273.a stavak 3. Uredbe (EU) br. 575/2013</w:t>
            </w:r>
          </w:p>
          <w:p w14:paraId="6D4FE0C8" w14:textId="77777777" w:rsidR="00EF74C7" w:rsidRPr="002A677E" w:rsidRDefault="00EF74C7" w:rsidP="00822842">
            <w:pPr>
              <w:spacing w:beforeLines="60" w:before="144" w:afterLines="60" w:after="144"/>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Uključuju se sve bilančne i izvanbilančne izvedenice, osim kreditnih izvedenica koje su priznate kao interne zaštite od izloženosti kreditnom riziku iz knjige pozicija kojima se ne trguje.</w:t>
            </w:r>
          </w:p>
        </w:tc>
      </w:tr>
      <w:tr w:rsidR="00EF74C7" w:rsidRPr="002A677E" w14:paraId="579E43BD" w14:textId="77777777" w:rsidTr="00822842">
        <w:tc>
          <w:tcPr>
            <w:tcW w:w="852" w:type="dxa"/>
          </w:tcPr>
          <w:p w14:paraId="435DE7F3" w14:textId="77777777" w:rsidR="00EF74C7" w:rsidRPr="002A677E" w:rsidRDefault="00EF74C7" w:rsidP="00822842">
            <w:pPr>
              <w:spacing w:beforeLines="60" w:before="144" w:afterLines="60" w:after="144"/>
              <w:rPr>
                <w:sz w:val="24"/>
                <w:rFonts w:ascii="Times New Roman" w:hAnsi="Times New Roman"/>
              </w:rPr>
            </w:pPr>
            <w:r>
              <w:rPr>
                <w:sz w:val="24"/>
                <w:rFonts w:ascii="Times New Roman" w:hAnsi="Times New Roman"/>
              </w:rPr>
              <w:t xml:space="preserve">0020</w:t>
            </w:r>
            <w:r>
              <w:rPr>
                <w:sz w:val="24"/>
                <w:rFonts w:ascii="Times New Roman" w:hAnsi="Times New Roman"/>
              </w:rPr>
              <w:t xml:space="preserve"> </w:t>
            </w:r>
          </w:p>
        </w:tc>
        <w:tc>
          <w:tcPr>
            <w:tcW w:w="8187" w:type="dxa"/>
          </w:tcPr>
          <w:p w14:paraId="04982DD9"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Bilančne i izvanbilančne izvedenice</w:t>
            </w:r>
          </w:p>
          <w:p w14:paraId="5D2385C4" w14:textId="77777777" w:rsidR="00EF74C7" w:rsidRPr="002A677E" w:rsidRDefault="00EF74C7" w:rsidP="00822842">
            <w:pPr>
              <w:spacing w:beforeLines="60" w:before="144" w:afterLines="60" w:after="144"/>
              <w:rPr>
                <w:rStyle w:val="InstructionsTabelleberschrift"/>
                <w:b w:val="0"/>
                <w:sz w:val="24"/>
                <w:u w:val="none"/>
                <w:rFonts w:ascii="Times New Roman" w:hAnsi="Times New Roman"/>
              </w:rPr>
            </w:pPr>
            <w:r>
              <w:rPr>
                <w:sz w:val="24"/>
                <w:rFonts w:ascii="Times New Roman" w:hAnsi="Times New Roman"/>
              </w:rPr>
              <w:t xml:space="preserve">Članak 273.q stavak 3. točke (a) i (b) Uredbe (EU) br. 575/2013</w:t>
            </w:r>
          </w:p>
          <w:p w14:paraId="36CFA94A" w14:textId="77777777" w:rsidR="00EF74C7" w:rsidRPr="002A677E" w:rsidRDefault="00EF74C7" w:rsidP="00822842">
            <w:pPr>
              <w:spacing w:beforeLines="60" w:before="144" w:afterLines="60" w:after="144"/>
              <w:rPr>
                <w:rStyle w:val="InstructionsTabelleberschrift"/>
                <w:b w:val="0"/>
                <w:sz w:val="24"/>
                <w:u w:val="none"/>
                <w:rFonts w:ascii="Times New Roman" w:hAnsi="Times New Roman"/>
              </w:rPr>
            </w:pPr>
            <w:r>
              <w:rPr>
                <w:sz w:val="24"/>
                <w:rStyle w:val="InstructionsTabelleberschrift"/>
                <w:b w:val="0"/>
                <w:u w:val="none"/>
                <w:rFonts w:ascii="Times New Roman" w:hAnsi="Times New Roman"/>
              </w:rPr>
              <w:t xml:space="preserve">Iskazuje se ukupna tržišna vrijednost bilančnih i izvanbilančnih pozicija u izvedenicama na zadnji dan u mjesecu.</w:t>
            </w:r>
            <w:r>
              <w:rPr>
                <w:sz w:val="24"/>
                <w:rFonts w:ascii="Times New Roman" w:hAnsi="Times New Roman"/>
              </w:rPr>
              <w:t xml:space="preserve"> </w:t>
            </w:r>
            <w:r>
              <w:rPr>
                <w:sz w:val="24"/>
                <w:rFonts w:ascii="Times New Roman" w:hAnsi="Times New Roman"/>
              </w:rPr>
              <w:t xml:space="preserve">Ako nije dostupna tržišna vrijednost pozicije na taj datum, institucije za tu poziciju uzimaju njezinu fer vrijednost na taj datum;</w:t>
            </w:r>
            <w:r>
              <w:rPr>
                <w:sz w:val="24"/>
                <w:rFonts w:ascii="Times New Roman" w:hAnsi="Times New Roman"/>
              </w:rPr>
              <w:t xml:space="preserve"> </w:t>
            </w:r>
            <w:r>
              <w:rPr>
                <w:sz w:val="24"/>
                <w:rFonts w:ascii="Times New Roman" w:hAnsi="Times New Roman"/>
              </w:rPr>
              <w:t xml:space="preserve">ako tržišna i fer vrijednost pozicije na taj datum nisu dostupne, institucije za tu poziciju uzimaju njezinu najnoviju tržišnu ili fer vrijednost.</w:t>
            </w:r>
          </w:p>
        </w:tc>
      </w:tr>
      <w:tr w:rsidR="00EF74C7" w:rsidRPr="002A677E" w14:paraId="0D0ADD9F" w14:textId="77777777" w:rsidTr="00822842">
        <w:tc>
          <w:tcPr>
            <w:tcW w:w="852" w:type="dxa"/>
          </w:tcPr>
          <w:p w14:paraId="6D998AEA" w14:textId="77777777" w:rsidR="00EF74C7" w:rsidRPr="002A677E" w:rsidRDefault="00EF74C7" w:rsidP="00822842">
            <w:pPr>
              <w:spacing w:beforeLines="60" w:before="144" w:afterLines="60" w:after="144"/>
              <w:rPr>
                <w:sz w:val="24"/>
                <w:rFonts w:ascii="Times New Roman" w:hAnsi="Times New Roman"/>
              </w:rPr>
            </w:pPr>
            <w:r>
              <w:rPr>
                <w:sz w:val="24"/>
                <w:rFonts w:ascii="Times New Roman" w:hAnsi="Times New Roman"/>
              </w:rPr>
              <w:t xml:space="preserve">0030</w:t>
            </w:r>
            <w:r>
              <w:rPr>
                <w:sz w:val="24"/>
                <w:rFonts w:ascii="Times New Roman" w:hAnsi="Times New Roman"/>
              </w:rPr>
              <w:t xml:space="preserve"> </w:t>
            </w:r>
          </w:p>
        </w:tc>
        <w:tc>
          <w:tcPr>
            <w:tcW w:w="8187" w:type="dxa"/>
          </w:tcPr>
          <w:p w14:paraId="36732A5F" w14:textId="77777777" w:rsidR="00EF74C7" w:rsidRPr="002A677E" w:rsidRDefault="00EF74C7" w:rsidP="00822842">
            <w:pPr>
              <w:spacing w:beforeLines="60" w:before="144" w:afterLines="60" w:after="144"/>
              <w:rPr>
                <w:b/>
                <w:sz w:val="24"/>
                <w:u w:val="single"/>
                <w:rFonts w:ascii="Times New Roman" w:hAnsi="Times New Roman"/>
              </w:rPr>
            </w:pPr>
            <w:r>
              <w:rPr>
                <w:b/>
                <w:sz w:val="24"/>
                <w:u w:val="single"/>
                <w:rFonts w:ascii="Times New Roman" w:hAnsi="Times New Roman"/>
              </w:rPr>
              <w:t xml:space="preserve">(-) Kreditne izvedenice koje su priznate kao interne zaštite od izloženosti kreditnom riziku iz knjige pozicija kojima se ne trguje</w:t>
            </w:r>
          </w:p>
          <w:p w14:paraId="7B2D3F9F" w14:textId="77777777" w:rsidR="00EF74C7" w:rsidRPr="002A677E" w:rsidRDefault="00EF74C7" w:rsidP="00822842">
            <w:pPr>
              <w:spacing w:beforeLines="60" w:before="144" w:afterLines="60" w:after="144"/>
              <w:rPr>
                <w:rStyle w:val="InstructionsTabelleberschrift"/>
                <w:b w:val="0"/>
                <w:sz w:val="24"/>
                <w:u w:val="none"/>
                <w:rFonts w:ascii="Times New Roman" w:hAnsi="Times New Roman"/>
              </w:rPr>
            </w:pPr>
            <w:r>
              <w:rPr>
                <w:sz w:val="24"/>
                <w:rStyle w:val="InstructionsTabelleberschrift"/>
                <w:b w:val="0"/>
                <w:u w:val="none"/>
                <w:rFonts w:ascii="Times New Roman" w:hAnsi="Times New Roman"/>
              </w:rPr>
              <w:t xml:space="preserve">Članak 273.a stavak 3. točka (c)</w:t>
            </w:r>
            <w:r>
              <w:rPr>
                <w:sz w:val="24"/>
                <w:rFonts w:ascii="Times New Roman" w:hAnsi="Times New Roman"/>
              </w:rPr>
              <w:t xml:space="preserve"> Uredbe (EU) br. 575/2013</w:t>
            </w:r>
          </w:p>
          <w:p w14:paraId="11EEB10C" w14:textId="77777777" w:rsidR="00EF74C7" w:rsidRPr="002A677E" w:rsidRDefault="00EF74C7" w:rsidP="00822842">
            <w:pPr>
              <w:spacing w:beforeLines="60" w:before="144" w:afterLines="60" w:after="144"/>
              <w:rPr>
                <w:sz w:val="24"/>
                <w:rFonts w:ascii="Times New Roman" w:hAnsi="Times New Roman"/>
              </w:rPr>
            </w:pPr>
            <w:r>
              <w:rPr>
                <w:sz w:val="24"/>
                <w:rFonts w:ascii="Times New Roman" w:hAnsi="Times New Roman"/>
              </w:rPr>
              <w:t xml:space="preserve">Ukupna tržišna vrijednost kreditnih izvedenica koje su priznate kao interne zaštite od izloženosti kreditnom riziku iz knjige pozicija kojima se ne trguje.</w:t>
            </w:r>
          </w:p>
        </w:tc>
      </w:tr>
      <w:tr w:rsidR="00EF74C7" w:rsidRPr="002A677E" w14:paraId="35FDB40E" w14:textId="77777777" w:rsidTr="00822842">
        <w:tc>
          <w:tcPr>
            <w:tcW w:w="852" w:type="dxa"/>
          </w:tcPr>
          <w:p w14:paraId="74E4E271" w14:textId="77777777" w:rsidR="00EF74C7" w:rsidRPr="002A677E" w:rsidRDefault="00EF74C7" w:rsidP="00822842">
            <w:pPr>
              <w:spacing w:beforeLines="60" w:before="144" w:afterLines="60" w:after="144"/>
              <w:rPr>
                <w:sz w:val="24"/>
                <w:rFonts w:ascii="Times New Roman" w:hAnsi="Times New Roman"/>
              </w:rPr>
            </w:pPr>
            <w:r>
              <w:rPr>
                <w:sz w:val="24"/>
                <w:rFonts w:ascii="Times New Roman" w:hAnsi="Times New Roman"/>
              </w:rPr>
              <w:t xml:space="preserve">0040</w:t>
            </w:r>
          </w:p>
        </w:tc>
        <w:tc>
          <w:tcPr>
            <w:tcW w:w="8187" w:type="dxa"/>
          </w:tcPr>
          <w:p w14:paraId="0BD00669"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Ukupna imovina</w:t>
            </w:r>
          </w:p>
          <w:p w14:paraId="46929946" w14:textId="77777777" w:rsidR="00EF74C7" w:rsidRPr="002A677E" w:rsidRDefault="00EF74C7" w:rsidP="00822842">
            <w:pPr>
              <w:spacing w:beforeLines="60" w:before="144" w:afterLines="60" w:after="144"/>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Ukupna imovina u skladu s primjenjivim računovodstvenim standardima.</w:t>
            </w:r>
          </w:p>
          <w:p w14:paraId="010EF5F0" w14:textId="77777777" w:rsidR="00EF74C7" w:rsidRPr="002A677E" w:rsidRDefault="00EF74C7" w:rsidP="00822842">
            <w:pPr>
              <w:spacing w:beforeLines="60" w:before="144" w:afterLines="60" w:after="144"/>
              <w:rPr>
                <w:rStyle w:val="InstructionsTabelleberschrift"/>
                <w:b w:val="0"/>
                <w:sz w:val="24"/>
                <w:rFonts w:ascii="Times New Roman" w:hAnsi="Times New Roman"/>
              </w:rPr>
            </w:pPr>
            <w:r>
              <w:rPr>
                <w:sz w:val="24"/>
                <w:rFonts w:ascii="Times New Roman" w:hAnsi="Times New Roman"/>
              </w:rPr>
              <w:t xml:space="preserve">Institucije u konsolidiranim izvještajima iskazuju ukupnu imovinu primjenom bonitetnog opsega konsolidacije u skladu s dijelom prvim glavom II. poglavljem 2. odjeljkom 2. Uredbe (EU) br. 575/2013.</w:t>
            </w:r>
          </w:p>
        </w:tc>
      </w:tr>
      <w:tr w:rsidR="00EF74C7" w:rsidRPr="002A677E" w14:paraId="4D325D16" w14:textId="77777777" w:rsidTr="00822842">
        <w:tc>
          <w:tcPr>
            <w:tcW w:w="852" w:type="dxa"/>
          </w:tcPr>
          <w:p w14:paraId="60F15BF2" w14:textId="77777777" w:rsidR="00EF74C7" w:rsidRPr="002A677E" w:rsidRDefault="00EF74C7" w:rsidP="00822842">
            <w:pPr>
              <w:spacing w:beforeLines="60" w:before="144" w:afterLines="60" w:after="144"/>
              <w:rPr>
                <w:sz w:val="24"/>
                <w:rFonts w:ascii="Times New Roman" w:hAnsi="Times New Roman"/>
              </w:rPr>
            </w:pPr>
            <w:r>
              <w:rPr>
                <w:sz w:val="24"/>
                <w:rFonts w:ascii="Times New Roman" w:hAnsi="Times New Roman"/>
              </w:rPr>
              <w:t xml:space="preserve">0050</w:t>
            </w:r>
          </w:p>
        </w:tc>
        <w:tc>
          <w:tcPr>
            <w:tcW w:w="8187" w:type="dxa"/>
          </w:tcPr>
          <w:p w14:paraId="26613692"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Postotak ukupne imovine</w:t>
            </w:r>
          </w:p>
          <w:p w14:paraId="7A7748D7" w14:textId="77777777" w:rsidR="00EF74C7" w:rsidRPr="002A677E" w:rsidRDefault="00EF74C7" w:rsidP="00822842">
            <w:pPr>
              <w:spacing w:beforeLines="60" w:before="144" w:afterLines="60" w:after="144"/>
              <w:rPr>
                <w:b/>
                <w:sz w:val="24"/>
                <w:rFonts w:ascii="Times New Roman" w:hAnsi="Times New Roman"/>
              </w:rPr>
            </w:pPr>
            <w:r>
              <w:rPr>
                <w:rStyle w:val="InstructionsTabelleberschrift"/>
                <w:b w:val="0"/>
                <w:sz w:val="24"/>
                <w:u w:val="none"/>
                <w:rFonts w:ascii="Times New Roman" w:hAnsi="Times New Roman"/>
              </w:rPr>
              <w:t xml:space="preserve">Omjer koji se izračunava dijeljenjem obujma poslova s izvedenicama (redak 0010) s ukupnom imovinom (redak 0040).</w:t>
            </w:r>
            <w:r>
              <w:rPr>
                <w:rStyle w:val="InstructionsTabelleberschrift"/>
                <w:b w:val="0"/>
                <w:sz w:val="24"/>
                <w:u w:val="none"/>
                <w:rFonts w:ascii="Times New Roman" w:hAnsi="Times New Roman"/>
              </w:rPr>
              <w:t xml:space="preserve"> </w:t>
            </w:r>
          </w:p>
        </w:tc>
      </w:tr>
      <w:tr w:rsidR="00EF74C7" w:rsidRPr="002A677E" w14:paraId="0399B49B" w14:textId="77777777" w:rsidTr="00822842">
        <w:tc>
          <w:tcPr>
            <w:tcW w:w="9039" w:type="dxa"/>
            <w:gridSpan w:val="2"/>
            <w:shd w:val="clear" w:color="auto" w:fill="A6A6A6" w:themeFill="background1" w:themeFillShade="A6"/>
          </w:tcPr>
          <w:p w14:paraId="2029EDEF" w14:textId="77777777" w:rsidR="00EF74C7" w:rsidRPr="002A677E" w:rsidRDefault="00EF74C7" w:rsidP="00822842">
            <w:pPr>
              <w:spacing w:beforeLines="60" w:before="144" w:afterLines="60" w:after="144"/>
              <w:rPr>
                <w:b/>
                <w:sz w:val="24"/>
                <w:rFonts w:ascii="Times New Roman" w:hAnsi="Times New Roman"/>
              </w:rPr>
            </w:pPr>
            <w:r>
              <w:rPr>
                <w:b/>
                <w:sz w:val="24"/>
                <w:rFonts w:ascii="Times New Roman" w:hAnsi="Times New Roman"/>
              </w:rPr>
              <w:t xml:space="preserve">ODSTUPANJE U SKLADU S ČLANKOM 273.a. STAVKOM 4. UREDBE (EU) 575/2013</w:t>
            </w:r>
          </w:p>
        </w:tc>
      </w:tr>
      <w:tr w:rsidR="00EF74C7" w:rsidRPr="002A677E" w14:paraId="70D864E0" w14:textId="77777777" w:rsidTr="00822842">
        <w:trPr>
          <w:trHeight w:val="3003"/>
        </w:trPr>
        <w:tc>
          <w:tcPr>
            <w:tcW w:w="852" w:type="dxa"/>
          </w:tcPr>
          <w:p w14:paraId="3AB25C6D" w14:textId="77777777" w:rsidR="00EF74C7" w:rsidRPr="002A677E" w:rsidRDefault="00EF74C7" w:rsidP="00822842">
            <w:pPr>
              <w:spacing w:beforeLines="60" w:before="144" w:afterLines="60" w:after="144"/>
              <w:rPr>
                <w:sz w:val="24"/>
                <w:rFonts w:ascii="Times New Roman" w:hAnsi="Times New Roman"/>
              </w:rPr>
            </w:pPr>
            <w:r>
              <w:rPr>
                <w:sz w:val="24"/>
                <w:rFonts w:ascii="Times New Roman" w:hAnsi="Times New Roman"/>
              </w:rPr>
              <w:t xml:space="preserve">0060</w:t>
            </w:r>
          </w:p>
        </w:tc>
        <w:tc>
          <w:tcPr>
            <w:tcW w:w="8187" w:type="dxa"/>
          </w:tcPr>
          <w:p w14:paraId="67908B53"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sz w:val="24"/>
                <w:rStyle w:val="InstructionsTabelleberschrift"/>
                <w:rFonts w:ascii="Times New Roman" w:hAnsi="Times New Roman"/>
              </w:rPr>
              <w:t xml:space="preserve">Jesu li ispunjeni uvjeti iz članka 273.a stavka 4.</w:t>
            </w:r>
            <w:r>
              <w:rPr>
                <w:sz w:val="24"/>
                <w:rFonts w:ascii="Times New Roman" w:hAnsi="Times New Roman"/>
              </w:rPr>
              <w:t xml:space="preserve"> Uredbe (EU) br. 575/2013, </w:t>
            </w:r>
            <w:r>
              <w:rPr>
                <w:sz w:val="24"/>
                <w:rStyle w:val="InstructionsTabelleberschrift"/>
                <w:rFonts w:ascii="Times New Roman" w:hAnsi="Times New Roman"/>
              </w:rPr>
              <w:t xml:space="preserve">uključujući odobrenje nadležnog tijela?</w:t>
            </w:r>
          </w:p>
          <w:p w14:paraId="2F3DE52A" w14:textId="77777777" w:rsidR="00EF74C7" w:rsidRPr="002A677E" w:rsidRDefault="00EF74C7" w:rsidP="00822842">
            <w:pPr>
              <w:spacing w:beforeLines="60" w:before="144" w:afterLines="60" w:after="144"/>
              <w:rPr>
                <w:rStyle w:val="InstructionsTabelleberschrift"/>
                <w:b w:val="0"/>
                <w:sz w:val="24"/>
                <w:u w:val="none"/>
                <w:rFonts w:ascii="Times New Roman" w:hAnsi="Times New Roman"/>
              </w:rPr>
            </w:pPr>
            <w:r>
              <w:rPr>
                <w:sz w:val="24"/>
                <w:rFonts w:ascii="Times New Roman" w:hAnsi="Times New Roman"/>
              </w:rPr>
              <w:t xml:space="preserve">Članak 273.a stavak 4. Uredbe (EU) br. 575/2013</w:t>
            </w:r>
          </w:p>
          <w:p w14:paraId="748D5951" w14:textId="77777777" w:rsidR="00EF74C7" w:rsidRPr="002A677E" w:rsidRDefault="00EF74C7" w:rsidP="00822842">
            <w:pPr>
              <w:spacing w:beforeLines="60" w:before="144" w:afterLines="60" w:after="144"/>
              <w:rPr>
                <w:rStyle w:val="InstructionsTabelleberschrift"/>
                <w:b w:val="0"/>
                <w:sz w:val="24"/>
                <w:u w:val="none"/>
                <w:rFonts w:ascii="Times New Roman" w:hAnsi="Times New Roman"/>
              </w:rPr>
            </w:pPr>
            <w:r>
              <w:rPr>
                <w:sz w:val="24"/>
                <w:rStyle w:val="InstructionsTabelleberschrift"/>
                <w:b w:val="0"/>
                <w:u w:val="none"/>
                <w:rFonts w:ascii="Times New Roman" w:hAnsi="Times New Roman"/>
              </w:rPr>
              <w:t xml:space="preserve">Institucije koje prelaze pragove za primjenu pojednostavnjenog pristupa za kreditni rizik druge ugovorne strane, a koje ipak primjenjuju jedan od njih na temelju članka 273.a stavka 4. </w:t>
            </w:r>
            <w:r>
              <w:rPr>
                <w:sz w:val="24"/>
                <w:rFonts w:ascii="Times New Roman" w:hAnsi="Times New Roman"/>
              </w:rPr>
              <w:t xml:space="preserve">Uredbe (EU) br. 575/2013, </w:t>
            </w:r>
            <w:r>
              <w:rPr>
                <w:sz w:val="24"/>
                <w:rStyle w:val="InstructionsTabelleberschrift"/>
                <w:b w:val="0"/>
                <w:u w:val="none"/>
                <w:rFonts w:ascii="Times New Roman" w:hAnsi="Times New Roman"/>
              </w:rPr>
              <w:t xml:space="preserve">navode (s Da/Ne) ispunjavaju li sve uvjete iz tog članka.</w:t>
            </w:r>
          </w:p>
          <w:p w14:paraId="6DA86931" w14:textId="77777777" w:rsidR="00EF74C7" w:rsidRPr="002A677E" w:rsidRDefault="00EF74C7" w:rsidP="00822842">
            <w:pPr>
              <w:spacing w:beforeLines="60" w:before="144" w:afterLines="60" w:after="144"/>
              <w:rPr>
                <w:b/>
                <w:sz w:val="24"/>
                <w:rFonts w:ascii="Times New Roman" w:hAnsi="Times New Roman"/>
              </w:rPr>
            </w:pPr>
            <w:r>
              <w:rPr>
                <w:sz w:val="24"/>
                <w:rFonts w:ascii="Times New Roman" w:hAnsi="Times New Roman"/>
              </w:rPr>
              <w:t xml:space="preserve">Tu stavku iskazuju samo institucije koje primjenjuju odstupanje u skladu s člankom 273.a stavkom 4. Uredbe (EU) br. 575/2013.</w:t>
            </w:r>
          </w:p>
        </w:tc>
      </w:tr>
      <w:tr w:rsidR="00EF74C7" w:rsidRPr="002A677E" w14:paraId="454EB33C" w14:textId="77777777" w:rsidTr="00822842">
        <w:tc>
          <w:tcPr>
            <w:tcW w:w="852" w:type="dxa"/>
          </w:tcPr>
          <w:p w14:paraId="38A2CAC1" w14:textId="77777777" w:rsidR="00EF74C7" w:rsidRPr="002A677E" w:rsidRDefault="00EF74C7" w:rsidP="00822842">
            <w:pPr>
              <w:spacing w:beforeLines="60" w:before="144" w:afterLines="60" w:after="144"/>
              <w:rPr>
                <w:sz w:val="24"/>
                <w:rFonts w:ascii="Times New Roman" w:hAnsi="Times New Roman"/>
              </w:rPr>
            </w:pPr>
            <w:r>
              <w:rPr>
                <w:sz w:val="24"/>
                <w:rFonts w:ascii="Times New Roman" w:hAnsi="Times New Roman"/>
              </w:rPr>
              <w:t xml:space="preserve">0070</w:t>
            </w:r>
          </w:p>
        </w:tc>
        <w:tc>
          <w:tcPr>
            <w:tcW w:w="8187" w:type="dxa"/>
          </w:tcPr>
          <w:p w14:paraId="58491ECF"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Metoda za izračun vrijednosti izloženosti na konsolidiranoj razini</w:t>
            </w:r>
          </w:p>
          <w:p w14:paraId="082FDD18" w14:textId="77777777" w:rsidR="00EF74C7" w:rsidRPr="002A677E" w:rsidRDefault="00EF74C7" w:rsidP="00822842">
            <w:pPr>
              <w:spacing w:beforeLines="60" w:before="144" w:afterLines="60" w:after="144"/>
              <w:rPr>
                <w:rStyle w:val="InstructionsTabelleberschrift"/>
                <w:b w:val="0"/>
                <w:sz w:val="24"/>
                <w:u w:val="none"/>
                <w:rFonts w:ascii="Times New Roman" w:hAnsi="Times New Roman"/>
              </w:rPr>
            </w:pPr>
            <w:r>
              <w:rPr>
                <w:sz w:val="24"/>
                <w:rFonts w:ascii="Times New Roman" w:hAnsi="Times New Roman"/>
              </w:rPr>
              <w:t xml:space="preserve">Članak 273.a stavak 4. Uredbe (EU) br. 575/2013</w:t>
            </w:r>
          </w:p>
          <w:p w14:paraId="2F4198CB" w14:textId="77777777" w:rsidR="00EF74C7" w:rsidRPr="002A677E" w:rsidRDefault="00EF74C7" w:rsidP="00822842">
            <w:pPr>
              <w:spacing w:beforeLines="60" w:before="144" w:afterLines="60" w:after="144"/>
              <w:rPr>
                <w:rStyle w:val="InstructionsTabelleberschrift"/>
                <w:b w:val="0"/>
                <w:sz w:val="24"/>
                <w:u w:val="none"/>
                <w:rFonts w:ascii="Times New Roman" w:hAnsi="Times New Roman"/>
              </w:rPr>
            </w:pPr>
            <w:r>
              <w:rPr>
                <w:sz w:val="24"/>
                <w:rFonts w:ascii="Times New Roman" w:hAnsi="Times New Roman"/>
              </w:rPr>
              <w:t xml:space="preserve">Metoda za izračun vrijednosti izloženosti pozicija u izvedenicama na konsolidiranoj osnovi koja se primjenjuje i na razini jednog subjekta u skladu s člankom 273.a stavkom 4. Uredbe (EU) br. 575/2013:</w:t>
            </w:r>
          </w:p>
          <w:p w14:paraId="028F6AA2" w14:textId="77777777" w:rsidR="00EF74C7" w:rsidRPr="002A677E" w:rsidRDefault="00EF74C7" w:rsidP="00822842">
            <w:pPr>
              <w:spacing w:beforeLines="60" w:before="144" w:afterLines="60" w:after="144"/>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 OEM:</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metoda originalne izloženosti</w:t>
            </w:r>
          </w:p>
          <w:p w14:paraId="52FA75E2" w14:textId="77777777" w:rsidR="00EF74C7" w:rsidRPr="002A677E" w:rsidRDefault="00EF74C7" w:rsidP="00822842">
            <w:pPr>
              <w:spacing w:beforeLines="60" w:before="144" w:afterLines="60" w:after="144"/>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 pojednostavnjeni SA-CCR:</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pojednostavnjeni standardizirani pristup za kreditni rizik druge ugovorne strane</w:t>
            </w:r>
            <w:r>
              <w:rPr>
                <w:rStyle w:val="InstructionsTabelleberschrift"/>
                <w:b w:val="0"/>
                <w:sz w:val="24"/>
                <w:u w:val="none"/>
                <w:rFonts w:ascii="Times New Roman" w:hAnsi="Times New Roman"/>
              </w:rPr>
              <w:t xml:space="preserve"> </w:t>
            </w:r>
          </w:p>
          <w:p w14:paraId="6D893F4F" w14:textId="77777777" w:rsidR="00EF74C7" w:rsidRPr="002A677E" w:rsidRDefault="00EF74C7" w:rsidP="00822842">
            <w:pPr>
              <w:spacing w:beforeLines="60" w:before="144" w:afterLines="60" w:after="144"/>
              <w:rPr>
                <w:b/>
                <w:sz w:val="24"/>
                <w:rFonts w:ascii="Times New Roman" w:hAnsi="Times New Roman"/>
              </w:rPr>
            </w:pPr>
            <w:r>
              <w:rPr>
                <w:sz w:val="24"/>
                <w:rFonts w:ascii="Times New Roman" w:hAnsi="Times New Roman"/>
              </w:rPr>
              <w:t xml:space="preserve">Tu stavku iskazuju samo institucije koje primjenjuju odstupanje u skladu s člankom 273.a stavkom 4. Uredbe (EU) br. 575/2013.</w:t>
            </w:r>
          </w:p>
        </w:tc>
      </w:tr>
    </w:tbl>
    <w:p w14:paraId="773ED03F" w14:textId="77777777" w:rsidR="00EF74C7" w:rsidRPr="002A677E" w:rsidRDefault="00EF74C7" w:rsidP="00EF74C7">
      <w:pPr>
        <w:pStyle w:val="Instructionsberschrift2"/>
        <w:numPr>
          <w:ilvl w:val="2"/>
          <w:numId w:val="29"/>
        </w:numPr>
        <w:rPr>
          <w:sz w:val="24"/>
          <w:rFonts w:ascii="Times New Roman" w:hAnsi="Times New Roman" w:cs="Times New Roman"/>
        </w:rPr>
      </w:pPr>
      <w:bookmarkStart w:id="22" w:name="_Toc19715806"/>
      <w:bookmarkStart w:id="23" w:name="_Toc151714446"/>
      <w:r>
        <w:rPr>
          <w:sz w:val="24"/>
          <w:rFonts w:ascii="Times New Roman" w:hAnsi="Times New Roman"/>
        </w:rPr>
        <w:t xml:space="preserve">C 34.02 – Izloženosti kreditnom riziku druge ugovorne strane prema pristupu</w:t>
      </w:r>
      <w:bookmarkEnd w:id="22"/>
      <w:bookmarkEnd w:id="23"/>
      <w:r>
        <w:rPr>
          <w:sz w:val="24"/>
          <w:rFonts w:ascii="Times New Roman" w:hAnsi="Times New Roman"/>
        </w:rPr>
        <w:t xml:space="preserve"> </w:t>
      </w:r>
    </w:p>
    <w:p w14:paraId="3FC7FDB8" w14:textId="77777777" w:rsidR="00EF74C7" w:rsidRPr="002A677E" w:rsidRDefault="00EF74C7" w:rsidP="00EF74C7">
      <w:pPr>
        <w:pStyle w:val="Instructionsberschrift2"/>
        <w:numPr>
          <w:ilvl w:val="3"/>
          <w:numId w:val="29"/>
        </w:numPr>
        <w:rPr>
          <w:sz w:val="24"/>
          <w:rFonts w:ascii="Times New Roman" w:hAnsi="Times New Roman" w:cs="Times New Roman"/>
        </w:rPr>
      </w:pPr>
      <w:bookmarkStart w:id="24" w:name="_Toc19715807"/>
      <w:bookmarkStart w:id="25" w:name="_Toc151714447"/>
      <w:r>
        <w:rPr>
          <w:sz w:val="24"/>
          <w:rFonts w:ascii="Times New Roman" w:hAnsi="Times New Roman"/>
        </w:rPr>
        <w:t xml:space="preserve">Opće napomene</w:t>
      </w:r>
      <w:bookmarkEnd w:id="24"/>
      <w:bookmarkEnd w:id="25"/>
    </w:p>
    <w:p w14:paraId="765D46FE" w14:textId="20A30CC8" w:rsidR="00EF74C7" w:rsidRPr="002A677E" w:rsidRDefault="00EF74C7" w:rsidP="00EF74C7">
      <w:pPr>
        <w:pStyle w:val="InstructionsText2"/>
        <w:numPr>
          <w:ilvl w:val="0"/>
          <w:numId w:val="0"/>
        </w:numPr>
        <w:ind w:left="993"/>
      </w:pPr>
      <w:r>
        <w:fldChar w:fldCharType="begin" w:dirty="true"/>
      </w:r>
      <w:r>
        <w:instrText>seq paragraphs</w:instrText>
      </w:r>
      <w:r>
        <w:fldChar w:fldCharType="separate"/>
      </w:r>
      <w:r w:rsidRPr="002A677E">
        <w:t>124</w:t>
      </w:r>
      <w:r>
        <w:fldChar w:fldCharType="end"/>
      </w:r>
      <w:r>
        <w:t xml:space="preserve">.</w:t>
      </w:r>
      <w:r>
        <w:t xml:space="preserve"> </w:t>
      </w:r>
      <w:r>
        <w:t xml:space="preserve">Institucije obrazac iskazuju zasebno za sve izloženosti kreditnom riziku druge ugovorne strane i za sve izloženosti kreditnom riziku druge ugovorne strane osim izloženosti prema središnjim drugim ugovornim stranama kako je definirano za potrebe obrasca C 34.10.</w:t>
      </w:r>
    </w:p>
    <w:p w14:paraId="73798597" w14:textId="77777777" w:rsidR="00EF74C7" w:rsidRPr="002A677E" w:rsidRDefault="00EF74C7" w:rsidP="00EF74C7">
      <w:pPr>
        <w:pStyle w:val="Instructionsberschrift2"/>
        <w:numPr>
          <w:ilvl w:val="3"/>
          <w:numId w:val="29"/>
        </w:numPr>
        <w:rPr>
          <w:sz w:val="24"/>
          <w:rFonts w:ascii="Times New Roman" w:hAnsi="Times New Roman" w:cs="Times New Roman"/>
        </w:rPr>
      </w:pPr>
      <w:bookmarkStart w:id="26" w:name="_Toc19715808"/>
      <w:bookmarkStart w:id="27" w:name="_Toc151714448"/>
      <w:r>
        <w:rPr>
          <w:sz w:val="24"/>
          <w:rFonts w:ascii="Times New Roman" w:hAnsi="Times New Roman"/>
        </w:rPr>
        <w:t xml:space="preserve">Upute za specifične pozicije</w:t>
      </w:r>
      <w:bookmarkEnd w:id="26"/>
      <w:bookmarkEnd w:id="2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5DC5F817" w14:textId="77777777" w:rsidTr="00822842">
        <w:trPr>
          <w:trHeight w:val="616"/>
        </w:trPr>
        <w:tc>
          <w:tcPr>
            <w:tcW w:w="9039" w:type="dxa"/>
            <w:gridSpan w:val="2"/>
            <w:tcBorders>
              <w:right w:val="single" w:sz="4" w:space="0" w:color="auto"/>
            </w:tcBorders>
            <w:shd w:val="clear" w:color="auto" w:fill="D9D9D9" w:themeFill="background1" w:themeFillShade="D9"/>
          </w:tcPr>
          <w:p w14:paraId="1806F3DC" w14:textId="77777777" w:rsidR="00EF74C7" w:rsidRPr="002A677E" w:rsidRDefault="00EF74C7" w:rsidP="00822842">
            <w:pPr>
              <w:autoSpaceDE w:val="0"/>
              <w:autoSpaceDN w:val="0"/>
              <w:adjustRightInd w:val="0"/>
              <w:rPr>
                <w:b/>
                <w:sz w:val="24"/>
                <w:rFonts w:ascii="Times New Roman" w:hAnsi="Times New Roman"/>
              </w:rPr>
            </w:pPr>
            <w:r>
              <w:rPr>
                <w:b/>
                <w:sz w:val="24"/>
                <w:rFonts w:ascii="Times New Roman" w:hAnsi="Times New Roman"/>
              </w:rPr>
              <w:t xml:space="preserve">Stupci</w:t>
            </w:r>
          </w:p>
        </w:tc>
      </w:tr>
      <w:tr w:rsidR="00EF74C7" w:rsidRPr="002A677E" w14:paraId="5AF62E03" w14:textId="77777777" w:rsidTr="00822842">
        <w:trPr>
          <w:trHeight w:val="680"/>
        </w:trPr>
        <w:tc>
          <w:tcPr>
            <w:tcW w:w="1384" w:type="dxa"/>
          </w:tcPr>
          <w:p w14:paraId="0ECB7AE7" w14:textId="77777777" w:rsidR="00EF74C7" w:rsidRPr="002A677E" w:rsidRDefault="00EF74C7" w:rsidP="00822842">
            <w:pPr>
              <w:pStyle w:val="Applicationdirecte"/>
              <w:spacing w:before="0" w:after="0"/>
            </w:pPr>
            <w:r>
              <w:t xml:space="preserve">0010</w:t>
            </w:r>
          </w:p>
        </w:tc>
        <w:tc>
          <w:tcPr>
            <w:tcW w:w="7655" w:type="dxa"/>
            <w:vAlign w:val="center"/>
          </w:tcPr>
          <w:p w14:paraId="2F369CA7"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BROJ DRUGIH UGOVORNIH STRANA</w:t>
            </w:r>
          </w:p>
          <w:p w14:paraId="5D247700" w14:textId="77777777" w:rsidR="00EF74C7" w:rsidRPr="002A677E" w:rsidRDefault="00EF74C7" w:rsidP="00822842">
            <w:pPr>
              <w:autoSpaceDE w:val="0"/>
              <w:autoSpaceDN w:val="0"/>
              <w:adjustRightInd w:val="0"/>
              <w:spacing w:before="60"/>
              <w:rPr>
                <w:i/>
                <w:sz w:val="24"/>
                <w:rFonts w:ascii="Times New Roman" w:hAnsi="Times New Roman"/>
              </w:rPr>
            </w:pPr>
            <w:r>
              <w:rPr>
                <w:sz w:val="24"/>
                <w:rFonts w:ascii="Times New Roman" w:hAnsi="Times New Roman"/>
              </w:rPr>
              <w:t xml:space="preserve">Broj pojedinih drugih ugovornih strana prema kojima institucija ima izloženosti kreditnom riziku druge ugovorne strane.</w:t>
            </w:r>
          </w:p>
        </w:tc>
      </w:tr>
      <w:tr w:rsidR="00EF74C7" w:rsidRPr="002A677E" w14:paraId="47187F35" w14:textId="77777777" w:rsidTr="00822842">
        <w:trPr>
          <w:trHeight w:val="416"/>
        </w:trPr>
        <w:tc>
          <w:tcPr>
            <w:tcW w:w="1384" w:type="dxa"/>
          </w:tcPr>
          <w:p w14:paraId="31502253" w14:textId="77777777" w:rsidR="00EF74C7" w:rsidRPr="002A677E" w:rsidRDefault="00EF74C7" w:rsidP="00822842">
            <w:pPr>
              <w:pStyle w:val="Applicationdirecte"/>
              <w:spacing w:before="0" w:after="0"/>
            </w:pPr>
            <w:r>
              <w:t xml:space="preserve">0020</w:t>
            </w:r>
          </w:p>
        </w:tc>
        <w:tc>
          <w:tcPr>
            <w:tcW w:w="7655" w:type="dxa"/>
            <w:vAlign w:val="center"/>
          </w:tcPr>
          <w:p w14:paraId="6A419FF1"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BROJ TRANSAKCIJA</w:t>
            </w:r>
          </w:p>
          <w:p w14:paraId="72A1DFED" w14:textId="77777777" w:rsidR="00EF74C7" w:rsidRPr="002A677E" w:rsidRDefault="00EF74C7" w:rsidP="00822842">
            <w:pPr>
              <w:autoSpaceDE w:val="0"/>
              <w:autoSpaceDN w:val="0"/>
              <w:adjustRightInd w:val="0"/>
              <w:spacing w:before="60"/>
              <w:rPr>
                <w:sz w:val="24"/>
                <w:rFonts w:ascii="Times New Roman" w:hAnsi="Times New Roman"/>
              </w:rPr>
            </w:pPr>
            <w:r>
              <w:rPr>
                <w:sz w:val="24"/>
                <w:rFonts w:ascii="Times New Roman" w:hAnsi="Times New Roman"/>
              </w:rPr>
              <w:t xml:space="preserve">Broj transakcija koje su na izvještajni datum izložene kreditnom riziku druge ugovorne strane.</w:t>
            </w:r>
            <w:r>
              <w:rPr>
                <w:sz w:val="24"/>
                <w:rFonts w:ascii="Times New Roman" w:hAnsi="Times New Roman"/>
              </w:rPr>
              <w:t xml:space="preserve"> </w:t>
            </w:r>
            <w:r>
              <w:rPr>
                <w:sz w:val="24"/>
                <w:rFonts w:ascii="Times New Roman" w:hAnsi="Times New Roman"/>
              </w:rPr>
              <w:t xml:space="preserve">Napomena da za poslove središnje druge ugovorne strane vrijednosti ne smiju obuhvaćati priljeve ili odljeve, već ukupne pozicije u portfelju kreditnog rizika druge ugovorne strane na izvještajni datum.</w:t>
            </w:r>
            <w:r>
              <w:rPr>
                <w:sz w:val="24"/>
                <w:rFonts w:ascii="Times New Roman" w:hAnsi="Times New Roman"/>
              </w:rPr>
              <w:t xml:space="preserve"> </w:t>
            </w:r>
            <w:r>
              <w:rPr>
                <w:sz w:val="24"/>
                <w:rFonts w:ascii="Times New Roman" w:hAnsi="Times New Roman"/>
              </w:rPr>
              <w:t xml:space="preserve">Osim toga, izvedeni instrument ili transakcija financiranja vrijednosnim papirima koji su podijeljeni na (najmanje) dva ili više dijelova zbog modeliranja i dalje se smatraju jednom transakcijom.</w:t>
            </w:r>
          </w:p>
        </w:tc>
      </w:tr>
      <w:tr w:rsidR="00EF74C7" w:rsidRPr="002A677E" w14:paraId="095C33EA" w14:textId="77777777" w:rsidTr="00822842">
        <w:trPr>
          <w:trHeight w:val="680"/>
        </w:trPr>
        <w:tc>
          <w:tcPr>
            <w:tcW w:w="1384" w:type="dxa"/>
          </w:tcPr>
          <w:p w14:paraId="11D4F4B1" w14:textId="77777777" w:rsidR="00EF74C7" w:rsidRPr="002A677E" w:rsidRDefault="00EF74C7" w:rsidP="00822842">
            <w:pPr>
              <w:pStyle w:val="Applicationdirecte"/>
              <w:spacing w:before="0" w:after="0"/>
            </w:pPr>
            <w:r>
              <w:t xml:space="preserve">0030</w:t>
            </w:r>
          </w:p>
        </w:tc>
        <w:tc>
          <w:tcPr>
            <w:tcW w:w="7655" w:type="dxa"/>
            <w:vAlign w:val="center"/>
          </w:tcPr>
          <w:p w14:paraId="31BBD503"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ZAMIŠLJENI IZNOSI</w:t>
            </w:r>
          </w:p>
          <w:p w14:paraId="0DE79C19"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Zbroj zamišljenih iznosa za izvedenice i transakcije financiranja vrijednosnim papirima prije netiranja i bez prilagodbi u skladu s člankom 279.b Uredbe (EU) br. 575/2013.</w:t>
            </w:r>
          </w:p>
        </w:tc>
      </w:tr>
      <w:tr w:rsidR="00EF74C7" w:rsidRPr="002A677E" w14:paraId="5C1FBFBA" w14:textId="77777777" w:rsidTr="00822842">
        <w:trPr>
          <w:trHeight w:val="680"/>
        </w:trPr>
        <w:tc>
          <w:tcPr>
            <w:tcW w:w="1384" w:type="dxa"/>
          </w:tcPr>
          <w:p w14:paraId="314060C4" w14:textId="77777777" w:rsidR="00EF74C7" w:rsidRPr="002A677E" w:rsidRDefault="00EF74C7" w:rsidP="00822842">
            <w:pPr>
              <w:pStyle w:val="Applicationdirecte"/>
              <w:spacing w:before="0" w:after="0"/>
            </w:pPr>
            <w:r>
              <w:t xml:space="preserve">0040</w:t>
            </w:r>
          </w:p>
        </w:tc>
        <w:tc>
          <w:tcPr>
            <w:tcW w:w="7655" w:type="dxa"/>
            <w:vAlign w:val="center"/>
          </w:tcPr>
          <w:p w14:paraId="0DCD00FE"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SADAŠNJA TRŽIŠNA VRIJEDNOST (CMV), POZITIVNA</w:t>
            </w:r>
          </w:p>
          <w:p w14:paraId="0CABD62F"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Članak 272. stavak 12. Uredbe (EU) br. 575/2013</w:t>
            </w:r>
          </w:p>
          <w:p w14:paraId="37448E9C"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Zbroj sadašnjih tržišnih vrijednosti (CMV) svih skupova za netiranje s pozitivnim CMV-om kako je definiran u članku 272. točki 12. Uredbe (EU) br. 575/2013.</w:t>
            </w:r>
            <w:r>
              <w:rPr>
                <w:sz w:val="24"/>
                <w:rFonts w:ascii="Times New Roman" w:hAnsi="Times New Roman"/>
              </w:rPr>
              <w:t xml:space="preserve"> </w:t>
            </w:r>
          </w:p>
        </w:tc>
      </w:tr>
      <w:tr w:rsidR="00EF74C7" w:rsidRPr="002A677E" w14:paraId="267FA73E" w14:textId="77777777" w:rsidTr="00822842">
        <w:trPr>
          <w:trHeight w:val="680"/>
        </w:trPr>
        <w:tc>
          <w:tcPr>
            <w:tcW w:w="1384" w:type="dxa"/>
          </w:tcPr>
          <w:p w14:paraId="490B203B" w14:textId="77777777" w:rsidR="00EF74C7" w:rsidRPr="002A677E" w:rsidRDefault="00EF74C7" w:rsidP="00822842">
            <w:pPr>
              <w:pStyle w:val="Applicationdirecte"/>
              <w:spacing w:before="0" w:after="0"/>
            </w:pPr>
            <w:r>
              <w:t xml:space="preserve">0050</w:t>
            </w:r>
          </w:p>
        </w:tc>
        <w:tc>
          <w:tcPr>
            <w:tcW w:w="7655" w:type="dxa"/>
            <w:vAlign w:val="center"/>
          </w:tcPr>
          <w:p w14:paraId="4AE05338"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SADAŠNJA TRŽIŠNA VRIJEDNOST (CMV), NEGATIVNA</w:t>
            </w:r>
          </w:p>
          <w:p w14:paraId="1AE578BE"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Članak 272. stavak 12. Uredbe (EU) br. 575/2013</w:t>
            </w:r>
          </w:p>
          <w:p w14:paraId="7055CBFD" w14:textId="77777777" w:rsidR="00EF74C7" w:rsidRPr="002A677E" w:rsidRDefault="00EF74C7" w:rsidP="00822842">
            <w:pPr>
              <w:keepNext/>
              <w:spacing w:before="60"/>
              <w:rPr>
                <w:rStyle w:val="InstructionsTabelleberschrift"/>
                <w:sz w:val="24"/>
                <w:rFonts w:ascii="Times New Roman" w:hAnsi="Times New Roman"/>
              </w:rPr>
            </w:pPr>
            <w:r>
              <w:rPr>
                <w:sz w:val="24"/>
                <w:rFonts w:ascii="Times New Roman" w:hAnsi="Times New Roman"/>
              </w:rPr>
              <w:t xml:space="preserve">Zbroj apsolutnih tržišnih vrijednosti (CMV) svih skupova za netiranje s negativnim CMV-om kako je definiran u članku 272. točki 12. Uredbe (EU) br. 575/2013.</w:t>
            </w:r>
          </w:p>
        </w:tc>
      </w:tr>
      <w:tr w:rsidR="00EF74C7" w:rsidRPr="002A677E" w14:paraId="0BB7F6EF" w14:textId="77777777" w:rsidTr="00822842">
        <w:trPr>
          <w:trHeight w:val="680"/>
        </w:trPr>
        <w:tc>
          <w:tcPr>
            <w:tcW w:w="1384" w:type="dxa"/>
          </w:tcPr>
          <w:p w14:paraId="0A3FB298" w14:textId="77777777" w:rsidR="00EF74C7" w:rsidRPr="002A677E" w:rsidRDefault="00EF74C7" w:rsidP="00822842">
            <w:pPr>
              <w:pStyle w:val="Fait"/>
            </w:pPr>
            <w:r>
              <w:t xml:space="preserve">0060</w:t>
            </w:r>
          </w:p>
        </w:tc>
        <w:tc>
          <w:tcPr>
            <w:tcW w:w="7655" w:type="dxa"/>
            <w:vAlign w:val="center"/>
          </w:tcPr>
          <w:p w14:paraId="48B3261E" w14:textId="77777777" w:rsidR="00EF74C7" w:rsidRPr="002A677E" w:rsidRDefault="00EF74C7" w:rsidP="00822842">
            <w:pPr>
              <w:keepNext/>
              <w:spacing w:before="60"/>
              <w:rPr>
                <w:rStyle w:val="InstructionsTabelleberschrift"/>
                <w:b w:val="0"/>
                <w:bCs w:val="0"/>
                <w:sz w:val="24"/>
                <w:rFonts w:ascii="Times New Roman" w:hAnsi="Times New Roman"/>
              </w:rPr>
            </w:pPr>
            <w:r>
              <w:rPr>
                <w:rStyle w:val="InstructionsTabelleberschrift"/>
                <w:sz w:val="24"/>
                <w:rFonts w:ascii="Times New Roman" w:hAnsi="Times New Roman"/>
              </w:rPr>
              <w:t xml:space="preserve">VARIJACIJSKI IZNOS NADOKNADE (VM), PRIMLJEN</w:t>
            </w:r>
          </w:p>
          <w:p w14:paraId="1BCA2FE2"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Članak 275. stavak 2., članak 275. stavak 3. i članak 276. Uredbe (EU) br. 575/2013</w:t>
            </w:r>
          </w:p>
          <w:p w14:paraId="369BA28E"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Zbroj varijacijskih iznosa nadoknade (VM) svih ugovora o iznosu nadoknade za koje je primljen VM, izračunat u skladu s člankom 276. Uredbe (EU) br. 575/2013.</w:t>
            </w:r>
          </w:p>
        </w:tc>
      </w:tr>
      <w:tr w:rsidR="00EF74C7" w:rsidRPr="002A677E" w14:paraId="6C721687" w14:textId="77777777" w:rsidTr="00822842">
        <w:trPr>
          <w:trHeight w:val="680"/>
        </w:trPr>
        <w:tc>
          <w:tcPr>
            <w:tcW w:w="1384" w:type="dxa"/>
          </w:tcPr>
          <w:p w14:paraId="2B88DE08" w14:textId="77777777" w:rsidR="00EF74C7" w:rsidRPr="002A677E" w:rsidRDefault="00EF74C7" w:rsidP="00822842">
            <w:pPr>
              <w:pStyle w:val="Fait"/>
            </w:pPr>
            <w:r>
              <w:t xml:space="preserve">0070</w:t>
            </w:r>
          </w:p>
        </w:tc>
        <w:tc>
          <w:tcPr>
            <w:tcW w:w="7655" w:type="dxa"/>
            <w:vAlign w:val="center"/>
          </w:tcPr>
          <w:p w14:paraId="3CBA9D04" w14:textId="77777777" w:rsidR="00EF74C7" w:rsidRPr="002A677E" w:rsidRDefault="00EF74C7" w:rsidP="00822842">
            <w:pPr>
              <w:keepNext/>
              <w:spacing w:before="60"/>
              <w:rPr>
                <w:rStyle w:val="InstructionsTabelleberschrift"/>
                <w:b w:val="0"/>
                <w:bCs w:val="0"/>
                <w:sz w:val="24"/>
                <w:rFonts w:ascii="Times New Roman" w:hAnsi="Times New Roman"/>
              </w:rPr>
            </w:pPr>
            <w:r>
              <w:rPr>
                <w:rStyle w:val="InstructionsTabelleberschrift"/>
                <w:sz w:val="24"/>
                <w:rFonts w:ascii="Times New Roman" w:hAnsi="Times New Roman"/>
              </w:rPr>
              <w:t xml:space="preserve">VARIJACIJSKI IZNOS NADOKNADE (VM), DAN</w:t>
            </w:r>
          </w:p>
          <w:p w14:paraId="5E268090"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Članak 275. stavak 2., članak 275. stavak 3. i članak 276. Uredbe (EU) br. 575/2013</w:t>
            </w:r>
          </w:p>
          <w:p w14:paraId="061EF38D" w14:textId="77777777" w:rsidR="00EF74C7" w:rsidRPr="002A677E" w:rsidRDefault="00EF74C7" w:rsidP="00822842">
            <w:pPr>
              <w:keepNext/>
              <w:spacing w:before="60"/>
              <w:rPr>
                <w:rStyle w:val="InstructionsTabelleberschrift"/>
                <w:sz w:val="24"/>
                <w:rFonts w:ascii="Times New Roman" w:hAnsi="Times New Roman"/>
              </w:rPr>
            </w:pPr>
            <w:r>
              <w:rPr>
                <w:sz w:val="24"/>
                <w:rFonts w:ascii="Times New Roman" w:hAnsi="Times New Roman"/>
              </w:rPr>
              <w:t xml:space="preserve">Zbroj varijacijskih iznosa nadoknade (VM) svih ugovora o iznosu nadoknade za koje je dan VM, izračunat u skladu s člankom 276. Uredbe (EU) br. 575/2013.</w:t>
            </w:r>
          </w:p>
        </w:tc>
      </w:tr>
      <w:tr w:rsidR="00EF74C7" w:rsidRPr="002A677E" w14:paraId="4403BF45" w14:textId="77777777" w:rsidTr="00822842">
        <w:trPr>
          <w:trHeight w:val="680"/>
        </w:trPr>
        <w:tc>
          <w:tcPr>
            <w:tcW w:w="1384" w:type="dxa"/>
          </w:tcPr>
          <w:p w14:paraId="6FD71C9F" w14:textId="77777777" w:rsidR="00EF74C7" w:rsidRPr="002A677E" w:rsidRDefault="00EF74C7" w:rsidP="00822842">
            <w:pPr>
              <w:pStyle w:val="Applicationdirecte"/>
              <w:spacing w:before="0" w:after="0"/>
            </w:pPr>
            <w:r>
              <w:t xml:space="preserve">0080</w:t>
            </w:r>
          </w:p>
        </w:tc>
        <w:tc>
          <w:tcPr>
            <w:tcW w:w="7655" w:type="dxa"/>
            <w:vAlign w:val="center"/>
          </w:tcPr>
          <w:p w14:paraId="2A71E90A" w14:textId="77777777" w:rsidR="00EF74C7" w:rsidRPr="002A677E" w:rsidRDefault="00EF74C7" w:rsidP="00822842">
            <w:pPr>
              <w:spacing w:before="60"/>
              <w:rPr>
                <w:rStyle w:val="InstructionsTabelleberschrift"/>
                <w:sz w:val="24"/>
                <w:rFonts w:ascii="Times New Roman" w:hAnsi="Times New Roman"/>
              </w:rPr>
            </w:pPr>
            <w:r>
              <w:rPr>
                <w:rStyle w:val="InstructionsTabelleberschrift"/>
                <w:sz w:val="24"/>
                <w:rFonts w:ascii="Times New Roman" w:hAnsi="Times New Roman"/>
              </w:rPr>
              <w:t xml:space="preserve">IZNOS NETO NEOVISNOG KOLATERALA (NICA), PRIMLJEN</w:t>
            </w:r>
            <w:r>
              <w:rPr>
                <w:rStyle w:val="InstructionsTabelleberschrift"/>
                <w:sz w:val="24"/>
                <w:rFonts w:ascii="Times New Roman" w:hAnsi="Times New Roman"/>
              </w:rPr>
              <w:t xml:space="preserve"> </w:t>
            </w:r>
          </w:p>
          <w:p w14:paraId="6F05E00C"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Članak 272. stavak 12.a, članak 275. stavak 3. i članak 276. Uredbe (EU) br. 575/2013</w:t>
            </w:r>
          </w:p>
          <w:p w14:paraId="4F712E22"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Zbroj iznosa neto neovisnog kolaterala (NICA) svih ugovora o iznosu nadoknade za koje je primljen NICA, izračunat u skladu s člankom 276. Uredbe (EU) br. 575/2013.</w:t>
            </w:r>
          </w:p>
        </w:tc>
      </w:tr>
      <w:tr w:rsidR="00EF74C7" w:rsidRPr="002A677E" w14:paraId="6199258D" w14:textId="77777777" w:rsidTr="00822842">
        <w:trPr>
          <w:trHeight w:val="680"/>
        </w:trPr>
        <w:tc>
          <w:tcPr>
            <w:tcW w:w="1384" w:type="dxa"/>
          </w:tcPr>
          <w:p w14:paraId="5ECD89A4" w14:textId="77777777" w:rsidR="00EF74C7" w:rsidRPr="002A677E" w:rsidRDefault="00EF74C7" w:rsidP="00822842">
            <w:pPr>
              <w:pStyle w:val="Applicationdirecte"/>
              <w:spacing w:before="0" w:after="0"/>
            </w:pPr>
            <w:r>
              <w:t xml:space="preserve">0090</w:t>
            </w:r>
          </w:p>
        </w:tc>
        <w:tc>
          <w:tcPr>
            <w:tcW w:w="7655" w:type="dxa"/>
            <w:vAlign w:val="center"/>
          </w:tcPr>
          <w:p w14:paraId="0E262EAD" w14:textId="77777777" w:rsidR="00EF74C7" w:rsidRPr="002A677E" w:rsidRDefault="00EF74C7" w:rsidP="00822842">
            <w:pPr>
              <w:spacing w:before="60"/>
              <w:rPr>
                <w:rStyle w:val="InstructionsTabelleberschrift"/>
                <w:sz w:val="24"/>
                <w:rFonts w:ascii="Times New Roman" w:hAnsi="Times New Roman"/>
              </w:rPr>
            </w:pPr>
            <w:r>
              <w:rPr>
                <w:rStyle w:val="InstructionsTabelleberschrift"/>
                <w:sz w:val="24"/>
                <w:rFonts w:ascii="Times New Roman" w:hAnsi="Times New Roman"/>
              </w:rPr>
              <w:t xml:space="preserve">IZNOS NETO NEOVISNOG KOLATERALA (NICA), DAN</w:t>
            </w:r>
            <w:r>
              <w:rPr>
                <w:rStyle w:val="InstructionsTabelleberschrift"/>
                <w:sz w:val="24"/>
                <w:rFonts w:ascii="Times New Roman" w:hAnsi="Times New Roman"/>
              </w:rPr>
              <w:t xml:space="preserve"> </w:t>
            </w:r>
          </w:p>
          <w:p w14:paraId="69D94B02"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Članak 272. stavak 12.a, članak 275. stavak 3. i članak 276. Uredbe (EU) br. 575/2013</w:t>
            </w:r>
          </w:p>
          <w:p w14:paraId="501F735A" w14:textId="77777777" w:rsidR="00EF74C7" w:rsidRPr="002A677E" w:rsidRDefault="00EF74C7" w:rsidP="00822842">
            <w:pPr>
              <w:spacing w:before="60"/>
              <w:rPr>
                <w:rStyle w:val="InstructionsTabelleberschrift"/>
                <w:sz w:val="24"/>
                <w:rFonts w:ascii="Times New Roman" w:hAnsi="Times New Roman"/>
              </w:rPr>
            </w:pPr>
            <w:r>
              <w:rPr>
                <w:sz w:val="24"/>
                <w:rFonts w:ascii="Times New Roman" w:hAnsi="Times New Roman"/>
              </w:rPr>
              <w:t xml:space="preserve">Zbroj iznosa neto neovisnog kolaterala (NICA) svih ugovora o iznosu nadoknade za koje je dan NICA, izračunat u skladu s člankom 276. Uredbe (EU) br. 575/2013.</w:t>
            </w:r>
          </w:p>
        </w:tc>
      </w:tr>
      <w:tr w:rsidR="00EF74C7" w:rsidRPr="002A677E" w14:paraId="1D70BDB1" w14:textId="77777777" w:rsidTr="00822842">
        <w:trPr>
          <w:trHeight w:val="680"/>
        </w:trPr>
        <w:tc>
          <w:tcPr>
            <w:tcW w:w="1384" w:type="dxa"/>
          </w:tcPr>
          <w:p w14:paraId="4B42749A" w14:textId="77777777" w:rsidR="00EF74C7" w:rsidRPr="002A677E" w:rsidRDefault="00EF74C7" w:rsidP="00822842">
            <w:pPr>
              <w:pStyle w:val="Applicationdirecte"/>
              <w:spacing w:before="0" w:after="0"/>
            </w:pPr>
            <w:r>
              <w:t xml:space="preserve">0100</w:t>
            </w:r>
          </w:p>
        </w:tc>
        <w:tc>
          <w:tcPr>
            <w:tcW w:w="7655" w:type="dxa"/>
            <w:vAlign w:val="center"/>
          </w:tcPr>
          <w:p w14:paraId="4F8024BE" w14:textId="77777777" w:rsidR="00EF74C7" w:rsidRPr="002A677E" w:rsidRDefault="00EF74C7" w:rsidP="00822842">
            <w:pPr>
              <w:spacing w:before="60"/>
              <w:rPr>
                <w:rStyle w:val="InstructionsTabelleberschrift"/>
                <w:sz w:val="24"/>
                <w:rFonts w:ascii="Times New Roman" w:hAnsi="Times New Roman"/>
              </w:rPr>
            </w:pPr>
            <w:r>
              <w:rPr>
                <w:rStyle w:val="InstructionsTabelleberschrift"/>
                <w:sz w:val="24"/>
                <w:rFonts w:ascii="Times New Roman" w:hAnsi="Times New Roman"/>
              </w:rPr>
              <w:t xml:space="preserve">TROŠAK ZAMJENE (RC)</w:t>
            </w:r>
            <w:r>
              <w:rPr>
                <w:rStyle w:val="InstructionsTabelleberschrift"/>
                <w:sz w:val="24"/>
                <w:rFonts w:ascii="Times New Roman" w:hAnsi="Times New Roman"/>
              </w:rPr>
              <w:t xml:space="preserve"> </w:t>
            </w:r>
          </w:p>
          <w:p w14:paraId="020E5CFA" w14:textId="77777777" w:rsidR="00EF74C7" w:rsidRPr="002A677E" w:rsidRDefault="00EF74C7" w:rsidP="00822842">
            <w:pPr>
              <w:spacing w:before="60"/>
              <w:rPr>
                <w:sz w:val="24"/>
                <w:rFonts w:ascii="Times New Roman" w:eastAsia="Calibri" w:hAnsi="Times New Roman"/>
              </w:rPr>
            </w:pPr>
            <w:r>
              <w:rPr>
                <w:sz w:val="24"/>
                <w:rFonts w:ascii="Times New Roman" w:hAnsi="Times New Roman"/>
              </w:rPr>
              <w:t xml:space="preserve">Članci 275., 281. i 282. Uredbe (EU) br. 575/2013</w:t>
            </w:r>
          </w:p>
          <w:p w14:paraId="7C118F06" w14:textId="77777777" w:rsidR="00EF74C7" w:rsidRPr="002A677E" w:rsidRDefault="00EF74C7" w:rsidP="00822842">
            <w:pPr>
              <w:pStyle w:val="TableMainHeading"/>
              <w:spacing w:before="0" w:after="0"/>
              <w:jc w:val="both"/>
              <w:rPr>
                <w:sz w:val="24"/>
                <w:szCs w:val="24"/>
                <w:rFonts w:ascii="Times New Roman" w:hAnsi="Times New Roman"/>
              </w:rPr>
            </w:pPr>
            <w:r>
              <w:rPr>
                <w:sz w:val="24"/>
                <w:rFonts w:ascii="Times New Roman" w:hAnsi="Times New Roman"/>
              </w:rPr>
              <w:t xml:space="preserve">Trošak zamjene (RC) po skupu za netiranje izračunava se u skladu sa sljedećim:</w:t>
            </w:r>
            <w:r>
              <w:rPr>
                <w:sz w:val="24"/>
                <w:rFonts w:ascii="Times New Roman" w:hAnsi="Times New Roman"/>
              </w:rPr>
              <w:t xml:space="preserve"> </w:t>
            </w:r>
          </w:p>
          <w:p w14:paraId="48A8DFD4"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 člankom 282. stavkom 3. Uredbe (EU) br. 575/2013 za metodu originalne izloženosti,</w:t>
            </w:r>
            <w:r>
              <w:rPr>
                <w:sz w:val="24"/>
                <w:rFonts w:ascii="Times New Roman" w:hAnsi="Times New Roman"/>
              </w:rPr>
              <w:t xml:space="preserve"> </w:t>
            </w:r>
          </w:p>
          <w:p w14:paraId="119FA228"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 člankom 281. Uredbe (EU) br. 575/2013 za pojednostavnjeni SA-CCR,</w:t>
            </w:r>
          </w:p>
          <w:p w14:paraId="341C9FB7"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 člankom 275. Uredbe (EU) br. 575/2013 za SA-CCR.</w:t>
            </w:r>
          </w:p>
          <w:p w14:paraId="4927F863"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Institucija iskazuje zbroj troškova zamjene skupova za netiranje u odgovarajućem retku.</w:t>
            </w:r>
          </w:p>
        </w:tc>
      </w:tr>
      <w:tr w:rsidR="00EF74C7" w:rsidRPr="002A677E" w14:paraId="6A436014" w14:textId="77777777" w:rsidTr="00822842">
        <w:trPr>
          <w:trHeight w:val="680"/>
        </w:trPr>
        <w:tc>
          <w:tcPr>
            <w:tcW w:w="1384" w:type="dxa"/>
          </w:tcPr>
          <w:p w14:paraId="0929ECF8" w14:textId="77777777" w:rsidR="00EF74C7" w:rsidRPr="002A677E" w:rsidRDefault="00EF74C7" w:rsidP="00822842">
            <w:pPr>
              <w:pStyle w:val="Applicationdirecte"/>
              <w:spacing w:before="0" w:after="0"/>
            </w:pPr>
            <w:r>
              <w:t xml:space="preserve">0110</w:t>
            </w:r>
          </w:p>
        </w:tc>
        <w:tc>
          <w:tcPr>
            <w:tcW w:w="7655" w:type="dxa"/>
            <w:vAlign w:val="center"/>
          </w:tcPr>
          <w:p w14:paraId="2874AC61" w14:textId="77777777" w:rsidR="00EF74C7" w:rsidRPr="002A677E" w:rsidRDefault="00EF74C7" w:rsidP="00822842">
            <w:pPr>
              <w:spacing w:before="60"/>
              <w:rPr>
                <w:rStyle w:val="InstructionsTabelleberschrift"/>
                <w:sz w:val="24"/>
                <w:rFonts w:ascii="Times New Roman" w:hAnsi="Times New Roman"/>
              </w:rPr>
            </w:pPr>
            <w:r>
              <w:rPr>
                <w:rStyle w:val="InstructionsTabelleberschrift"/>
                <w:sz w:val="24"/>
                <w:rFonts w:ascii="Times New Roman" w:hAnsi="Times New Roman"/>
              </w:rPr>
              <w:t xml:space="preserve">POTENCIJALNA BUDUĆA IZLOŽENOST (PFE)</w:t>
            </w:r>
          </w:p>
          <w:p w14:paraId="1F05C741" w14:textId="77777777" w:rsidR="00EF74C7" w:rsidRPr="002A677E" w:rsidRDefault="00EF74C7" w:rsidP="00822842">
            <w:pPr>
              <w:spacing w:before="60"/>
              <w:rPr>
                <w:sz w:val="24"/>
                <w:rFonts w:ascii="Times New Roman" w:eastAsia="Calibri" w:hAnsi="Times New Roman"/>
              </w:rPr>
            </w:pPr>
            <w:r>
              <w:rPr>
                <w:sz w:val="24"/>
                <w:rFonts w:ascii="Times New Roman" w:hAnsi="Times New Roman"/>
              </w:rPr>
              <w:t xml:space="preserve">Članci 278., 281. i 282. Uredbe (EU) br. 575/2013</w:t>
            </w:r>
          </w:p>
          <w:p w14:paraId="3BB9BD10"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Potencijalna buduća izloženost (PFE) po skupu za netiranje izračunava se u skladu sa sljedećim:</w:t>
            </w:r>
            <w:r>
              <w:rPr>
                <w:sz w:val="24"/>
                <w:rFonts w:ascii="Times New Roman" w:hAnsi="Times New Roman"/>
              </w:rPr>
              <w:t xml:space="preserve"> </w:t>
            </w:r>
          </w:p>
          <w:p w14:paraId="5F96EE58"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 člankom 282. stavkom 4. Uredbe (EU) br. 575/2013 za metodu originalne izloženosti,</w:t>
            </w:r>
            <w:r>
              <w:rPr>
                <w:sz w:val="24"/>
                <w:rFonts w:ascii="Times New Roman" w:hAnsi="Times New Roman"/>
              </w:rPr>
              <w:t xml:space="preserve"> </w:t>
            </w:r>
          </w:p>
          <w:p w14:paraId="3C429683"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 člankom 281. Uredbe (EU) br. 575/2013 za pojednostavnjeni SA-CCR,</w:t>
            </w:r>
          </w:p>
          <w:p w14:paraId="6194F2AF"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 člankom 278. Uredbe (EU) br. 575/2013 za SA-CCR.</w:t>
            </w:r>
          </w:p>
          <w:p w14:paraId="2A2F0E46" w14:textId="77777777" w:rsidR="00EF74C7" w:rsidRPr="002A677E" w:rsidRDefault="00EF74C7" w:rsidP="00822842">
            <w:pPr>
              <w:spacing w:before="60"/>
              <w:rPr>
                <w:i/>
                <w:sz w:val="24"/>
                <w:rFonts w:ascii="Times New Roman" w:hAnsi="Times New Roman"/>
              </w:rPr>
            </w:pPr>
            <w:r>
              <w:rPr>
                <w:sz w:val="24"/>
                <w:rFonts w:ascii="Times New Roman" w:hAnsi="Times New Roman"/>
              </w:rPr>
              <w:t xml:space="preserve">Institucija iskazuje zbroj svih potencijalnih budućih izloženosti skupova za netiranje u odgovarajućem retku.</w:t>
            </w:r>
          </w:p>
        </w:tc>
      </w:tr>
      <w:tr w:rsidR="00EF74C7" w:rsidRPr="002A677E" w14:paraId="77C5A8CC" w14:textId="77777777" w:rsidTr="00822842">
        <w:trPr>
          <w:trHeight w:val="680"/>
        </w:trPr>
        <w:tc>
          <w:tcPr>
            <w:tcW w:w="1384" w:type="dxa"/>
          </w:tcPr>
          <w:p w14:paraId="35C9D880" w14:textId="77777777" w:rsidR="00EF74C7" w:rsidRPr="002A677E" w:rsidRDefault="00EF74C7" w:rsidP="00822842">
            <w:pPr>
              <w:pStyle w:val="Applicationdirecte"/>
              <w:spacing w:before="0" w:after="0"/>
            </w:pPr>
            <w:r>
              <w:t xml:space="preserve">0120</w:t>
            </w:r>
          </w:p>
        </w:tc>
        <w:tc>
          <w:tcPr>
            <w:tcW w:w="7655" w:type="dxa"/>
            <w:vAlign w:val="center"/>
          </w:tcPr>
          <w:p w14:paraId="1B837C4C" w14:textId="77777777" w:rsidR="00EF74C7" w:rsidRPr="002A677E" w:rsidRDefault="00EF74C7" w:rsidP="00822842">
            <w:pPr>
              <w:spacing w:before="60"/>
              <w:rPr>
                <w:rStyle w:val="InstructionsTabelleberschrift"/>
                <w:sz w:val="24"/>
                <w:rFonts w:ascii="Times New Roman" w:hAnsi="Times New Roman"/>
              </w:rPr>
            </w:pPr>
            <w:r>
              <w:rPr>
                <w:rStyle w:val="InstructionsTabelleberschrift"/>
                <w:sz w:val="24"/>
                <w:rFonts w:ascii="Times New Roman" w:hAnsi="Times New Roman"/>
              </w:rPr>
              <w:t xml:space="preserve">SADAŠNJA IZLOŽENOST</w:t>
            </w:r>
          </w:p>
          <w:p w14:paraId="1E442243"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Članak 272. stavak 17. Uredbe (EU) br. 575/2013</w:t>
            </w:r>
            <w:r>
              <w:rPr>
                <w:sz w:val="24"/>
                <w:rFonts w:ascii="Times New Roman" w:hAnsi="Times New Roman"/>
              </w:rPr>
              <w:t xml:space="preserve"> </w:t>
            </w:r>
          </w:p>
          <w:p w14:paraId="36E33616"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Sadašnja izloženost po skupu za netiranje ima vrijednost kako je definirana u skladu s člankom 272. točkom 17. Uredbe (EU) br. 575/2013.</w:t>
            </w:r>
          </w:p>
          <w:p w14:paraId="459ECA5A"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Institucija iskazuje zbroj svih sadašnjih izloženosti skupova za netiranje u odgovarajućem retku.</w:t>
            </w:r>
          </w:p>
        </w:tc>
      </w:tr>
      <w:tr w:rsidR="00EF74C7" w:rsidRPr="002A677E" w14:paraId="1B8ACD23" w14:textId="77777777" w:rsidTr="00822842">
        <w:trPr>
          <w:trHeight w:val="680"/>
        </w:trPr>
        <w:tc>
          <w:tcPr>
            <w:tcW w:w="1384" w:type="dxa"/>
          </w:tcPr>
          <w:p w14:paraId="74E98C99" w14:textId="77777777" w:rsidR="00EF74C7" w:rsidRPr="002A677E" w:rsidRDefault="00EF74C7" w:rsidP="00822842">
            <w:pPr>
              <w:pStyle w:val="Applicationdirecte"/>
              <w:spacing w:before="0" w:after="0"/>
            </w:pPr>
            <w:r>
              <w:t xml:space="preserve">0130</w:t>
            </w:r>
          </w:p>
        </w:tc>
        <w:tc>
          <w:tcPr>
            <w:tcW w:w="7655" w:type="dxa"/>
            <w:vAlign w:val="center"/>
          </w:tcPr>
          <w:p w14:paraId="3EC3B867" w14:textId="77777777" w:rsidR="00EF74C7" w:rsidRPr="002A677E" w:rsidRDefault="00EF74C7" w:rsidP="00822842">
            <w:pPr>
              <w:spacing w:before="60"/>
              <w:rPr>
                <w:rStyle w:val="InstructionsTabelleberschrift"/>
                <w:sz w:val="24"/>
                <w:rFonts w:ascii="Times New Roman" w:hAnsi="Times New Roman"/>
              </w:rPr>
            </w:pPr>
            <w:r>
              <w:rPr>
                <w:rStyle w:val="InstructionsTabelleberschrift"/>
                <w:sz w:val="24"/>
                <w:rFonts w:ascii="Times New Roman" w:hAnsi="Times New Roman"/>
              </w:rPr>
              <w:t xml:space="preserve">EFEKTIVNA OČEKIVANA POZITIVNA IZLOŽENOST (EEPE)</w:t>
            </w:r>
          </w:p>
          <w:p w14:paraId="758613C4" w14:textId="77777777" w:rsidR="00EF74C7" w:rsidRPr="002A677E" w:rsidRDefault="00EF74C7" w:rsidP="00822842">
            <w:pPr>
              <w:spacing w:before="60"/>
              <w:rPr>
                <w:sz w:val="24"/>
                <w:rFonts w:ascii="Times New Roman" w:eastAsia="Calibri" w:hAnsi="Times New Roman"/>
              </w:rPr>
            </w:pPr>
            <w:r>
              <w:rPr>
                <w:sz w:val="24"/>
                <w:rFonts w:ascii="Times New Roman" w:hAnsi="Times New Roman"/>
              </w:rPr>
              <w:t xml:space="preserve">Članak 272. stavak 22., članak 284. stavak 3. i članak 284. stavak 6. Uredbe (EU) br. 575/2013</w:t>
            </w:r>
          </w:p>
          <w:p w14:paraId="33B149EE" w14:textId="77777777" w:rsidR="00EF74C7" w:rsidRPr="002A677E" w:rsidRDefault="00EF74C7" w:rsidP="00822842">
            <w:pPr>
              <w:pStyle w:val="Default"/>
              <w:spacing w:after="120"/>
              <w:jc w:val="both"/>
              <w:rPr>
                <w:color w:val="auto"/>
                <w:rFonts w:ascii="Times New Roman" w:hAnsi="Times New Roman" w:cs="Times New Roman"/>
              </w:rPr>
            </w:pPr>
            <w:r>
              <w:rPr>
                <w:color w:val="auto"/>
                <w:rFonts w:ascii="Times New Roman" w:hAnsi="Times New Roman"/>
              </w:rPr>
              <w:t xml:space="preserve">Efektivna očekivana pozitivna izloženost po skupu za netiranje definirana je u članku 272. točki 22. Uredbe (EU) br. 575/2013 i izračunava se u skladu s člankom 284. stavkom 6. Uredbe (EU) br. 575/2013.</w:t>
            </w:r>
          </w:p>
          <w:p w14:paraId="336DEF87" w14:textId="77777777" w:rsidR="00EF74C7" w:rsidRPr="002A677E" w:rsidRDefault="00EF74C7" w:rsidP="00822842">
            <w:pPr>
              <w:spacing w:before="60"/>
              <w:rPr>
                <w:sz w:val="24"/>
                <w:rFonts w:ascii="Times New Roman" w:eastAsia="Calibri" w:hAnsi="Times New Roman"/>
              </w:rPr>
            </w:pPr>
            <w:r>
              <w:rPr>
                <w:sz w:val="24"/>
                <w:rFonts w:ascii="Times New Roman" w:hAnsi="Times New Roman"/>
              </w:rPr>
              <w:t xml:space="preserve">Institucije iskazuju zbroj svih efektivnih očekivanih pozitivnih izloženosti primijenjenih za utvrđivanje kapitalnih zahtjeva u skladu s člankom 284. stavkom 3. Uredbe (EU) br. 575/2013, tj. ili EEPE izračunat na temelju aktualnih tržišnih podataka ili EEPE izračunat kalibracijom stresa, ovisno o tome koji rezultira višim kapitalnim zahtjevom.</w:t>
            </w:r>
          </w:p>
        </w:tc>
      </w:tr>
      <w:tr w:rsidR="00EF74C7" w:rsidRPr="002A677E" w14:paraId="663F4BA2" w14:textId="77777777" w:rsidTr="00822842">
        <w:trPr>
          <w:trHeight w:val="680"/>
        </w:trPr>
        <w:tc>
          <w:tcPr>
            <w:tcW w:w="1384" w:type="dxa"/>
          </w:tcPr>
          <w:p w14:paraId="36EC68F2" w14:textId="77777777" w:rsidR="00EF74C7" w:rsidRPr="002A677E" w:rsidRDefault="00EF74C7" w:rsidP="00822842">
            <w:pPr>
              <w:pStyle w:val="Applicationdirecte"/>
              <w:spacing w:before="0" w:after="0"/>
            </w:pPr>
            <w:r>
              <w:t xml:space="preserve">0140</w:t>
            </w:r>
          </w:p>
        </w:tc>
        <w:tc>
          <w:tcPr>
            <w:tcW w:w="7655" w:type="dxa"/>
            <w:vAlign w:val="center"/>
          </w:tcPr>
          <w:p w14:paraId="2682CC5B" w14:textId="77777777" w:rsidR="00EF74C7" w:rsidRPr="002A677E" w:rsidRDefault="00EF74C7" w:rsidP="00822842">
            <w:pPr>
              <w:spacing w:before="60"/>
              <w:rPr>
                <w:rStyle w:val="InstructionsTabelleberschrift"/>
                <w:sz w:val="24"/>
                <w:rFonts w:ascii="Times New Roman" w:hAnsi="Times New Roman"/>
              </w:rPr>
            </w:pPr>
            <w:r>
              <w:rPr>
                <w:rStyle w:val="InstructionsTabelleberschrift"/>
                <w:sz w:val="24"/>
                <w:rFonts w:ascii="Times New Roman" w:hAnsi="Times New Roman"/>
              </w:rPr>
              <w:t xml:space="preserve">PARAMETAR ALFA ZA IZRAČUN REGULATORNE VRIJEDNOSTI IZLOŽENOSTI</w:t>
            </w:r>
            <w:r>
              <w:rPr>
                <w:rStyle w:val="InstructionsTabelleberschrift"/>
                <w:sz w:val="24"/>
                <w:rFonts w:ascii="Times New Roman" w:hAnsi="Times New Roman"/>
              </w:rPr>
              <w:t xml:space="preserve"> </w:t>
            </w:r>
          </w:p>
          <w:p w14:paraId="02E67AA1" w14:textId="77777777" w:rsidR="00EF74C7" w:rsidRPr="002A677E" w:rsidRDefault="00EF74C7" w:rsidP="00822842">
            <w:pPr>
              <w:spacing w:before="60"/>
              <w:rPr>
                <w:i/>
                <w:sz w:val="24"/>
                <w:rFonts w:ascii="Times New Roman" w:hAnsi="Times New Roman"/>
              </w:rPr>
            </w:pPr>
            <w:r>
              <w:rPr>
                <w:sz w:val="24"/>
                <w:rFonts w:ascii="Times New Roman" w:hAnsi="Times New Roman"/>
              </w:rPr>
              <w:t xml:space="preserve">Članak 274. stavak 2., članak 282. stavak 2., članak 281. stavak 1. i članak 284. stavci 4. i 9. Uredbe (EU) br. 575/2013</w:t>
            </w:r>
          </w:p>
          <w:p w14:paraId="5EFB3579" w14:textId="77777777" w:rsidR="00EF74C7" w:rsidRPr="002A677E" w:rsidRDefault="00EF74C7" w:rsidP="00822842">
            <w:pPr>
              <w:spacing w:before="60"/>
              <w:rPr>
                <w:i/>
                <w:sz w:val="24"/>
                <w:rFonts w:ascii="Times New Roman" w:eastAsia="Calibri" w:hAnsi="Times New Roman"/>
              </w:rPr>
            </w:pPr>
            <w:r>
              <w:rPr>
                <w:sz w:val="24"/>
                <w:rFonts w:ascii="Times New Roman" w:hAnsi="Times New Roman"/>
              </w:rPr>
              <w:t xml:space="preserve">Vrijednost parametra α fiksirana je na 1,4 u redcima za OEM, pojednostavnjeni SA-CCR i SA-CCR u skladu s člankom 282. stavkom 2., člankom 281. stavkom 1. i člankom 274. stavkom 2. Uredbe (EU) br. 575/2013.</w:t>
            </w:r>
            <w:r>
              <w:rPr>
                <w:sz w:val="24"/>
                <w:rFonts w:ascii="Times New Roman" w:hAnsi="Times New Roman"/>
              </w:rPr>
              <w:t xml:space="preserve"> </w:t>
            </w:r>
            <w:r>
              <w:rPr>
                <w:sz w:val="24"/>
                <w:rFonts w:ascii="Times New Roman" w:hAnsi="Times New Roman"/>
              </w:rPr>
              <w:t xml:space="preserve">Za potrebe metode internog modela (IMM) vrijednost parametra α može biti ili unaprijed utvrđena na 1,4 ili različita ako nadležna tijela zahtijevaju viši parametar α u skladu s člankom 284. stavkom 4. Uredbe (EU) br. 575/2013 ili dopuste institucijama da koriste vlastite procjene u skladu s člankom 284. stavkom 9. te uredbe.</w:t>
            </w:r>
          </w:p>
        </w:tc>
      </w:tr>
      <w:tr w:rsidR="00EF74C7" w:rsidRPr="002A677E" w14:paraId="04AA2156" w14:textId="77777777" w:rsidTr="00822842">
        <w:trPr>
          <w:trHeight w:val="680"/>
        </w:trPr>
        <w:tc>
          <w:tcPr>
            <w:tcW w:w="1384" w:type="dxa"/>
          </w:tcPr>
          <w:p w14:paraId="25456D2E" w14:textId="77777777" w:rsidR="00EF74C7" w:rsidRPr="002A677E" w:rsidRDefault="00EF74C7" w:rsidP="00822842">
            <w:pPr>
              <w:pStyle w:val="Applicationdirecte"/>
              <w:spacing w:before="0" w:after="0"/>
            </w:pPr>
            <w:r>
              <w:t xml:space="preserve">0150</w:t>
            </w:r>
          </w:p>
        </w:tc>
        <w:tc>
          <w:tcPr>
            <w:tcW w:w="7655" w:type="dxa"/>
          </w:tcPr>
          <w:p w14:paraId="737A43B1" w14:textId="77777777" w:rsidR="00EF74C7" w:rsidRPr="002A677E" w:rsidRDefault="00EF74C7" w:rsidP="00822842">
            <w:pPr>
              <w:pStyle w:val="TableMainHeading"/>
              <w:jc w:val="both"/>
              <w:rPr>
                <w:rStyle w:val="InstructionsTabelleberschrift"/>
                <w:sz w:val="24"/>
                <w:szCs w:val="24"/>
                <w:rFonts w:ascii="Times New Roman" w:eastAsiaTheme="minorEastAsia" w:hAnsi="Times New Roman"/>
              </w:rPr>
            </w:pPr>
            <w:r>
              <w:rPr>
                <w:rStyle w:val="InstructionsTabelleberschrift"/>
                <w:sz w:val="24"/>
                <w:rFonts w:ascii="Times New Roman" w:hAnsi="Times New Roman"/>
              </w:rPr>
              <w:t xml:space="preserve">VRIJEDNOST IZLOŽENOSTI PRIJE SMANJENJA KREDITNOG RIZIKA</w:t>
            </w:r>
            <w:r>
              <w:rPr>
                <w:rStyle w:val="InstructionsTabelleberschrift"/>
                <w:sz w:val="24"/>
                <w:rFonts w:ascii="Times New Roman" w:hAnsi="Times New Roman"/>
              </w:rPr>
              <w:t xml:space="preserve"> </w:t>
            </w:r>
          </w:p>
          <w:p w14:paraId="3483D02B" w14:textId="77777777" w:rsidR="00EF74C7" w:rsidRPr="002A677E" w:rsidRDefault="00EF74C7" w:rsidP="00822842">
            <w:pPr>
              <w:pStyle w:val="TableMainHeading"/>
              <w:spacing w:before="60"/>
              <w:jc w:val="both"/>
              <w:rPr>
                <w:sz w:val="24"/>
                <w:szCs w:val="24"/>
                <w:rFonts w:ascii="Times New Roman" w:hAnsi="Times New Roman"/>
              </w:rPr>
            </w:pPr>
            <w:r>
              <w:rPr>
                <w:sz w:val="24"/>
                <w:rFonts w:ascii="Times New Roman" w:hAnsi="Times New Roman"/>
              </w:rPr>
              <w:t xml:space="preserve">Vrijednost izloženosti prije smanjenja kreditnog rizika za skupove za netiranje kreditnog rizika druge ugovorne strane izračunavaju se u skladu s metodama utvrđenima u dijelu trećem glavi II. poglavljima 4. i 6. Uredbe (EU) br. 575/2013 uzimajući u obzir učinak netiranja, ali ne uzimajući u obzir druge tehnike smanjenja kreditnog rizika (npr. maržu).</w:t>
            </w:r>
            <w:r>
              <w:rPr>
                <w:sz w:val="24"/>
                <w:rFonts w:ascii="Times New Roman" w:hAnsi="Times New Roman"/>
              </w:rPr>
              <w:t xml:space="preserve"> </w:t>
            </w:r>
          </w:p>
          <w:p w14:paraId="3FD5C6A1" w14:textId="77777777" w:rsidR="00EF74C7" w:rsidRPr="002A677E" w:rsidRDefault="00EF74C7" w:rsidP="00822842">
            <w:pPr>
              <w:pStyle w:val="TableMainHeading"/>
              <w:spacing w:before="60"/>
              <w:jc w:val="both"/>
              <w:rPr>
                <w:sz w:val="24"/>
                <w:szCs w:val="24"/>
                <w:rFonts w:ascii="Times New Roman" w:hAnsi="Times New Roman"/>
              </w:rPr>
            </w:pPr>
            <w:r>
              <w:rPr>
                <w:sz w:val="24"/>
                <w:rFonts w:ascii="Times New Roman" w:hAnsi="Times New Roman"/>
              </w:rPr>
              <w:t xml:space="preserve">U slučaju transakcija financiranja vrijednosnim papirima strana vrijednosnog papira ne uzima se u obzir pri utvrđivanju vrijednosti izloženosti prije smanjenja kreditnog rizika ako je kolateral primljen i stoga ne smanjuje vrijednost izloženosti.</w:t>
            </w:r>
            <w:r>
              <w:rPr>
                <w:sz w:val="24"/>
                <w:rFonts w:ascii="Times New Roman" w:hAnsi="Times New Roman"/>
              </w:rPr>
              <w:t xml:space="preserve"> </w:t>
            </w:r>
            <w:r>
              <w:rPr>
                <w:sz w:val="24"/>
                <w:rFonts w:ascii="Times New Roman" w:hAnsi="Times New Roman"/>
              </w:rPr>
              <w:t xml:space="preserve">Suprotno tome, strana vrijednosnog papira u transakcijama financiranja vrijednosnim papirima redovito se uzima u obzir pri utvrđivanju vrijednosti izloženosti prije smanjenja kreditnog rizika ako je kolateral dan.</w:t>
            </w:r>
            <w:r>
              <w:rPr>
                <w:sz w:val="24"/>
                <w:rFonts w:ascii="Times New Roman" w:hAnsi="Times New Roman"/>
              </w:rPr>
              <w:t xml:space="preserve"> </w:t>
            </w:r>
          </w:p>
          <w:p w14:paraId="0731F37F" w14:textId="77777777" w:rsidR="00EF74C7" w:rsidRPr="002A677E" w:rsidRDefault="00EF74C7" w:rsidP="00822842">
            <w:pPr>
              <w:pStyle w:val="TableMainHeading"/>
              <w:spacing w:before="60"/>
              <w:jc w:val="both"/>
              <w:rPr>
                <w:sz w:val="24"/>
                <w:szCs w:val="24"/>
                <w:rFonts w:ascii="Times New Roman" w:hAnsi="Times New Roman"/>
              </w:rPr>
            </w:pPr>
            <w:r>
              <w:rPr>
                <w:sz w:val="24"/>
                <w:rFonts w:ascii="Times New Roman" w:hAnsi="Times New Roman"/>
              </w:rPr>
              <w:t xml:space="preserve">Osim toga, osigurane transakcije tretiraju se kao neosigurane, tj. ne primjenjuju se maržni učinci.</w:t>
            </w:r>
            <w:r>
              <w:rPr>
                <w:sz w:val="24"/>
                <w:rFonts w:ascii="Times New Roman" w:hAnsi="Times New Roman"/>
              </w:rPr>
              <w:t xml:space="preserve"> </w:t>
            </w:r>
          </w:p>
          <w:p w14:paraId="2256FCEC"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Vrijednost izloženosti prije smanjenja kreditnog rizika za transakcije u kojima je utvrđen specifični povratni rizik mora se utvrditi u skladu s člankom 291. Uredbe (EU) br. 575/2013.</w:t>
            </w:r>
            <w:r>
              <w:rPr>
                <w:sz w:val="24"/>
                <w:rFonts w:ascii="Times New Roman" w:hAnsi="Times New Roman"/>
              </w:rPr>
              <w:t xml:space="preserve"> </w:t>
            </w:r>
          </w:p>
          <w:p w14:paraId="7E319C88"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Vrijednost izloženosti prije smanjenja kreditnog rizika ne uzima u obzir odbitak gubitka koji proizlazi iz prilagodbe kreditnom vrednovanju u skladu s člankom 273. stavkom 6. Uredbe (EU) br. 575/2013.</w:t>
            </w:r>
            <w:r>
              <w:rPr>
                <w:sz w:val="24"/>
                <w:rFonts w:ascii="Times New Roman" w:hAnsi="Times New Roman"/>
              </w:rPr>
              <w:t xml:space="preserve"> </w:t>
            </w:r>
          </w:p>
          <w:p w14:paraId="504F1374" w14:textId="77777777" w:rsidR="00EF74C7" w:rsidRPr="002A677E" w:rsidRDefault="00EF74C7" w:rsidP="00822842">
            <w:pPr>
              <w:spacing w:before="60"/>
              <w:rPr>
                <w:i/>
                <w:sz w:val="24"/>
                <w:rFonts w:ascii="Times New Roman" w:hAnsi="Times New Roman"/>
              </w:rPr>
            </w:pPr>
            <w:r>
              <w:rPr>
                <w:sz w:val="24"/>
                <w:rFonts w:ascii="Times New Roman" w:hAnsi="Times New Roman"/>
              </w:rPr>
              <w:t xml:space="preserve">Institucija iskazuje zbroj svih vrijednosti izloženosti prije smanjenja kreditnog rizika u odgovarajućem retku.</w:t>
            </w:r>
          </w:p>
        </w:tc>
      </w:tr>
      <w:tr w:rsidR="00EF74C7" w:rsidRPr="002A677E" w14:paraId="79D7A4AF" w14:textId="77777777" w:rsidTr="00822842">
        <w:trPr>
          <w:trHeight w:val="680"/>
        </w:trPr>
        <w:tc>
          <w:tcPr>
            <w:tcW w:w="1384" w:type="dxa"/>
          </w:tcPr>
          <w:p w14:paraId="0DCD8BB4" w14:textId="77777777" w:rsidR="00EF74C7" w:rsidRPr="002A677E" w:rsidRDefault="00EF74C7" w:rsidP="00822842">
            <w:pPr>
              <w:pStyle w:val="Applicationdirecte"/>
              <w:spacing w:before="0" w:after="0"/>
            </w:pPr>
            <w:r>
              <w:t xml:space="preserve">0160</w:t>
            </w:r>
          </w:p>
        </w:tc>
        <w:tc>
          <w:tcPr>
            <w:tcW w:w="7655" w:type="dxa"/>
          </w:tcPr>
          <w:p w14:paraId="2175395B" w14:textId="77777777" w:rsidR="00EF74C7" w:rsidRPr="002A677E" w:rsidRDefault="00EF74C7" w:rsidP="00822842">
            <w:pPr>
              <w:pStyle w:val="TableMainHeading"/>
              <w:jc w:val="both"/>
              <w:rPr>
                <w:rStyle w:val="InstructionsTabelleberschrift"/>
                <w:sz w:val="24"/>
                <w:szCs w:val="24"/>
                <w:rFonts w:ascii="Times New Roman" w:eastAsiaTheme="minorEastAsia" w:hAnsi="Times New Roman"/>
              </w:rPr>
            </w:pPr>
            <w:r>
              <w:rPr>
                <w:rStyle w:val="InstructionsTabelleberschrift"/>
                <w:sz w:val="24"/>
                <w:rFonts w:ascii="Times New Roman" w:hAnsi="Times New Roman"/>
              </w:rPr>
              <w:t xml:space="preserve">VRIJEDNOST IZLOŽENOSTI NAKON SMANJENJA KREDITNOG RIZIKA</w:t>
            </w:r>
            <w:r>
              <w:rPr>
                <w:rStyle w:val="InstructionsTabelleberschrift"/>
                <w:sz w:val="24"/>
                <w:rFonts w:ascii="Times New Roman" w:hAnsi="Times New Roman"/>
              </w:rPr>
              <w:t xml:space="preserve"> </w:t>
            </w:r>
          </w:p>
          <w:p w14:paraId="29261E0B" w14:textId="77777777" w:rsidR="00EF74C7" w:rsidRPr="002A677E" w:rsidRDefault="00EF74C7" w:rsidP="00822842">
            <w:pPr>
              <w:pStyle w:val="TableMainHeading"/>
              <w:spacing w:before="60"/>
              <w:jc w:val="both"/>
              <w:rPr>
                <w:sz w:val="24"/>
                <w:szCs w:val="24"/>
                <w:rFonts w:ascii="Times New Roman" w:hAnsi="Times New Roman"/>
              </w:rPr>
            </w:pPr>
            <w:r>
              <w:rPr>
                <w:sz w:val="24"/>
                <w:rFonts w:ascii="Times New Roman" w:hAnsi="Times New Roman"/>
              </w:rPr>
              <w:t xml:space="preserve">Vrijednost izloženosti nakon smanjenja kreditnog rizika za skupove za netiranje kreditnog rizika druge ugovorne strane izračunavaju se u skladu s metodama utvrđenima u dijelu trećem glavi II. poglavljima 4. i 6. Uredbe (EU) br. 575/2013 nakon primjene tehnika za smanjenje kreditnog rizika u skladu s dijelom trećim glavom II. poglavljima 4. i 6. te uredbe.</w:t>
            </w:r>
          </w:p>
          <w:p w14:paraId="365B5880"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Vrijednost izloženosti nakon smanjenja kreditnog rizika za transakcije u kojima je utvrđen specifični povratni rizik mora se utvrditi u skladu s člankom 291. Uredbe (EU) br. 575/2013.</w:t>
            </w:r>
            <w:r>
              <w:rPr>
                <w:sz w:val="24"/>
                <w:rFonts w:ascii="Times New Roman" w:hAnsi="Times New Roman"/>
              </w:rPr>
              <w:t xml:space="preserve"> </w:t>
            </w:r>
          </w:p>
          <w:p w14:paraId="695EEB6F"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U vrijednosti izloženosti nakon smanjenja kreditnog rizika ne uzima se u obzir odbitak gubitka koji proizlazi iz prilagodbe kreditnom vrednovanju u skladu s člankom 273. stavkom 6. Uredbe (EU) br. 575/2013.</w:t>
            </w:r>
          </w:p>
          <w:p w14:paraId="797ADF5B" w14:textId="77777777" w:rsidR="00EF74C7" w:rsidRPr="002A677E" w:rsidRDefault="00EF74C7" w:rsidP="00822842">
            <w:pPr>
              <w:spacing w:before="60"/>
              <w:rPr>
                <w:i/>
                <w:sz w:val="24"/>
                <w:rFonts w:ascii="Times New Roman" w:hAnsi="Times New Roman"/>
              </w:rPr>
            </w:pPr>
            <w:r>
              <w:rPr>
                <w:sz w:val="24"/>
                <w:rFonts w:ascii="Times New Roman" w:hAnsi="Times New Roman"/>
              </w:rPr>
              <w:t xml:space="preserve">Institucija iskazuje zbroj svih vrijednosti izloženosti nakon smanjenja kreditnog rizika u odgovarajućem retku.</w:t>
            </w:r>
          </w:p>
        </w:tc>
      </w:tr>
      <w:tr w:rsidR="00EF74C7" w:rsidRPr="002A677E" w14:paraId="45FF5B7E" w14:textId="77777777" w:rsidTr="00822842">
        <w:trPr>
          <w:trHeight w:val="680"/>
        </w:trPr>
        <w:tc>
          <w:tcPr>
            <w:tcW w:w="1384" w:type="dxa"/>
          </w:tcPr>
          <w:p w14:paraId="60D5CCE0" w14:textId="77777777" w:rsidR="00EF74C7" w:rsidRPr="002A677E" w:rsidRDefault="00EF74C7" w:rsidP="00822842">
            <w:pPr>
              <w:pStyle w:val="Applicationdirecte"/>
              <w:spacing w:before="0" w:after="0"/>
            </w:pPr>
            <w:r>
              <w:t xml:space="preserve">0170</w:t>
            </w:r>
          </w:p>
        </w:tc>
        <w:tc>
          <w:tcPr>
            <w:tcW w:w="7655" w:type="dxa"/>
            <w:vAlign w:val="center"/>
          </w:tcPr>
          <w:p w14:paraId="05219E98" w14:textId="77777777" w:rsidR="00EF74C7" w:rsidRPr="002A677E" w:rsidRDefault="00EF74C7" w:rsidP="00822842">
            <w:pPr>
              <w:pStyle w:val="TableMainHeading"/>
              <w:jc w:val="both"/>
              <w:rPr>
                <w:rStyle w:val="InstructionsTabelleberschrift"/>
                <w:sz w:val="24"/>
                <w:szCs w:val="24"/>
                <w:rFonts w:ascii="Times New Roman" w:eastAsiaTheme="minorEastAsia" w:hAnsi="Times New Roman"/>
              </w:rPr>
            </w:pPr>
            <w:r>
              <w:rPr>
                <w:rStyle w:val="InstructionsTabelleberschrift"/>
                <w:sz w:val="24"/>
                <w:rFonts w:ascii="Times New Roman" w:hAnsi="Times New Roman"/>
              </w:rPr>
              <w:t xml:space="preserve">VRIJEDNOST IZLOŽENOSTI</w:t>
            </w:r>
          </w:p>
          <w:p w14:paraId="75CDF24D" w14:textId="77777777" w:rsidR="00EF74C7" w:rsidRPr="002A677E" w:rsidRDefault="00EF74C7" w:rsidP="00822842">
            <w:pPr>
              <w:pStyle w:val="TableMainHeading"/>
              <w:spacing w:before="60"/>
              <w:jc w:val="both"/>
              <w:rPr>
                <w:sz w:val="24"/>
                <w:szCs w:val="24"/>
                <w:rFonts w:ascii="Times New Roman" w:hAnsi="Times New Roman"/>
              </w:rPr>
            </w:pPr>
            <w:r>
              <w:rPr>
                <w:sz w:val="24"/>
                <w:rFonts w:ascii="Times New Roman" w:hAnsi="Times New Roman"/>
              </w:rPr>
              <w:t xml:space="preserve">Vrijednost izloženosti za skupove za netiranje kreditnog rizika druge ugovorne strane, izračunata primjenom metoda iz dijela trećeg glave II. poglavlja 4. i 6. Uredbe (EU) br. 575/2013, koja je relevantni iznos za izračun iznosa izloženosti ponderiranih rizikom, tj. nakon primjene tehnika smanjenja kreditnog rizika u skladu s dijelom trećim glavom II. poglavljima 4. i 6. Uredbe (EU) br. 575/2013 i uzimajući u obzir gubitak koji proizlazi iz prilagodbe kreditnom vrednovanju iz članka 273. stavka 6. Uredbe (EU) br. 575/2013.</w:t>
            </w:r>
            <w:r>
              <w:rPr>
                <w:sz w:val="24"/>
                <w:rFonts w:ascii="Times New Roman" w:hAnsi="Times New Roman"/>
              </w:rPr>
              <w:t xml:space="preserve"> </w:t>
            </w:r>
          </w:p>
          <w:p w14:paraId="78D55FF1" w14:textId="77777777" w:rsidR="00EF74C7" w:rsidRPr="002A677E" w:rsidRDefault="00EF74C7" w:rsidP="00822842">
            <w:pPr>
              <w:rPr>
                <w:sz w:val="24"/>
                <w:rFonts w:ascii="Times New Roman" w:hAnsi="Times New Roman"/>
              </w:rPr>
            </w:pPr>
            <w:r>
              <w:rPr>
                <w:sz w:val="24"/>
                <w:rFonts w:ascii="Times New Roman" w:hAnsi="Times New Roman"/>
              </w:rPr>
              <w:t xml:space="preserve">Vrijednost izloženosti za transakcije u kojima je utvrđen specifični povratni rizik mora se utvrditi u skladu s člankom 291. Uredbe (EU) br. 575/2013.</w:t>
            </w:r>
          </w:p>
          <w:p w14:paraId="2CCE9704" w14:textId="77777777" w:rsidR="00EF74C7" w:rsidRPr="002A677E" w:rsidRDefault="00EF74C7" w:rsidP="00822842">
            <w:pPr>
              <w:pStyle w:val="TableMainHeading"/>
              <w:spacing w:before="60"/>
              <w:jc w:val="both"/>
              <w:rPr>
                <w:sz w:val="24"/>
                <w:szCs w:val="24"/>
                <w:rFonts w:ascii="Times New Roman" w:hAnsi="Times New Roman"/>
              </w:rPr>
            </w:pPr>
            <w:r>
              <w:rPr>
                <w:sz w:val="24"/>
                <w:rFonts w:ascii="Times New Roman" w:hAnsi="Times New Roman"/>
              </w:rPr>
              <w:t xml:space="preserve">U slučajevima u kojima se za jednu drugu ugovornu stranu primjenjuje više od jednog pristupa kreditnom riziku druge ugovorne strane, gubitak koji proizlazi iz prilagodbe kreditnom vrednovanju, koji se odbija na razini druge ugovorne strane, dodjeljuje se vrijednosti izloženosti različitih skupova za netiranje u svakom pristupu kreditnom riziku druge ugovorne strane čime se odražava udio vrijednosti izloženosti nakon smanjenja kreditnog rizika odnosnih skupova za netiranje u ukupnoj vrijednosti izloženosti nakon smanjenja kreditnog rizika druge ugovorne strane.</w:t>
            </w:r>
          </w:p>
          <w:p w14:paraId="0C842EAD" w14:textId="77777777" w:rsidR="00EF74C7" w:rsidRPr="002A677E" w:rsidRDefault="00EF74C7" w:rsidP="00822842">
            <w:r>
              <w:rPr>
                <w:sz w:val="24"/>
                <w:rFonts w:ascii="Times New Roman" w:hAnsi="Times New Roman"/>
              </w:rPr>
              <w:t xml:space="preserve">Institucija iskazuje zbroj svih vrijednosti izloženosti u odgovarajućem retku.</w:t>
            </w:r>
          </w:p>
        </w:tc>
      </w:tr>
      <w:tr w:rsidR="00EF74C7" w:rsidRPr="002A677E" w14:paraId="06C4F9AA" w14:textId="77777777" w:rsidTr="00822842">
        <w:trPr>
          <w:trHeight w:val="680"/>
        </w:trPr>
        <w:tc>
          <w:tcPr>
            <w:tcW w:w="1384" w:type="dxa"/>
          </w:tcPr>
          <w:p w14:paraId="7065D6E6" w14:textId="77777777" w:rsidR="00EF74C7" w:rsidRPr="002A677E" w:rsidRDefault="00EF74C7" w:rsidP="00822842">
            <w:pPr>
              <w:pStyle w:val="Applicationdirecte"/>
              <w:spacing w:before="0" w:after="0"/>
            </w:pPr>
            <w:r>
              <w:t xml:space="preserve">0180</w:t>
            </w:r>
          </w:p>
        </w:tc>
        <w:tc>
          <w:tcPr>
            <w:tcW w:w="7655" w:type="dxa"/>
          </w:tcPr>
          <w:p w14:paraId="0DF22580" w14:textId="77777777" w:rsidR="00EF74C7" w:rsidRPr="002A677E" w:rsidRDefault="00EF74C7" w:rsidP="00822842">
            <w:pPr>
              <w:pStyle w:val="TableMainHeading"/>
              <w:jc w:val="both"/>
              <w:rPr>
                <w:rStyle w:val="InstructionsTabelleberschrift"/>
                <w:sz w:val="24"/>
                <w:szCs w:val="24"/>
                <w:rFonts w:ascii="Times New Roman" w:eastAsiaTheme="minorEastAsia" w:hAnsi="Times New Roman"/>
              </w:rPr>
            </w:pPr>
            <w:r>
              <w:rPr>
                <w:rStyle w:val="InstructionsTabelleberschrift"/>
                <w:sz w:val="24"/>
                <w:rFonts w:ascii="Times New Roman" w:hAnsi="Times New Roman"/>
              </w:rPr>
              <w:t xml:space="preserve">Pozicije na koje se primjenjuje standardizirani pristup kreditnom riziku</w:t>
            </w:r>
          </w:p>
          <w:p w14:paraId="1D95615D" w14:textId="77777777" w:rsidR="00EF74C7" w:rsidRPr="002A677E" w:rsidRDefault="00EF74C7" w:rsidP="00822842">
            <w:pPr>
              <w:spacing w:before="60"/>
              <w:rPr>
                <w:i/>
                <w:sz w:val="24"/>
                <w:rFonts w:ascii="Times New Roman" w:hAnsi="Times New Roman"/>
              </w:rPr>
            </w:pPr>
            <w:r>
              <w:rPr>
                <w:sz w:val="24"/>
                <w:rFonts w:ascii="Times New Roman" w:hAnsi="Times New Roman"/>
              </w:rPr>
              <w:t xml:space="preserve">Vrijednost izloženosti kreditnom riziku druge ugovorne strane pozicija na koje se primjenjuje standardizirani pristup kreditnom riziku u skladu s dijelom trećim glavom II. poglavljem 2. Uredbe (EU) br. 575/2013.</w:t>
            </w:r>
          </w:p>
        </w:tc>
      </w:tr>
      <w:tr w:rsidR="00EF74C7" w:rsidRPr="002A677E" w14:paraId="16278C7D" w14:textId="77777777" w:rsidTr="00822842">
        <w:trPr>
          <w:trHeight w:val="557"/>
        </w:trPr>
        <w:tc>
          <w:tcPr>
            <w:tcW w:w="1384" w:type="dxa"/>
          </w:tcPr>
          <w:p w14:paraId="4DAAB02B" w14:textId="77777777" w:rsidR="00EF74C7" w:rsidRPr="002A677E" w:rsidRDefault="00EF74C7" w:rsidP="00822842">
            <w:pPr>
              <w:pStyle w:val="Applicationdirecte"/>
              <w:spacing w:before="0" w:after="0"/>
            </w:pPr>
            <w:r>
              <w:t xml:space="preserve">0190</w:t>
            </w:r>
          </w:p>
        </w:tc>
        <w:tc>
          <w:tcPr>
            <w:tcW w:w="7655" w:type="dxa"/>
          </w:tcPr>
          <w:p w14:paraId="2835516A" w14:textId="77777777" w:rsidR="00EF74C7" w:rsidRPr="002A677E" w:rsidRDefault="00EF74C7" w:rsidP="00822842">
            <w:pPr>
              <w:pStyle w:val="TableMainHeading"/>
              <w:jc w:val="both"/>
              <w:rPr>
                <w:rStyle w:val="InstructionsTabelleberschrift"/>
                <w:sz w:val="24"/>
                <w:szCs w:val="24"/>
                <w:rFonts w:ascii="Times New Roman" w:eastAsiaTheme="minorEastAsia" w:hAnsi="Times New Roman"/>
              </w:rPr>
            </w:pPr>
            <w:r>
              <w:rPr>
                <w:rStyle w:val="InstructionsTabelleberschrift"/>
                <w:sz w:val="24"/>
                <w:rFonts w:ascii="Times New Roman" w:hAnsi="Times New Roman"/>
              </w:rPr>
              <w:t xml:space="preserve">Pozicije na koje se primjenjuje IRB pristup kreditnom riziku</w:t>
            </w:r>
          </w:p>
          <w:p w14:paraId="208129A6" w14:textId="77777777" w:rsidR="00EF74C7" w:rsidRPr="002A677E" w:rsidRDefault="00EF74C7" w:rsidP="00822842">
            <w:pPr>
              <w:rPr>
                <w:sz w:val="24"/>
                <w:rFonts w:ascii="Times New Roman" w:hAnsi="Times New Roman"/>
              </w:rPr>
            </w:pPr>
            <w:r>
              <w:rPr>
                <w:sz w:val="24"/>
                <w:rFonts w:ascii="Times New Roman" w:hAnsi="Times New Roman"/>
              </w:rPr>
              <w:t xml:space="preserve">Vrijednost izloženosti kreditnom riziku druge ugovorne strane pozicija na koje se primjenjuje IRB pristup kreditnom riziku u skladu s dijelom trećim glavom II. poglavljem 3. Uredbe (EU) br. 575/2013.</w:t>
            </w:r>
            <w:r>
              <w:rPr>
                <w:sz w:val="24"/>
                <w:rFonts w:ascii="Times New Roman" w:hAnsi="Times New Roman"/>
              </w:rPr>
              <w:t xml:space="preserve"> </w:t>
            </w:r>
          </w:p>
        </w:tc>
      </w:tr>
      <w:tr w:rsidR="00EF74C7" w:rsidRPr="002A677E" w14:paraId="1D9862B5" w14:textId="77777777" w:rsidTr="00822842">
        <w:trPr>
          <w:trHeight w:val="680"/>
        </w:trPr>
        <w:tc>
          <w:tcPr>
            <w:tcW w:w="1384" w:type="dxa"/>
          </w:tcPr>
          <w:p w14:paraId="06456052" w14:textId="77777777" w:rsidR="00EF74C7" w:rsidRPr="002A677E" w:rsidRDefault="00EF74C7" w:rsidP="00822842">
            <w:pPr>
              <w:pStyle w:val="Applicationdirecte"/>
              <w:spacing w:before="0" w:after="0"/>
            </w:pPr>
            <w:r>
              <w:t xml:space="preserve">0200</w:t>
            </w:r>
          </w:p>
        </w:tc>
        <w:tc>
          <w:tcPr>
            <w:tcW w:w="7655" w:type="dxa"/>
          </w:tcPr>
          <w:p w14:paraId="2E8CD327" w14:textId="77777777" w:rsidR="00EF74C7" w:rsidRPr="002A677E" w:rsidRDefault="00EF74C7" w:rsidP="00822842">
            <w:pPr>
              <w:pStyle w:val="TableMainHeading"/>
              <w:jc w:val="both"/>
              <w:rPr>
                <w:rStyle w:val="InstructionsTabelleberschrift"/>
                <w:sz w:val="24"/>
                <w:szCs w:val="24"/>
                <w:rFonts w:ascii="Times New Roman" w:eastAsiaTheme="minorEastAsia" w:hAnsi="Times New Roman"/>
              </w:rPr>
            </w:pPr>
            <w:r>
              <w:rPr>
                <w:rStyle w:val="InstructionsTabelleberschrift"/>
                <w:sz w:val="24"/>
                <w:rFonts w:ascii="Times New Roman" w:hAnsi="Times New Roman"/>
              </w:rPr>
              <w:t xml:space="preserve">IZNOSI IZLOŽENOSTI PONDERIRANI RIZIKOM</w:t>
            </w:r>
          </w:p>
          <w:p w14:paraId="6B8D3CD5" w14:textId="6159F38D" w:rsidR="00EF74C7" w:rsidRPr="002A677E" w:rsidRDefault="00EF74C7" w:rsidP="00822842">
            <w:pPr>
              <w:pStyle w:val="TableMainHeading"/>
              <w:spacing w:before="60"/>
              <w:jc w:val="both"/>
              <w:rPr>
                <w:sz w:val="24"/>
                <w:szCs w:val="24"/>
                <w:rFonts w:ascii="Times New Roman" w:hAnsi="Times New Roman"/>
              </w:rPr>
            </w:pPr>
            <w:r>
              <w:rPr>
                <w:sz w:val="24"/>
                <w:rFonts w:ascii="Times New Roman" w:hAnsi="Times New Roman"/>
              </w:rPr>
              <w:t xml:space="preserve">Iznosi izloženosti ponderirani rizikom za kreditni rizik druge ugovorne strane kako je definirano u članku 92. stavku 3. Uredbe (EU) br. 575/2013, izračunati primjenom metoda utvrđenih u dijelu trećem glavi II. poglavljima 2. i 3.</w:t>
            </w:r>
          </w:p>
          <w:p w14:paraId="2463A407" w14:textId="77777777" w:rsidR="00EF74C7" w:rsidRPr="002A677E" w:rsidRDefault="00EF74C7" w:rsidP="00822842">
            <w:pPr>
              <w:rPr>
                <w:sz w:val="24"/>
                <w:rFonts w:ascii="Times New Roman" w:hAnsi="Times New Roman"/>
              </w:rPr>
            </w:pPr>
            <w:r>
              <w:rPr>
                <w:sz w:val="24"/>
                <w:rFonts w:ascii="Times New Roman" w:hAnsi="Times New Roman"/>
              </w:rPr>
              <w:t xml:space="preserve">Pomoćni faktori za MSP-ove i infrastrukturu iz članaka 501. i 501.a Uredbe (EU) br. 575/2013 uzimaju se u obzir.</w:t>
            </w:r>
            <w:r>
              <w:rPr>
                <w:sz w:val="24"/>
                <w:rFonts w:ascii="Times New Roman" w:hAnsi="Times New Roman"/>
              </w:rPr>
              <w:t xml:space="preserve"> </w:t>
            </w:r>
          </w:p>
        </w:tc>
      </w:tr>
      <w:tr w:rsidR="00EF74C7" w:rsidRPr="002A677E" w14:paraId="5E0D0D2F"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A0F7C23" w14:textId="77777777" w:rsidR="00EF74C7" w:rsidRPr="002A677E" w:rsidRDefault="00EF74C7" w:rsidP="00822842">
            <w:pPr>
              <w:pStyle w:val="Applicationdirecte"/>
              <w:spacing w:before="0"/>
              <w:jc w:val="left"/>
            </w:pPr>
            <w:r>
              <w:t xml:space="preserve">0210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F1A485F" w14:textId="77777777" w:rsidR="00EF74C7" w:rsidRPr="002A677E" w:rsidRDefault="00EF74C7" w:rsidP="00822842">
            <w:pPr>
              <w:pStyle w:val="TableMainHeading"/>
              <w:jc w:val="both"/>
              <w:rPr>
                <w:rStyle w:val="InstructionsTabelleberschrift"/>
                <w:sz w:val="24"/>
                <w:szCs w:val="24"/>
                <w:rFonts w:ascii="Times New Roman" w:eastAsiaTheme="minorEastAsia" w:hAnsi="Times New Roman"/>
              </w:rPr>
            </w:pPr>
            <w:r>
              <w:rPr>
                <w:rStyle w:val="InstructionsTabelleberschrift"/>
                <w:sz w:val="24"/>
                <w:rFonts w:ascii="Times New Roman" w:hAnsi="Times New Roman"/>
              </w:rPr>
              <w:t xml:space="preserve">Pozicije na koje se primjenjuje standardizirani pristup kreditnom riziku</w:t>
            </w:r>
          </w:p>
          <w:p w14:paraId="6E572F83"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Iznosi izloženosti ponderirani rizikom za izloženosti kreditnom riziku druge ugovorne strane na koje se primjenjuje standardizirani pristup kreditnom riziku u skladu s dijelom trećim glavom II. poglavljem 2. Uredbe (EU) br. 575/2013.</w:t>
            </w:r>
            <w:r>
              <w:rPr>
                <w:sz w:val="24"/>
                <w:rFonts w:ascii="Times New Roman" w:hAnsi="Times New Roman"/>
              </w:rPr>
              <w:t xml:space="preserve"> </w:t>
            </w:r>
          </w:p>
          <w:p w14:paraId="21C6ADFA" w14:textId="77777777" w:rsidR="00EF74C7" w:rsidRPr="002A677E" w:rsidRDefault="00EF74C7" w:rsidP="00822842">
            <w:pPr>
              <w:rPr>
                <w:sz w:val="24"/>
                <w:rFonts w:ascii="Times New Roman" w:hAnsi="Times New Roman"/>
              </w:rPr>
            </w:pPr>
            <w:r>
              <w:rPr>
                <w:sz w:val="24"/>
                <w:rFonts w:ascii="Times New Roman" w:hAnsi="Times New Roman"/>
              </w:rPr>
              <w:t xml:space="preserve">Iznos odgovara iznosu koji će biti uključen u stupac 0220 obrasca C 07.00 za pozicije kreditnog rizika druge ugovorne strane.</w:t>
            </w:r>
          </w:p>
        </w:tc>
      </w:tr>
      <w:tr w:rsidR="00EF74C7" w:rsidRPr="002A677E" w14:paraId="5C365203"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5BFBB36" w14:textId="77777777" w:rsidR="00EF74C7" w:rsidRPr="002A677E" w:rsidRDefault="00EF74C7" w:rsidP="00822842">
            <w:pPr>
              <w:pStyle w:val="Applicationdirecte"/>
              <w:spacing w:before="0"/>
              <w:jc w:val="left"/>
            </w:pPr>
            <w:r>
              <w:t xml:space="preserve">0220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77DD91E" w14:textId="77777777" w:rsidR="00EF74C7" w:rsidRPr="002A677E" w:rsidRDefault="00EF74C7" w:rsidP="00822842">
            <w:pPr>
              <w:pStyle w:val="TableMainHeading"/>
              <w:jc w:val="both"/>
              <w:rPr>
                <w:rStyle w:val="InstructionsTabelleberschrift"/>
                <w:sz w:val="24"/>
                <w:szCs w:val="24"/>
                <w:rFonts w:ascii="Times New Roman" w:eastAsiaTheme="minorEastAsia" w:hAnsi="Times New Roman"/>
              </w:rPr>
            </w:pPr>
            <w:r>
              <w:rPr>
                <w:rStyle w:val="InstructionsTabelleberschrift"/>
                <w:sz w:val="24"/>
                <w:rFonts w:ascii="Times New Roman" w:hAnsi="Times New Roman"/>
              </w:rPr>
              <w:t xml:space="preserve">Pozicije na koje se primjenjuje IRB pristup kreditnom riziku</w:t>
            </w:r>
          </w:p>
          <w:p w14:paraId="51FF06D9" w14:textId="77777777" w:rsidR="00EF74C7" w:rsidRPr="002A677E" w:rsidRDefault="00EF74C7" w:rsidP="00822842">
            <w:pPr>
              <w:pStyle w:val="TableMainHeading"/>
              <w:spacing w:before="60"/>
              <w:jc w:val="both"/>
              <w:rPr>
                <w:sz w:val="24"/>
                <w:rFonts w:ascii="Times New Roman" w:hAnsi="Times New Roman"/>
              </w:rPr>
            </w:pPr>
            <w:r>
              <w:rPr>
                <w:sz w:val="24"/>
                <w:rFonts w:ascii="Times New Roman" w:hAnsi="Times New Roman"/>
              </w:rPr>
              <w:t xml:space="preserve">Iznosi izloženosti ponderirani rizikom za izloženosti kreditnom riziku druge ugovorne strane na koje se primjenjuje IRB pristup kreditnom riziku u skladu s dijelom trećim glavom II. poglavljem 3. Uredbe (EU) br. 575/2013.</w:t>
            </w:r>
          </w:p>
          <w:p w14:paraId="3FB6A074" w14:textId="77777777" w:rsidR="00EF74C7" w:rsidRPr="002A677E" w:rsidRDefault="00EF74C7" w:rsidP="00822842">
            <w:pPr>
              <w:rPr>
                <w:sz w:val="24"/>
                <w:rFonts w:ascii="Times New Roman" w:hAnsi="Times New Roman"/>
              </w:rPr>
            </w:pPr>
            <w:r>
              <w:rPr>
                <w:sz w:val="24"/>
                <w:rFonts w:ascii="Times New Roman" w:hAnsi="Times New Roman"/>
              </w:rPr>
              <w:t xml:space="preserve">Iznos odgovara iznosu koji će biti uključen u stupac 0260 obrasca C 08.01 za pozicije kreditnog rizika druge ugovorne strane.</w:t>
            </w:r>
          </w:p>
        </w:tc>
      </w:tr>
      <w:tr w:rsidR="00EF74C7" w:rsidRPr="002A677E" w14:paraId="5B077F8A"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AF52F0F" w14:textId="77777777" w:rsidR="00EF74C7" w:rsidRPr="002A677E" w:rsidRDefault="00EF74C7" w:rsidP="00822842">
            <w:pPr>
              <w:pStyle w:val="Applicationdirecte"/>
              <w:spacing w:before="0"/>
              <w:jc w:val="left"/>
            </w:pPr>
            <w:r>
              <w:t xml:space="preserve">0230-0250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B1B107E" w14:textId="77777777" w:rsidR="00EF74C7" w:rsidRDefault="00EF74C7" w:rsidP="00822842">
            <w:pPr>
              <w:pStyle w:val="TableMainHeading"/>
              <w:jc w:val="both"/>
              <w:rPr>
                <w:rStyle w:val="InstructionsTabelleberschrift"/>
                <w:sz w:val="24"/>
                <w:szCs w:val="24"/>
                <w:rFonts w:ascii="Times New Roman" w:eastAsiaTheme="minorEastAsia" w:hAnsi="Times New Roman"/>
              </w:rPr>
            </w:pPr>
            <w:r>
              <w:rPr>
                <w:rStyle w:val="InstructionsTabelleberschrift"/>
                <w:sz w:val="24"/>
                <w:rFonts w:ascii="Times New Roman" w:hAnsi="Times New Roman"/>
              </w:rPr>
              <w:t xml:space="preserve">MINIMALNA DONJA GRANICA</w:t>
            </w:r>
          </w:p>
          <w:p w14:paraId="78547488" w14:textId="2021F309" w:rsidR="00EF74C7" w:rsidRPr="002A677E" w:rsidRDefault="00EF74C7" w:rsidP="00822842">
            <w:pPr>
              <w:pStyle w:val="TableMainHeading"/>
              <w:jc w:val="both"/>
              <w:rPr>
                <w:rStyle w:val="InstructionsTabelleberschrift"/>
                <w:sz w:val="24"/>
                <w:szCs w:val="24"/>
                <w:rFonts w:ascii="Times New Roman" w:eastAsiaTheme="minorEastAsia" w:hAnsi="Times New Roman"/>
              </w:rPr>
            </w:pPr>
            <w:r>
              <w:rPr>
                <w:sz w:val="24"/>
                <w:rFonts w:ascii="Times New Roman" w:hAnsi="Times New Roman"/>
              </w:rPr>
              <w:t xml:space="preserve">Za institucije na koje se primjenjuje minimalna donja granica u skladu s člankom 92. stavkom 3. Uredbe (EU) br. 575/2013.</w:t>
            </w:r>
          </w:p>
        </w:tc>
      </w:tr>
      <w:tr w:rsidR="00EF74C7" w:rsidRPr="002A677E" w14:paraId="3A5FB9BE"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9B4ADF8" w14:textId="77777777" w:rsidR="00EF74C7" w:rsidRPr="002A677E" w:rsidRDefault="00EF74C7" w:rsidP="00822842">
            <w:pPr>
              <w:pStyle w:val="Applicationdirecte"/>
              <w:spacing w:before="0"/>
              <w:jc w:val="left"/>
            </w:pPr>
            <w:r>
              <w:t xml:space="preserve">0230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382DEF5" w14:textId="77777777" w:rsidR="00EF74C7" w:rsidRDefault="00EF74C7" w:rsidP="00822842">
            <w:pPr>
              <w:rPr>
                <w:rStyle w:val="InstructionsTabelleberschrift"/>
                <w:sz w:val="24"/>
                <w:rFonts w:ascii="Times New Roman" w:eastAsiaTheme="minorEastAsia" w:hAnsi="Times New Roman"/>
              </w:rPr>
            </w:pPr>
            <w:r>
              <w:rPr>
                <w:rStyle w:val="InstructionsTabelleberschrift"/>
                <w:sz w:val="24"/>
                <w:rFonts w:ascii="Times New Roman" w:hAnsi="Times New Roman"/>
              </w:rPr>
              <w:t xml:space="preserve">VRIJEDNOST IZLOŽENOSTI ZA IZRAČUN S-TREA-e</w:t>
            </w:r>
          </w:p>
          <w:p w14:paraId="076EA294" w14:textId="45BB26AF" w:rsidR="00EF74C7" w:rsidRPr="002A677E" w:rsidRDefault="00EF74C7" w:rsidP="00822842">
            <w:pPr>
              <w:pStyle w:val="TableMainHeading"/>
              <w:jc w:val="both"/>
              <w:rPr>
                <w:rStyle w:val="InstructionsTabelleberschrift"/>
                <w:sz w:val="24"/>
                <w:szCs w:val="24"/>
                <w:rFonts w:ascii="Times New Roman" w:eastAsiaTheme="minorEastAsia" w:hAnsi="Times New Roman"/>
              </w:rPr>
            </w:pPr>
            <w:r>
              <w:rPr>
                <w:sz w:val="24"/>
                <w:rStyle w:val="InstructionsTabelleberschrift"/>
                <w:rFonts w:ascii="Times New Roman" w:hAnsi="Times New Roman"/>
              </w:rPr>
              <w:t xml:space="preserve">Vrijednost izloženosti</w:t>
            </w:r>
            <w:r>
              <w:rPr>
                <w:sz w:val="24"/>
                <w:rFonts w:ascii="Times New Roman" w:hAnsi="Times New Roman"/>
              </w:rPr>
              <w:t xml:space="preserve"> za izloženosti kreditnom riziku druge ugovorne strane uključena u iznos ukupne izloženosti riziku dobiven primjenom standardiziranog izračuna (S-TREA) izračunanog u skladu s člankom 92. stavkom 5. Uredbe (EU) br. 575/2013.</w:t>
            </w:r>
          </w:p>
        </w:tc>
      </w:tr>
      <w:tr w:rsidR="00EF74C7" w:rsidRPr="002A677E" w14:paraId="1F014AF0"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5658DC9" w14:textId="77777777" w:rsidR="00EF74C7" w:rsidRPr="002A677E" w:rsidRDefault="00EF74C7" w:rsidP="00822842">
            <w:pPr>
              <w:pStyle w:val="Applicationdirecte"/>
              <w:spacing w:before="0"/>
              <w:jc w:val="left"/>
            </w:pPr>
            <w:r>
              <w:t xml:space="preserve">0240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3FD10BE" w14:textId="77777777" w:rsidR="00EF74C7" w:rsidRDefault="00EF74C7" w:rsidP="00822842">
            <w:pPr>
              <w:pStyle w:val="TableMainHeading"/>
              <w:jc w:val="both"/>
              <w:rPr>
                <w:rStyle w:val="InstructionsTabelleberschrift"/>
                <w:sz w:val="24"/>
                <w:szCs w:val="24"/>
                <w:rFonts w:ascii="Times New Roman" w:eastAsiaTheme="minorEastAsia" w:hAnsi="Times New Roman"/>
              </w:rPr>
            </w:pPr>
            <w:r>
              <w:rPr>
                <w:rStyle w:val="InstructionsTabelleberschrift"/>
                <w:sz w:val="24"/>
                <w:rFonts w:ascii="Times New Roman" w:hAnsi="Times New Roman"/>
              </w:rPr>
              <w:t xml:space="preserve">S-TREA</w:t>
            </w:r>
          </w:p>
          <w:p w14:paraId="3E780FC2" w14:textId="37C7D341" w:rsidR="00EF74C7" w:rsidRPr="002A677E" w:rsidRDefault="00EF74C7" w:rsidP="00822842">
            <w:pPr>
              <w:pStyle w:val="TableMainHeading"/>
              <w:jc w:val="both"/>
              <w:rPr>
                <w:rStyle w:val="InstructionsTabelleberschrift"/>
                <w:sz w:val="24"/>
                <w:szCs w:val="24"/>
                <w:rFonts w:ascii="Times New Roman" w:eastAsiaTheme="minorEastAsia" w:hAnsi="Times New Roman"/>
              </w:rPr>
            </w:pPr>
            <w:r>
              <w:rPr>
                <w:sz w:val="24"/>
                <w:rFonts w:ascii="Times New Roman" w:hAnsi="Times New Roman"/>
              </w:rPr>
              <w:t xml:space="preserve">Iznos ukupne izloženosti riziku dobiven primjenom standardiziranog izračuna (S-TREA) za izloženosti kreditnom riziku druge ugovorne strane izračunan u skladu s člankom 92. stavkom 5. Uredbe (EU) br. 575/2013.</w:t>
            </w:r>
          </w:p>
        </w:tc>
      </w:tr>
      <w:tr w:rsidR="00EF74C7" w:rsidRPr="002A677E" w14:paraId="1D87E276"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FA49B47" w14:textId="77777777" w:rsidR="00EF74C7" w:rsidRPr="002A677E" w:rsidRDefault="00EF74C7" w:rsidP="00822842">
            <w:pPr>
              <w:pStyle w:val="Applicationdirecte"/>
              <w:spacing w:before="0"/>
              <w:jc w:val="left"/>
            </w:pPr>
            <w:r>
              <w:t xml:space="preserve">0250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8E5AE36" w14:textId="77777777" w:rsidR="00EF74C7" w:rsidRDefault="00EF74C7" w:rsidP="00822842">
            <w:pPr>
              <w:pStyle w:val="TableMainHeading"/>
              <w:jc w:val="both"/>
              <w:rPr>
                <w:rStyle w:val="InstructionsTabelleberschrift"/>
                <w:sz w:val="24"/>
                <w:szCs w:val="24"/>
                <w:rFonts w:ascii="Times New Roman" w:eastAsiaTheme="minorEastAsia" w:hAnsi="Times New Roman"/>
              </w:rPr>
            </w:pPr>
            <w:r>
              <w:rPr>
                <w:rStyle w:val="InstructionsTabelleberschrift"/>
                <w:sz w:val="24"/>
                <w:rFonts w:ascii="Times New Roman" w:hAnsi="Times New Roman"/>
              </w:rPr>
              <w:t xml:space="preserve">BILJEŠKE:</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RWEA POVEZANA S UČINKOM PRIMJENE ČLANKA 465. STAVKA 4. UREDBE (EU) BR. 575/2013</w:t>
            </w:r>
          </w:p>
          <w:p w14:paraId="5E592907" w14:textId="45615761" w:rsidR="00EF74C7" w:rsidRPr="002A677E" w:rsidRDefault="00EF74C7" w:rsidP="00822842">
            <w:pPr>
              <w:pStyle w:val="TableMainHeading"/>
              <w:jc w:val="both"/>
              <w:rPr>
                <w:rStyle w:val="InstructionsTabelleberschrift"/>
                <w:sz w:val="24"/>
                <w:szCs w:val="24"/>
                <w:rFonts w:ascii="Times New Roman" w:eastAsiaTheme="minorEastAsia" w:hAnsi="Times New Roman"/>
              </w:rPr>
            </w:pPr>
            <w:r>
              <w:rPr>
                <w:sz w:val="24"/>
                <w:rFonts w:ascii="Times New Roman" w:hAnsi="Times New Roman"/>
              </w:rPr>
              <w:t xml:space="preserve">Članak 465. stavak 4. Uredbe (EU) br. 575/2013</w:t>
            </w:r>
            <w:r>
              <w:rPr>
                <w:sz w:val="24"/>
                <w:rFonts w:ascii="Times New Roman" w:hAnsi="Times New Roman"/>
              </w:rPr>
              <w:t xml:space="preserve"> </w:t>
            </w:r>
            <w:r>
              <w:rPr>
                <w:sz w:val="24"/>
                <w:rFonts w:ascii="Times New Roman" w:hAnsi="Times New Roman"/>
              </w:rPr>
              <w:t xml:space="preserve">Iskazuje se razlika između iznosa RWEA-e bez primjene prijelaznih odredbi i iznosa RWEA-e uz primjenu prijelaznih odredbi.</w:t>
            </w:r>
          </w:p>
        </w:tc>
      </w:tr>
      <w:tr w:rsidR="00EF74C7" w:rsidRPr="002A677E" w14:paraId="1B6FFD25" w14:textId="77777777" w:rsidTr="00822842">
        <w:trPr>
          <w:trHeight w:val="680"/>
        </w:trPr>
        <w:tc>
          <w:tcPr>
            <w:tcW w:w="9039" w:type="dxa"/>
            <w:gridSpan w:val="2"/>
            <w:tcBorders>
              <w:top w:val="single" w:sz="4" w:space="0" w:color="auto"/>
              <w:left w:val="nil"/>
              <w:bottom w:val="single" w:sz="4" w:space="0" w:color="auto"/>
              <w:right w:val="nil"/>
            </w:tcBorders>
            <w:shd w:val="clear" w:color="auto" w:fill="auto"/>
          </w:tcPr>
          <w:p w14:paraId="01079872" w14:textId="77777777" w:rsidR="00EF74C7" w:rsidRPr="002A677E" w:rsidRDefault="00EF74C7" w:rsidP="00822842">
            <w:pPr>
              <w:pStyle w:val="TableMainHeading"/>
              <w:spacing w:before="60"/>
              <w:rPr>
                <w:rFonts w:ascii="Times New Roman" w:hAnsi="Times New Roman"/>
                <w:i/>
                <w:sz w:val="24"/>
                <w:szCs w:val="24"/>
              </w:rPr>
            </w:pPr>
          </w:p>
        </w:tc>
      </w:tr>
      <w:tr w:rsidR="00EF74C7" w:rsidRPr="002A677E" w14:paraId="25C8F0DC"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4F42F8" w14:textId="77777777" w:rsidR="00EF74C7" w:rsidRPr="002A677E" w:rsidRDefault="00EF74C7" w:rsidP="00822842">
            <w:pPr>
              <w:pStyle w:val="TableMainHeading"/>
              <w:spacing w:before="60"/>
              <w:rPr>
                <w:b/>
                <w:sz w:val="24"/>
                <w:szCs w:val="24"/>
                <w:rFonts w:ascii="Times New Roman" w:hAnsi="Times New Roman"/>
              </w:rPr>
            </w:pPr>
            <w:r>
              <w:rPr>
                <w:b/>
                <w:sz w:val="24"/>
                <w:rFonts w:ascii="Times New Roman" w:hAnsi="Times New Roman"/>
              </w:rPr>
              <w:t xml:space="preserve">Redak</w:t>
            </w:r>
            <w:r>
              <w:rPr>
                <w:b/>
                <w:sz w:val="24"/>
                <w:rFonts w:ascii="Times New Roman" w:hAnsi="Times New Roman"/>
              </w:rPr>
              <w:t xml:space="preserve"> </w:t>
            </w:r>
          </w:p>
        </w:tc>
      </w:tr>
      <w:tr w:rsidR="00EF74C7" w:rsidRPr="002A677E" w14:paraId="7053F9E4" w14:textId="77777777" w:rsidTr="00822842">
        <w:trPr>
          <w:trHeight w:val="680"/>
        </w:trPr>
        <w:tc>
          <w:tcPr>
            <w:tcW w:w="1384" w:type="dxa"/>
          </w:tcPr>
          <w:p w14:paraId="28CCF211" w14:textId="77777777" w:rsidR="00EF74C7" w:rsidRPr="002A677E" w:rsidRDefault="00EF74C7" w:rsidP="00822842">
            <w:pPr>
              <w:pStyle w:val="Applicationdirecte"/>
              <w:spacing w:before="0" w:after="0"/>
            </w:pPr>
            <w:r>
              <w:t xml:space="preserve">0010</w:t>
            </w:r>
          </w:p>
        </w:tc>
        <w:tc>
          <w:tcPr>
            <w:tcW w:w="7655" w:type="dxa"/>
          </w:tcPr>
          <w:p w14:paraId="596F329B" w14:textId="77777777" w:rsidR="00EF74C7" w:rsidRPr="002A677E" w:rsidRDefault="00EF74C7" w:rsidP="00822842">
            <w:pPr>
              <w:pStyle w:val="TableMainHeading"/>
              <w:rPr>
                <w:rStyle w:val="InstructionsTabelleberschrift"/>
                <w:sz w:val="24"/>
                <w:szCs w:val="24"/>
                <w:rFonts w:ascii="Times New Roman" w:eastAsiaTheme="minorEastAsia" w:hAnsi="Times New Roman"/>
              </w:rPr>
            </w:pPr>
            <w:r>
              <w:rPr>
                <w:rStyle w:val="InstructionsTabelleberschrift"/>
                <w:sz w:val="24"/>
                <w:rFonts w:ascii="Times New Roman" w:hAnsi="Times New Roman"/>
              </w:rPr>
              <w:t xml:space="preserve">METODA ORIGINALNE IZLOŽENOSTI (ZA IZVEDENICE)</w:t>
            </w:r>
            <w:r>
              <w:rPr>
                <w:rStyle w:val="InstructionsTabelleberschrift"/>
                <w:sz w:val="24"/>
                <w:rFonts w:ascii="Times New Roman" w:hAnsi="Times New Roman"/>
              </w:rPr>
              <w:t xml:space="preserve"> </w:t>
            </w:r>
          </w:p>
          <w:p w14:paraId="19F53DE3" w14:textId="77777777" w:rsidR="00EF74C7" w:rsidRPr="002A677E" w:rsidRDefault="00EF74C7" w:rsidP="00822842">
            <w:pPr>
              <w:pStyle w:val="TableMainHeading"/>
              <w:spacing w:before="60"/>
              <w:rPr>
                <w:i/>
                <w:sz w:val="24"/>
                <w:szCs w:val="24"/>
                <w:rFonts w:ascii="Times New Roman" w:hAnsi="Times New Roman"/>
              </w:rPr>
            </w:pPr>
            <w:r>
              <w:rPr>
                <w:sz w:val="24"/>
                <w:rFonts w:ascii="Times New Roman" w:hAnsi="Times New Roman"/>
              </w:rPr>
              <w:t xml:space="preserve">Izvedenice i transakcije s dugim rokom namire za koje institucija izračunava vrijednost izloženosti u skladu s dijelom trećim glavom II. poglavljem 6. odjeljkom 5. Uredbe (EU) br. 575/2013.</w:t>
            </w:r>
            <w:r>
              <w:rPr>
                <w:sz w:val="24"/>
                <w:rFonts w:ascii="Times New Roman" w:hAnsi="Times New Roman"/>
              </w:rPr>
              <w:t xml:space="preserve"> </w:t>
            </w:r>
            <w:r>
              <w:rPr>
                <w:sz w:val="24"/>
                <w:rFonts w:ascii="Times New Roman" w:hAnsi="Times New Roman"/>
              </w:rPr>
              <w:t xml:space="preserve">Ovu pojednostavnjenu metodu za izračun vrijednosti izloženosti mogu primjenjivati samo institucije koje ispunjavaju uvjete iz članka 273.a stavka 2. ili članka 273.a stavka 4. Uredbe (EU) br. 575/2013.</w:t>
            </w:r>
          </w:p>
        </w:tc>
      </w:tr>
      <w:tr w:rsidR="00EF74C7" w:rsidRPr="002A677E" w14:paraId="506E7A5E"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60A68428" w14:textId="77777777" w:rsidR="00EF74C7" w:rsidRPr="002A677E" w:rsidRDefault="00EF74C7" w:rsidP="00822842">
            <w:pPr>
              <w:pStyle w:val="Applicationdirecte"/>
              <w:spacing w:before="0" w:after="0"/>
            </w:pPr>
            <w:r>
              <w:t xml:space="preserve">0020</w:t>
            </w:r>
          </w:p>
        </w:tc>
        <w:tc>
          <w:tcPr>
            <w:tcW w:w="7655" w:type="dxa"/>
            <w:tcBorders>
              <w:top w:val="single" w:sz="4" w:space="0" w:color="auto"/>
              <w:left w:val="single" w:sz="4" w:space="0" w:color="auto"/>
              <w:bottom w:val="single" w:sz="4" w:space="0" w:color="auto"/>
              <w:right w:val="single" w:sz="4" w:space="0" w:color="auto"/>
            </w:tcBorders>
          </w:tcPr>
          <w:p w14:paraId="6F28D4C2" w14:textId="77777777" w:rsidR="00EF74C7" w:rsidRPr="002A677E" w:rsidRDefault="00EF74C7" w:rsidP="00822842">
            <w:pPr>
              <w:pStyle w:val="TableMainHeading"/>
              <w:rPr>
                <w:rStyle w:val="InstructionsTabelleberschrift"/>
                <w:sz w:val="24"/>
                <w:szCs w:val="24"/>
                <w:rFonts w:ascii="Times New Roman" w:eastAsiaTheme="minorEastAsia" w:hAnsi="Times New Roman"/>
              </w:rPr>
            </w:pPr>
            <w:r>
              <w:rPr>
                <w:rStyle w:val="InstructionsTabelleberschrift"/>
                <w:sz w:val="24"/>
                <w:rFonts w:ascii="Times New Roman" w:hAnsi="Times New Roman"/>
              </w:rPr>
              <w:t xml:space="preserve">POJEDNOSTAVNJENI STANDARDIZIRANI PRISTUP ZA KREDITNI RIZIK DRUGE UGOVORNE STRANE (POJEDNOSTAVNJENI SA-CCR ZA IZVEDENICE)</w:t>
            </w:r>
          </w:p>
          <w:p w14:paraId="0C771BB4" w14:textId="77777777" w:rsidR="00EF74C7" w:rsidRPr="002A677E" w:rsidRDefault="00EF74C7" w:rsidP="00822842">
            <w:pPr>
              <w:pStyle w:val="TableMainHeading"/>
              <w:spacing w:before="60"/>
              <w:jc w:val="both"/>
              <w:rPr>
                <w:sz w:val="24"/>
                <w:szCs w:val="24"/>
                <w:rFonts w:ascii="Times New Roman" w:hAnsi="Times New Roman"/>
              </w:rPr>
            </w:pPr>
            <w:r>
              <w:rPr>
                <w:sz w:val="24"/>
                <w:rFonts w:ascii="Times New Roman" w:hAnsi="Times New Roman"/>
              </w:rPr>
              <w:t xml:space="preserve">Izvedenice i transakcije s dugim rokom namire za koje institucija izračunava vrijednost izloženosti u skladu s dijelom trećim glavom II. poglavljem 6. odjeljkom 4. Uredbe (EU) br. 575/2013.</w:t>
            </w:r>
            <w:r>
              <w:rPr>
                <w:sz w:val="24"/>
                <w:rFonts w:ascii="Times New Roman" w:hAnsi="Times New Roman"/>
              </w:rPr>
              <w:t xml:space="preserve"> </w:t>
            </w:r>
            <w:r>
              <w:rPr>
                <w:sz w:val="24"/>
                <w:rFonts w:ascii="Times New Roman" w:hAnsi="Times New Roman"/>
              </w:rPr>
              <w:t xml:space="preserve">Ovaj pojednostavnjeni standardizirani pristup za izračun vrijednosti izloženosti mogu primjenjivati samo institucije koje ispunjavaju uvjete iz članka 273.a stavka 1. ili članka 273.a stavka 4. Uredbe (EU) br. 575/2013.</w:t>
            </w:r>
            <w:r>
              <w:rPr>
                <w:sz w:val="24"/>
                <w:rFonts w:ascii="Times New Roman" w:hAnsi="Times New Roman"/>
              </w:rPr>
              <w:t xml:space="preserve"> </w:t>
            </w:r>
          </w:p>
        </w:tc>
      </w:tr>
      <w:tr w:rsidR="00EF74C7" w:rsidRPr="002A677E" w14:paraId="748CED8F"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395947E8" w14:textId="77777777" w:rsidR="00EF74C7" w:rsidRPr="002A677E" w:rsidRDefault="00EF74C7" w:rsidP="00822842">
            <w:pPr>
              <w:pStyle w:val="Applicationdirecte"/>
              <w:spacing w:before="0" w:after="0"/>
            </w:pPr>
            <w:r>
              <w:t xml:space="preserve">0030</w:t>
            </w:r>
          </w:p>
        </w:tc>
        <w:tc>
          <w:tcPr>
            <w:tcW w:w="7655" w:type="dxa"/>
            <w:tcBorders>
              <w:top w:val="single" w:sz="4" w:space="0" w:color="auto"/>
              <w:left w:val="single" w:sz="4" w:space="0" w:color="auto"/>
              <w:bottom w:val="single" w:sz="4" w:space="0" w:color="auto"/>
              <w:right w:val="single" w:sz="4" w:space="0" w:color="auto"/>
            </w:tcBorders>
          </w:tcPr>
          <w:p w14:paraId="31286E5E" w14:textId="77777777" w:rsidR="00EF74C7" w:rsidRPr="002A677E" w:rsidRDefault="00EF74C7" w:rsidP="00822842">
            <w:pPr>
              <w:pStyle w:val="TableMainHeading"/>
              <w:rPr>
                <w:rStyle w:val="InstructionsTabelleberschrift"/>
                <w:sz w:val="24"/>
                <w:szCs w:val="24"/>
                <w:rFonts w:ascii="Times New Roman" w:eastAsiaTheme="minorEastAsia" w:hAnsi="Times New Roman"/>
              </w:rPr>
            </w:pPr>
            <w:r>
              <w:rPr>
                <w:rStyle w:val="InstructionsTabelleberschrift"/>
                <w:sz w:val="24"/>
                <w:rFonts w:ascii="Times New Roman" w:hAnsi="Times New Roman"/>
              </w:rPr>
              <w:t xml:space="preserve">STANDARDIZIRANI PRISTUP ZA KREDITNI RIZIK DRUGE UGOVORNE STRANE (SA-CCR ZA IZVEDENICE)</w:t>
            </w:r>
          </w:p>
          <w:p w14:paraId="771ED2E1" w14:textId="77777777" w:rsidR="00EF74C7" w:rsidRPr="002A677E" w:rsidRDefault="00EF74C7" w:rsidP="00822842">
            <w:pPr>
              <w:pStyle w:val="TableMainHeading"/>
              <w:spacing w:before="60"/>
              <w:rPr>
                <w:sz w:val="24"/>
                <w:szCs w:val="24"/>
                <w:rFonts w:ascii="Times New Roman" w:hAnsi="Times New Roman"/>
              </w:rPr>
            </w:pPr>
            <w:r>
              <w:rPr>
                <w:sz w:val="24"/>
                <w:rFonts w:ascii="Times New Roman" w:hAnsi="Times New Roman"/>
              </w:rPr>
              <w:t xml:space="preserve">Izvedenice i transakcije s dugim rokom namire za koje institucija izračunava vrijednost izloženosti u skladu s dijelom trećim glavom II. poglavljem 6. odjeljkom 3. Uredbe (EU) br. 575/2013.</w:t>
            </w:r>
          </w:p>
        </w:tc>
      </w:tr>
      <w:tr w:rsidR="00EF74C7" w:rsidRPr="002A677E" w14:paraId="3888C154"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5D826F79" w14:textId="77777777" w:rsidR="00EF74C7" w:rsidRPr="002A677E" w:rsidRDefault="00EF74C7" w:rsidP="00822842">
            <w:pPr>
              <w:pStyle w:val="Applicationdirecte"/>
              <w:spacing w:before="0" w:after="0"/>
            </w:pPr>
            <w:r>
              <w:t xml:space="preserve">0040</w:t>
            </w:r>
          </w:p>
        </w:tc>
        <w:tc>
          <w:tcPr>
            <w:tcW w:w="7655" w:type="dxa"/>
            <w:tcBorders>
              <w:top w:val="single" w:sz="4" w:space="0" w:color="auto"/>
              <w:left w:val="single" w:sz="4" w:space="0" w:color="auto"/>
              <w:bottom w:val="single" w:sz="4" w:space="0" w:color="auto"/>
              <w:right w:val="single" w:sz="4" w:space="0" w:color="auto"/>
            </w:tcBorders>
          </w:tcPr>
          <w:p w14:paraId="6FFB5DC7" w14:textId="77777777" w:rsidR="00EF74C7" w:rsidRPr="002A677E" w:rsidRDefault="00EF74C7" w:rsidP="00822842">
            <w:pPr>
              <w:pStyle w:val="TableMainHeading"/>
              <w:rPr>
                <w:rStyle w:val="InstructionsTabelleberschrift"/>
                <w:sz w:val="24"/>
                <w:szCs w:val="24"/>
                <w:rFonts w:ascii="Times New Roman" w:eastAsiaTheme="minorEastAsia" w:hAnsi="Times New Roman"/>
              </w:rPr>
            </w:pPr>
            <w:r>
              <w:rPr>
                <w:rStyle w:val="InstructionsTabelleberschrift"/>
                <w:sz w:val="24"/>
                <w:rFonts w:ascii="Times New Roman" w:hAnsi="Times New Roman"/>
              </w:rPr>
              <w:t xml:space="preserve">METODA INTERNOG MODELA (ZA IZVEDENICE I TRANSAKCIJE FINANCIRANJA VRIJEDNOSNIM PAPIRIMA)</w:t>
            </w:r>
          </w:p>
          <w:p w14:paraId="19499FEB" w14:textId="77777777" w:rsidR="00EF74C7" w:rsidRPr="002A677E" w:rsidRDefault="00EF74C7" w:rsidP="00822842">
            <w:pPr>
              <w:pStyle w:val="TableMainHeading"/>
              <w:spacing w:before="60"/>
              <w:rPr>
                <w:sz w:val="24"/>
                <w:szCs w:val="24"/>
                <w:rFonts w:ascii="Times New Roman" w:hAnsi="Times New Roman"/>
              </w:rPr>
            </w:pPr>
            <w:r>
              <w:rPr>
                <w:sz w:val="24"/>
                <w:rFonts w:ascii="Times New Roman" w:hAnsi="Times New Roman"/>
              </w:rPr>
              <w:t xml:space="preserve">Izvedenice, transakcije s dugim rokom namire i transakcije financiranja vrijednosnim papirima za koje je instituciji dopušteno izračunati vrijednost izloženosti primjenom metode internog modela (IMM) u skladu s dijelom trećim glavom II. poglavljem 6. odjeljkom 6. Uredbe (EU) br. 575/2013.</w:t>
            </w:r>
          </w:p>
        </w:tc>
      </w:tr>
      <w:tr w:rsidR="00EF74C7" w:rsidRPr="002A677E" w14:paraId="4C30A077"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716D8DE0" w14:textId="77777777" w:rsidR="00EF74C7" w:rsidRPr="002A677E" w:rsidRDefault="00EF74C7" w:rsidP="00822842">
            <w:pPr>
              <w:pStyle w:val="Applicationdirecte"/>
              <w:spacing w:before="0" w:after="0"/>
            </w:pPr>
            <w:r>
              <w:t xml:space="preserve">0050</w:t>
            </w:r>
          </w:p>
        </w:tc>
        <w:tc>
          <w:tcPr>
            <w:tcW w:w="7655" w:type="dxa"/>
            <w:tcBorders>
              <w:top w:val="single" w:sz="4" w:space="0" w:color="auto"/>
              <w:left w:val="single" w:sz="4" w:space="0" w:color="auto"/>
              <w:bottom w:val="single" w:sz="4" w:space="0" w:color="auto"/>
              <w:right w:val="single" w:sz="4" w:space="0" w:color="auto"/>
            </w:tcBorders>
          </w:tcPr>
          <w:p w14:paraId="12E8CCD4" w14:textId="77777777" w:rsidR="00EF74C7" w:rsidRPr="002A677E" w:rsidRDefault="00EF74C7" w:rsidP="00822842">
            <w:pPr>
              <w:pStyle w:val="TableMainHeading"/>
              <w:jc w:val="both"/>
              <w:rPr>
                <w:rStyle w:val="InstructionsTabelleberschrift"/>
                <w:sz w:val="24"/>
                <w:szCs w:val="24"/>
                <w:rFonts w:ascii="Times New Roman" w:eastAsiaTheme="minorEastAsia" w:hAnsi="Times New Roman"/>
              </w:rPr>
            </w:pPr>
            <w:r>
              <w:rPr>
                <w:rStyle w:val="InstructionsTabelleberschrift"/>
                <w:sz w:val="24"/>
                <w:rFonts w:ascii="Times New Roman" w:hAnsi="Times New Roman"/>
              </w:rPr>
              <w:t xml:space="preserve">Skupovi za netiranje transakcija financiranja vrijednosnih papira</w:t>
            </w:r>
          </w:p>
          <w:p w14:paraId="08069DA3" w14:textId="77777777" w:rsidR="00EF74C7" w:rsidRPr="002A677E" w:rsidRDefault="00EF74C7" w:rsidP="00822842">
            <w:pPr>
              <w:pStyle w:val="TableMainHeading"/>
              <w:spacing w:before="60"/>
              <w:jc w:val="both"/>
              <w:rPr>
                <w:sz w:val="24"/>
                <w:szCs w:val="24"/>
                <w:rFonts w:ascii="Times New Roman" w:hAnsi="Times New Roman"/>
              </w:rPr>
            </w:pPr>
            <w:r>
              <w:rPr>
                <w:sz w:val="24"/>
                <w:rFonts w:ascii="Times New Roman" w:hAnsi="Times New Roman"/>
              </w:rPr>
              <w:t xml:space="preserve">Skupovi za netiranje koji sadržavaju samo transakcije financiranja vrijednosnim papirima kako su definirane u članku 4. točki 139. Uredbe (EU) br. 575/2013 za koje je instituciji dopušteno utvrditi izloženost vrijednosti primjenom IMM-a.</w:t>
            </w:r>
          </w:p>
          <w:p w14:paraId="00DA27AC" w14:textId="77777777" w:rsidR="00EF74C7" w:rsidRPr="002A677E" w:rsidRDefault="00EF74C7" w:rsidP="00822842">
            <w:pPr>
              <w:pStyle w:val="TableMainHeading"/>
              <w:spacing w:before="60"/>
              <w:jc w:val="both"/>
              <w:rPr>
                <w:sz w:val="24"/>
                <w:szCs w:val="24"/>
                <w:rFonts w:ascii="Times New Roman" w:hAnsi="Times New Roman"/>
              </w:rPr>
            </w:pPr>
            <w:r>
              <w:rPr>
                <w:sz w:val="24"/>
                <w:rFonts w:ascii="Times New Roman" w:hAnsi="Times New Roman"/>
              </w:rPr>
              <w:t xml:space="preserve">Transakcije financiranja vrijednosnim papirima, koje su uključene u skup za netiranje između različitih kategorija proizvoda i stoga se iskazuju u retku 0070, ne iskazuju se u ovom retku.</w:t>
            </w:r>
          </w:p>
        </w:tc>
      </w:tr>
      <w:tr w:rsidR="00EF74C7" w:rsidRPr="002A677E" w14:paraId="371AD188"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0088CACE" w14:textId="77777777" w:rsidR="00EF74C7" w:rsidRPr="002A677E" w:rsidRDefault="00EF74C7" w:rsidP="00822842">
            <w:pPr>
              <w:pStyle w:val="Applicationdirecte"/>
              <w:spacing w:before="0" w:after="0"/>
            </w:pPr>
            <w:r>
              <w:t xml:space="preserve">0060</w:t>
            </w:r>
          </w:p>
        </w:tc>
        <w:tc>
          <w:tcPr>
            <w:tcW w:w="7655" w:type="dxa"/>
            <w:tcBorders>
              <w:top w:val="single" w:sz="4" w:space="0" w:color="auto"/>
              <w:left w:val="single" w:sz="4" w:space="0" w:color="auto"/>
              <w:bottom w:val="single" w:sz="4" w:space="0" w:color="auto"/>
              <w:right w:val="single" w:sz="4" w:space="0" w:color="auto"/>
            </w:tcBorders>
          </w:tcPr>
          <w:p w14:paraId="1AD8EA0D" w14:textId="77777777" w:rsidR="00EF74C7" w:rsidRPr="002A677E" w:rsidRDefault="00EF74C7" w:rsidP="00822842">
            <w:pPr>
              <w:pStyle w:val="TableMainHeading"/>
              <w:jc w:val="both"/>
              <w:rPr>
                <w:rStyle w:val="InstructionsTabelleberschrift"/>
                <w:sz w:val="24"/>
                <w:szCs w:val="24"/>
                <w:rFonts w:ascii="Times New Roman" w:eastAsiaTheme="minorEastAsia" w:hAnsi="Times New Roman"/>
              </w:rPr>
            </w:pPr>
            <w:r>
              <w:rPr>
                <w:rStyle w:val="InstructionsTabelleberschrift"/>
                <w:sz w:val="24"/>
                <w:rFonts w:ascii="Times New Roman" w:hAnsi="Times New Roman"/>
              </w:rPr>
              <w:t xml:space="preserve">Skupovi za netiranje izvedenica i transakcija s dugim rokom namire</w:t>
            </w:r>
          </w:p>
          <w:p w14:paraId="0E97A475" w14:textId="77777777" w:rsidR="00EF74C7" w:rsidRPr="002A677E" w:rsidRDefault="00EF74C7" w:rsidP="00822842">
            <w:pPr>
              <w:pStyle w:val="TableMainHeading"/>
              <w:spacing w:before="60"/>
              <w:jc w:val="both"/>
              <w:rPr>
                <w:sz w:val="24"/>
                <w:szCs w:val="24"/>
                <w:rFonts w:ascii="Times New Roman" w:hAnsi="Times New Roman"/>
              </w:rPr>
            </w:pPr>
            <w:r>
              <w:rPr>
                <w:sz w:val="24"/>
                <w:rFonts w:ascii="Times New Roman" w:hAnsi="Times New Roman"/>
              </w:rPr>
              <w:t xml:space="preserve">Skupovi za netiranje koji sadržavaju samo izvedene instrumente navedene u Prilogu II. Uredbi (EU) br. 575/2013 i transakcije s dugim rokom namire kako su definirane u članku 272. točki 2. Uredbe (EU) br. 575/2013 za koje je instituciji dopušteno utvrditi izloženost vrijednosti primjenom IMM-a.</w:t>
            </w:r>
          </w:p>
          <w:p w14:paraId="6A8CD02A" w14:textId="77777777" w:rsidR="00EF74C7" w:rsidRPr="002A677E" w:rsidRDefault="00EF74C7" w:rsidP="00822842">
            <w:pPr>
              <w:pStyle w:val="TableMainHeading"/>
              <w:spacing w:before="60"/>
              <w:jc w:val="both"/>
              <w:rPr>
                <w:sz w:val="24"/>
                <w:szCs w:val="24"/>
                <w:rFonts w:ascii="Times New Roman" w:hAnsi="Times New Roman"/>
              </w:rPr>
            </w:pPr>
            <w:r>
              <w:rPr>
                <w:sz w:val="24"/>
                <w:rFonts w:ascii="Times New Roman" w:hAnsi="Times New Roman"/>
              </w:rPr>
              <w:t xml:space="preserve">Izvedenice i transakcije s dugim rokom namire, koje su uključene u skup za netiranje između različitih kategorija proizvoda i stoga se iskazuju u retku 0070, ne iskazuju se u ovom retku.</w:t>
            </w:r>
          </w:p>
        </w:tc>
      </w:tr>
      <w:tr w:rsidR="00EF74C7" w:rsidRPr="002A677E" w14:paraId="44FA93D4"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AE530B7" w14:textId="77777777" w:rsidR="00EF74C7" w:rsidRPr="002A677E" w:rsidRDefault="00EF74C7" w:rsidP="00822842">
            <w:pPr>
              <w:pStyle w:val="Applicationdirecte"/>
              <w:spacing w:before="0" w:after="0"/>
            </w:pPr>
            <w:r>
              <w:t xml:space="preserve">0070</w:t>
            </w:r>
          </w:p>
        </w:tc>
        <w:tc>
          <w:tcPr>
            <w:tcW w:w="7655" w:type="dxa"/>
            <w:tcBorders>
              <w:top w:val="single" w:sz="4" w:space="0" w:color="auto"/>
              <w:left w:val="single" w:sz="4" w:space="0" w:color="auto"/>
              <w:bottom w:val="single" w:sz="4" w:space="0" w:color="auto"/>
              <w:right w:val="single" w:sz="4" w:space="0" w:color="auto"/>
            </w:tcBorders>
          </w:tcPr>
          <w:p w14:paraId="658A9BF1" w14:textId="77777777" w:rsidR="00EF74C7" w:rsidRPr="002A677E" w:rsidRDefault="00EF74C7" w:rsidP="00822842">
            <w:pPr>
              <w:pStyle w:val="TableMainHeading"/>
              <w:jc w:val="both"/>
              <w:rPr>
                <w:rStyle w:val="InstructionsTabelleberschrift"/>
                <w:sz w:val="24"/>
                <w:szCs w:val="24"/>
                <w:rFonts w:ascii="Times New Roman" w:eastAsiaTheme="minorEastAsia" w:hAnsi="Times New Roman"/>
              </w:rPr>
            </w:pPr>
            <w:r>
              <w:rPr>
                <w:rStyle w:val="InstructionsTabelleberschrift"/>
                <w:sz w:val="24"/>
                <w:rFonts w:ascii="Times New Roman" w:hAnsi="Times New Roman"/>
              </w:rPr>
              <w:t xml:space="preserve">Iz skupova za netiranje između različitih kategorija proizvoda</w:t>
            </w:r>
          </w:p>
          <w:p w14:paraId="118D66FD" w14:textId="77777777" w:rsidR="00EF74C7" w:rsidRPr="002A677E" w:rsidRDefault="00EF74C7" w:rsidP="00822842">
            <w:pPr>
              <w:rPr>
                <w:sz w:val="24"/>
                <w:rFonts w:ascii="Times New Roman" w:hAnsi="Times New Roman"/>
              </w:rPr>
            </w:pPr>
            <w:r>
              <w:rPr>
                <w:sz w:val="24"/>
                <w:rFonts w:ascii="Times New Roman" w:hAnsi="Times New Roman"/>
              </w:rPr>
              <w:t xml:space="preserve">Članak 272. stavci 11. i 25. Uredbe (EU) br. 575/2013</w:t>
            </w:r>
          </w:p>
          <w:p w14:paraId="78B4A3BD" w14:textId="77777777" w:rsidR="00EF74C7" w:rsidRPr="002A677E" w:rsidRDefault="00EF74C7" w:rsidP="00822842">
            <w:pPr>
              <w:pStyle w:val="TableMainHeading"/>
              <w:spacing w:before="60"/>
              <w:jc w:val="both"/>
              <w:rPr>
                <w:sz w:val="24"/>
                <w:szCs w:val="24"/>
                <w:rFonts w:ascii="Times New Roman" w:hAnsi="Times New Roman"/>
              </w:rPr>
            </w:pPr>
            <w:r>
              <w:rPr>
                <w:sz w:val="24"/>
                <w:rFonts w:ascii="Times New Roman" w:hAnsi="Times New Roman"/>
              </w:rPr>
              <w:t xml:space="preserve">Skupovi za netiranje koji sadržavaju transakcije različitih kategorija proizvoda (članak 272. točka 11. Uredbe (EU) br. 575/2013), tj. izvedenice i transakcije financiranja vrijednosnim papirima, za koje postoji sporazum o netiranju između različitih kategorija proizvoda kako je definiran u članku 272. točki 25. Uredbe (EU) br. 575/2013 i za koje je instituciji dopušteno utvrđivanje vrijednosti izloženosti primjenom IMM-a.</w:t>
            </w:r>
          </w:p>
        </w:tc>
      </w:tr>
      <w:tr w:rsidR="00EF74C7" w:rsidRPr="002A677E" w14:paraId="24E58508"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5C0603C1" w14:textId="77777777" w:rsidR="00EF74C7" w:rsidRPr="002A677E" w:rsidRDefault="00EF74C7" w:rsidP="00822842">
            <w:pPr>
              <w:pStyle w:val="Applicationdirecte"/>
              <w:spacing w:before="0" w:after="0"/>
            </w:pPr>
            <w:r>
              <w:t xml:space="preserve">0080</w:t>
            </w:r>
          </w:p>
        </w:tc>
        <w:tc>
          <w:tcPr>
            <w:tcW w:w="7655" w:type="dxa"/>
            <w:tcBorders>
              <w:top w:val="single" w:sz="4" w:space="0" w:color="auto"/>
              <w:left w:val="single" w:sz="4" w:space="0" w:color="auto"/>
              <w:bottom w:val="single" w:sz="4" w:space="0" w:color="auto"/>
              <w:right w:val="single" w:sz="4" w:space="0" w:color="auto"/>
            </w:tcBorders>
          </w:tcPr>
          <w:p w14:paraId="6DCAF7D9"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JEDNOSTAVNA METODA FINANCIJSKOG KOLATERALA (ZA TRANSAKCIJE FINANCIRANJA VRIJEDNOSNIM PAPIRIMA)</w:t>
            </w:r>
            <w:r>
              <w:rPr>
                <w:rStyle w:val="InstructionsTabelleberschrift"/>
                <w:sz w:val="24"/>
                <w:rFonts w:ascii="Times New Roman" w:hAnsi="Times New Roman"/>
              </w:rPr>
              <w:t xml:space="preserve"> </w:t>
            </w:r>
          </w:p>
          <w:p w14:paraId="1E933FE3" w14:textId="77777777" w:rsidR="00EF74C7" w:rsidRPr="002A677E" w:rsidRDefault="00EF74C7" w:rsidP="00822842">
            <w:pPr>
              <w:rPr>
                <w:sz w:val="24"/>
                <w:rFonts w:ascii="Times New Roman" w:hAnsi="Times New Roman"/>
              </w:rPr>
            </w:pPr>
            <w:r>
              <w:rPr>
                <w:sz w:val="24"/>
                <w:rFonts w:ascii="Times New Roman" w:hAnsi="Times New Roman"/>
              </w:rPr>
              <w:t xml:space="preserve">Članak 222. Uredbe (EU) br. 575/2013</w:t>
            </w:r>
          </w:p>
          <w:p w14:paraId="1206AB47" w14:textId="77777777" w:rsidR="00EF74C7" w:rsidRPr="002A677E" w:rsidRDefault="00EF74C7" w:rsidP="00822842">
            <w:pPr>
              <w:pStyle w:val="TableMainHeading"/>
              <w:spacing w:before="60"/>
              <w:jc w:val="both"/>
              <w:rPr>
                <w:sz w:val="24"/>
                <w:szCs w:val="24"/>
                <w:rFonts w:ascii="Times New Roman" w:hAnsi="Times New Roman"/>
              </w:rPr>
            </w:pPr>
            <w:r>
              <w:rPr>
                <w:sz w:val="24"/>
                <w:rFonts w:ascii="Times New Roman" w:hAnsi="Times New Roman"/>
              </w:rPr>
              <w:t xml:space="preserve">Repo transakcije, transakcije pozajmljivanja vrijednosnih papira ili robe drugoj ugovornoj strani ili od druge ugovorne strane, transakcije s dugim rokom namire i maržni krediti za koje je institucija odabrala utvrditi vrijednost izloženosti u skladu s člankom 222. Uredbe (EU) br. 575/2013 umjesto s dijelom trećim glavom II. poglavljem 6. te uredbe u skladu s člankom 271. stavkom 2. iste uredbe.</w:t>
            </w:r>
          </w:p>
        </w:tc>
      </w:tr>
      <w:tr w:rsidR="00EF74C7" w:rsidRPr="002A677E" w14:paraId="273C9B74"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42D4D44" w14:textId="77777777" w:rsidR="00EF74C7" w:rsidRPr="002A677E" w:rsidRDefault="00EF74C7" w:rsidP="00822842">
            <w:pPr>
              <w:pStyle w:val="Applicationdirecte"/>
              <w:spacing w:before="0" w:after="0"/>
            </w:pPr>
            <w:r>
              <w:t xml:space="preserve">0090</w:t>
            </w:r>
          </w:p>
        </w:tc>
        <w:tc>
          <w:tcPr>
            <w:tcW w:w="7655" w:type="dxa"/>
            <w:tcBorders>
              <w:top w:val="single" w:sz="4" w:space="0" w:color="auto"/>
              <w:left w:val="single" w:sz="4" w:space="0" w:color="auto"/>
              <w:bottom w:val="single" w:sz="4" w:space="0" w:color="auto"/>
              <w:right w:val="single" w:sz="4" w:space="0" w:color="auto"/>
            </w:tcBorders>
          </w:tcPr>
          <w:p w14:paraId="28F9D683"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SLOŽENA METODA FINANCIJSKOG KOLATERALA (ZA TRANSAKCIJE FINANCIRANJA VRIJEDNOSNIM PAPIRIMA)</w:t>
            </w:r>
          </w:p>
          <w:p w14:paraId="13A72AE5" w14:textId="77777777" w:rsidR="00EF74C7" w:rsidRPr="002A677E" w:rsidRDefault="00EF74C7" w:rsidP="00822842">
            <w:pPr>
              <w:rPr>
                <w:sz w:val="24"/>
                <w:rFonts w:ascii="Times New Roman" w:hAnsi="Times New Roman"/>
              </w:rPr>
            </w:pPr>
            <w:r>
              <w:rPr>
                <w:sz w:val="24"/>
                <w:rFonts w:ascii="Times New Roman" w:hAnsi="Times New Roman"/>
              </w:rPr>
              <w:t xml:space="preserve">Članci 220. i 223. Uredbe (EU) br. 575/2013</w:t>
            </w:r>
          </w:p>
          <w:p w14:paraId="0F255BBA" w14:textId="77777777" w:rsidR="00EF74C7" w:rsidRPr="002A677E" w:rsidRDefault="00EF74C7" w:rsidP="00822842">
            <w:pPr>
              <w:pStyle w:val="TableMainHeading"/>
              <w:spacing w:before="60"/>
              <w:jc w:val="both"/>
              <w:rPr>
                <w:i/>
                <w:sz w:val="24"/>
                <w:szCs w:val="24"/>
                <w:rFonts w:ascii="Times New Roman" w:hAnsi="Times New Roman"/>
              </w:rPr>
            </w:pPr>
            <w:r>
              <w:rPr>
                <w:sz w:val="24"/>
                <w:rFonts w:ascii="Times New Roman" w:hAnsi="Times New Roman"/>
              </w:rPr>
              <w:t xml:space="preserve">Repo transakcije, transakcije pozajmljivanja vrijednosnih papira ili robe drugoj ugovornoj strani ili od druge ugovorne strane, transakcije s dugim rokom namire i maržni krediti za koje je institucija odabrala utvrditi vrijednost izloženosti u skladu s člankom 223. Uredbe (EU) br. 575/2013 umjesto s dijelom trećim glavom II. poglavljem 6. te uredbe u skladu s člankom 271. stavkom 2. iste uredbe.</w:t>
            </w:r>
          </w:p>
        </w:tc>
      </w:tr>
      <w:tr w:rsidR="00EF74C7" w:rsidRPr="002A677E" w14:paraId="047FCA6D"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5B248369" w14:textId="77777777" w:rsidR="00EF74C7" w:rsidRPr="002A677E" w:rsidRDefault="00EF74C7" w:rsidP="00822842">
            <w:pPr>
              <w:pStyle w:val="Applicationdirecte"/>
              <w:spacing w:before="0" w:after="0"/>
            </w:pPr>
            <w:r>
              <w:t xml:space="preserve">0100</w:t>
            </w:r>
          </w:p>
        </w:tc>
        <w:tc>
          <w:tcPr>
            <w:tcW w:w="7655" w:type="dxa"/>
            <w:tcBorders>
              <w:top w:val="single" w:sz="4" w:space="0" w:color="auto"/>
              <w:left w:val="single" w:sz="4" w:space="0" w:color="auto"/>
              <w:bottom w:val="single" w:sz="4" w:space="0" w:color="auto"/>
              <w:right w:val="single" w:sz="4" w:space="0" w:color="auto"/>
            </w:tcBorders>
          </w:tcPr>
          <w:p w14:paraId="22D23DEB"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VRIJEDNOST ADHERENTNA RIZIKU (VAR) ZA TRANSAKCIJE FINANCIRANJA VRIJEDNOSNIM PAPIRIMA</w:t>
            </w:r>
          </w:p>
          <w:p w14:paraId="769E33FD" w14:textId="77777777" w:rsidR="00EF74C7" w:rsidRPr="002A677E" w:rsidRDefault="00EF74C7" w:rsidP="00822842">
            <w:pPr>
              <w:rPr>
                <w:sz w:val="24"/>
                <w:rFonts w:ascii="Times New Roman" w:hAnsi="Times New Roman"/>
              </w:rPr>
            </w:pPr>
            <w:r>
              <w:rPr>
                <w:sz w:val="24"/>
                <w:rFonts w:ascii="Times New Roman" w:hAnsi="Times New Roman"/>
              </w:rPr>
              <w:t xml:space="preserve">Članak 221. Uredbe (EU) br. 575/2013</w:t>
            </w:r>
          </w:p>
          <w:p w14:paraId="2E3D6606" w14:textId="77777777" w:rsidR="00EF74C7" w:rsidRPr="002A677E" w:rsidRDefault="00EF74C7" w:rsidP="00822842">
            <w:pPr>
              <w:pStyle w:val="TableMainHeading"/>
              <w:spacing w:before="60"/>
              <w:jc w:val="both"/>
              <w:rPr>
                <w:sz w:val="24"/>
                <w:szCs w:val="24"/>
                <w:rFonts w:ascii="Times New Roman" w:hAnsi="Times New Roman"/>
              </w:rPr>
            </w:pPr>
            <w:r>
              <w:rPr>
                <w:sz w:val="24"/>
                <w:rFonts w:ascii="Times New Roman" w:hAnsi="Times New Roman"/>
              </w:rPr>
              <w:t xml:space="preserve">Repo transakcije, transakcije pozajmljivanja vrijednosnih papira ili robe drugoj ugovornoj strani ili od druge ugovorne strane ili maržni krediti ili ostale transakcije ovisne o kretanju na tržištu kapitala isključujući transakcija izvedenicama za koje se, u skladu s člankom 221. Uredbe (EU) br. 575/2013 i uz odobrenje nadležnog tijela, vrijednost izloženosti izračunava primjenom pristupa internih modela koji uzima u obzir učinke korelacije između pozicija u vrijednosnim papirima koje su predmet standardiziranog sporazuma o netiranju, kao i likvidnost takvih instrumenata.</w:t>
            </w:r>
            <w:r>
              <w:rPr>
                <w:sz w:val="24"/>
                <w:rFonts w:ascii="Times New Roman" w:hAnsi="Times New Roman"/>
              </w:rPr>
              <w:t xml:space="preserve"> </w:t>
            </w:r>
          </w:p>
        </w:tc>
      </w:tr>
      <w:tr w:rsidR="00EF74C7" w:rsidRPr="002A677E" w14:paraId="35872212"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35856DB2" w14:textId="77777777" w:rsidR="00EF74C7" w:rsidRPr="002A677E" w:rsidRDefault="00EF74C7" w:rsidP="00822842">
            <w:pPr>
              <w:pStyle w:val="Applicationdirecte"/>
              <w:spacing w:before="0" w:after="0"/>
            </w:pPr>
            <w:r>
              <w:t xml:space="preserve">0110</w:t>
            </w:r>
          </w:p>
        </w:tc>
        <w:tc>
          <w:tcPr>
            <w:tcW w:w="7655" w:type="dxa"/>
            <w:tcBorders>
              <w:top w:val="single" w:sz="4" w:space="0" w:color="auto"/>
              <w:left w:val="single" w:sz="4" w:space="0" w:color="auto"/>
              <w:bottom w:val="single" w:sz="4" w:space="0" w:color="auto"/>
              <w:right w:val="single" w:sz="4" w:space="0" w:color="auto"/>
            </w:tcBorders>
          </w:tcPr>
          <w:p w14:paraId="5ACE250C"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UKUPNO</w:t>
            </w:r>
          </w:p>
          <w:p w14:paraId="31701FF7" w14:textId="77777777" w:rsidR="00EF74C7" w:rsidRPr="002A677E" w:rsidRDefault="00EF74C7" w:rsidP="00822842">
            <w:pPr>
              <w:keepNext/>
              <w:spacing w:before="60"/>
              <w:rPr>
                <w:rStyle w:val="InstructionsTabelleberschrift"/>
                <w:rFonts w:ascii="Times New Roman" w:hAnsi="Times New Roman"/>
                <w:sz w:val="24"/>
              </w:rPr>
            </w:pPr>
          </w:p>
        </w:tc>
      </w:tr>
      <w:tr w:rsidR="00EF74C7" w:rsidRPr="002A677E" w14:paraId="04998E4D" w14:textId="77777777" w:rsidTr="00822842">
        <w:trPr>
          <w:trHeight w:val="1502"/>
        </w:trPr>
        <w:tc>
          <w:tcPr>
            <w:tcW w:w="1384" w:type="dxa"/>
          </w:tcPr>
          <w:p w14:paraId="1C32D020" w14:textId="77777777" w:rsidR="00EF74C7" w:rsidRPr="002A677E" w:rsidDel="003E0C6A" w:rsidRDefault="00EF74C7" w:rsidP="00822842">
            <w:pPr>
              <w:pStyle w:val="Applicationdirecte"/>
              <w:spacing w:before="60" w:after="0"/>
              <w:jc w:val="left"/>
            </w:pPr>
            <w:r>
              <w:t xml:space="preserve">0120</w:t>
            </w:r>
          </w:p>
        </w:tc>
        <w:tc>
          <w:tcPr>
            <w:tcW w:w="7655" w:type="dxa"/>
          </w:tcPr>
          <w:p w14:paraId="64672F51"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Od čega:</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pozicije sa specifičnim povratnim rizikom</w:t>
            </w:r>
          </w:p>
          <w:p w14:paraId="658F3281" w14:textId="77777777" w:rsidR="00EF74C7" w:rsidRPr="002A677E" w:rsidRDefault="00EF74C7" w:rsidP="00822842">
            <w:pPr>
              <w:keepNext/>
              <w:spacing w:before="60"/>
              <w:rPr>
                <w:rStyle w:val="InstructionsTabelleberschrift"/>
                <w:b w:val="0"/>
                <w:sz w:val="24"/>
                <w:u w:val="none"/>
                <w:rFonts w:ascii="Times New Roman" w:hAnsi="Times New Roman"/>
              </w:rPr>
            </w:pPr>
            <w:r>
              <w:rPr>
                <w:sz w:val="24"/>
                <w:rStyle w:val="InstructionsTabelleberschrift"/>
                <w:b w:val="0"/>
                <w:u w:val="none"/>
                <w:rFonts w:ascii="Times New Roman" w:hAnsi="Times New Roman"/>
              </w:rPr>
              <w:t xml:space="preserve">Članak 291.</w:t>
            </w:r>
            <w:r>
              <w:rPr>
                <w:sz w:val="24"/>
                <w:rFonts w:ascii="Times New Roman" w:hAnsi="Times New Roman"/>
              </w:rPr>
              <w:t xml:space="preserve"> Uredbe (EU) br. 575/2013</w:t>
            </w:r>
          </w:p>
          <w:p w14:paraId="41917746" w14:textId="77777777" w:rsidR="00EF74C7" w:rsidRPr="002A677E" w:rsidDel="003E0C6A" w:rsidRDefault="00EF74C7" w:rsidP="00822842">
            <w:pPr>
              <w:keepNext/>
              <w:spacing w:before="60"/>
              <w:rPr>
                <w:bCs/>
                <w:sz w:val="24"/>
                <w:rFonts w:ascii="Times New Roman" w:hAnsi="Times New Roman"/>
              </w:rPr>
            </w:pPr>
            <w:r>
              <w:rPr>
                <w:sz w:val="24"/>
                <w:rFonts w:ascii="Times New Roman" w:hAnsi="Times New Roman"/>
              </w:rPr>
              <w:t xml:space="preserve">Izloženosti kreditnom riziku druge ugovorne strane za koje je utvrđen specifični povratni rizik (SWWR) u skladu s člankom 291. Uredbe (EU) br. 575/2013.</w:t>
            </w:r>
          </w:p>
        </w:tc>
      </w:tr>
      <w:tr w:rsidR="00EF74C7" w:rsidRPr="002A677E" w14:paraId="59B010B6" w14:textId="77777777" w:rsidTr="00822842">
        <w:trPr>
          <w:trHeight w:val="426"/>
        </w:trPr>
        <w:tc>
          <w:tcPr>
            <w:tcW w:w="1384" w:type="dxa"/>
          </w:tcPr>
          <w:p w14:paraId="11F4D998" w14:textId="77777777" w:rsidR="00EF74C7" w:rsidRPr="002A677E" w:rsidDel="003E0C6A" w:rsidRDefault="00EF74C7" w:rsidP="00822842">
            <w:pPr>
              <w:pStyle w:val="Applicationdirecte"/>
              <w:spacing w:before="60" w:after="0"/>
              <w:jc w:val="left"/>
            </w:pPr>
            <w:r>
              <w:t xml:space="preserve">0130</w:t>
            </w:r>
          </w:p>
        </w:tc>
        <w:tc>
          <w:tcPr>
            <w:tcW w:w="7655" w:type="dxa"/>
          </w:tcPr>
          <w:p w14:paraId="794C69D7"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Poslovi s maržom</w:t>
            </w:r>
          </w:p>
          <w:p w14:paraId="03856435" w14:textId="77777777" w:rsidR="00EF74C7" w:rsidRPr="002A677E" w:rsidRDefault="00EF74C7" w:rsidP="00822842">
            <w:pPr>
              <w:keepNext/>
              <w:spacing w:before="60"/>
              <w:rPr>
                <w:rStyle w:val="InstructionsTabelleberschrift"/>
                <w:b w:val="0"/>
                <w:sz w:val="24"/>
                <w:u w:val="none"/>
                <w:rFonts w:ascii="Times New Roman" w:hAnsi="Times New Roman"/>
              </w:rPr>
            </w:pPr>
            <w:r>
              <w:rPr>
                <w:sz w:val="24"/>
                <w:rStyle w:val="InstructionsTabelleberschrift"/>
                <w:b w:val="0"/>
                <w:u w:val="none"/>
                <w:rFonts w:ascii="Times New Roman" w:hAnsi="Times New Roman"/>
              </w:rPr>
              <w:t xml:space="preserve">Članak 272. stavak 7.</w:t>
            </w:r>
            <w:r>
              <w:rPr>
                <w:sz w:val="24"/>
                <w:rFonts w:ascii="Times New Roman" w:hAnsi="Times New Roman"/>
              </w:rPr>
              <w:t xml:space="preserve"> Uredbe (EU) br. 575/2013</w:t>
            </w:r>
          </w:p>
          <w:p w14:paraId="2F61E58D" w14:textId="77777777" w:rsidR="00EF74C7" w:rsidRPr="002A677E" w:rsidDel="003E0C6A" w:rsidRDefault="00EF74C7" w:rsidP="00822842">
            <w:pPr>
              <w:keepNext/>
              <w:spacing w:before="60"/>
              <w:rPr>
                <w:sz w:val="24"/>
                <w:rFonts w:ascii="Times New Roman" w:hAnsi="Times New Roman"/>
              </w:rPr>
            </w:pPr>
            <w:r>
              <w:rPr>
                <w:sz w:val="24"/>
                <w:rFonts w:ascii="Times New Roman" w:hAnsi="Times New Roman"/>
              </w:rPr>
              <w:t xml:space="preserve">Izloženosti kreditnom riziku druge ugovorne strane s maržom, tj. skupovi za netiranje na koje se primjenjuje ugovor o marži u skladu s člankom 272. točkom 7. Uredbe (EU) br. 575/2013.</w:t>
            </w:r>
          </w:p>
        </w:tc>
      </w:tr>
      <w:tr w:rsidR="00EF74C7" w:rsidRPr="002A677E" w14:paraId="518FA613" w14:textId="77777777" w:rsidTr="00822842">
        <w:trPr>
          <w:trHeight w:val="829"/>
        </w:trPr>
        <w:tc>
          <w:tcPr>
            <w:tcW w:w="1384" w:type="dxa"/>
          </w:tcPr>
          <w:p w14:paraId="527E02B0" w14:textId="77777777" w:rsidR="00EF74C7" w:rsidRPr="002A677E" w:rsidDel="003E0C6A" w:rsidRDefault="00EF74C7" w:rsidP="00822842">
            <w:pPr>
              <w:pStyle w:val="Applicationdirecte"/>
              <w:spacing w:before="60" w:after="0"/>
              <w:jc w:val="left"/>
            </w:pPr>
            <w:r>
              <w:t xml:space="preserve">0140</w:t>
            </w:r>
          </w:p>
        </w:tc>
        <w:tc>
          <w:tcPr>
            <w:tcW w:w="7655" w:type="dxa"/>
          </w:tcPr>
          <w:p w14:paraId="4739FB58"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Poslovi bez marže</w:t>
            </w:r>
          </w:p>
          <w:p w14:paraId="166C3DE8" w14:textId="77777777" w:rsidR="00EF74C7" w:rsidRPr="002A677E" w:rsidDel="003E0C6A" w:rsidRDefault="00EF74C7" w:rsidP="00822842">
            <w:pPr>
              <w:rPr>
                <w:sz w:val="24"/>
                <w:rFonts w:ascii="Times New Roman" w:hAnsi="Times New Roman"/>
              </w:rPr>
            </w:pPr>
            <w:r>
              <w:rPr>
                <w:sz w:val="24"/>
                <w:rFonts w:ascii="Times New Roman" w:hAnsi="Times New Roman"/>
              </w:rPr>
              <w:t xml:space="preserve">Izloženosti kreditnom riziku druge ugovorne strane koje nisu obuhvaćene u stupcu 0130.</w:t>
            </w:r>
          </w:p>
        </w:tc>
      </w:tr>
    </w:tbl>
    <w:p w14:paraId="0EE31AF8" w14:textId="77777777" w:rsidR="00EF74C7" w:rsidRPr="002A677E" w:rsidRDefault="00EF74C7" w:rsidP="00EF74C7">
      <w:pPr>
        <w:rPr>
          <w:rFonts w:ascii="Times New Roman" w:hAnsi="Times New Roman"/>
          <w:noProof/>
          <w:sz w:val="24"/>
        </w:rPr>
      </w:pPr>
    </w:p>
    <w:p w14:paraId="398E5D6F" w14:textId="77777777" w:rsidR="00EF74C7" w:rsidRPr="002A677E" w:rsidRDefault="00EF74C7" w:rsidP="00EF74C7">
      <w:pPr>
        <w:pStyle w:val="Instructionsberschrift2"/>
        <w:numPr>
          <w:ilvl w:val="2"/>
          <w:numId w:val="29"/>
        </w:numPr>
        <w:rPr>
          <w:sz w:val="24"/>
          <w:rFonts w:ascii="Times New Roman" w:hAnsi="Times New Roman" w:cs="Times New Roman"/>
        </w:rPr>
      </w:pPr>
      <w:bookmarkStart w:id="28" w:name="_Toc19715809"/>
      <w:bookmarkStart w:id="29" w:name="_Toc151714449"/>
      <w:r>
        <w:rPr>
          <w:sz w:val="24"/>
          <w:rFonts w:ascii="Times New Roman" w:hAnsi="Times New Roman"/>
        </w:rPr>
        <w:t xml:space="preserve">C 34.03 – Izloženosti kreditnom riziku druge ugovorne strane na koje se primjenjuju standardizirani pristupi:</w:t>
      </w:r>
      <w:r>
        <w:rPr>
          <w:sz w:val="24"/>
          <w:rFonts w:ascii="Times New Roman" w:hAnsi="Times New Roman"/>
        </w:rPr>
        <w:t xml:space="preserve"> </w:t>
      </w:r>
      <w:r>
        <w:rPr>
          <w:sz w:val="24"/>
          <w:rFonts w:ascii="Times New Roman" w:hAnsi="Times New Roman"/>
        </w:rPr>
        <w:t xml:space="preserve">SA-CCR i pojednostavnjeni SA-CCR</w:t>
      </w:r>
      <w:bookmarkEnd w:id="28"/>
      <w:bookmarkEnd w:id="29"/>
    </w:p>
    <w:p w14:paraId="25A32DCA" w14:textId="77777777" w:rsidR="00EF74C7" w:rsidRPr="002A677E" w:rsidRDefault="00EF74C7" w:rsidP="00EF74C7">
      <w:pPr>
        <w:pStyle w:val="Instructionsberschrift2"/>
        <w:numPr>
          <w:ilvl w:val="3"/>
          <w:numId w:val="29"/>
        </w:numPr>
        <w:rPr>
          <w:sz w:val="24"/>
          <w:rFonts w:ascii="Times New Roman" w:hAnsi="Times New Roman" w:cs="Times New Roman"/>
        </w:rPr>
      </w:pPr>
      <w:bookmarkStart w:id="30" w:name="_Toc19715810"/>
      <w:bookmarkStart w:id="31" w:name="_Toc151714450"/>
      <w:r>
        <w:rPr>
          <w:sz w:val="24"/>
          <w:rFonts w:ascii="Times New Roman" w:hAnsi="Times New Roman"/>
        </w:rPr>
        <w:t xml:space="preserve">Opće napomene</w:t>
      </w:r>
      <w:bookmarkEnd w:id="30"/>
      <w:bookmarkEnd w:id="31"/>
    </w:p>
    <w:p w14:paraId="00205649" w14:textId="08D8CDD1" w:rsidR="00EF74C7" w:rsidRPr="002A677E" w:rsidRDefault="00EF74C7" w:rsidP="00EF74C7">
      <w:pPr>
        <w:pStyle w:val="InstructionsText2"/>
        <w:numPr>
          <w:ilvl w:val="0"/>
          <w:numId w:val="0"/>
        </w:numPr>
        <w:ind w:left="993"/>
      </w:pPr>
      <w:r>
        <w:fldChar w:fldCharType="begin" w:dirty="true"/>
      </w:r>
      <w:r>
        <w:instrText>seq paragraphs</w:instrText>
      </w:r>
      <w:r>
        <w:fldChar w:fldCharType="separate"/>
      </w:r>
      <w:r w:rsidRPr="002A677E">
        <w:t>125</w:t>
      </w:r>
      <w:r>
        <w:fldChar w:fldCharType="end"/>
      </w:r>
      <w:r>
        <w:t xml:space="preserve">.</w:t>
      </w:r>
      <w:r>
        <w:t xml:space="preserve"> </w:t>
      </w:r>
      <w:r>
        <w:t xml:space="preserve">Obrazac se koristi zasebno za iskazivanje izloženosti kreditnom riziku druge ugovorne strane izračunatih sa SA-CCR ili pojednostavnjenim SA-CCR-om, prema potrebi.</w:t>
      </w:r>
    </w:p>
    <w:p w14:paraId="739ACEF6" w14:textId="77777777" w:rsidR="00EF74C7" w:rsidRPr="002A677E" w:rsidRDefault="00EF74C7" w:rsidP="00EF74C7">
      <w:pPr>
        <w:pStyle w:val="Instructionsberschrift2"/>
        <w:numPr>
          <w:ilvl w:val="3"/>
          <w:numId w:val="29"/>
        </w:numPr>
        <w:rPr>
          <w:sz w:val="24"/>
          <w:rFonts w:ascii="Times New Roman" w:hAnsi="Times New Roman" w:cs="Times New Roman"/>
        </w:rPr>
      </w:pPr>
      <w:bookmarkStart w:id="32" w:name="_Toc19715811"/>
      <w:bookmarkStart w:id="33" w:name="_Toc151714451"/>
      <w:r>
        <w:rPr>
          <w:sz w:val="24"/>
          <w:rFonts w:ascii="Times New Roman" w:hAnsi="Times New Roman"/>
        </w:rPr>
        <w:t xml:space="preserve">Upute za specifične pozicije</w:t>
      </w:r>
      <w:bookmarkEnd w:id="32"/>
      <w:bookmarkEnd w:id="3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21AD3F40" w14:textId="77777777" w:rsidTr="00822842">
        <w:trPr>
          <w:trHeight w:val="717"/>
        </w:trPr>
        <w:tc>
          <w:tcPr>
            <w:tcW w:w="9039" w:type="dxa"/>
            <w:gridSpan w:val="2"/>
            <w:shd w:val="clear" w:color="auto" w:fill="D9D9D9" w:themeFill="background1" w:themeFillShade="D9"/>
          </w:tcPr>
          <w:p w14:paraId="1502A629" w14:textId="77777777" w:rsidR="00EF74C7" w:rsidRPr="002A677E" w:rsidRDefault="00EF74C7" w:rsidP="00822842">
            <w:pPr>
              <w:autoSpaceDE w:val="0"/>
              <w:autoSpaceDN w:val="0"/>
              <w:adjustRightInd w:val="0"/>
              <w:rPr>
                <w:b/>
                <w:sz w:val="24"/>
                <w:rFonts w:ascii="Times New Roman" w:hAnsi="Times New Roman"/>
              </w:rPr>
            </w:pPr>
            <w:r>
              <w:rPr>
                <w:b/>
                <w:sz w:val="24"/>
                <w:rFonts w:ascii="Times New Roman" w:hAnsi="Times New Roman"/>
              </w:rPr>
              <w:t xml:space="preserve">Stupci</w:t>
            </w:r>
          </w:p>
        </w:tc>
      </w:tr>
      <w:tr w:rsidR="00EF74C7" w:rsidRPr="002A677E" w14:paraId="672D2ACD" w14:textId="77777777" w:rsidTr="00822842">
        <w:trPr>
          <w:trHeight w:val="680"/>
        </w:trPr>
        <w:tc>
          <w:tcPr>
            <w:tcW w:w="1384" w:type="dxa"/>
          </w:tcPr>
          <w:p w14:paraId="0E603140" w14:textId="77777777" w:rsidR="00EF74C7" w:rsidRPr="002A677E" w:rsidRDefault="00EF74C7" w:rsidP="00822842">
            <w:pPr>
              <w:pStyle w:val="Applicationdirecte"/>
              <w:spacing w:before="0" w:after="0"/>
            </w:pPr>
            <w:r>
              <w:t xml:space="preserve">0010</w:t>
            </w:r>
          </w:p>
        </w:tc>
        <w:tc>
          <w:tcPr>
            <w:tcW w:w="7655" w:type="dxa"/>
            <w:vAlign w:val="center"/>
          </w:tcPr>
          <w:p w14:paraId="1B4E242B" w14:textId="77777777" w:rsidR="00EF74C7" w:rsidRPr="002A677E" w:rsidRDefault="00EF74C7" w:rsidP="00822842">
            <w:pPr>
              <w:keepNext/>
              <w:spacing w:before="60"/>
              <w:rPr>
                <w:sz w:val="24"/>
                <w:rFonts w:ascii="Times New Roman" w:hAnsi="Times New Roman"/>
              </w:rPr>
            </w:pPr>
            <w:r>
              <w:rPr>
                <w:rStyle w:val="InstructionsTabelleberschrift"/>
                <w:sz w:val="24"/>
                <w:rFonts w:ascii="Times New Roman" w:hAnsi="Times New Roman"/>
              </w:rPr>
              <w:t xml:space="preserve">VALUTA</w:t>
            </w:r>
          </w:p>
          <w:p w14:paraId="1FCE36C7"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Za transakcije raspoređene u kategoriju kamatnog rizika iskazuje se nominirana valuta transakcije.</w:t>
            </w:r>
          </w:p>
          <w:p w14:paraId="451829C3"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Za transakcije raspoređene u kategoriju valutnog rizika iskazuje se nominirana valuta jedne od dvije komponente transakcije.</w:t>
            </w:r>
            <w:r>
              <w:rPr>
                <w:sz w:val="24"/>
                <w:rFonts w:ascii="Times New Roman" w:hAnsi="Times New Roman"/>
              </w:rPr>
              <w:t xml:space="preserve"> </w:t>
            </w:r>
            <w:r>
              <w:rPr>
                <w:sz w:val="24"/>
                <w:rFonts w:ascii="Times New Roman" w:hAnsi="Times New Roman"/>
              </w:rPr>
              <w:t xml:space="preserve">Institucije valute u valutnom paru unose abecednim redom, npr. za US dolar/euro ispunite ovaj stupac s EUR, a stupac 0020 s USD.</w:t>
            </w:r>
            <w:r>
              <w:rPr>
                <w:sz w:val="24"/>
                <w:rFonts w:ascii="Times New Roman" w:hAnsi="Times New Roman"/>
              </w:rPr>
              <w:t xml:space="preserve"> </w:t>
            </w:r>
          </w:p>
          <w:p w14:paraId="4B0703E4" w14:textId="77777777" w:rsidR="00EF74C7" w:rsidRPr="002A677E" w:rsidRDefault="00EF74C7" w:rsidP="00822842">
            <w:pPr>
              <w:keepNext/>
              <w:spacing w:before="60"/>
              <w:rPr>
                <w:i/>
                <w:sz w:val="24"/>
                <w:rFonts w:ascii="Times New Roman" w:hAnsi="Times New Roman"/>
              </w:rPr>
            </w:pPr>
            <w:r>
              <w:rPr>
                <w:sz w:val="24"/>
                <w:rFonts w:ascii="Times New Roman" w:hAnsi="Times New Roman"/>
              </w:rPr>
              <w:t xml:space="preserve">Upotrebljavaju se </w:t>
            </w:r>
            <w:hyperlink r:id="rId10" w:history="1">
              <w:r>
                <w:rPr>
                  <w:sz w:val="24"/>
                  <w:rFonts w:ascii="Times New Roman" w:hAnsi="Times New Roman"/>
                </w:rPr>
                <w:t xml:space="preserve">oznake ISO</w:t>
              </w:r>
            </w:hyperlink>
            <w:r>
              <w:t xml:space="preserve">.</w:t>
            </w:r>
          </w:p>
        </w:tc>
      </w:tr>
      <w:tr w:rsidR="00EF74C7" w:rsidRPr="002A677E" w14:paraId="5C5AF16A" w14:textId="77777777" w:rsidTr="00822842">
        <w:trPr>
          <w:trHeight w:val="680"/>
        </w:trPr>
        <w:tc>
          <w:tcPr>
            <w:tcW w:w="1384" w:type="dxa"/>
          </w:tcPr>
          <w:p w14:paraId="4ACFE6AB" w14:textId="77777777" w:rsidR="00EF74C7" w:rsidRPr="002A677E" w:rsidRDefault="00EF74C7" w:rsidP="00822842">
            <w:pPr>
              <w:pStyle w:val="Applicationdirecte"/>
              <w:spacing w:before="0" w:after="0"/>
            </w:pPr>
            <w:r>
              <w:t xml:space="preserve">0020</w:t>
            </w:r>
          </w:p>
        </w:tc>
        <w:tc>
          <w:tcPr>
            <w:tcW w:w="7655" w:type="dxa"/>
            <w:vAlign w:val="center"/>
          </w:tcPr>
          <w:p w14:paraId="24D1130D"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DRUGA VALUTA U PARU</w:t>
            </w:r>
          </w:p>
          <w:p w14:paraId="03D4A6E7"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Za transakcije raspoređene u kategoriju valutnog rizika iskazuje se nominirana valuta druge strane transakcije (s obzirom na onu razmatranu u stupcu 0010).</w:t>
            </w:r>
            <w:r>
              <w:rPr>
                <w:sz w:val="24"/>
                <w:rFonts w:ascii="Times New Roman" w:hAnsi="Times New Roman"/>
              </w:rPr>
              <w:t xml:space="preserve"> </w:t>
            </w:r>
            <w:r>
              <w:rPr>
                <w:sz w:val="24"/>
                <w:rFonts w:ascii="Times New Roman" w:hAnsi="Times New Roman"/>
              </w:rPr>
              <w:t xml:space="preserve">Institucije valute u valutnom paru unose abecednim redom, npr. za US dolar/euro ispunite ovaj stupac s EUR, a stupac 0010 s USD.</w:t>
            </w:r>
          </w:p>
          <w:p w14:paraId="1013A2D8" w14:textId="77777777" w:rsidR="00EF74C7" w:rsidRPr="002A677E" w:rsidRDefault="00EF74C7" w:rsidP="00822842">
            <w:pPr>
              <w:keepNext/>
              <w:spacing w:before="60"/>
              <w:rPr>
                <w:i/>
                <w:sz w:val="24"/>
                <w:rFonts w:ascii="Times New Roman" w:hAnsi="Times New Roman"/>
              </w:rPr>
            </w:pPr>
            <w:r>
              <w:rPr>
                <w:sz w:val="24"/>
                <w:rFonts w:ascii="Times New Roman" w:hAnsi="Times New Roman"/>
              </w:rPr>
              <w:t xml:space="preserve">Upotrebljavaju se </w:t>
            </w:r>
            <w:hyperlink r:id="rId11" w:history="1">
              <w:r>
                <w:rPr>
                  <w:sz w:val="24"/>
                  <w:rFonts w:ascii="Times New Roman" w:hAnsi="Times New Roman"/>
                </w:rPr>
                <w:t xml:space="preserve">oznake ISO</w:t>
              </w:r>
            </w:hyperlink>
            <w:r>
              <w:t xml:space="preserve">.</w:t>
            </w:r>
          </w:p>
        </w:tc>
      </w:tr>
      <w:tr w:rsidR="00EF74C7" w:rsidRPr="002A677E" w14:paraId="269AB735" w14:textId="77777777" w:rsidTr="00822842">
        <w:trPr>
          <w:trHeight w:val="680"/>
        </w:trPr>
        <w:tc>
          <w:tcPr>
            <w:tcW w:w="1384" w:type="dxa"/>
          </w:tcPr>
          <w:p w14:paraId="27EC4B26" w14:textId="77777777" w:rsidR="00EF74C7" w:rsidRPr="002A677E" w:rsidRDefault="00EF74C7" w:rsidP="00822842">
            <w:pPr>
              <w:pStyle w:val="Applicationdirecte"/>
              <w:spacing w:before="0" w:after="0"/>
            </w:pPr>
            <w:r>
              <w:t xml:space="preserve">0030</w:t>
            </w:r>
          </w:p>
        </w:tc>
        <w:tc>
          <w:tcPr>
            <w:tcW w:w="7655" w:type="dxa"/>
            <w:vAlign w:val="center"/>
          </w:tcPr>
          <w:p w14:paraId="2F0BA9E7"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BROJ TRANSAKCIJA</w:t>
            </w:r>
          </w:p>
          <w:p w14:paraId="6D81C620" w14:textId="77777777" w:rsidR="00EF74C7" w:rsidRPr="002A677E" w:rsidRDefault="00EF74C7" w:rsidP="00822842">
            <w:pPr>
              <w:keepNext/>
              <w:spacing w:before="60"/>
              <w:rPr>
                <w:i/>
                <w:sz w:val="24"/>
                <w:rFonts w:ascii="Times New Roman" w:hAnsi="Times New Roman"/>
              </w:rPr>
            </w:pPr>
            <w:r>
              <w:rPr>
                <w:sz w:val="24"/>
                <w:rFonts w:ascii="Times New Roman" w:hAnsi="Times New Roman"/>
              </w:rPr>
              <w:t xml:space="preserve">Vidjeti upute za stupac 0020 u obrascu C 34.02.</w:t>
            </w:r>
          </w:p>
        </w:tc>
      </w:tr>
      <w:tr w:rsidR="00EF74C7" w:rsidRPr="002A677E" w14:paraId="01ECDEDD" w14:textId="77777777" w:rsidTr="00822842">
        <w:trPr>
          <w:trHeight w:val="680"/>
        </w:trPr>
        <w:tc>
          <w:tcPr>
            <w:tcW w:w="1384" w:type="dxa"/>
          </w:tcPr>
          <w:p w14:paraId="18733037" w14:textId="77777777" w:rsidR="00EF74C7" w:rsidRPr="002A677E" w:rsidRDefault="00EF74C7" w:rsidP="00822842">
            <w:pPr>
              <w:pStyle w:val="Applicationdirecte"/>
              <w:spacing w:before="0" w:after="0"/>
            </w:pPr>
            <w:r>
              <w:t xml:space="preserve">0040</w:t>
            </w:r>
          </w:p>
        </w:tc>
        <w:tc>
          <w:tcPr>
            <w:tcW w:w="7655" w:type="dxa"/>
            <w:vAlign w:val="center"/>
          </w:tcPr>
          <w:p w14:paraId="160D7E28"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ZAMIŠLJENI IZNOSI</w:t>
            </w:r>
          </w:p>
          <w:p w14:paraId="1EAD85A5"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Vidjeti upute za stupac 0030 u obrascu C 34.02.</w:t>
            </w:r>
          </w:p>
        </w:tc>
      </w:tr>
      <w:tr w:rsidR="00EF74C7" w:rsidRPr="002A677E" w14:paraId="3AC762E1" w14:textId="77777777" w:rsidTr="00822842">
        <w:trPr>
          <w:trHeight w:val="680"/>
        </w:trPr>
        <w:tc>
          <w:tcPr>
            <w:tcW w:w="1384" w:type="dxa"/>
          </w:tcPr>
          <w:p w14:paraId="772E888B" w14:textId="77777777" w:rsidR="00EF74C7" w:rsidRPr="002A677E" w:rsidRDefault="00EF74C7" w:rsidP="00822842">
            <w:pPr>
              <w:pStyle w:val="Applicationdirecte"/>
              <w:spacing w:before="0" w:after="0"/>
            </w:pPr>
            <w:r>
              <w:t xml:space="preserve">0050</w:t>
            </w:r>
          </w:p>
        </w:tc>
        <w:tc>
          <w:tcPr>
            <w:tcW w:w="7655" w:type="dxa"/>
            <w:vAlign w:val="center"/>
          </w:tcPr>
          <w:p w14:paraId="4F39288B"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SADAŠNJA TRŽIŠNA VRIJEDNOST (CMV), POZITIVNA</w:t>
            </w:r>
          </w:p>
          <w:p w14:paraId="5ED54A90"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Zbroj sadašnjih tržišnih vrijednosti (CMV) svih skupova za zaštitu s pozitivnim CMV-om u odgovarajućoj kategoriji rizika.</w:t>
            </w:r>
          </w:p>
          <w:p w14:paraId="379A6FFF"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CMV na razini skupa za zaštitu utvrđuje se netiranjem pozitivnih i negativnih tržišnih vrijednosti transakcija unutar jednog skupa za zaštitu bez umanjenja za kolateral koji se drži ili daje.</w:t>
            </w:r>
          </w:p>
        </w:tc>
      </w:tr>
      <w:tr w:rsidR="00EF74C7" w:rsidRPr="002A677E" w14:paraId="08BA8DB4" w14:textId="77777777" w:rsidTr="00822842">
        <w:trPr>
          <w:trHeight w:val="680"/>
        </w:trPr>
        <w:tc>
          <w:tcPr>
            <w:tcW w:w="1384" w:type="dxa"/>
          </w:tcPr>
          <w:p w14:paraId="0E291208" w14:textId="77777777" w:rsidR="00EF74C7" w:rsidRPr="002A677E" w:rsidRDefault="00EF74C7" w:rsidP="00822842">
            <w:pPr>
              <w:pStyle w:val="Applicationdirecte"/>
              <w:spacing w:before="0" w:after="0"/>
            </w:pPr>
            <w:r>
              <w:t xml:space="preserve">0060</w:t>
            </w:r>
          </w:p>
        </w:tc>
        <w:tc>
          <w:tcPr>
            <w:tcW w:w="7655" w:type="dxa"/>
            <w:vAlign w:val="center"/>
          </w:tcPr>
          <w:p w14:paraId="58A56A89"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SADAŠNJA TRŽIŠNA VRIJEDNOST (CMV), NEGATIVNA</w:t>
            </w:r>
          </w:p>
          <w:p w14:paraId="5CF4FB5C"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Zbroj apsolutnih tržišnih vrijednosti (CMV) svih skupova za zaštitu s negativnim CMV-om u odgovarajućoj kategoriji rizika.</w:t>
            </w:r>
          </w:p>
          <w:p w14:paraId="3D5BE059" w14:textId="77777777" w:rsidR="00EF74C7" w:rsidRPr="002A677E" w:rsidRDefault="00EF74C7" w:rsidP="00822842">
            <w:pPr>
              <w:keepNext/>
              <w:spacing w:before="60"/>
              <w:rPr>
                <w:rStyle w:val="InstructionsTabelleberschrift"/>
                <w:sz w:val="24"/>
                <w:rFonts w:ascii="Times New Roman" w:hAnsi="Times New Roman"/>
              </w:rPr>
            </w:pPr>
            <w:r>
              <w:rPr>
                <w:sz w:val="24"/>
                <w:rFonts w:ascii="Times New Roman" w:hAnsi="Times New Roman"/>
              </w:rPr>
              <w:t xml:space="preserve">CMV na razini skupa za zaštitu utvrđuje se netiranjem pozitivnih i negativnih tržišnih vrijednosti transakcija s jednim skupom za zaštitu bez umanjenja kolaterala koji se drži ili daje.</w:t>
            </w:r>
          </w:p>
        </w:tc>
      </w:tr>
      <w:tr w:rsidR="00EF74C7" w:rsidRPr="002A677E" w14:paraId="345E1772" w14:textId="77777777" w:rsidTr="00822842">
        <w:trPr>
          <w:trHeight w:val="680"/>
        </w:trPr>
        <w:tc>
          <w:tcPr>
            <w:tcW w:w="1384" w:type="dxa"/>
          </w:tcPr>
          <w:p w14:paraId="77DADDEC" w14:textId="77777777" w:rsidR="00EF74C7" w:rsidRPr="002A677E" w:rsidRDefault="00EF74C7" w:rsidP="00822842">
            <w:pPr>
              <w:pStyle w:val="Applicationdirecte"/>
              <w:spacing w:before="0" w:after="0"/>
            </w:pPr>
            <w:r>
              <w:t xml:space="preserve">0070</w:t>
            </w:r>
          </w:p>
        </w:tc>
        <w:tc>
          <w:tcPr>
            <w:tcW w:w="7655" w:type="dxa"/>
            <w:vAlign w:val="center"/>
          </w:tcPr>
          <w:p w14:paraId="22809508" w14:textId="77777777" w:rsidR="00EF74C7" w:rsidRPr="002A677E" w:rsidRDefault="00EF74C7" w:rsidP="00822842">
            <w:pPr>
              <w:keepNext/>
              <w:spacing w:before="60"/>
              <w:rPr>
                <w:sz w:val="24"/>
                <w:rFonts w:ascii="Times New Roman" w:hAnsi="Times New Roman"/>
              </w:rPr>
            </w:pPr>
            <w:r>
              <w:rPr>
                <w:sz w:val="24"/>
                <w:rStyle w:val="InstructionsTabelleberschrift"/>
                <w:rFonts w:ascii="Times New Roman" w:hAnsi="Times New Roman"/>
              </w:rPr>
              <w:t xml:space="preserve">UVEĆANJE</w:t>
            </w:r>
            <w:r>
              <w:rPr>
                <w:sz w:val="24"/>
                <w:rFonts w:ascii="Times New Roman" w:hAnsi="Times New Roman"/>
              </w:rPr>
              <w:t xml:space="preserve"> </w:t>
            </w:r>
          </w:p>
          <w:p w14:paraId="39E215C5"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Članci od 280.a do 280.f i članak 281. stavak 2. Uredbe (EU) br. 575/2013</w:t>
            </w:r>
          </w:p>
          <w:p w14:paraId="3169F372"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Institucija iskazuje zbroj svih uvećanja u odgovarajućem skupu za zaštitu/kategoriji rizika.</w:t>
            </w:r>
            <w:r>
              <w:rPr>
                <w:sz w:val="24"/>
                <w:rFonts w:ascii="Times New Roman" w:hAnsi="Times New Roman"/>
              </w:rPr>
              <w:t xml:space="preserve"> </w:t>
            </w:r>
          </w:p>
          <w:p w14:paraId="48AD1DD4"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Uvećanje po kategoriji rizika koje se upotrebljava za određivanje potencijalne buduće izloženosti skupa za netiranje u skladu s člankom 278. stavkom 1. ili člankom 281. stavkom 2. točkom (f) Uredbe (EU) br. 575/2013 izračunava se u skladu s člancima od 280.a do 280.f te uredbe.</w:t>
            </w:r>
            <w:r>
              <w:rPr>
                <w:sz w:val="24"/>
                <w:rFonts w:ascii="Times New Roman" w:hAnsi="Times New Roman"/>
              </w:rPr>
              <w:t xml:space="preserve"> </w:t>
            </w:r>
            <w:r>
              <w:rPr>
                <w:sz w:val="24"/>
                <w:rFonts w:ascii="Times New Roman" w:hAnsi="Times New Roman"/>
              </w:rPr>
              <w:t xml:space="preserve">Za pojednostavnjeni SA-CCR primjenjuju se odredbe iz članka 281. stavka 2. Uredbe (EU) br. 575/2013.</w:t>
            </w:r>
          </w:p>
        </w:tc>
      </w:tr>
      <w:tr w:rsidR="00EF74C7" w:rsidRPr="002A677E" w14:paraId="2456F0C5" w14:textId="77777777" w:rsidTr="00822842">
        <w:trPr>
          <w:trHeight w:val="680"/>
        </w:trPr>
        <w:tc>
          <w:tcPr>
            <w:tcW w:w="9039" w:type="dxa"/>
            <w:gridSpan w:val="2"/>
            <w:tcBorders>
              <w:left w:val="nil"/>
              <w:right w:val="nil"/>
            </w:tcBorders>
          </w:tcPr>
          <w:p w14:paraId="18B64A8E" w14:textId="77777777" w:rsidR="00EF74C7" w:rsidRPr="002A677E" w:rsidDel="00DF07F8" w:rsidRDefault="00EF74C7" w:rsidP="00822842">
            <w:pPr>
              <w:keepNext/>
              <w:spacing w:before="60"/>
              <w:rPr>
                <w:rFonts w:ascii="Times New Roman" w:hAnsi="Times New Roman"/>
                <w:i/>
                <w:szCs w:val="22"/>
                <w:lang w:eastAsia="en-CA"/>
              </w:rPr>
            </w:pPr>
          </w:p>
        </w:tc>
      </w:tr>
      <w:tr w:rsidR="00EF74C7" w:rsidRPr="002A677E" w14:paraId="0883B7AF"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5F7E79" w14:textId="77777777" w:rsidR="00EF74C7" w:rsidRPr="002A677E" w:rsidRDefault="00EF74C7" w:rsidP="00822842">
            <w:pPr>
              <w:pStyle w:val="Applicationdirecte"/>
              <w:spacing w:before="0"/>
              <w:jc w:val="left"/>
              <w:rPr>
                <w:b/>
              </w:rPr>
            </w:pPr>
            <w:r>
              <w:rPr>
                <w:b/>
              </w:rPr>
              <w:t xml:space="preserve">Redci</w:t>
            </w:r>
            <w:r>
              <w:rPr>
                <w:b/>
              </w:rPr>
              <w:t xml:space="preserve"> </w:t>
            </w:r>
          </w:p>
        </w:tc>
      </w:tr>
      <w:tr w:rsidR="00EF74C7" w:rsidRPr="002A677E" w14:paraId="3248D686" w14:textId="77777777" w:rsidTr="00822842">
        <w:trPr>
          <w:trHeight w:val="680"/>
        </w:trPr>
        <w:tc>
          <w:tcPr>
            <w:tcW w:w="1384" w:type="dxa"/>
          </w:tcPr>
          <w:p w14:paraId="402A723E" w14:textId="77777777" w:rsidR="00EF74C7" w:rsidRPr="002A677E" w:rsidRDefault="00EF74C7" w:rsidP="00822842">
            <w:pPr>
              <w:pStyle w:val="Applicationdirecte"/>
              <w:spacing w:before="0" w:after="0"/>
            </w:pPr>
            <w:r>
              <w:t xml:space="preserve">0050,0120, 0190, 0230, 0270, 0340</w:t>
            </w:r>
          </w:p>
        </w:tc>
        <w:tc>
          <w:tcPr>
            <w:tcW w:w="7655" w:type="dxa"/>
          </w:tcPr>
          <w:p w14:paraId="376D7ACF"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KATEGORIJE RIZIKA</w:t>
            </w:r>
          </w:p>
          <w:p w14:paraId="7E0D1935"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Članci 277. i 277.a Uredbe (EU) br. 575/2013</w:t>
            </w:r>
          </w:p>
          <w:p w14:paraId="578D076E" w14:textId="77777777" w:rsidR="00EF74C7" w:rsidRPr="002A677E" w:rsidRDefault="00EF74C7" w:rsidP="00822842">
            <w:pPr>
              <w:pStyle w:val="TableMainHeading"/>
              <w:spacing w:before="60"/>
              <w:jc w:val="both"/>
              <w:rPr>
                <w:sz w:val="24"/>
                <w:szCs w:val="24"/>
                <w:rFonts w:ascii="Times New Roman" w:hAnsi="Times New Roman"/>
              </w:rPr>
            </w:pPr>
            <w:r>
              <w:rPr>
                <w:sz w:val="24"/>
                <w:rFonts w:ascii="Times New Roman" w:hAnsi="Times New Roman"/>
              </w:rPr>
              <w:t xml:space="preserve">Transakcije se klasificiraju u skladu s kategorijom rizika kojima pripadaju u skladu s člankom 277. stavcima od 1. do 4. Uredbe (EU) br. 575/2013.</w:t>
            </w:r>
          </w:p>
          <w:p w14:paraId="5862E67E" w14:textId="77777777" w:rsidR="00EF74C7" w:rsidRPr="002A677E" w:rsidRDefault="00EF74C7" w:rsidP="00822842">
            <w:pPr>
              <w:pStyle w:val="TableMainHeading"/>
              <w:spacing w:before="60"/>
              <w:jc w:val="both"/>
              <w:rPr>
                <w:sz w:val="24"/>
                <w:rFonts w:ascii="Times New Roman" w:hAnsi="Times New Roman"/>
              </w:rPr>
            </w:pPr>
            <w:r>
              <w:rPr>
                <w:sz w:val="24"/>
                <w:rFonts w:ascii="Times New Roman" w:hAnsi="Times New Roman"/>
              </w:rPr>
              <w:t xml:space="preserve">Raspoređivanje u skupove za zaštitu prema kategoriji rizika provodi se u skladu s člankom 277.a Uredbe (EU) br. 575/2013.</w:t>
            </w:r>
          </w:p>
          <w:p w14:paraId="65316050" w14:textId="77777777" w:rsidR="00EF74C7" w:rsidRPr="002A677E" w:rsidRDefault="00EF74C7" w:rsidP="00822842">
            <w:pPr>
              <w:pStyle w:val="TableMainHeading"/>
              <w:spacing w:before="60"/>
              <w:jc w:val="both"/>
              <w:rPr>
                <w:sz w:val="24"/>
                <w:rFonts w:ascii="Times New Roman" w:hAnsi="Times New Roman"/>
              </w:rPr>
            </w:pPr>
            <w:r>
              <w:rPr>
                <w:sz w:val="24"/>
                <w:rFonts w:ascii="Times New Roman" w:hAnsi="Times New Roman"/>
              </w:rPr>
              <w:t xml:space="preserve">Za pojednostavnjeni SA-CCR primjenjuju se odredbe iz članka 281. stavka 2. Uredbe (EU) br. 575/2013.</w:t>
            </w:r>
          </w:p>
        </w:tc>
      </w:tr>
      <w:tr w:rsidR="00EF74C7" w:rsidRPr="002A677E" w14:paraId="21933761" w14:textId="77777777" w:rsidTr="00822842">
        <w:trPr>
          <w:trHeight w:val="680"/>
        </w:trPr>
        <w:tc>
          <w:tcPr>
            <w:tcW w:w="1384" w:type="dxa"/>
          </w:tcPr>
          <w:p w14:paraId="2F5A9704" w14:textId="77777777" w:rsidR="00EF74C7" w:rsidRPr="002A677E" w:rsidRDefault="00EF74C7" w:rsidP="00822842">
            <w:pPr>
              <w:pStyle w:val="Applicationdirecte"/>
              <w:spacing w:before="0" w:after="0"/>
            </w:pPr>
            <w:r>
              <w:t xml:space="preserve">0020-0040</w:t>
            </w:r>
          </w:p>
        </w:tc>
        <w:tc>
          <w:tcPr>
            <w:tcW w:w="7655" w:type="dxa"/>
          </w:tcPr>
          <w:p w14:paraId="4160411B"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Od čega raspoređene u više od jedne kategorije rizika</w:t>
            </w:r>
          </w:p>
          <w:p w14:paraId="24AE7BAE"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Članak 277. stavak 3. Uredbe (EU) br. 575/2013</w:t>
            </w:r>
          </w:p>
          <w:p w14:paraId="54CB9801" w14:textId="77777777" w:rsidR="00EF74C7" w:rsidRPr="002A677E" w:rsidRDefault="00EF74C7" w:rsidP="00822842">
            <w:pPr>
              <w:pStyle w:val="TableMainHeading"/>
              <w:spacing w:before="60"/>
              <w:jc w:val="both"/>
              <w:rPr>
                <w:i/>
                <w:sz w:val="24"/>
                <w:szCs w:val="24"/>
                <w:rFonts w:ascii="Times New Roman" w:hAnsi="Times New Roman"/>
              </w:rPr>
            </w:pPr>
            <w:r>
              <w:rPr>
                <w:sz w:val="24"/>
                <w:rFonts w:ascii="Times New Roman" w:hAnsi="Times New Roman"/>
              </w:rPr>
              <w:t xml:space="preserve">Transakcije izvedenicama s više značajnih činitelja rizika raspoređuju se u dvije (0020), tri (0030) ili više od tri (0040) kategorije rizika na temelju najznačajnijeg od tih činitelja rizika u svakoj kategoriji rizika, u skladu s člankom 277. stavkom 3. Uredbe (EU) br. 575/2013 i EBA-inim regulatornim tehničkim standardima iz članka 277. stavka 5. te uredbe.</w:t>
            </w:r>
          </w:p>
        </w:tc>
      </w:tr>
      <w:tr w:rsidR="00EF74C7" w:rsidRPr="002A677E" w14:paraId="5AE04D2C" w14:textId="77777777" w:rsidTr="00822842">
        <w:trPr>
          <w:trHeight w:val="680"/>
        </w:trPr>
        <w:tc>
          <w:tcPr>
            <w:tcW w:w="1384" w:type="dxa"/>
          </w:tcPr>
          <w:p w14:paraId="27C055FD" w14:textId="77777777" w:rsidR="00EF74C7" w:rsidRPr="002A677E" w:rsidRDefault="00EF74C7" w:rsidP="00822842">
            <w:pPr>
              <w:pStyle w:val="Applicationdirecte"/>
              <w:spacing w:before="0" w:after="0"/>
              <w:jc w:val="left"/>
            </w:pPr>
            <w:r>
              <w:t xml:space="preserve">0070-0110 i 0140-0180</w:t>
            </w:r>
          </w:p>
        </w:tc>
        <w:tc>
          <w:tcPr>
            <w:tcW w:w="7655" w:type="dxa"/>
          </w:tcPr>
          <w:p w14:paraId="18AF84E8" w14:textId="77777777" w:rsidR="00EF74C7" w:rsidRPr="002A677E" w:rsidRDefault="00EF74C7" w:rsidP="00822842">
            <w:pPr>
              <w:pStyle w:val="TableMainHeading"/>
              <w:spacing w:before="60"/>
              <w:jc w:val="both"/>
              <w:rPr>
                <w:rStyle w:val="InstructionsTabelleberschrift"/>
                <w:sz w:val="24"/>
                <w:szCs w:val="24"/>
                <w:rFonts w:ascii="Times New Roman" w:eastAsiaTheme="minorEastAsia" w:hAnsi="Times New Roman"/>
              </w:rPr>
            </w:pPr>
            <w:r>
              <w:rPr>
                <w:rStyle w:val="InstructionsTabelleberschrift"/>
                <w:sz w:val="24"/>
                <w:rFonts w:ascii="Times New Roman" w:hAnsi="Times New Roman"/>
              </w:rPr>
              <w:t xml:space="preserve">Najveća valuta i valutni par</w:t>
            </w:r>
          </w:p>
          <w:p w14:paraId="208A8263" w14:textId="77777777" w:rsidR="00EF74C7" w:rsidRPr="002A677E" w:rsidRDefault="00EF74C7" w:rsidP="00822842">
            <w:pPr>
              <w:rPr>
                <w:sz w:val="24"/>
                <w:rFonts w:ascii="Times New Roman" w:hAnsi="Times New Roman"/>
              </w:rPr>
            </w:pPr>
            <w:r>
              <w:rPr>
                <w:sz w:val="24"/>
                <w:rFonts w:ascii="Times New Roman" w:hAnsi="Times New Roman"/>
              </w:rPr>
              <w:t xml:space="preserve">Ova se klasifikacija provodi na temelju CMV-a portfelja institucije u okviru područja primjene SA-CCR ili pojednostavnjenog SA-CCR-a, prema potrebi, za transakcije raspoređene u kategoriju kamatnog odnosno valutnog rizika.</w:t>
            </w:r>
            <w:r>
              <w:rPr>
                <w:sz w:val="24"/>
                <w:rFonts w:ascii="Times New Roman" w:hAnsi="Times New Roman"/>
              </w:rPr>
              <w:t xml:space="preserve"> </w:t>
            </w:r>
          </w:p>
          <w:p w14:paraId="7CB8DC17" w14:textId="77777777" w:rsidR="00EF74C7" w:rsidRPr="002A677E" w:rsidRDefault="00EF74C7" w:rsidP="00822842">
            <w:pPr>
              <w:rPr>
                <w:i/>
                <w:sz w:val="24"/>
                <w:rFonts w:ascii="Times New Roman" w:hAnsi="Times New Roman"/>
              </w:rPr>
            </w:pPr>
            <w:r>
              <w:rPr>
                <w:sz w:val="24"/>
                <w:rFonts w:ascii="Times New Roman" w:hAnsi="Times New Roman"/>
              </w:rPr>
              <w:t xml:space="preserve">Za potrebe klasifikacije</w:t>
            </w:r>
            <w:r>
              <w:rPr>
                <w:sz w:val="24"/>
                <w:rFonts w:ascii="inherit" w:hAnsi="inherit"/>
              </w:rPr>
              <w:t xml:space="preserve"> zbraja se apsolutna vrijednost CMV-a pozicija.</w:t>
            </w:r>
          </w:p>
        </w:tc>
      </w:tr>
      <w:tr w:rsidR="00EF74C7" w:rsidRPr="002A677E" w14:paraId="2A739349" w14:textId="77777777" w:rsidTr="00822842">
        <w:trPr>
          <w:trHeight w:val="2279"/>
        </w:trPr>
        <w:tc>
          <w:tcPr>
            <w:tcW w:w="1384" w:type="dxa"/>
          </w:tcPr>
          <w:p w14:paraId="69FD83B3" w14:textId="77777777" w:rsidR="00EF74C7" w:rsidRPr="002A677E" w:rsidRDefault="00EF74C7" w:rsidP="00822842">
            <w:pPr>
              <w:pStyle w:val="Applicationdirecte"/>
              <w:spacing w:before="0" w:after="0"/>
            </w:pPr>
            <w:r>
              <w:t xml:space="preserve">0060,0130, 0200,0240, 0280</w:t>
            </w:r>
          </w:p>
        </w:tc>
        <w:tc>
          <w:tcPr>
            <w:tcW w:w="7655" w:type="dxa"/>
          </w:tcPr>
          <w:p w14:paraId="3DB24763"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Raspoređivanje isključivo u jednu kategoriju</w:t>
            </w:r>
          </w:p>
          <w:p w14:paraId="7B69873D"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Članak 277. stavci 1. i 2. Uredbe (EU) br. 575/2013</w:t>
            </w:r>
          </w:p>
          <w:p w14:paraId="1A762D0B" w14:textId="77777777" w:rsidR="00EF74C7" w:rsidRPr="002A677E" w:rsidRDefault="00EF74C7" w:rsidP="00822842">
            <w:pPr>
              <w:pStyle w:val="TableMainHeading"/>
              <w:spacing w:before="60"/>
              <w:jc w:val="both"/>
              <w:rPr>
                <w:sz w:val="24"/>
                <w:szCs w:val="24"/>
                <w:rFonts w:ascii="Times New Roman" w:hAnsi="Times New Roman"/>
              </w:rPr>
            </w:pPr>
            <w:r>
              <w:rPr>
                <w:sz w:val="24"/>
                <w:rFonts w:ascii="Times New Roman" w:hAnsi="Times New Roman"/>
              </w:rPr>
              <w:t xml:space="preserve">Transakcije izvedenicama koje su raspoređene isključivo u jednu kategoriju rizika u skladu s člankom 277. stavcima 1. i 2. Uredbe (EU) br. 575/2013.</w:t>
            </w:r>
            <w:r>
              <w:rPr>
                <w:sz w:val="24"/>
                <w:rFonts w:ascii="Times New Roman" w:hAnsi="Times New Roman"/>
              </w:rPr>
              <w:t xml:space="preserve"> </w:t>
            </w:r>
          </w:p>
          <w:p w14:paraId="42AAB877" w14:textId="77777777" w:rsidR="00EF74C7" w:rsidRPr="002A677E" w:rsidRDefault="00EF74C7" w:rsidP="00822842">
            <w:pPr>
              <w:pStyle w:val="TableMainHeading"/>
              <w:spacing w:before="60"/>
              <w:jc w:val="both"/>
              <w:rPr>
                <w:sz w:val="24"/>
                <w:szCs w:val="24"/>
                <w:rFonts w:ascii="Times New Roman" w:hAnsi="Times New Roman"/>
              </w:rPr>
            </w:pPr>
            <w:r>
              <w:rPr>
                <w:sz w:val="24"/>
                <w:rFonts w:ascii="Times New Roman" w:hAnsi="Times New Roman"/>
              </w:rPr>
              <w:t xml:space="preserve">Transakcije koje su raspoređene u različite kategorije rizika u skladu s člankom 277. stavkom 3. Uredbe (EU) br. 575/2013 isključuju se.</w:t>
            </w:r>
          </w:p>
        </w:tc>
      </w:tr>
      <w:tr w:rsidR="00EF74C7" w:rsidRPr="002A677E" w14:paraId="17A6F38B" w14:textId="77777777" w:rsidTr="00822842">
        <w:trPr>
          <w:trHeight w:val="680"/>
        </w:trPr>
        <w:tc>
          <w:tcPr>
            <w:tcW w:w="1384" w:type="dxa"/>
          </w:tcPr>
          <w:p w14:paraId="2EE61A22" w14:textId="77777777" w:rsidR="00EF74C7" w:rsidRPr="002A677E" w:rsidRDefault="00EF74C7" w:rsidP="00822842">
            <w:pPr>
              <w:pStyle w:val="Applicationdirecte"/>
              <w:spacing w:before="0" w:after="0"/>
            </w:pPr>
            <w:r>
              <w:t xml:space="preserve">0210, 0250</w:t>
            </w:r>
            <w:r>
              <w:t xml:space="preserve"> </w:t>
            </w:r>
          </w:p>
        </w:tc>
        <w:tc>
          <w:tcPr>
            <w:tcW w:w="7655" w:type="dxa"/>
          </w:tcPr>
          <w:p w14:paraId="4C85502F" w14:textId="77777777" w:rsidR="00EF74C7" w:rsidRPr="00624117" w:rsidRDefault="00EF74C7" w:rsidP="00822842">
            <w:pPr>
              <w:pStyle w:val="TableMainHeading"/>
              <w:spacing w:before="60"/>
              <w:jc w:val="both"/>
              <w:rPr>
                <w:rStyle w:val="InstructionsTabelleberschrift"/>
                <w:sz w:val="24"/>
                <w:rFonts w:ascii="Times New Roman" w:hAnsi="Times New Roman"/>
              </w:rPr>
            </w:pPr>
            <w:r>
              <w:rPr>
                <w:rStyle w:val="InstructionsTabelleberschrift"/>
                <w:sz w:val="24"/>
                <w:rFonts w:ascii="Times New Roman" w:hAnsi="Times New Roman"/>
              </w:rPr>
              <w:t xml:space="preserve">Transakcije jednog subjekta</w:t>
            </w:r>
            <w:r>
              <w:rPr>
                <w:rStyle w:val="InstructionsTabelleberschrift"/>
                <w:sz w:val="24"/>
                <w:rFonts w:ascii="Times New Roman" w:hAnsi="Times New Roman"/>
              </w:rPr>
              <w:t xml:space="preserve"> </w:t>
            </w:r>
          </w:p>
          <w:p w14:paraId="31620001" w14:textId="77777777" w:rsidR="00EF74C7" w:rsidRPr="002A677E" w:rsidRDefault="00EF74C7" w:rsidP="00822842">
            <w:pPr>
              <w:pStyle w:val="TableMainHeading"/>
              <w:spacing w:before="60"/>
              <w:jc w:val="both"/>
              <w:rPr>
                <w:rStyle w:val="InstructionsTabelleberschrift"/>
                <w:sz w:val="24"/>
                <w:rFonts w:ascii="Times New Roman" w:hAnsi="Times New Roman"/>
              </w:rPr>
            </w:pPr>
            <w:r>
              <w:rPr>
                <w:sz w:val="24"/>
                <w:rFonts w:ascii="Times New Roman" w:hAnsi="Times New Roman"/>
              </w:rPr>
              <w:t xml:space="preserve">Transakcije jednog subjekta koje su raspoređene u kategoriju kreditnog rizika odnosno rizika vlasničkih instrumenata.</w:t>
            </w:r>
            <w:r>
              <w:rPr>
                <w:sz w:val="24"/>
                <w:rStyle w:val="InstructionsTabelleberschrift"/>
                <w:rFonts w:ascii="Times New Roman" w:hAnsi="Times New Roman"/>
              </w:rPr>
              <w:t xml:space="preserve"> </w:t>
            </w:r>
          </w:p>
        </w:tc>
      </w:tr>
      <w:tr w:rsidR="00EF74C7" w:rsidRPr="002A677E" w14:paraId="411237CA" w14:textId="77777777" w:rsidTr="00822842">
        <w:trPr>
          <w:trHeight w:val="680"/>
        </w:trPr>
        <w:tc>
          <w:tcPr>
            <w:tcW w:w="1384" w:type="dxa"/>
          </w:tcPr>
          <w:p w14:paraId="7AD9D26A" w14:textId="77777777" w:rsidR="00EF74C7" w:rsidRPr="002A677E" w:rsidRDefault="00EF74C7" w:rsidP="00822842">
            <w:pPr>
              <w:pStyle w:val="Applicationdirecte"/>
              <w:spacing w:before="0" w:after="0"/>
            </w:pPr>
            <w:r>
              <w:t xml:space="preserve">0220, 0260</w:t>
            </w:r>
          </w:p>
        </w:tc>
        <w:tc>
          <w:tcPr>
            <w:tcW w:w="7655" w:type="dxa"/>
          </w:tcPr>
          <w:p w14:paraId="116A322F"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Transakcije više subjekata</w:t>
            </w:r>
          </w:p>
          <w:p w14:paraId="3213EA59" w14:textId="77777777" w:rsidR="00EF74C7" w:rsidRPr="002A677E" w:rsidRDefault="00EF74C7" w:rsidP="00822842">
            <w:pPr>
              <w:keepNext/>
              <w:spacing w:before="60"/>
              <w:rPr>
                <w:rStyle w:val="InstructionsTabelleberschrift"/>
                <w:sz w:val="24"/>
                <w:rFonts w:ascii="Times New Roman" w:hAnsi="Times New Roman"/>
              </w:rPr>
            </w:pPr>
            <w:r>
              <w:rPr>
                <w:sz w:val="24"/>
                <w:rFonts w:ascii="Times New Roman" w:hAnsi="Times New Roman"/>
              </w:rPr>
              <w:t xml:space="preserve">Transakcije više subjekata koje su raspoređene u kategoriju kreditnog rizika odnosno rizika vlasničkih instrumenata.</w:t>
            </w:r>
            <w:r>
              <w:rPr>
                <w:sz w:val="24"/>
                <w:rFonts w:ascii="Times New Roman" w:hAnsi="Times New Roman"/>
              </w:rPr>
              <w:t xml:space="preserve"> </w:t>
            </w:r>
          </w:p>
        </w:tc>
      </w:tr>
      <w:tr w:rsidR="00EF74C7" w:rsidRPr="002A677E" w14:paraId="7EFE115E" w14:textId="77777777" w:rsidTr="00822842">
        <w:trPr>
          <w:trHeight w:val="680"/>
        </w:trPr>
        <w:tc>
          <w:tcPr>
            <w:tcW w:w="1384" w:type="dxa"/>
          </w:tcPr>
          <w:p w14:paraId="72F329F4" w14:textId="77777777" w:rsidR="00EF74C7" w:rsidRPr="002A677E" w:rsidRDefault="00EF74C7" w:rsidP="00822842">
            <w:pPr>
              <w:pStyle w:val="Applicationdirecte"/>
              <w:spacing w:before="0" w:after="0"/>
            </w:pPr>
            <w:r>
              <w:t xml:space="preserve">0290-0330</w:t>
            </w:r>
          </w:p>
        </w:tc>
        <w:tc>
          <w:tcPr>
            <w:tcW w:w="7655" w:type="dxa"/>
          </w:tcPr>
          <w:p w14:paraId="759D7338"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Skupovi za zaštitu kategorije robnog rizika</w:t>
            </w:r>
          </w:p>
          <w:p w14:paraId="345A15AB"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Transakcije izvedenicama raspoređene u skupove za zaštitu kategorije robnog rizika kako je navedeno u članku 277.a stavku 1. točki (e) Uredbe (EU) br. 575/2013.</w:t>
            </w:r>
          </w:p>
        </w:tc>
      </w:tr>
    </w:tbl>
    <w:p w14:paraId="73ED3197" w14:textId="77777777" w:rsidR="00EF74C7" w:rsidRPr="002A677E" w:rsidRDefault="00EF74C7" w:rsidP="00EF74C7">
      <w:pPr>
        <w:tabs>
          <w:tab w:val="left" w:pos="1430"/>
        </w:tabs>
        <w:rPr>
          <w:rFonts w:ascii="Times New Roman" w:hAnsi="Times New Roman"/>
        </w:rPr>
      </w:pPr>
    </w:p>
    <w:p w14:paraId="6D94642A" w14:textId="77777777" w:rsidR="00EF74C7" w:rsidRPr="002A677E" w:rsidRDefault="00EF74C7" w:rsidP="00EF74C7">
      <w:pPr>
        <w:pStyle w:val="Instructionsberschrift2"/>
        <w:numPr>
          <w:ilvl w:val="2"/>
          <w:numId w:val="29"/>
        </w:numPr>
        <w:rPr>
          <w:sz w:val="24"/>
          <w:rFonts w:ascii="Times New Roman" w:hAnsi="Times New Roman" w:cs="Times New Roman"/>
        </w:rPr>
      </w:pPr>
      <w:bookmarkStart w:id="34" w:name="_Toc19715812"/>
      <w:bookmarkStart w:id="35" w:name="_Toc151714452"/>
      <w:r>
        <w:rPr>
          <w:sz w:val="24"/>
          <w:rFonts w:ascii="Times New Roman" w:hAnsi="Times New Roman"/>
        </w:rPr>
        <w:t xml:space="preserve">C 34.04 – Izloženosti kreditnom riziku druge ugovorne strane na koje se primjenjuje metoda originalne izloženosti (OEM)</w:t>
      </w:r>
      <w:bookmarkEnd w:id="34"/>
      <w:bookmarkEnd w:id="35"/>
    </w:p>
    <w:p w14:paraId="70D39844" w14:textId="77777777" w:rsidR="00EF74C7" w:rsidRPr="002A677E" w:rsidRDefault="00EF74C7" w:rsidP="00EF74C7">
      <w:pPr>
        <w:pStyle w:val="Instructionsberschrift2"/>
        <w:numPr>
          <w:ilvl w:val="3"/>
          <w:numId w:val="29"/>
        </w:numPr>
        <w:rPr>
          <w:sz w:val="24"/>
          <w:rFonts w:ascii="Times New Roman" w:hAnsi="Times New Roman" w:cs="Times New Roman"/>
        </w:rPr>
      </w:pPr>
      <w:bookmarkStart w:id="36" w:name="_Toc19715813"/>
      <w:bookmarkStart w:id="37" w:name="_Toc151714453"/>
      <w:r>
        <w:rPr>
          <w:sz w:val="24"/>
          <w:rFonts w:ascii="Times New Roman" w:hAnsi="Times New Roman"/>
        </w:rPr>
        <w:t xml:space="preserve">Upute za specifične pozicije</w:t>
      </w:r>
      <w:bookmarkEnd w:id="36"/>
      <w:bookmarkEnd w:id="3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155C08F8" w14:textId="77777777" w:rsidTr="00822842">
        <w:trPr>
          <w:trHeight w:val="238"/>
        </w:trPr>
        <w:tc>
          <w:tcPr>
            <w:tcW w:w="9039" w:type="dxa"/>
            <w:gridSpan w:val="2"/>
            <w:shd w:val="clear" w:color="auto" w:fill="D9D9D9" w:themeFill="background1" w:themeFillShade="D9"/>
          </w:tcPr>
          <w:p w14:paraId="00855009" w14:textId="77777777" w:rsidR="00EF74C7" w:rsidRPr="002A677E" w:rsidRDefault="00EF74C7" w:rsidP="00822842">
            <w:pPr>
              <w:autoSpaceDE w:val="0"/>
              <w:autoSpaceDN w:val="0"/>
              <w:adjustRightInd w:val="0"/>
              <w:rPr>
                <w:b/>
                <w:sz w:val="24"/>
                <w:rFonts w:ascii="Times New Roman" w:hAnsi="Times New Roman"/>
              </w:rPr>
            </w:pPr>
            <w:r>
              <w:rPr>
                <w:b/>
                <w:sz w:val="24"/>
                <w:rFonts w:ascii="Times New Roman" w:hAnsi="Times New Roman"/>
              </w:rPr>
              <w:t xml:space="preserve">Stupci</w:t>
            </w:r>
          </w:p>
        </w:tc>
      </w:tr>
      <w:tr w:rsidR="00EF74C7" w:rsidRPr="002A677E" w14:paraId="77E289F2" w14:textId="77777777" w:rsidTr="00822842">
        <w:trPr>
          <w:trHeight w:val="680"/>
        </w:trPr>
        <w:tc>
          <w:tcPr>
            <w:tcW w:w="1384" w:type="dxa"/>
          </w:tcPr>
          <w:p w14:paraId="06D0BF35" w14:textId="77777777" w:rsidR="00EF74C7" w:rsidRPr="002A677E" w:rsidRDefault="00EF74C7" w:rsidP="00822842">
            <w:pPr>
              <w:pStyle w:val="Applicationdirecte"/>
              <w:spacing w:before="0" w:after="0"/>
            </w:pPr>
            <w:r>
              <w:t xml:space="preserve">0010-0020</w:t>
            </w:r>
          </w:p>
        </w:tc>
        <w:tc>
          <w:tcPr>
            <w:tcW w:w="7655" w:type="dxa"/>
            <w:vAlign w:val="center"/>
          </w:tcPr>
          <w:p w14:paraId="1143FA35"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Upute za stupce 0010 i 0020 upute su predviđene za obrazac C 34.02.</w:t>
            </w:r>
          </w:p>
        </w:tc>
      </w:tr>
      <w:tr w:rsidR="00EF74C7" w:rsidRPr="002A677E" w14:paraId="246DE35A" w14:textId="77777777" w:rsidTr="00822842">
        <w:trPr>
          <w:trHeight w:val="680"/>
        </w:trPr>
        <w:tc>
          <w:tcPr>
            <w:tcW w:w="1384" w:type="dxa"/>
          </w:tcPr>
          <w:p w14:paraId="48D3046F" w14:textId="77777777" w:rsidR="00EF74C7" w:rsidRPr="002A677E" w:rsidRDefault="00EF74C7" w:rsidP="00822842">
            <w:pPr>
              <w:pStyle w:val="Applicationdirecte"/>
              <w:spacing w:before="0" w:after="0"/>
              <w:jc w:val="left"/>
            </w:pPr>
            <w:r>
              <w:t xml:space="preserve">0030</w:t>
            </w:r>
          </w:p>
        </w:tc>
        <w:tc>
          <w:tcPr>
            <w:tcW w:w="7655" w:type="dxa"/>
            <w:vAlign w:val="center"/>
          </w:tcPr>
          <w:p w14:paraId="625DEDC4"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SADAŠNJA TRŽIŠNA VRIJEDNOST (CMV), POZITIVNA</w:t>
            </w:r>
          </w:p>
          <w:p w14:paraId="48775111"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Zbroj sadašnjih tržišnih vrijednosti (CMV) svih transakcija s pozitivnim CMV-om u odgovarajućoj kategoriji rizika.</w:t>
            </w:r>
          </w:p>
        </w:tc>
      </w:tr>
      <w:tr w:rsidR="00EF74C7" w:rsidRPr="002A677E" w14:paraId="755B978D" w14:textId="77777777" w:rsidTr="00822842">
        <w:trPr>
          <w:trHeight w:val="680"/>
        </w:trPr>
        <w:tc>
          <w:tcPr>
            <w:tcW w:w="1384" w:type="dxa"/>
          </w:tcPr>
          <w:p w14:paraId="26B7B5EF" w14:textId="77777777" w:rsidR="00EF74C7" w:rsidRPr="002A677E" w:rsidRDefault="00EF74C7" w:rsidP="00822842">
            <w:pPr>
              <w:pStyle w:val="Applicationdirecte"/>
              <w:spacing w:before="0" w:after="0"/>
              <w:jc w:val="left"/>
            </w:pPr>
            <w:r>
              <w:t xml:space="preserve">0040</w:t>
            </w:r>
          </w:p>
        </w:tc>
        <w:tc>
          <w:tcPr>
            <w:tcW w:w="7655" w:type="dxa"/>
            <w:vAlign w:val="center"/>
          </w:tcPr>
          <w:p w14:paraId="70CB5B2D"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SADAŠNJA TRŽIŠNA VRIJEDNOST (CMV), NEGATIVNA</w:t>
            </w:r>
          </w:p>
          <w:p w14:paraId="4475C6E2" w14:textId="77777777" w:rsidR="00EF74C7" w:rsidRPr="002A677E" w:rsidRDefault="00EF74C7" w:rsidP="00822842">
            <w:pPr>
              <w:keepNext/>
              <w:spacing w:before="60"/>
              <w:rPr>
                <w:rStyle w:val="InstructionsTabelleberschrift"/>
                <w:b w:val="0"/>
                <w:bCs w:val="0"/>
                <w:sz w:val="24"/>
                <w:u w:val="none"/>
                <w:rFonts w:ascii="Times New Roman" w:hAnsi="Times New Roman"/>
              </w:rPr>
            </w:pPr>
            <w:r>
              <w:rPr>
                <w:sz w:val="24"/>
                <w:rFonts w:ascii="Times New Roman" w:hAnsi="Times New Roman"/>
              </w:rPr>
              <w:t xml:space="preserve">Zbroj apsolutnih sadašnjih tržišnih vrijednosti (CMV) svih transakcija s negativnim CMV-om u odgovarajućoj kategoriji rizika.</w:t>
            </w:r>
          </w:p>
        </w:tc>
      </w:tr>
      <w:tr w:rsidR="00EF74C7" w:rsidRPr="002A677E" w14:paraId="02760C8A" w14:textId="77777777" w:rsidTr="00822842">
        <w:trPr>
          <w:trHeight w:val="680"/>
        </w:trPr>
        <w:tc>
          <w:tcPr>
            <w:tcW w:w="1384" w:type="dxa"/>
          </w:tcPr>
          <w:p w14:paraId="55D1F90D" w14:textId="77777777" w:rsidR="00EF74C7" w:rsidRPr="002A677E" w:rsidRDefault="00EF74C7" w:rsidP="00822842">
            <w:pPr>
              <w:pStyle w:val="Applicationdirecte"/>
              <w:spacing w:before="0" w:after="0"/>
              <w:jc w:val="left"/>
            </w:pPr>
            <w:r>
              <w:t xml:space="preserve">0050</w:t>
            </w:r>
          </w:p>
        </w:tc>
        <w:tc>
          <w:tcPr>
            <w:tcW w:w="7655" w:type="dxa"/>
            <w:vAlign w:val="center"/>
          </w:tcPr>
          <w:p w14:paraId="734C593C"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POTENCIJALNA BUDUĆA IZLOŽENOST (PFE)</w:t>
            </w:r>
          </w:p>
          <w:p w14:paraId="53085A1E" w14:textId="77777777" w:rsidR="00EF74C7" w:rsidRPr="002A677E" w:rsidRDefault="00EF74C7" w:rsidP="00822842">
            <w:pPr>
              <w:keepNext/>
              <w:spacing w:before="60"/>
              <w:rPr>
                <w:rStyle w:val="InstructionsTabelleberschrift"/>
                <w:sz w:val="24"/>
                <w:rFonts w:ascii="Times New Roman" w:hAnsi="Times New Roman"/>
              </w:rPr>
            </w:pPr>
            <w:r>
              <w:rPr>
                <w:sz w:val="24"/>
                <w:rFonts w:ascii="Times New Roman" w:hAnsi="Times New Roman"/>
              </w:rPr>
              <w:t xml:space="preserve">Institucija iskazuje zbroj potencijalnih budućih izloženosti za sve transakcije koje pripadaju u istu kategoriju rizika.</w:t>
            </w:r>
          </w:p>
        </w:tc>
      </w:tr>
      <w:tr w:rsidR="00EF74C7" w:rsidRPr="002A677E" w14:paraId="750D71A5" w14:textId="77777777" w:rsidTr="00822842">
        <w:trPr>
          <w:trHeight w:val="238"/>
        </w:trPr>
        <w:tc>
          <w:tcPr>
            <w:tcW w:w="9039" w:type="dxa"/>
            <w:gridSpan w:val="2"/>
            <w:tcBorders>
              <w:right w:val="single" w:sz="4" w:space="0" w:color="auto"/>
            </w:tcBorders>
            <w:shd w:val="clear" w:color="auto" w:fill="D9D9D9" w:themeFill="background1" w:themeFillShade="D9"/>
          </w:tcPr>
          <w:p w14:paraId="05CBC33B" w14:textId="77777777" w:rsidR="00EF74C7" w:rsidRPr="002A677E" w:rsidRDefault="00EF74C7" w:rsidP="00822842">
            <w:pPr>
              <w:autoSpaceDE w:val="0"/>
              <w:autoSpaceDN w:val="0"/>
              <w:adjustRightInd w:val="0"/>
              <w:rPr>
                <w:b/>
                <w:sz w:val="24"/>
                <w:rFonts w:ascii="Times New Roman" w:hAnsi="Times New Roman"/>
              </w:rPr>
            </w:pPr>
            <w:r>
              <w:rPr>
                <w:b/>
                <w:sz w:val="24"/>
                <w:rFonts w:ascii="Times New Roman" w:hAnsi="Times New Roman"/>
              </w:rPr>
              <w:t xml:space="preserve">Redci</w:t>
            </w:r>
          </w:p>
        </w:tc>
      </w:tr>
      <w:tr w:rsidR="00EF74C7" w:rsidRPr="002A677E" w14:paraId="753D4ED0" w14:textId="77777777" w:rsidTr="00822842">
        <w:trPr>
          <w:trHeight w:val="680"/>
        </w:trPr>
        <w:tc>
          <w:tcPr>
            <w:tcW w:w="1384" w:type="dxa"/>
          </w:tcPr>
          <w:p w14:paraId="1FCDB527" w14:textId="77777777" w:rsidR="00EF74C7" w:rsidRPr="002A677E" w:rsidRDefault="00EF74C7" w:rsidP="00822842">
            <w:pPr>
              <w:pStyle w:val="Applicationdirecte"/>
              <w:spacing w:before="0" w:after="0"/>
            </w:pPr>
            <w:r>
              <w:t xml:space="preserve">0020-0070</w:t>
            </w:r>
          </w:p>
        </w:tc>
        <w:tc>
          <w:tcPr>
            <w:tcW w:w="7655" w:type="dxa"/>
            <w:vAlign w:val="center"/>
          </w:tcPr>
          <w:p w14:paraId="31AB6B37"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KATEGORIJE RIZIKA</w:t>
            </w:r>
          </w:p>
          <w:p w14:paraId="183CF2DA"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Transakcije izvedenicama raspoređene u kategorije rizika navedene u članku 282. stavku 4. točki (b) Uredbe (EU) br. 575/2013.</w:t>
            </w:r>
          </w:p>
        </w:tc>
      </w:tr>
    </w:tbl>
    <w:p w14:paraId="4C05758D" w14:textId="77777777" w:rsidR="00EF74C7" w:rsidRPr="002A677E" w:rsidRDefault="00EF74C7" w:rsidP="00EF74C7">
      <w:pPr>
        <w:tabs>
          <w:tab w:val="left" w:pos="1430"/>
        </w:tabs>
        <w:rPr>
          <w:rFonts w:ascii="Times New Roman" w:hAnsi="Times New Roman"/>
        </w:rPr>
      </w:pPr>
    </w:p>
    <w:p w14:paraId="087B82F5" w14:textId="77777777" w:rsidR="00EF74C7" w:rsidRPr="002A677E" w:rsidRDefault="00EF74C7" w:rsidP="00EF74C7">
      <w:pPr>
        <w:pStyle w:val="Instructionsberschrift2"/>
        <w:numPr>
          <w:ilvl w:val="2"/>
          <w:numId w:val="29"/>
        </w:numPr>
        <w:rPr>
          <w:sz w:val="24"/>
          <w:rFonts w:ascii="Times New Roman" w:hAnsi="Times New Roman" w:cs="Times New Roman"/>
        </w:rPr>
      </w:pPr>
      <w:bookmarkStart w:id="38" w:name="_Toc19715814"/>
      <w:bookmarkStart w:id="39" w:name="_Toc151714454"/>
      <w:r>
        <w:rPr>
          <w:sz w:val="24"/>
          <w:rFonts w:ascii="Times New Roman" w:hAnsi="Times New Roman"/>
        </w:rPr>
        <w:t xml:space="preserve">C 34.05 – Izloženosti kreditnom riziku druge ugovorne strane na koje se primjenjuje metoda internog modela (IMM)</w:t>
      </w:r>
      <w:bookmarkEnd w:id="38"/>
      <w:bookmarkEnd w:id="39"/>
    </w:p>
    <w:p w14:paraId="055BB797" w14:textId="77777777" w:rsidR="00EF74C7" w:rsidRPr="002A677E" w:rsidRDefault="00EF74C7" w:rsidP="00EF74C7">
      <w:pPr>
        <w:pStyle w:val="Instructionsberschrift2"/>
        <w:numPr>
          <w:ilvl w:val="3"/>
          <w:numId w:val="29"/>
        </w:numPr>
        <w:rPr>
          <w:sz w:val="24"/>
          <w:rFonts w:ascii="Times New Roman" w:hAnsi="Times New Roman" w:cs="Times New Roman"/>
        </w:rPr>
      </w:pPr>
      <w:bookmarkStart w:id="40" w:name="_Toc19715815"/>
      <w:bookmarkStart w:id="41" w:name="_Toc151714455"/>
      <w:r>
        <w:rPr>
          <w:sz w:val="24"/>
          <w:rFonts w:ascii="Times New Roman" w:hAnsi="Times New Roman"/>
        </w:rPr>
        <w:t xml:space="preserve">Upute za specifične pozicije</w:t>
      </w:r>
      <w:bookmarkEnd w:id="40"/>
      <w:bookmarkEnd w:id="4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2A1FFA92" w14:textId="77777777" w:rsidTr="00822842">
        <w:trPr>
          <w:trHeight w:val="238"/>
        </w:trPr>
        <w:tc>
          <w:tcPr>
            <w:tcW w:w="9039" w:type="dxa"/>
            <w:gridSpan w:val="2"/>
            <w:shd w:val="clear" w:color="auto" w:fill="D9D9D9" w:themeFill="background1" w:themeFillShade="D9"/>
          </w:tcPr>
          <w:p w14:paraId="2A9ED361" w14:textId="77777777" w:rsidR="00EF74C7" w:rsidRPr="002A677E" w:rsidRDefault="00EF74C7" w:rsidP="00822842">
            <w:pPr>
              <w:autoSpaceDE w:val="0"/>
              <w:autoSpaceDN w:val="0"/>
              <w:adjustRightInd w:val="0"/>
              <w:rPr>
                <w:b/>
                <w:sz w:val="24"/>
                <w:rFonts w:ascii="Times New Roman" w:hAnsi="Times New Roman"/>
              </w:rPr>
            </w:pPr>
            <w:r>
              <w:rPr>
                <w:b/>
                <w:sz w:val="24"/>
                <w:rFonts w:ascii="Times New Roman" w:hAnsi="Times New Roman"/>
              </w:rPr>
              <w:t xml:space="preserve">Stupci</w:t>
            </w:r>
          </w:p>
        </w:tc>
      </w:tr>
      <w:tr w:rsidR="00EF74C7" w:rsidRPr="002A677E" w14:paraId="38FC6FA5" w14:textId="77777777" w:rsidTr="00822842">
        <w:trPr>
          <w:trHeight w:val="680"/>
        </w:trPr>
        <w:tc>
          <w:tcPr>
            <w:tcW w:w="1384" w:type="dxa"/>
          </w:tcPr>
          <w:p w14:paraId="27DC6DB6" w14:textId="77777777" w:rsidR="00EF74C7" w:rsidRPr="002A677E" w:rsidRDefault="00EF74C7" w:rsidP="00822842">
            <w:pPr>
              <w:pStyle w:val="Applicationdirecte"/>
              <w:spacing w:before="0" w:after="0"/>
            </w:pPr>
            <w:r>
              <w:t xml:space="preserve">00010-0080</w:t>
            </w:r>
          </w:p>
        </w:tc>
        <w:tc>
          <w:tcPr>
            <w:tcW w:w="7655" w:type="dxa"/>
            <w:vAlign w:val="center"/>
          </w:tcPr>
          <w:p w14:paraId="4E699B36" w14:textId="77777777" w:rsidR="00EF74C7" w:rsidRPr="002A677E" w:rsidRDefault="00EF74C7" w:rsidP="00822842">
            <w:pPr>
              <w:keepNext/>
              <w:spacing w:before="60"/>
              <w:rPr>
                <w:strike/>
                <w:sz w:val="24"/>
                <w:rFonts w:ascii="Times New Roman" w:hAnsi="Times New Roman"/>
              </w:rPr>
            </w:pPr>
            <w:r>
              <w:rPr>
                <w:rStyle w:val="InstructionsTabelleberschrift"/>
                <w:sz w:val="24"/>
                <w:rFonts w:ascii="Times New Roman" w:hAnsi="Times New Roman"/>
              </w:rPr>
              <w:t xml:space="preserve">S MARŽOM</w:t>
            </w:r>
            <w:r>
              <w:rPr>
                <w:rStyle w:val="InstructionsTabelleberschrift"/>
                <w:sz w:val="24"/>
                <w:rFonts w:ascii="Times New Roman" w:hAnsi="Times New Roman"/>
              </w:rPr>
              <w:t xml:space="preserve"> </w:t>
            </w:r>
          </w:p>
          <w:p w14:paraId="44743405" w14:textId="77777777" w:rsidR="00EF74C7" w:rsidRPr="002A677E" w:rsidRDefault="00EF74C7" w:rsidP="00822842">
            <w:pPr>
              <w:keepNext/>
              <w:spacing w:before="60"/>
              <w:rPr>
                <w:strike/>
                <w:sz w:val="24"/>
                <w:rFonts w:ascii="Times New Roman" w:hAnsi="Times New Roman"/>
              </w:rPr>
            </w:pPr>
            <w:r>
              <w:rPr>
                <w:sz w:val="24"/>
                <w:rFonts w:ascii="Times New Roman" w:hAnsi="Times New Roman"/>
              </w:rPr>
              <w:t xml:space="preserve">Vidjeti upute za redak 0130 u obrascu C 34.02.</w:t>
            </w:r>
          </w:p>
        </w:tc>
      </w:tr>
      <w:tr w:rsidR="00EF74C7" w:rsidRPr="002A677E" w14:paraId="2E882AEE" w14:textId="77777777" w:rsidTr="00822842">
        <w:trPr>
          <w:trHeight w:val="680"/>
        </w:trPr>
        <w:tc>
          <w:tcPr>
            <w:tcW w:w="1384" w:type="dxa"/>
          </w:tcPr>
          <w:p w14:paraId="4753DFE3" w14:textId="77777777" w:rsidR="00EF74C7" w:rsidRPr="002A677E" w:rsidRDefault="00EF74C7" w:rsidP="00822842">
            <w:pPr>
              <w:pStyle w:val="Applicationdirecte"/>
              <w:spacing w:before="0" w:after="0"/>
            </w:pPr>
            <w:r>
              <w:t xml:space="preserve">0090-0160</w:t>
            </w:r>
          </w:p>
        </w:tc>
        <w:tc>
          <w:tcPr>
            <w:tcW w:w="7655" w:type="dxa"/>
            <w:vAlign w:val="center"/>
          </w:tcPr>
          <w:p w14:paraId="77C0E439" w14:textId="77777777" w:rsidR="00EF74C7" w:rsidRPr="002A677E" w:rsidRDefault="00EF74C7" w:rsidP="00822842">
            <w:pPr>
              <w:keepNext/>
              <w:spacing w:before="60"/>
              <w:rPr>
                <w:rStyle w:val="InstructionsTabelleberschrift"/>
                <w:b w:val="0"/>
                <w:bCs w:val="0"/>
                <w:sz w:val="24"/>
                <w:rFonts w:ascii="Times New Roman" w:hAnsi="Times New Roman"/>
              </w:rPr>
            </w:pPr>
            <w:r>
              <w:rPr>
                <w:rStyle w:val="InstructionsTabelleberschrift"/>
                <w:sz w:val="24"/>
                <w:rFonts w:ascii="Times New Roman" w:hAnsi="Times New Roman"/>
              </w:rPr>
              <w:t xml:space="preserve">BEZ MARŽE</w:t>
            </w:r>
            <w:r>
              <w:rPr>
                <w:rStyle w:val="InstructionsTabelleberschrift"/>
                <w:sz w:val="24"/>
                <w:rFonts w:ascii="Times New Roman" w:hAnsi="Times New Roman"/>
              </w:rPr>
              <w:t xml:space="preserve"> </w:t>
            </w:r>
          </w:p>
          <w:p w14:paraId="3E0059F7" w14:textId="77777777" w:rsidR="00EF74C7" w:rsidRPr="002A677E" w:rsidRDefault="00EF74C7" w:rsidP="00822842">
            <w:pPr>
              <w:keepNext/>
              <w:spacing w:before="60"/>
              <w:rPr>
                <w:strike/>
                <w:sz w:val="24"/>
                <w:rFonts w:ascii="Times New Roman" w:hAnsi="Times New Roman"/>
              </w:rPr>
            </w:pPr>
            <w:r>
              <w:rPr>
                <w:sz w:val="24"/>
                <w:rFonts w:ascii="Times New Roman" w:hAnsi="Times New Roman"/>
              </w:rPr>
              <w:t xml:space="preserve">Vidjeti upute za redak 0140 u obrascu C 34.02.</w:t>
            </w:r>
          </w:p>
        </w:tc>
      </w:tr>
      <w:tr w:rsidR="00EF74C7" w:rsidRPr="002A677E" w14:paraId="11088642" w14:textId="77777777" w:rsidTr="00822842">
        <w:trPr>
          <w:trHeight w:val="680"/>
        </w:trPr>
        <w:tc>
          <w:tcPr>
            <w:tcW w:w="1384" w:type="dxa"/>
          </w:tcPr>
          <w:p w14:paraId="38E3A9E7" w14:textId="77777777" w:rsidR="00EF74C7" w:rsidRPr="002A677E" w:rsidRDefault="00EF74C7" w:rsidP="00822842">
            <w:pPr>
              <w:pStyle w:val="Applicationdirecte"/>
              <w:spacing w:before="0" w:after="0"/>
              <w:jc w:val="left"/>
            </w:pPr>
            <w:r>
              <w:t xml:space="preserve">0010,0090</w:t>
            </w:r>
          </w:p>
        </w:tc>
        <w:tc>
          <w:tcPr>
            <w:tcW w:w="7655" w:type="dxa"/>
            <w:vAlign w:val="center"/>
          </w:tcPr>
          <w:p w14:paraId="10F9DAAA"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BROJ TRANSAKCIJA</w:t>
            </w:r>
            <w:r>
              <w:rPr>
                <w:rStyle w:val="InstructionsTabelleberschrift"/>
                <w:sz w:val="24"/>
                <w:rFonts w:ascii="Times New Roman" w:hAnsi="Times New Roman"/>
              </w:rPr>
              <w:t xml:space="preserve"> </w:t>
            </w:r>
          </w:p>
          <w:p w14:paraId="5C4653C5" w14:textId="77777777" w:rsidR="00EF74C7" w:rsidRPr="002A677E" w:rsidRDefault="00EF74C7" w:rsidP="00822842">
            <w:pPr>
              <w:keepNext/>
              <w:spacing w:before="60"/>
              <w:rPr>
                <w:strike/>
                <w:sz w:val="24"/>
                <w:rFonts w:ascii="Times New Roman" w:hAnsi="Times New Roman"/>
              </w:rPr>
            </w:pPr>
            <w:r>
              <w:rPr>
                <w:sz w:val="24"/>
                <w:rFonts w:ascii="Times New Roman" w:hAnsi="Times New Roman"/>
              </w:rPr>
              <w:t xml:space="preserve">Vidjeti upute za stupac 0020 u obrascu C 34.02.</w:t>
            </w:r>
          </w:p>
        </w:tc>
      </w:tr>
      <w:tr w:rsidR="00EF74C7" w:rsidRPr="002A677E" w14:paraId="2A1C3305" w14:textId="77777777" w:rsidTr="00822842">
        <w:trPr>
          <w:trHeight w:val="680"/>
        </w:trPr>
        <w:tc>
          <w:tcPr>
            <w:tcW w:w="1384" w:type="dxa"/>
          </w:tcPr>
          <w:p w14:paraId="0F1355B7" w14:textId="77777777" w:rsidR="00EF74C7" w:rsidRPr="002A677E" w:rsidRDefault="00EF74C7" w:rsidP="00822842">
            <w:pPr>
              <w:pStyle w:val="Applicationdirecte"/>
              <w:spacing w:before="0" w:after="0"/>
              <w:jc w:val="left"/>
            </w:pPr>
            <w:r>
              <w:t xml:space="preserve">0020,0100</w:t>
            </w:r>
          </w:p>
        </w:tc>
        <w:tc>
          <w:tcPr>
            <w:tcW w:w="7655" w:type="dxa"/>
            <w:vAlign w:val="center"/>
          </w:tcPr>
          <w:p w14:paraId="73CC08BF" w14:textId="77777777" w:rsidR="00EF74C7" w:rsidRPr="002A677E" w:rsidRDefault="00EF74C7" w:rsidP="00822842">
            <w:pPr>
              <w:keepNext/>
              <w:spacing w:before="60"/>
              <w:rPr>
                <w:rStyle w:val="InstructionsTabelleberschrift"/>
                <w:b w:val="0"/>
                <w:bCs w:val="0"/>
                <w:sz w:val="24"/>
                <w:rFonts w:ascii="Times New Roman" w:hAnsi="Times New Roman"/>
              </w:rPr>
            </w:pPr>
            <w:r>
              <w:rPr>
                <w:rStyle w:val="InstructionsTabelleberschrift"/>
                <w:sz w:val="24"/>
                <w:rFonts w:ascii="Times New Roman" w:hAnsi="Times New Roman"/>
              </w:rPr>
              <w:t xml:space="preserve">ZAMIŠLJENI IZNOSI</w:t>
            </w:r>
            <w:r>
              <w:rPr>
                <w:rStyle w:val="InstructionsTabelleberschrift"/>
                <w:sz w:val="24"/>
                <w:rFonts w:ascii="Times New Roman" w:hAnsi="Times New Roman"/>
              </w:rPr>
              <w:t xml:space="preserve"> </w:t>
            </w:r>
          </w:p>
          <w:p w14:paraId="75787B39" w14:textId="77777777" w:rsidR="00EF74C7" w:rsidRPr="002A677E" w:rsidRDefault="00EF74C7" w:rsidP="00822842">
            <w:pPr>
              <w:keepNext/>
              <w:spacing w:before="60"/>
              <w:rPr>
                <w:i/>
                <w:strike/>
                <w:sz w:val="24"/>
                <w:rFonts w:ascii="Times New Roman" w:hAnsi="Times New Roman"/>
              </w:rPr>
            </w:pPr>
            <w:r>
              <w:rPr>
                <w:sz w:val="24"/>
                <w:rFonts w:ascii="Times New Roman" w:hAnsi="Times New Roman"/>
              </w:rPr>
              <w:t xml:space="preserve">Vidjeti upute za stupac 0030 u obrascu C 34.02.</w:t>
            </w:r>
          </w:p>
        </w:tc>
      </w:tr>
      <w:tr w:rsidR="00EF74C7" w:rsidRPr="002A677E" w14:paraId="07CB3F2E" w14:textId="77777777" w:rsidTr="00822842">
        <w:trPr>
          <w:trHeight w:val="680"/>
        </w:trPr>
        <w:tc>
          <w:tcPr>
            <w:tcW w:w="1384" w:type="dxa"/>
          </w:tcPr>
          <w:p w14:paraId="16DDFD4B" w14:textId="77777777" w:rsidR="00EF74C7" w:rsidRPr="002A677E" w:rsidRDefault="00EF74C7" w:rsidP="00822842">
            <w:pPr>
              <w:pStyle w:val="Applicationdirecte"/>
              <w:spacing w:before="0" w:after="0"/>
              <w:jc w:val="left"/>
            </w:pPr>
            <w:r>
              <w:t xml:space="preserve">0030,0110</w:t>
            </w:r>
          </w:p>
        </w:tc>
        <w:tc>
          <w:tcPr>
            <w:tcW w:w="7655" w:type="dxa"/>
            <w:vAlign w:val="center"/>
          </w:tcPr>
          <w:p w14:paraId="5D4ADBBE"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SADAŠNJA TRŽIŠNA VRIJEDNOST (CMV), POZITIVNA</w:t>
            </w:r>
          </w:p>
          <w:p w14:paraId="1BDCFC64"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Zbroj sadašnjih tržišnih vrijednosti (CMV) svih transakcija s pozitivnim CMV-om koje pripadaju istoj kategoriji imovine.</w:t>
            </w:r>
          </w:p>
        </w:tc>
      </w:tr>
      <w:tr w:rsidR="00EF74C7" w:rsidRPr="002A677E" w14:paraId="1D55DF7C" w14:textId="77777777" w:rsidTr="00822842">
        <w:trPr>
          <w:trHeight w:val="680"/>
        </w:trPr>
        <w:tc>
          <w:tcPr>
            <w:tcW w:w="1384" w:type="dxa"/>
          </w:tcPr>
          <w:p w14:paraId="1B4379B1" w14:textId="77777777" w:rsidR="00EF74C7" w:rsidRPr="002A677E" w:rsidRDefault="00EF74C7" w:rsidP="00822842">
            <w:pPr>
              <w:pStyle w:val="Applicationdirecte"/>
              <w:spacing w:before="0" w:after="0"/>
              <w:jc w:val="left"/>
            </w:pPr>
            <w:r>
              <w:t xml:space="preserve">0040,0120</w:t>
            </w:r>
          </w:p>
        </w:tc>
        <w:tc>
          <w:tcPr>
            <w:tcW w:w="7655" w:type="dxa"/>
            <w:vAlign w:val="center"/>
          </w:tcPr>
          <w:p w14:paraId="06A034B3"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SADAŠNJA TRŽIŠNA VRIJEDNOST (CMV), NEGATIVNA</w:t>
            </w:r>
          </w:p>
          <w:p w14:paraId="4B126FBF" w14:textId="77777777" w:rsidR="00EF74C7" w:rsidRPr="002A677E" w:rsidRDefault="00EF74C7" w:rsidP="00822842">
            <w:pPr>
              <w:keepNext/>
              <w:spacing w:before="60"/>
              <w:rPr>
                <w:rStyle w:val="InstructionsTabelleberschrift"/>
                <w:sz w:val="24"/>
                <w:rFonts w:ascii="Times New Roman" w:hAnsi="Times New Roman"/>
              </w:rPr>
            </w:pPr>
            <w:r>
              <w:rPr>
                <w:sz w:val="24"/>
                <w:rFonts w:ascii="Times New Roman" w:hAnsi="Times New Roman"/>
              </w:rPr>
              <w:t xml:space="preserve">Zbroj apsolutnih sadašnjih tržišnih vrijednosti (CMV) svih transakcija s negativnim CMV-om koje pripadaju istoj kategoriji imovine.</w:t>
            </w:r>
          </w:p>
        </w:tc>
      </w:tr>
      <w:tr w:rsidR="00EF74C7" w:rsidRPr="002A677E" w14:paraId="5443ACE2" w14:textId="77777777" w:rsidTr="00822842">
        <w:trPr>
          <w:trHeight w:val="680"/>
        </w:trPr>
        <w:tc>
          <w:tcPr>
            <w:tcW w:w="1384" w:type="dxa"/>
          </w:tcPr>
          <w:p w14:paraId="026B5D82" w14:textId="77777777" w:rsidR="00EF74C7" w:rsidRPr="002A677E" w:rsidRDefault="00EF74C7" w:rsidP="00822842">
            <w:pPr>
              <w:pStyle w:val="Applicationdirecte"/>
              <w:spacing w:before="0" w:after="0"/>
              <w:jc w:val="left"/>
            </w:pPr>
            <w:r>
              <w:t xml:space="preserve">0050,0130</w:t>
            </w:r>
          </w:p>
        </w:tc>
        <w:tc>
          <w:tcPr>
            <w:tcW w:w="7655" w:type="dxa"/>
            <w:vAlign w:val="center"/>
          </w:tcPr>
          <w:p w14:paraId="6BEF0650"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SADAŠNJA IZLOŽENOST</w:t>
            </w:r>
          </w:p>
          <w:p w14:paraId="4BD20CD9" w14:textId="77777777" w:rsidR="00EF74C7" w:rsidRPr="002A677E" w:rsidRDefault="00EF74C7" w:rsidP="00822842">
            <w:pPr>
              <w:keepNext/>
              <w:spacing w:before="60"/>
              <w:rPr>
                <w:strike/>
                <w:sz w:val="24"/>
                <w:rFonts w:ascii="Times New Roman" w:hAnsi="Times New Roman"/>
              </w:rPr>
            </w:pPr>
            <w:r>
              <w:rPr>
                <w:sz w:val="24"/>
                <w:rFonts w:ascii="Times New Roman" w:hAnsi="Times New Roman"/>
              </w:rPr>
              <w:t xml:space="preserve">Vidjeti upute za stupac 0120 u obrascu C 34.02.</w:t>
            </w:r>
          </w:p>
        </w:tc>
      </w:tr>
      <w:tr w:rsidR="00EF74C7" w:rsidRPr="002A677E" w14:paraId="33A01D3A" w14:textId="77777777" w:rsidTr="00822842">
        <w:trPr>
          <w:trHeight w:val="680"/>
        </w:trPr>
        <w:tc>
          <w:tcPr>
            <w:tcW w:w="1384" w:type="dxa"/>
          </w:tcPr>
          <w:p w14:paraId="434C41F4" w14:textId="77777777" w:rsidR="00EF74C7" w:rsidRPr="002A677E" w:rsidRDefault="00EF74C7" w:rsidP="00822842">
            <w:pPr>
              <w:pStyle w:val="Applicationdirecte"/>
              <w:spacing w:before="0" w:after="0"/>
              <w:jc w:val="left"/>
            </w:pPr>
            <w:r>
              <w:t xml:space="preserve">0060,0140</w:t>
            </w:r>
          </w:p>
        </w:tc>
        <w:tc>
          <w:tcPr>
            <w:tcW w:w="7655" w:type="dxa"/>
            <w:vAlign w:val="center"/>
          </w:tcPr>
          <w:p w14:paraId="5F8AFE09"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EFEKTIVNA OČEKIVANA POZITIVNA IZLOŽENOST (EEPE)</w:t>
            </w:r>
          </w:p>
          <w:p w14:paraId="72409BA6" w14:textId="77777777" w:rsidR="00EF74C7" w:rsidRPr="002A677E" w:rsidRDefault="00EF74C7" w:rsidP="00822842">
            <w:pPr>
              <w:pStyle w:val="Default"/>
              <w:spacing w:after="120"/>
              <w:jc w:val="both"/>
              <w:rPr>
                <w:strike/>
                <w:color w:val="auto"/>
                <w:rFonts w:ascii="Times New Roman" w:hAnsi="Times New Roman" w:cs="Times New Roman"/>
              </w:rPr>
            </w:pPr>
            <w:r>
              <w:rPr>
                <w:color w:val="auto"/>
                <w:rFonts w:ascii="Times New Roman" w:hAnsi="Times New Roman"/>
              </w:rPr>
              <w:t xml:space="preserve">Vidjeti upute za stupac 0130 u obrascu C 34.02.</w:t>
            </w:r>
          </w:p>
        </w:tc>
      </w:tr>
      <w:tr w:rsidR="00EF74C7" w:rsidRPr="002A677E" w14:paraId="1D10918D" w14:textId="77777777" w:rsidTr="00822842">
        <w:trPr>
          <w:trHeight w:val="680"/>
        </w:trPr>
        <w:tc>
          <w:tcPr>
            <w:tcW w:w="1384" w:type="dxa"/>
          </w:tcPr>
          <w:p w14:paraId="208DFF88" w14:textId="77777777" w:rsidR="00EF74C7" w:rsidRPr="002A677E" w:rsidRDefault="00EF74C7" w:rsidP="00822842">
            <w:pPr>
              <w:pStyle w:val="Applicationdirecte"/>
              <w:spacing w:before="0" w:after="0"/>
              <w:jc w:val="left"/>
            </w:pPr>
            <w:r>
              <w:t xml:space="preserve">0070,0150</w:t>
            </w:r>
          </w:p>
        </w:tc>
        <w:tc>
          <w:tcPr>
            <w:tcW w:w="7655" w:type="dxa"/>
            <w:vAlign w:val="center"/>
          </w:tcPr>
          <w:p w14:paraId="0290C67F"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EEPE U STRESNIM UVJETIMA</w:t>
            </w:r>
          </w:p>
          <w:p w14:paraId="071BB18F"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Članak 284. stavak 6.i članak 292. stavak 2. Uredbe (EU) br. 575/2013</w:t>
            </w:r>
          </w:p>
          <w:p w14:paraId="4C777000"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EEPE u stresnim uvjetima izračunava se analogijom s EEPE-om (članak 284. stavak 6. Uredbe (EU) br. 575/2013), ali kalibracijom stresa u skladu s članom 292. stavkom 2. Uredbe (EU) br. 575/2013.</w:t>
            </w:r>
          </w:p>
        </w:tc>
      </w:tr>
      <w:tr w:rsidR="00EF74C7" w:rsidRPr="002A677E" w14:paraId="2950463C" w14:textId="77777777" w:rsidTr="00822842">
        <w:trPr>
          <w:trHeight w:val="680"/>
        </w:trPr>
        <w:tc>
          <w:tcPr>
            <w:tcW w:w="1384" w:type="dxa"/>
          </w:tcPr>
          <w:p w14:paraId="1FAC8572" w14:textId="77777777" w:rsidR="00EF74C7" w:rsidRPr="002A677E" w:rsidRDefault="00EF74C7" w:rsidP="00822842">
            <w:pPr>
              <w:pStyle w:val="Applicationdirecte"/>
              <w:spacing w:before="0" w:after="0"/>
              <w:jc w:val="left"/>
            </w:pPr>
            <w:r>
              <w:t xml:space="preserve">0080, 0160,0170</w:t>
            </w:r>
          </w:p>
        </w:tc>
        <w:tc>
          <w:tcPr>
            <w:tcW w:w="7655" w:type="dxa"/>
            <w:vAlign w:val="center"/>
          </w:tcPr>
          <w:p w14:paraId="38883B3C"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VRIJEDNOST IZLOŽENOSTI</w:t>
            </w:r>
          </w:p>
          <w:p w14:paraId="5D5537F3" w14:textId="77777777" w:rsidR="00EF74C7" w:rsidRPr="002A677E" w:rsidRDefault="00EF74C7" w:rsidP="00822842">
            <w:pPr>
              <w:keepNext/>
              <w:spacing w:before="60"/>
              <w:rPr>
                <w:rStyle w:val="InstructionsTabelleberschrift"/>
                <w:sz w:val="24"/>
                <w:rFonts w:ascii="Times New Roman" w:hAnsi="Times New Roman"/>
              </w:rPr>
            </w:pPr>
            <w:r>
              <w:rPr>
                <w:sz w:val="24"/>
                <w:rFonts w:ascii="Times New Roman" w:hAnsi="Times New Roman"/>
              </w:rPr>
              <w:t xml:space="preserve">Vidjeti upute za stupac 0170 u obrascu C 34.02.</w:t>
            </w:r>
          </w:p>
        </w:tc>
      </w:tr>
      <w:tr w:rsidR="00EF74C7" w:rsidRPr="00403B9F" w14:paraId="1DF28D0B" w14:textId="77777777" w:rsidTr="00822842">
        <w:trPr>
          <w:trHeight w:val="680"/>
        </w:trPr>
        <w:tc>
          <w:tcPr>
            <w:tcW w:w="9039" w:type="dxa"/>
            <w:gridSpan w:val="2"/>
            <w:tcBorders>
              <w:left w:val="nil"/>
              <w:right w:val="nil"/>
            </w:tcBorders>
          </w:tcPr>
          <w:p w14:paraId="07A3474A" w14:textId="77777777" w:rsidR="00EF74C7" w:rsidRPr="00D768D3" w:rsidDel="00291448" w:rsidRDefault="00EF74C7" w:rsidP="00822842">
            <w:pPr>
              <w:rPr>
                <w:rFonts w:ascii="Times New Roman" w:hAnsi="Times New Roman"/>
                <w:sz w:val="24"/>
              </w:rPr>
            </w:pPr>
          </w:p>
        </w:tc>
      </w:tr>
      <w:tr w:rsidR="00EF74C7" w:rsidRPr="002A677E" w14:paraId="6D57400A"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D19AA72" w14:textId="77777777" w:rsidR="00EF74C7" w:rsidRPr="002A677E" w:rsidRDefault="00EF74C7" w:rsidP="00822842">
            <w:pPr>
              <w:pStyle w:val="Applicationdirecte"/>
              <w:spacing w:before="0"/>
              <w:jc w:val="left"/>
              <w:rPr>
                <w:b/>
              </w:rPr>
            </w:pPr>
            <w:r>
              <w:rPr>
                <w:b/>
              </w:rPr>
              <w:t xml:space="preserve">Redak</w:t>
            </w:r>
            <w:r>
              <w:rPr>
                <w:b/>
              </w:rPr>
              <w:t xml:space="preserve"> </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ACD43E" w14:textId="77777777" w:rsidR="00EF74C7" w:rsidRPr="002A677E" w:rsidRDefault="00EF74C7" w:rsidP="00822842">
            <w:pPr>
              <w:pStyle w:val="TableMainHeading"/>
              <w:spacing w:before="60"/>
              <w:rPr>
                <w:b/>
                <w:sz w:val="24"/>
                <w:szCs w:val="24"/>
                <w:rFonts w:ascii="Times New Roman" w:hAnsi="Times New Roman"/>
              </w:rPr>
            </w:pPr>
            <w:r>
              <w:rPr>
                <w:b/>
                <w:sz w:val="24"/>
                <w:rFonts w:ascii="Times New Roman" w:hAnsi="Times New Roman"/>
              </w:rPr>
              <w:t xml:space="preserve">Objašnjenje</w:t>
            </w:r>
            <w:r>
              <w:rPr>
                <w:b/>
                <w:sz w:val="24"/>
                <w:rFonts w:ascii="Times New Roman" w:hAnsi="Times New Roman"/>
              </w:rPr>
              <w:t xml:space="preserve"> </w:t>
            </w:r>
          </w:p>
        </w:tc>
      </w:tr>
      <w:tr w:rsidR="00EF74C7" w:rsidRPr="002A677E" w14:paraId="09B9D5F2" w14:textId="77777777" w:rsidTr="00822842">
        <w:trPr>
          <w:trHeight w:val="426"/>
        </w:trPr>
        <w:tc>
          <w:tcPr>
            <w:tcW w:w="1384" w:type="dxa"/>
          </w:tcPr>
          <w:p w14:paraId="4740A097" w14:textId="77777777" w:rsidR="00EF74C7" w:rsidRPr="002A677E" w:rsidRDefault="00EF74C7" w:rsidP="00822842">
            <w:pPr>
              <w:pStyle w:val="Applicationdirecte"/>
              <w:spacing w:before="0" w:after="0"/>
            </w:pPr>
            <w:r>
              <w:t xml:space="preserve">0010</w:t>
            </w:r>
          </w:p>
        </w:tc>
        <w:tc>
          <w:tcPr>
            <w:tcW w:w="7655" w:type="dxa"/>
          </w:tcPr>
          <w:p w14:paraId="155D9C7F"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UKUPNO</w:t>
            </w:r>
            <w:r>
              <w:rPr>
                <w:rStyle w:val="InstructionsTabelleberschrift"/>
                <w:sz w:val="24"/>
                <w:rFonts w:ascii="Times New Roman" w:hAnsi="Times New Roman"/>
              </w:rPr>
              <w:t xml:space="preserve"> </w:t>
            </w:r>
          </w:p>
          <w:p w14:paraId="43496D3B" w14:textId="77777777" w:rsidR="00EF74C7" w:rsidRPr="002A677E" w:rsidRDefault="00EF74C7" w:rsidP="00822842">
            <w:pPr>
              <w:keepNext/>
              <w:spacing w:before="60"/>
              <w:rPr>
                <w:sz w:val="24"/>
              </w:rPr>
            </w:pPr>
            <w:r>
              <w:rPr>
                <w:sz w:val="24"/>
                <w:rFonts w:ascii="Times New Roman" w:hAnsi="Times New Roman"/>
              </w:rPr>
              <w:t xml:space="preserve">Članak 283. Uredbe (EU) br. 575/2013</w:t>
            </w:r>
          </w:p>
          <w:p w14:paraId="72F05A01" w14:textId="77777777" w:rsidR="00EF74C7" w:rsidRPr="002A677E" w:rsidRDefault="00EF74C7" w:rsidP="00822842">
            <w:pPr>
              <w:rPr>
                <w:sz w:val="24"/>
              </w:rPr>
            </w:pPr>
            <w:r>
              <w:rPr>
                <w:sz w:val="24"/>
                <w:rFonts w:ascii="Times New Roman" w:hAnsi="Times New Roman"/>
              </w:rPr>
              <w:t xml:space="preserve">Institucije iskazuju relevantne informacije o izvedenicama, transakcijama s dugim rokom namire i transakcijama financiranja vrijednosnim papirima za koje je dopušteno izračunati vrijednost izloženosti primjenom metode internog modela (IMM) u skladu s člankom 283. Uredbe (EU) br. 575/2013.</w:t>
            </w:r>
          </w:p>
        </w:tc>
      </w:tr>
      <w:tr w:rsidR="00EF74C7" w:rsidRPr="002A677E" w14:paraId="61D3022A" w14:textId="77777777" w:rsidTr="00822842">
        <w:trPr>
          <w:trHeight w:val="829"/>
        </w:trPr>
        <w:tc>
          <w:tcPr>
            <w:tcW w:w="1384" w:type="dxa"/>
          </w:tcPr>
          <w:p w14:paraId="395168E0" w14:textId="77777777" w:rsidR="00EF74C7" w:rsidRPr="002A677E" w:rsidRDefault="00EF74C7" w:rsidP="00822842">
            <w:pPr>
              <w:pStyle w:val="Applicationdirecte"/>
              <w:spacing w:before="0" w:after="0"/>
            </w:pPr>
            <w:r>
              <w:t xml:space="preserve">0020</w:t>
            </w:r>
          </w:p>
        </w:tc>
        <w:tc>
          <w:tcPr>
            <w:tcW w:w="7655" w:type="dxa"/>
          </w:tcPr>
          <w:p w14:paraId="0331298D"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Od čega:</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pozicije sa specifičnim povratnim rizikom</w:t>
            </w:r>
          </w:p>
          <w:p w14:paraId="1013C757" w14:textId="77777777" w:rsidR="00EF74C7" w:rsidRPr="002A677E" w:rsidRDefault="00EF74C7" w:rsidP="00822842">
            <w:pPr>
              <w:rPr>
                <w:sz w:val="24"/>
                <w:rFonts w:ascii="Times New Roman" w:hAnsi="Times New Roman"/>
              </w:rPr>
            </w:pPr>
            <w:r>
              <w:rPr>
                <w:sz w:val="24"/>
                <w:rFonts w:ascii="Times New Roman" w:hAnsi="Times New Roman"/>
              </w:rPr>
              <w:t xml:space="preserve">Vidjeti upute za redak 0120 u obrascu C 34.02.</w:t>
            </w:r>
          </w:p>
        </w:tc>
      </w:tr>
      <w:tr w:rsidR="00EF74C7" w:rsidRPr="002A677E" w14:paraId="53E2F2D0" w14:textId="77777777" w:rsidTr="00822842">
        <w:trPr>
          <w:trHeight w:val="842"/>
        </w:trPr>
        <w:tc>
          <w:tcPr>
            <w:tcW w:w="1384" w:type="dxa"/>
          </w:tcPr>
          <w:p w14:paraId="7706E084" w14:textId="77777777" w:rsidR="00EF74C7" w:rsidRPr="002A677E" w:rsidRDefault="00EF74C7" w:rsidP="00822842">
            <w:pPr>
              <w:pStyle w:val="Applicationdirecte"/>
              <w:spacing w:before="0" w:after="0"/>
              <w:jc w:val="left"/>
            </w:pPr>
            <w:r>
              <w:t xml:space="preserve">0030</w:t>
            </w:r>
          </w:p>
        </w:tc>
        <w:tc>
          <w:tcPr>
            <w:tcW w:w="7655" w:type="dxa"/>
          </w:tcPr>
          <w:p w14:paraId="5DE0314C"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Skupovi za netiranje na koje se primjenjuje standardizirani pristup kreditnom riziku</w:t>
            </w:r>
          </w:p>
          <w:p w14:paraId="7CD0087F" w14:textId="77777777" w:rsidR="00EF74C7" w:rsidRPr="002A677E" w:rsidRDefault="00EF74C7" w:rsidP="00822842">
            <w:pPr>
              <w:rPr>
                <w:rStyle w:val="InstructionsTabelleberschrift"/>
                <w:b w:val="0"/>
                <w:bCs w:val="0"/>
                <w:sz w:val="24"/>
                <w:rFonts w:ascii="Times New Roman" w:hAnsi="Times New Roman" w:cstheme="minorBidi"/>
              </w:rPr>
            </w:pPr>
            <w:r>
              <w:rPr>
                <w:sz w:val="24"/>
                <w:rFonts w:ascii="Times New Roman" w:hAnsi="Times New Roman"/>
              </w:rPr>
              <w:t xml:space="preserve">Vidjeti upute za stupac 0180 u obrascu C 34.02.</w:t>
            </w:r>
          </w:p>
        </w:tc>
      </w:tr>
      <w:tr w:rsidR="00EF74C7" w:rsidRPr="002A677E" w14:paraId="246949FB" w14:textId="77777777" w:rsidTr="00822842">
        <w:trPr>
          <w:trHeight w:val="839"/>
        </w:trPr>
        <w:tc>
          <w:tcPr>
            <w:tcW w:w="1384" w:type="dxa"/>
          </w:tcPr>
          <w:p w14:paraId="4489E702" w14:textId="77777777" w:rsidR="00EF74C7" w:rsidRPr="002A677E" w:rsidRDefault="00EF74C7" w:rsidP="00822842">
            <w:pPr>
              <w:pStyle w:val="Applicationdirecte"/>
              <w:spacing w:before="0" w:after="0"/>
              <w:jc w:val="left"/>
            </w:pPr>
            <w:r>
              <w:t xml:space="preserve">0040</w:t>
            </w:r>
          </w:p>
        </w:tc>
        <w:tc>
          <w:tcPr>
            <w:tcW w:w="7655" w:type="dxa"/>
          </w:tcPr>
          <w:p w14:paraId="79702292"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Skupovi za netiranje na koje se primjenjuje IRB pristup kreditnom riziku</w:t>
            </w:r>
          </w:p>
          <w:p w14:paraId="5DEB3BFD" w14:textId="77777777" w:rsidR="00EF74C7" w:rsidRPr="002A677E" w:rsidRDefault="00EF74C7" w:rsidP="00822842">
            <w:pPr>
              <w:rPr>
                <w:rStyle w:val="InstructionsTabelleberschrift"/>
                <w:b w:val="0"/>
                <w:bCs w:val="0"/>
                <w:sz w:val="24"/>
                <w:rFonts w:ascii="Times New Roman" w:hAnsi="Times New Roman" w:cstheme="minorBidi"/>
              </w:rPr>
            </w:pPr>
            <w:r>
              <w:rPr>
                <w:sz w:val="24"/>
                <w:rFonts w:ascii="Times New Roman" w:hAnsi="Times New Roman"/>
              </w:rPr>
              <w:t xml:space="preserve">Vidjeti upute za stupac 0190 u obrascu C 34.02.</w:t>
            </w:r>
          </w:p>
        </w:tc>
      </w:tr>
      <w:tr w:rsidR="00EF74C7" w:rsidRPr="002A677E" w14:paraId="6C69A9B4" w14:textId="77777777" w:rsidTr="00822842">
        <w:trPr>
          <w:trHeight w:val="1971"/>
        </w:trPr>
        <w:tc>
          <w:tcPr>
            <w:tcW w:w="1384" w:type="dxa"/>
          </w:tcPr>
          <w:p w14:paraId="7647D954" w14:textId="77777777" w:rsidR="00EF74C7" w:rsidRPr="002A677E" w:rsidRDefault="00EF74C7" w:rsidP="00822842">
            <w:pPr>
              <w:pStyle w:val="Applicationdirecte"/>
              <w:spacing w:before="0" w:after="0"/>
              <w:jc w:val="left"/>
            </w:pPr>
            <w:r>
              <w:t xml:space="preserve">0050-0110</w:t>
            </w:r>
          </w:p>
        </w:tc>
        <w:tc>
          <w:tcPr>
            <w:tcW w:w="7655" w:type="dxa"/>
          </w:tcPr>
          <w:p w14:paraId="3D695FBB"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OTC IZVEDENICE</w:t>
            </w:r>
          </w:p>
          <w:p w14:paraId="0E8A5849" w14:textId="77777777" w:rsidR="00EF74C7" w:rsidRPr="002A677E" w:rsidRDefault="00EF74C7" w:rsidP="00822842">
            <w:pPr>
              <w:rPr>
                <w:sz w:val="24"/>
                <w:rFonts w:ascii="Times New Roman" w:hAnsi="Times New Roman"/>
              </w:rPr>
            </w:pPr>
            <w:r>
              <w:rPr>
                <w:sz w:val="24"/>
                <w:rFonts w:ascii="Times New Roman" w:hAnsi="Times New Roman"/>
              </w:rPr>
              <w:t xml:space="preserve">Institucije iskazuju relevantne informacije o skupovima za netiranje koji sadržavaju samo OTC izvedenice ili transakcije s dugim rokom namire za koje im je dopušteno utvrditi vrijednost izloženosti primjenom metode internog modela raščlanjenu po različitim kategorijama imovine s obzirom na odnosni instrument (kamatna stopa, tečaj, kredit, kapital, roba ili drugo).</w:t>
            </w:r>
          </w:p>
        </w:tc>
      </w:tr>
      <w:tr w:rsidR="00EF74C7" w:rsidRPr="002A677E" w14:paraId="32F0A14D" w14:textId="77777777" w:rsidTr="00822842">
        <w:trPr>
          <w:trHeight w:val="1970"/>
        </w:trPr>
        <w:tc>
          <w:tcPr>
            <w:tcW w:w="1384" w:type="dxa"/>
          </w:tcPr>
          <w:p w14:paraId="2CA05FA5" w14:textId="77777777" w:rsidR="00EF74C7" w:rsidRPr="002A677E" w:rsidRDefault="00EF74C7" w:rsidP="00822842">
            <w:pPr>
              <w:pStyle w:val="Applicationdirecte"/>
              <w:spacing w:before="0" w:after="0"/>
            </w:pPr>
            <w:r>
              <w:t xml:space="preserve">0120-0180</w:t>
            </w:r>
          </w:p>
        </w:tc>
        <w:tc>
          <w:tcPr>
            <w:tcW w:w="7655" w:type="dxa"/>
          </w:tcPr>
          <w:p w14:paraId="1F81FD28"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IZVEDENICE KOJIMA SE TRGUJE NA BURZI</w:t>
            </w:r>
          </w:p>
          <w:p w14:paraId="58D9B48E" w14:textId="77777777" w:rsidR="00EF74C7" w:rsidRPr="002A677E" w:rsidRDefault="00EF74C7" w:rsidP="00822842">
            <w:pPr>
              <w:rPr>
                <w:sz w:val="24"/>
                <w:rFonts w:ascii="Times New Roman" w:hAnsi="Times New Roman"/>
              </w:rPr>
            </w:pPr>
            <w:r>
              <w:rPr>
                <w:sz w:val="24"/>
                <w:rFonts w:ascii="Times New Roman" w:hAnsi="Times New Roman"/>
              </w:rPr>
              <w:t xml:space="preserve">Institucije iskazuju relevantne informacije o skupovima za netiranje koji sadržavaju samo izvedenice kojima se trguje na burzi ili transakcije s dugim rokom namire za koje je dopušteno utvrditi vrijednost izloženosti primjenom metode internog modela raščlanjene po raznim kategorijama imovine s obzirom na odnosni instrument (kamatna stopa, tečaj, kredit, vlasnički instrument, roba ili drugo).</w:t>
            </w:r>
          </w:p>
        </w:tc>
      </w:tr>
      <w:tr w:rsidR="00EF74C7" w:rsidRPr="002A677E" w14:paraId="3A390CF4" w14:textId="77777777" w:rsidTr="00822842">
        <w:trPr>
          <w:trHeight w:val="1701"/>
        </w:trPr>
        <w:tc>
          <w:tcPr>
            <w:tcW w:w="1384" w:type="dxa"/>
          </w:tcPr>
          <w:p w14:paraId="5468C829" w14:textId="77777777" w:rsidR="00EF74C7" w:rsidRPr="002A677E" w:rsidRDefault="00EF74C7" w:rsidP="00822842">
            <w:pPr>
              <w:pStyle w:val="Applicationdirecte"/>
              <w:spacing w:before="0" w:after="0"/>
            </w:pPr>
            <w:r>
              <w:t xml:space="preserve">0190-0220</w:t>
            </w:r>
          </w:p>
        </w:tc>
        <w:tc>
          <w:tcPr>
            <w:tcW w:w="7655" w:type="dxa"/>
          </w:tcPr>
          <w:p w14:paraId="52D3A7C8"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TRANSAKCIJE FINANCIRANJA VRIJEDNOSNIM PAPIRIMA</w:t>
            </w:r>
          </w:p>
          <w:p w14:paraId="1CD88A29" w14:textId="77777777" w:rsidR="00EF74C7" w:rsidRPr="002A677E" w:rsidRDefault="00EF74C7" w:rsidP="00822842">
            <w:pPr>
              <w:rPr>
                <w:sz w:val="24"/>
                <w:rFonts w:ascii="Times New Roman" w:hAnsi="Times New Roman"/>
              </w:rPr>
            </w:pPr>
            <w:r>
              <w:rPr>
                <w:sz w:val="24"/>
                <w:rFonts w:ascii="Times New Roman" w:hAnsi="Times New Roman"/>
              </w:rPr>
              <w:t xml:space="preserve">Institucije iskazuju relevantne informacije o skupovima za netiranje koji sadržavaju samo transakcije financiranja vrijednosnim papirima za koje je dopušteno utvrditi vrijednost izloženosti primjenom metode internog modela raščlanjene po vrsti odnosnog instrumenta u strani vrijednosnog papira transakcije financiranja vrijednosnim papirima (obveznica, vlasnički instrument ili ostalo).</w:t>
            </w:r>
          </w:p>
        </w:tc>
      </w:tr>
      <w:tr w:rsidR="00EF74C7" w:rsidRPr="002A677E" w14:paraId="64C592C4" w14:textId="77777777" w:rsidTr="00822842">
        <w:trPr>
          <w:trHeight w:val="833"/>
        </w:trPr>
        <w:tc>
          <w:tcPr>
            <w:tcW w:w="1384" w:type="dxa"/>
          </w:tcPr>
          <w:p w14:paraId="39B2C01D" w14:textId="77777777" w:rsidR="00EF74C7" w:rsidRPr="002A677E" w:rsidRDefault="00EF74C7" w:rsidP="00822842">
            <w:pPr>
              <w:pStyle w:val="Applicationdirecte"/>
              <w:spacing w:before="0" w:after="0"/>
            </w:pPr>
            <w:r>
              <w:t xml:space="preserve">0230</w:t>
            </w:r>
          </w:p>
        </w:tc>
        <w:tc>
          <w:tcPr>
            <w:tcW w:w="7655" w:type="dxa"/>
          </w:tcPr>
          <w:p w14:paraId="1980D95A"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SKUPOVI ZA NETIRANJE IZMEĐU RAZLIČITIH KATEGORIJA PROIZVODA</w:t>
            </w:r>
          </w:p>
          <w:p w14:paraId="7F1F09BD" w14:textId="77777777" w:rsidR="00EF74C7" w:rsidRPr="002A677E" w:rsidRDefault="00EF74C7" w:rsidP="00822842">
            <w:pPr>
              <w:rPr>
                <w:sz w:val="24"/>
                <w:rFonts w:ascii="Times New Roman" w:hAnsi="Times New Roman"/>
              </w:rPr>
            </w:pPr>
            <w:r>
              <w:rPr>
                <w:sz w:val="24"/>
                <w:rFonts w:ascii="Times New Roman" w:hAnsi="Times New Roman"/>
              </w:rPr>
              <w:t xml:space="preserve">Vidjeti upute za redak 0070 u obrascu C 34.02.</w:t>
            </w:r>
          </w:p>
        </w:tc>
      </w:tr>
    </w:tbl>
    <w:p w14:paraId="0A9C53D4" w14:textId="77777777" w:rsidR="00EF74C7" w:rsidRPr="002A677E" w:rsidRDefault="00EF74C7" w:rsidP="00EF74C7">
      <w:pPr>
        <w:tabs>
          <w:tab w:val="left" w:pos="1430"/>
        </w:tabs>
        <w:rPr>
          <w:rFonts w:ascii="Times New Roman" w:hAnsi="Times New Roman"/>
        </w:rPr>
      </w:pPr>
    </w:p>
    <w:p w14:paraId="2A48B1B3" w14:textId="77777777" w:rsidR="00EF74C7" w:rsidRPr="002A677E" w:rsidRDefault="00EF74C7" w:rsidP="00EF74C7">
      <w:pPr>
        <w:pStyle w:val="Instructionsberschrift2"/>
        <w:numPr>
          <w:ilvl w:val="2"/>
          <w:numId w:val="29"/>
        </w:numPr>
        <w:rPr>
          <w:sz w:val="24"/>
          <w:rFonts w:ascii="Times New Roman" w:hAnsi="Times New Roman" w:cs="Times New Roman"/>
        </w:rPr>
      </w:pPr>
      <w:bookmarkStart w:id="42" w:name="_Toc19715816"/>
      <w:bookmarkStart w:id="43" w:name="_Toc151714456"/>
      <w:r>
        <w:rPr>
          <w:sz w:val="24"/>
          <w:rFonts w:ascii="Times New Roman" w:hAnsi="Times New Roman"/>
        </w:rPr>
        <w:t xml:space="preserve">C 34.06 – Dvadeset najvećih drugih ugovornih strana</w:t>
      </w:r>
      <w:bookmarkEnd w:id="42"/>
      <w:bookmarkEnd w:id="43"/>
    </w:p>
    <w:p w14:paraId="41D5F705" w14:textId="77777777" w:rsidR="00EF74C7" w:rsidRPr="002A677E" w:rsidRDefault="00EF74C7" w:rsidP="00EF74C7">
      <w:pPr>
        <w:pStyle w:val="Instructionsberschrift2"/>
        <w:numPr>
          <w:ilvl w:val="3"/>
          <w:numId w:val="29"/>
        </w:numPr>
        <w:rPr>
          <w:sz w:val="24"/>
          <w:rFonts w:ascii="Times New Roman" w:hAnsi="Times New Roman" w:cs="Times New Roman"/>
        </w:rPr>
      </w:pPr>
      <w:bookmarkStart w:id="44" w:name="_Toc19715817"/>
      <w:bookmarkStart w:id="45" w:name="_Toc151714457"/>
      <w:r>
        <w:rPr>
          <w:sz w:val="24"/>
          <w:rFonts w:ascii="Times New Roman" w:hAnsi="Times New Roman"/>
        </w:rPr>
        <w:t xml:space="preserve">Opće napomene</w:t>
      </w:r>
      <w:bookmarkEnd w:id="44"/>
      <w:bookmarkEnd w:id="45"/>
    </w:p>
    <w:p w14:paraId="4872503C" w14:textId="005C8DB1" w:rsidR="00EF74C7" w:rsidRPr="002A677E" w:rsidRDefault="00EF74C7" w:rsidP="00EF74C7">
      <w:pPr>
        <w:pStyle w:val="InstructionsText2"/>
        <w:numPr>
          <w:ilvl w:val="0"/>
          <w:numId w:val="0"/>
        </w:numPr>
        <w:ind w:left="993"/>
      </w:pPr>
      <w:r>
        <w:fldChar w:fldCharType="begin" w:dirty="true"/>
      </w:r>
      <w:r>
        <w:instrText>seq paragraphs</w:instrText>
      </w:r>
      <w:r>
        <w:fldChar w:fldCharType="separate"/>
      </w:r>
      <w:r w:rsidRPr="002A677E">
        <w:t>126</w:t>
      </w:r>
      <w:r>
        <w:fldChar w:fldCharType="end"/>
      </w:r>
      <w:r>
        <w:t xml:space="preserve">.</w:t>
      </w:r>
      <w:r>
        <w:t xml:space="preserve"> </w:t>
      </w:r>
      <w:r>
        <w:t xml:space="preserve">Institucije iskazuju informacije o dvadeset najvećih drugih ugovornih strana kod kojih imaju najveće izloženosti kreditnom riziku druge ugovorne strane.</w:t>
      </w:r>
      <w:r>
        <w:t xml:space="preserve"> </w:t>
      </w:r>
      <w:r>
        <w:t xml:space="preserve">Klasifikacija se provodi na temelju vrijednosti izloženosti kreditnom riziku druge ugovorne strane, kako je iskazano u stupcu 0120 ovog obrasca, svih skupova za netiranje s odnosnim drugim ugovornim stranama.</w:t>
      </w:r>
      <w:r>
        <w:t xml:space="preserve"> </w:t>
      </w:r>
      <w:r>
        <w:t xml:space="preserve">Izloženosti unutar grupe ili druge izloženosti koje uzrokuju kreditni rizik druge ugovorne strane, ali kojima institucije pri izračunu kapitalnih zahtjeva dodjeljuju ponder rizika nula, u skladu s člankom 113. stavkom 6. i člankom 113. stavkom 7. Uredbe (EU) br. 575/2013 i dalje se razmatraju pri utvrđivanju popisa 20 najvećih drugih ugovornih strana.</w:t>
      </w:r>
    </w:p>
    <w:p w14:paraId="647CEA55" w14:textId="4D261834" w:rsidR="00EF74C7" w:rsidRPr="002A677E" w:rsidRDefault="00EF74C7" w:rsidP="00EF74C7">
      <w:pPr>
        <w:pStyle w:val="InstructionsText2"/>
        <w:numPr>
          <w:ilvl w:val="0"/>
          <w:numId w:val="0"/>
        </w:numPr>
        <w:ind w:left="993"/>
      </w:pPr>
      <w:r>
        <w:fldChar w:fldCharType="begin" w:dirty="true"/>
      </w:r>
      <w:r>
        <w:instrText>seq paragraphs</w:instrText>
      </w:r>
      <w:r>
        <w:fldChar w:fldCharType="separate"/>
      </w:r>
      <w:r w:rsidRPr="002A677E">
        <w:t>127</w:t>
      </w:r>
      <w:r>
        <w:fldChar w:fldCharType="end"/>
      </w:r>
      <w:r>
        <w:t xml:space="preserve">.</w:t>
      </w:r>
      <w:r>
        <w:t xml:space="preserve"> </w:t>
      </w:r>
      <w:r>
        <w:t xml:space="preserve">Institucije koje primjenjuju standardizirani pristup (SA-CCR) ili metodu internog modela (IMM) za izračun izloženosti kreditnom riziku druge ugovorne strane u skladu s dijelom trećim glavom II. poglavljem 6. odjeljcima 3. i 6. Uredbe (EU) br. 575/2013 ovaj obrazac dostavljaju tromjesečno.</w:t>
      </w:r>
      <w:r>
        <w:t xml:space="preserve"> </w:t>
      </w:r>
      <w:r>
        <w:t xml:space="preserve">Institucije koje primjenjuju pojednostavnjeni standardizirani pristup ili metodu originalne izloženosti (OEM) za izračun izloženosti kreditnom riziku druge ugovorne strane u skladu s dijelom trećim glavom II. poglavljem 6. odjeljcima 4. i 5. Uredbe (EU) br. 575/2013 ovaj obrazac dostavljaju tromjesečno.</w:t>
      </w:r>
      <w:r>
        <w:t xml:space="preserve"> </w:t>
      </w:r>
      <w:bookmarkStart w:id="46" w:name="_Toc19715818"/>
      <w:r>
        <w:t xml:space="preserve">Upute za specifične pozicije</w:t>
      </w:r>
      <w:bookmarkEnd w:id="46"/>
      <w:r>
        <w:t xml:space="preserve">.</w:t>
      </w:r>
    </w:p>
    <w:p w14:paraId="2736A53C" w14:textId="77777777" w:rsidR="00EF74C7" w:rsidRPr="002A677E" w:rsidRDefault="00EF74C7" w:rsidP="00EF74C7">
      <w:pPr>
        <w:pStyle w:val="Instructionsberschrift2"/>
        <w:numPr>
          <w:ilvl w:val="3"/>
          <w:numId w:val="29"/>
        </w:numPr>
        <w:rPr>
          <w:sz w:val="24"/>
          <w:rFonts w:ascii="Times New Roman" w:hAnsi="Times New Roman" w:cs="Times New Roman"/>
        </w:rPr>
      </w:pPr>
      <w:bookmarkStart w:id="47" w:name="_Toc151714458"/>
      <w:r>
        <w:rPr>
          <w:sz w:val="24"/>
          <w:rFonts w:ascii="Times New Roman" w:hAnsi="Times New Roman"/>
        </w:rPr>
        <w:t xml:space="preserve">Upute za specifične pozicije</w:t>
      </w:r>
      <w:bookmarkEnd w:id="4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67A96115" w14:textId="77777777" w:rsidTr="00822842">
        <w:trPr>
          <w:trHeight w:val="238"/>
        </w:trPr>
        <w:tc>
          <w:tcPr>
            <w:tcW w:w="9039" w:type="dxa"/>
            <w:gridSpan w:val="2"/>
            <w:tcBorders>
              <w:right w:val="single" w:sz="4" w:space="0" w:color="auto"/>
            </w:tcBorders>
            <w:shd w:val="clear" w:color="auto" w:fill="D9D9D9" w:themeFill="background1" w:themeFillShade="D9"/>
          </w:tcPr>
          <w:p w14:paraId="766DA6EA" w14:textId="77777777" w:rsidR="00EF74C7" w:rsidRPr="002A677E" w:rsidRDefault="00EF74C7" w:rsidP="00822842">
            <w:pPr>
              <w:autoSpaceDE w:val="0"/>
              <w:autoSpaceDN w:val="0"/>
              <w:adjustRightInd w:val="0"/>
              <w:rPr>
                <w:b/>
                <w:sz w:val="24"/>
                <w:rFonts w:ascii="Times New Roman" w:hAnsi="Times New Roman"/>
              </w:rPr>
            </w:pPr>
            <w:r>
              <w:rPr>
                <w:b/>
                <w:sz w:val="24"/>
                <w:rFonts w:ascii="Times New Roman" w:hAnsi="Times New Roman"/>
              </w:rPr>
              <w:t xml:space="preserve">Stupci</w:t>
            </w:r>
          </w:p>
        </w:tc>
      </w:tr>
      <w:tr w:rsidR="00EF74C7" w:rsidRPr="002A677E" w14:paraId="1E5ECC03" w14:textId="77777777" w:rsidTr="00822842">
        <w:trPr>
          <w:trHeight w:val="680"/>
        </w:trPr>
        <w:tc>
          <w:tcPr>
            <w:tcW w:w="1384" w:type="dxa"/>
          </w:tcPr>
          <w:p w14:paraId="67FE490E" w14:textId="77777777" w:rsidR="00EF74C7" w:rsidRPr="002A677E" w:rsidRDefault="00EF74C7" w:rsidP="00822842">
            <w:pPr>
              <w:pStyle w:val="Applicationdirecte"/>
              <w:spacing w:before="0" w:after="0"/>
            </w:pPr>
            <w:r>
              <w:t xml:space="preserve">0011</w:t>
            </w:r>
          </w:p>
        </w:tc>
        <w:tc>
          <w:tcPr>
            <w:tcW w:w="7655" w:type="dxa"/>
            <w:vAlign w:val="center"/>
          </w:tcPr>
          <w:p w14:paraId="2145838B"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NAZIV</w:t>
            </w:r>
          </w:p>
          <w:p w14:paraId="02D41CBA" w14:textId="77777777" w:rsidR="00EF74C7" w:rsidRPr="002A677E" w:rsidRDefault="00EF74C7" w:rsidP="00822842">
            <w:pPr>
              <w:keepNext/>
              <w:spacing w:before="60"/>
              <w:rPr>
                <w:szCs w:val="22"/>
                <w:rFonts w:ascii="Times New Roman" w:hAnsi="Times New Roman"/>
              </w:rPr>
            </w:pPr>
            <w:r>
              <w:rPr>
                <w:sz w:val="24"/>
                <w:rFonts w:ascii="Times New Roman" w:hAnsi="Times New Roman"/>
              </w:rPr>
              <w:t xml:space="preserve">Naziv druge ugovorne strane</w:t>
            </w:r>
          </w:p>
        </w:tc>
      </w:tr>
      <w:tr w:rsidR="00EF74C7" w:rsidRPr="002A677E" w14:paraId="4B2EA2C4" w14:textId="77777777" w:rsidTr="00822842">
        <w:trPr>
          <w:trHeight w:val="680"/>
        </w:trPr>
        <w:tc>
          <w:tcPr>
            <w:tcW w:w="1384" w:type="dxa"/>
          </w:tcPr>
          <w:p w14:paraId="35C54AA9" w14:textId="77777777" w:rsidR="00EF74C7" w:rsidRPr="002A677E" w:rsidRDefault="00EF74C7" w:rsidP="00822842">
            <w:pPr>
              <w:pStyle w:val="Applicationdirecte"/>
              <w:spacing w:before="0" w:after="0"/>
            </w:pPr>
            <w:r>
              <w:t xml:space="preserve">0020</w:t>
            </w:r>
          </w:p>
        </w:tc>
        <w:tc>
          <w:tcPr>
            <w:tcW w:w="7655" w:type="dxa"/>
            <w:vAlign w:val="center"/>
          </w:tcPr>
          <w:p w14:paraId="6CCE0F62" w14:textId="77777777" w:rsidR="00EF74C7" w:rsidRPr="002A677E" w:rsidRDefault="00EF74C7" w:rsidP="00822842">
            <w:pPr>
              <w:keepNext/>
              <w:spacing w:before="60"/>
              <w:rPr>
                <w:b/>
                <w:sz w:val="24"/>
                <w:u w:val="single"/>
                <w:rFonts w:ascii="Times New Roman" w:hAnsi="Times New Roman"/>
              </w:rPr>
            </w:pPr>
            <w:r>
              <w:rPr>
                <w:b/>
                <w:sz w:val="24"/>
                <w:u w:val="single"/>
                <w:rFonts w:ascii="Times New Roman" w:hAnsi="Times New Roman"/>
              </w:rPr>
              <w:t xml:space="preserve">OZNAKA</w:t>
            </w:r>
          </w:p>
          <w:p w14:paraId="38310236" w14:textId="77777777" w:rsidR="00EF74C7" w:rsidRPr="002A677E" w:rsidRDefault="00EF74C7" w:rsidP="00822842">
            <w:pPr>
              <w:keepNext/>
              <w:spacing w:before="60"/>
              <w:rPr>
                <w:sz w:val="24"/>
                <w:u w:val="single"/>
                <w:rFonts w:ascii="Times New Roman" w:hAnsi="Times New Roman"/>
              </w:rPr>
            </w:pPr>
            <w:r>
              <w:rPr>
                <w:sz w:val="24"/>
                <w:rFonts w:ascii="Times New Roman" w:hAnsi="Times New Roman"/>
              </w:rPr>
              <w:t xml:space="preserve">Oznaka kao dio identifikatora retka mora biti jedinstvena za svaki subjekt o kojem se izvješćuje.</w:t>
            </w:r>
            <w:r>
              <w:rPr>
                <w:sz w:val="24"/>
                <w:rFonts w:ascii="Times New Roman" w:hAnsi="Times New Roman"/>
              </w:rPr>
              <w:t xml:space="preserve"> </w:t>
            </w:r>
            <w:r>
              <w:rPr>
                <w:sz w:val="24"/>
                <w:rFonts w:ascii="Times New Roman" w:hAnsi="Times New Roman"/>
              </w:rPr>
              <w:t xml:space="preserve">Oznaka za institucije i društva za osiguranje je oznaka LEI.</w:t>
            </w:r>
            <w:r>
              <w:rPr>
                <w:sz w:val="24"/>
                <w:rFonts w:ascii="Times New Roman" w:hAnsi="Times New Roman"/>
              </w:rPr>
              <w:t xml:space="preserve"> </w:t>
            </w:r>
            <w:r>
              <w:rPr>
                <w:sz w:val="24"/>
                <w:rFonts w:ascii="Times New Roman" w:hAnsi="Times New Roman"/>
              </w:rPr>
              <w:t xml:space="preserve">Oznaka za druge subjekte je oznaka LEI, ili ako nije dostupna, oznaka koja nije LEI.</w:t>
            </w:r>
            <w:r>
              <w:rPr>
                <w:sz w:val="24"/>
                <w:rFonts w:ascii="Times New Roman" w:hAnsi="Times New Roman"/>
              </w:rPr>
              <w:t xml:space="preserve"> </w:t>
            </w:r>
            <w:r>
              <w:rPr>
                <w:sz w:val="24"/>
                <w:rFonts w:ascii="Times New Roman" w:hAnsi="Times New Roman"/>
              </w:rPr>
              <w:t xml:space="preserve">Oznaka je jedinstvena i cijelo se vrijeme koristi dosljedno u svim obrascima.</w:t>
            </w:r>
            <w:r>
              <w:rPr>
                <w:sz w:val="24"/>
                <w:rFonts w:ascii="Times New Roman" w:hAnsi="Times New Roman"/>
              </w:rPr>
              <w:t xml:space="preserve"> </w:t>
            </w:r>
            <w:r>
              <w:rPr>
                <w:sz w:val="24"/>
                <w:rFonts w:ascii="Times New Roman" w:hAnsi="Times New Roman"/>
              </w:rPr>
              <w:t xml:space="preserve">Oznaka uvijek mora imati vrijednost</w:t>
            </w:r>
            <w:r>
              <w:rPr>
                <w:i/>
              </w:rPr>
              <w:t xml:space="preserve">.</w:t>
            </w:r>
          </w:p>
        </w:tc>
      </w:tr>
      <w:tr w:rsidR="00EF74C7" w:rsidRPr="002A677E" w14:paraId="2DAA4B2D" w14:textId="77777777" w:rsidTr="00822842">
        <w:trPr>
          <w:trHeight w:val="680"/>
        </w:trPr>
        <w:tc>
          <w:tcPr>
            <w:tcW w:w="1384" w:type="dxa"/>
          </w:tcPr>
          <w:p w14:paraId="5727082D" w14:textId="77777777" w:rsidR="00EF74C7" w:rsidRPr="002A677E" w:rsidRDefault="00EF74C7" w:rsidP="00822842">
            <w:pPr>
              <w:pStyle w:val="Applicationdirecte"/>
              <w:spacing w:before="0" w:after="0"/>
            </w:pPr>
            <w:r>
              <w:t xml:space="preserve">0030</w:t>
            </w:r>
          </w:p>
        </w:tc>
        <w:tc>
          <w:tcPr>
            <w:tcW w:w="7655" w:type="dxa"/>
            <w:vAlign w:val="center"/>
          </w:tcPr>
          <w:p w14:paraId="0F71916C" w14:textId="77777777" w:rsidR="00EF74C7" w:rsidRPr="002A677E" w:rsidRDefault="00EF74C7" w:rsidP="00822842">
            <w:pPr>
              <w:keepNext/>
              <w:spacing w:before="60"/>
              <w:rPr>
                <w:b/>
                <w:sz w:val="24"/>
                <w:u w:val="single"/>
                <w:rFonts w:ascii="Times New Roman" w:hAnsi="Times New Roman"/>
              </w:rPr>
            </w:pPr>
            <w:r>
              <w:rPr>
                <w:b/>
                <w:sz w:val="24"/>
                <w:u w:val="single"/>
                <w:rFonts w:ascii="Times New Roman" w:hAnsi="Times New Roman"/>
              </w:rPr>
              <w:t xml:space="preserve">VRSTA OZNAKE</w:t>
            </w:r>
          </w:p>
          <w:p w14:paraId="12E4A55E" w14:textId="77777777" w:rsidR="00EF74C7" w:rsidRPr="002A677E" w:rsidRDefault="00EF74C7" w:rsidP="00822842">
            <w:pPr>
              <w:rPr>
                <w:rStyle w:val="FormatvorlageInstructionsTabelleText"/>
                <w:rFonts w:ascii="Calibri" w:hAnsi="Calibri" w:cs="Calibri"/>
              </w:rPr>
            </w:pPr>
            <w:r>
              <w:rPr>
                <w:sz w:val="24"/>
                <w:rFonts w:ascii="Times New Roman" w:hAnsi="Times New Roman"/>
              </w:rPr>
              <w:t xml:space="preserve">Institucija navodi vrstu oznake iskazane u</w:t>
            </w:r>
            <w:r>
              <w:rPr>
                <w:sz w:val="24"/>
                <w:rStyle w:val="FormatvorlageInstructionsTabelleText"/>
                <w:rFonts w:ascii="Times New Roman" w:hAnsi="Times New Roman"/>
              </w:rPr>
              <w:t xml:space="preserve"> stupcu 0020 kao „oznaka LEI” ili „nacionalna oznaka”.</w:t>
            </w:r>
          </w:p>
          <w:p w14:paraId="68A8C569" w14:textId="77777777" w:rsidR="00EF74C7" w:rsidRPr="002A677E" w:rsidRDefault="00EF74C7" w:rsidP="00822842">
            <w:pPr>
              <w:rPr>
                <w:bCs/>
                <w:sz w:val="24"/>
                <w:rFonts w:ascii="Times New Roman" w:hAnsi="Times New Roman"/>
              </w:rPr>
            </w:pPr>
            <w:r>
              <w:rPr>
                <w:sz w:val="24"/>
                <w:rFonts w:ascii="Times New Roman" w:hAnsi="Times New Roman"/>
              </w:rPr>
              <w:t xml:space="preserve">Vrsta oznake uvijek se iskazuje.</w:t>
            </w:r>
          </w:p>
        </w:tc>
      </w:tr>
      <w:tr w:rsidR="00EF74C7" w:rsidRPr="002A677E" w14:paraId="5CE3DDA8" w14:textId="77777777" w:rsidTr="00822842">
        <w:trPr>
          <w:trHeight w:val="680"/>
        </w:trPr>
        <w:tc>
          <w:tcPr>
            <w:tcW w:w="1384" w:type="dxa"/>
          </w:tcPr>
          <w:p w14:paraId="7912C4C0" w14:textId="77777777" w:rsidR="00EF74C7" w:rsidRPr="002A677E" w:rsidRDefault="00EF74C7" w:rsidP="00822842">
            <w:pPr>
              <w:pStyle w:val="Applicationdirecte"/>
              <w:spacing w:before="0" w:after="0"/>
            </w:pPr>
            <w:r>
              <w:t xml:space="preserve">0035</w:t>
            </w:r>
          </w:p>
        </w:tc>
        <w:tc>
          <w:tcPr>
            <w:tcW w:w="7655" w:type="dxa"/>
            <w:vAlign w:val="center"/>
          </w:tcPr>
          <w:p w14:paraId="6012FDEC" w14:textId="77777777" w:rsidR="00EF74C7" w:rsidRPr="002A677E" w:rsidRDefault="00EF74C7" w:rsidP="00822842">
            <w:pPr>
              <w:keepNext/>
              <w:spacing w:before="60"/>
              <w:rPr>
                <w:b/>
                <w:sz w:val="24"/>
                <w:u w:val="single"/>
                <w:rFonts w:ascii="Times New Roman" w:hAnsi="Times New Roman"/>
              </w:rPr>
            </w:pPr>
            <w:r>
              <w:rPr>
                <w:b/>
                <w:sz w:val="24"/>
                <w:u w:val="single"/>
                <w:rFonts w:ascii="Times New Roman" w:hAnsi="Times New Roman"/>
              </w:rPr>
              <w:t xml:space="preserve">NACIONALNA OZNAKA</w:t>
            </w:r>
          </w:p>
          <w:p w14:paraId="53A43075" w14:textId="77777777" w:rsidR="00EF74C7" w:rsidRPr="002A677E" w:rsidRDefault="00EF74C7" w:rsidP="00822842">
            <w:pPr>
              <w:pStyle w:val="ListParagraph"/>
              <w:ind w:left="65"/>
              <w:rPr>
                <w:b/>
                <w:sz w:val="24"/>
                <w:u w:val="single"/>
                <w:rFonts w:ascii="Times New Roman" w:hAnsi="Times New Roman"/>
              </w:rPr>
            </w:pPr>
            <w:r>
              <w:rPr>
                <w:sz w:val="24"/>
                <w:rFonts w:ascii="Times New Roman" w:hAnsi="Times New Roman"/>
              </w:rPr>
              <w:t xml:space="preserve">Institucija može dodatno iskazati nacionalnu oznaku ako u stupcu 0020 „Oznaka” kao identifikator iskazuje oznaku LEI.</w:t>
            </w:r>
          </w:p>
        </w:tc>
      </w:tr>
      <w:tr w:rsidR="00EF74C7" w:rsidRPr="002A677E" w14:paraId="224798DC" w14:textId="77777777" w:rsidTr="00822842">
        <w:trPr>
          <w:trHeight w:val="680"/>
        </w:trPr>
        <w:tc>
          <w:tcPr>
            <w:tcW w:w="1384" w:type="dxa"/>
          </w:tcPr>
          <w:p w14:paraId="2CBB581D" w14:textId="77777777" w:rsidR="00EF74C7" w:rsidRPr="002A677E" w:rsidRDefault="00EF74C7" w:rsidP="00822842">
            <w:pPr>
              <w:pStyle w:val="Applicationdirecte"/>
              <w:spacing w:before="0" w:after="0"/>
            </w:pPr>
            <w:r>
              <w:t xml:space="preserve">0040</w:t>
            </w:r>
          </w:p>
        </w:tc>
        <w:tc>
          <w:tcPr>
            <w:tcW w:w="7655" w:type="dxa"/>
            <w:vAlign w:val="center"/>
          </w:tcPr>
          <w:p w14:paraId="2A302176" w14:textId="77777777" w:rsidR="00EF74C7" w:rsidRPr="002A677E" w:rsidRDefault="00EF74C7" w:rsidP="00822842">
            <w:pPr>
              <w:keepNext/>
              <w:spacing w:before="60"/>
              <w:rPr>
                <w:b/>
                <w:sz w:val="24"/>
                <w:u w:val="single"/>
                <w:rFonts w:ascii="Times New Roman" w:hAnsi="Times New Roman"/>
              </w:rPr>
            </w:pPr>
            <w:r>
              <w:rPr>
                <w:b/>
                <w:sz w:val="24"/>
                <w:u w:val="single"/>
                <w:rFonts w:ascii="Times New Roman" w:hAnsi="Times New Roman"/>
              </w:rPr>
              <w:t xml:space="preserve">SEKTOR DRUGE UGOVORNE STRANE</w:t>
            </w:r>
          </w:p>
          <w:p w14:paraId="138065F1"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Za svaku drugu ugovornu stranu odabire se jedan sektor na osnovi sljedećih kategorija gospodarskih sektora financijskog izvješćivanja (vidjeti dio 3. Priloga V. ovoj Provedbenoj uredbi):</w:t>
            </w:r>
          </w:p>
          <w:p w14:paraId="3FD37943"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i.</w:t>
            </w:r>
            <w:r>
              <w:rPr>
                <w:sz w:val="24"/>
                <w:rFonts w:ascii="Times New Roman" w:hAnsi="Times New Roman"/>
              </w:rPr>
              <w:t xml:space="preserve"> </w:t>
            </w:r>
            <w:r>
              <w:rPr>
                <w:sz w:val="24"/>
                <w:rFonts w:ascii="Times New Roman" w:hAnsi="Times New Roman"/>
              </w:rPr>
              <w:tab/>
            </w:r>
            <w:r>
              <w:rPr>
                <w:sz w:val="24"/>
                <w:rFonts w:ascii="Times New Roman" w:hAnsi="Times New Roman"/>
              </w:rPr>
              <w:t xml:space="preserve">i. središnje banke;</w:t>
            </w:r>
          </w:p>
          <w:p w14:paraId="2EDFC759"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ii.</w:t>
            </w:r>
            <w:r>
              <w:rPr>
                <w:sz w:val="24"/>
                <w:rFonts w:ascii="Times New Roman" w:hAnsi="Times New Roman"/>
              </w:rPr>
              <w:tab/>
            </w:r>
            <w:r>
              <w:rPr>
                <w:sz w:val="24"/>
                <w:rFonts w:ascii="Times New Roman" w:hAnsi="Times New Roman"/>
              </w:rPr>
              <w:t xml:space="preserve">opće države;</w:t>
            </w:r>
          </w:p>
          <w:p w14:paraId="59EF6A29"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iii.</w:t>
            </w:r>
            <w:r>
              <w:rPr>
                <w:sz w:val="24"/>
                <w:rFonts w:ascii="Times New Roman" w:hAnsi="Times New Roman"/>
              </w:rPr>
              <w:tab/>
            </w:r>
            <w:r>
              <w:rPr>
                <w:sz w:val="24"/>
                <w:rFonts w:ascii="Times New Roman" w:hAnsi="Times New Roman"/>
              </w:rPr>
              <w:t xml:space="preserve">kreditne institucije;</w:t>
            </w:r>
          </w:p>
          <w:p w14:paraId="50C89603"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iv.</w:t>
            </w:r>
            <w:r>
              <w:rPr>
                <w:sz w:val="24"/>
                <w:rFonts w:ascii="Times New Roman" w:hAnsi="Times New Roman"/>
              </w:rPr>
              <w:tab/>
            </w:r>
            <w:r>
              <w:rPr>
                <w:sz w:val="24"/>
                <w:rFonts w:ascii="Times New Roman" w:hAnsi="Times New Roman"/>
              </w:rPr>
              <w:t xml:space="preserve">investicijska društva kako su definirana u članku 4. stavku 1. točki 2. Uredbe (EU) 575/2013;</w:t>
            </w:r>
          </w:p>
          <w:p w14:paraId="3A2FD93E"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v.</w:t>
            </w:r>
            <w:r>
              <w:rPr>
                <w:sz w:val="24"/>
                <w:rFonts w:ascii="Times New Roman" w:hAnsi="Times New Roman"/>
              </w:rPr>
              <w:tab/>
            </w:r>
            <w:r>
              <w:rPr>
                <w:sz w:val="24"/>
                <w:rFonts w:ascii="Times New Roman" w:hAnsi="Times New Roman"/>
              </w:rPr>
              <w:t xml:space="preserve">ostala financijska društva (isključujući investicijska društva);</w:t>
            </w:r>
          </w:p>
          <w:p w14:paraId="58ADE56E"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vi.</w:t>
            </w:r>
            <w:r>
              <w:rPr>
                <w:sz w:val="24"/>
                <w:rFonts w:ascii="Times New Roman" w:hAnsi="Times New Roman"/>
              </w:rPr>
              <w:tab/>
            </w:r>
            <w:r>
              <w:rPr>
                <w:sz w:val="24"/>
                <w:rFonts w:ascii="Times New Roman" w:hAnsi="Times New Roman"/>
              </w:rPr>
              <w:t xml:space="preserve">nefinancijska društva.</w:t>
            </w:r>
          </w:p>
        </w:tc>
      </w:tr>
      <w:tr w:rsidR="00EF74C7" w:rsidRPr="002A677E" w14:paraId="24F599F8" w14:textId="77777777" w:rsidTr="00822842">
        <w:trPr>
          <w:trHeight w:val="680"/>
        </w:trPr>
        <w:tc>
          <w:tcPr>
            <w:tcW w:w="1384" w:type="dxa"/>
          </w:tcPr>
          <w:p w14:paraId="2FBFF8FA" w14:textId="77777777" w:rsidR="00EF74C7" w:rsidRPr="002A677E" w:rsidRDefault="00EF74C7" w:rsidP="00822842">
            <w:pPr>
              <w:pStyle w:val="Applicationdirecte"/>
              <w:spacing w:before="0" w:after="0"/>
            </w:pPr>
            <w:r>
              <w:t xml:space="preserve">0050</w:t>
            </w:r>
          </w:p>
        </w:tc>
        <w:tc>
          <w:tcPr>
            <w:tcW w:w="7655" w:type="dxa"/>
            <w:vAlign w:val="center"/>
          </w:tcPr>
          <w:p w14:paraId="72BF6C7A" w14:textId="77777777" w:rsidR="00EF74C7" w:rsidRPr="002A677E" w:rsidRDefault="00EF74C7" w:rsidP="00822842">
            <w:pPr>
              <w:keepNext/>
              <w:spacing w:before="60"/>
              <w:rPr>
                <w:b/>
                <w:sz w:val="24"/>
                <w:u w:val="single"/>
                <w:rFonts w:ascii="Times New Roman" w:hAnsi="Times New Roman"/>
              </w:rPr>
            </w:pPr>
            <w:r>
              <w:rPr>
                <w:b/>
                <w:sz w:val="24"/>
                <w:u w:val="single"/>
                <w:rFonts w:ascii="Times New Roman" w:hAnsi="Times New Roman"/>
              </w:rPr>
              <w:t xml:space="preserve">VRSTA DRUGE UGOVORNE STRANE</w:t>
            </w:r>
          </w:p>
          <w:p w14:paraId="34B18679"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Institucija navodi vrstu druge ugovorne strane koja može biti:</w:t>
            </w:r>
          </w:p>
          <w:p w14:paraId="19809711"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 QCCP: ako je druga ugovorna strana kvalificirana središnja druga ugovorna strana;</w:t>
            </w:r>
          </w:p>
          <w:p w14:paraId="7530291C"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 NON-QCCP: ako je druga ugovorna strana nekvalificirana središnja druga ugovorna strana;</w:t>
            </w:r>
          </w:p>
          <w:p w14:paraId="53A61161"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 No CCP: ako druga ugovorna strana nije središnja druga ugovorna strana.</w:t>
            </w:r>
            <w:r>
              <w:rPr>
                <w:sz w:val="24"/>
                <w:rFonts w:ascii="Times New Roman" w:hAnsi="Times New Roman"/>
              </w:rPr>
              <w:t xml:space="preserve"> </w:t>
            </w:r>
          </w:p>
        </w:tc>
      </w:tr>
      <w:tr w:rsidR="00EF74C7" w:rsidRPr="002A677E" w14:paraId="7138E79A" w14:textId="77777777" w:rsidTr="00822842">
        <w:trPr>
          <w:trHeight w:val="680"/>
        </w:trPr>
        <w:tc>
          <w:tcPr>
            <w:tcW w:w="1384" w:type="dxa"/>
          </w:tcPr>
          <w:p w14:paraId="7D208FDD" w14:textId="77777777" w:rsidR="00EF74C7" w:rsidRPr="002A677E" w:rsidRDefault="00EF74C7" w:rsidP="00822842">
            <w:pPr>
              <w:pStyle w:val="Applicationdirecte"/>
              <w:spacing w:before="0" w:after="0"/>
            </w:pPr>
            <w:r>
              <w:t xml:space="preserve">0060</w:t>
            </w:r>
          </w:p>
        </w:tc>
        <w:tc>
          <w:tcPr>
            <w:tcW w:w="7655" w:type="dxa"/>
            <w:vAlign w:val="center"/>
          </w:tcPr>
          <w:p w14:paraId="653C0A24" w14:textId="77777777" w:rsidR="00EF74C7" w:rsidRPr="002A677E" w:rsidRDefault="00EF74C7" w:rsidP="00822842">
            <w:pPr>
              <w:keepNext/>
              <w:spacing w:before="60"/>
              <w:rPr>
                <w:b/>
                <w:sz w:val="24"/>
                <w:u w:val="single"/>
                <w:rFonts w:ascii="Times New Roman" w:hAnsi="Times New Roman"/>
              </w:rPr>
            </w:pPr>
            <w:r>
              <w:rPr>
                <w:b/>
                <w:sz w:val="24"/>
                <w:u w:val="single"/>
                <w:rFonts w:ascii="Times New Roman" w:hAnsi="Times New Roman"/>
              </w:rPr>
              <w:t xml:space="preserve">BORAVIŠTE DRUGE UGOVORNE STRANE</w:t>
            </w:r>
          </w:p>
          <w:p w14:paraId="4B5E06D5"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Upotrebljava se ISO oznaka 3166-1-alpha-2 države u kojoj je druga ugovorna strana osnovana (uključujući pseudo oznake ISO za međunarodne organizacije, dostupne u dokumenta Eurostata pod nazivom „Balance of Payments Vademecum”, kako je izmijenjen).</w:t>
            </w:r>
          </w:p>
        </w:tc>
      </w:tr>
      <w:tr w:rsidR="00EF74C7" w:rsidRPr="002A677E" w14:paraId="27926B1D" w14:textId="77777777" w:rsidTr="00822842">
        <w:trPr>
          <w:trHeight w:val="680"/>
        </w:trPr>
        <w:tc>
          <w:tcPr>
            <w:tcW w:w="1384" w:type="dxa"/>
          </w:tcPr>
          <w:p w14:paraId="2F19F110" w14:textId="77777777" w:rsidR="00EF74C7" w:rsidRPr="002A677E" w:rsidRDefault="00EF74C7" w:rsidP="00822842">
            <w:pPr>
              <w:pStyle w:val="Applicationdirecte"/>
              <w:spacing w:before="0" w:after="0"/>
            </w:pPr>
            <w:r>
              <w:t xml:space="preserve">0070</w:t>
            </w:r>
          </w:p>
        </w:tc>
        <w:tc>
          <w:tcPr>
            <w:tcW w:w="7655" w:type="dxa"/>
            <w:vAlign w:val="center"/>
          </w:tcPr>
          <w:p w14:paraId="1141BEDE" w14:textId="77777777" w:rsidR="00EF74C7" w:rsidRPr="002A677E" w:rsidRDefault="00EF74C7" w:rsidP="00822842">
            <w:pPr>
              <w:keepNext/>
              <w:spacing w:before="60"/>
              <w:rPr>
                <w:b/>
                <w:sz w:val="24"/>
                <w:u w:val="single"/>
                <w:rFonts w:ascii="Times New Roman" w:hAnsi="Times New Roman"/>
              </w:rPr>
            </w:pPr>
            <w:r>
              <w:rPr>
                <w:b/>
                <w:sz w:val="24"/>
                <w:u w:val="single"/>
                <w:rFonts w:ascii="Times New Roman" w:hAnsi="Times New Roman"/>
              </w:rPr>
              <w:t xml:space="preserve">BROJ TRANSAKCIJA</w:t>
            </w:r>
          </w:p>
          <w:p w14:paraId="22440C23" w14:textId="77777777" w:rsidR="00EF74C7" w:rsidRPr="002A677E" w:rsidRDefault="00EF74C7" w:rsidP="00822842">
            <w:pPr>
              <w:keepNext/>
              <w:spacing w:before="60"/>
              <w:rPr>
                <w:b/>
                <w:sz w:val="24"/>
                <w:u w:val="single"/>
                <w:rFonts w:ascii="Times New Roman" w:hAnsi="Times New Roman"/>
              </w:rPr>
            </w:pPr>
            <w:r>
              <w:rPr>
                <w:sz w:val="24"/>
                <w:rFonts w:ascii="Times New Roman" w:hAnsi="Times New Roman"/>
              </w:rPr>
              <w:t xml:space="preserve">Vidjeti upute za stupac 0020 u obrascu C 34.02.</w:t>
            </w:r>
          </w:p>
        </w:tc>
      </w:tr>
      <w:tr w:rsidR="00EF74C7" w:rsidRPr="002A677E" w14:paraId="41609849" w14:textId="77777777" w:rsidTr="00822842">
        <w:trPr>
          <w:trHeight w:val="426"/>
        </w:trPr>
        <w:tc>
          <w:tcPr>
            <w:tcW w:w="1384" w:type="dxa"/>
          </w:tcPr>
          <w:p w14:paraId="37240D8E" w14:textId="77777777" w:rsidR="00EF74C7" w:rsidRPr="002A677E" w:rsidRDefault="00EF74C7" w:rsidP="00822842">
            <w:pPr>
              <w:pStyle w:val="Applicationdirecte"/>
              <w:spacing w:before="0" w:after="0"/>
            </w:pPr>
            <w:r>
              <w:t xml:space="preserve">0080</w:t>
            </w:r>
          </w:p>
        </w:tc>
        <w:tc>
          <w:tcPr>
            <w:tcW w:w="7655" w:type="dxa"/>
            <w:vAlign w:val="center"/>
          </w:tcPr>
          <w:p w14:paraId="7D28C824" w14:textId="77777777" w:rsidR="00EF74C7" w:rsidRPr="002A677E" w:rsidRDefault="00EF74C7" w:rsidP="00822842">
            <w:pPr>
              <w:keepNext/>
              <w:spacing w:before="60"/>
              <w:rPr>
                <w:b/>
                <w:sz w:val="24"/>
                <w:u w:val="single"/>
                <w:rFonts w:ascii="Times New Roman" w:hAnsi="Times New Roman"/>
              </w:rPr>
            </w:pPr>
            <w:r>
              <w:rPr>
                <w:b/>
                <w:sz w:val="24"/>
                <w:u w:val="single"/>
                <w:rFonts w:ascii="Times New Roman" w:hAnsi="Times New Roman"/>
              </w:rPr>
              <w:t xml:space="preserve">ZAMIŠLJENI IZNOSI</w:t>
            </w:r>
          </w:p>
          <w:p w14:paraId="2092F8D4"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Vidjeti upute za stupac 0030 u obrascu C 34.02.</w:t>
            </w:r>
          </w:p>
        </w:tc>
      </w:tr>
      <w:tr w:rsidR="00EF74C7" w:rsidRPr="002A677E" w14:paraId="6B0D6FEC" w14:textId="77777777" w:rsidTr="00822842">
        <w:trPr>
          <w:trHeight w:val="680"/>
        </w:trPr>
        <w:tc>
          <w:tcPr>
            <w:tcW w:w="1384" w:type="dxa"/>
          </w:tcPr>
          <w:p w14:paraId="31BEF5FF" w14:textId="77777777" w:rsidR="00EF74C7" w:rsidRPr="002A677E" w:rsidRDefault="00EF74C7" w:rsidP="00822842">
            <w:pPr>
              <w:pStyle w:val="Applicationdirecte"/>
              <w:spacing w:before="0" w:after="0"/>
            </w:pPr>
            <w:r>
              <w:t xml:space="preserve">0090</w:t>
            </w:r>
          </w:p>
        </w:tc>
        <w:tc>
          <w:tcPr>
            <w:tcW w:w="7655" w:type="dxa"/>
            <w:vAlign w:val="center"/>
          </w:tcPr>
          <w:p w14:paraId="05F00A70" w14:textId="77777777" w:rsidR="00EF74C7" w:rsidRPr="002A677E" w:rsidRDefault="00EF74C7" w:rsidP="00822842">
            <w:pPr>
              <w:keepNext/>
              <w:spacing w:before="60"/>
              <w:rPr>
                <w:b/>
                <w:sz w:val="24"/>
                <w:u w:val="single"/>
                <w:rFonts w:ascii="Times New Roman" w:hAnsi="Times New Roman"/>
              </w:rPr>
            </w:pPr>
            <w:r>
              <w:rPr>
                <w:b/>
                <w:sz w:val="24"/>
                <w:u w:val="single"/>
                <w:rFonts w:ascii="Times New Roman" w:hAnsi="Times New Roman"/>
              </w:rPr>
              <w:t xml:space="preserve">SADAŠNJA TRŽIŠNA VRIJEDNOST (CMV), pozitivna</w:t>
            </w:r>
          </w:p>
          <w:p w14:paraId="64CD1326"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Vidjeti upute za stupac 0040 u obrascu C 34.02.</w:t>
            </w:r>
          </w:p>
          <w:p w14:paraId="2A6475F1" w14:textId="77777777" w:rsidR="00EF74C7" w:rsidRPr="002A677E" w:rsidRDefault="00EF74C7" w:rsidP="00822842">
            <w:pPr>
              <w:keepNext/>
              <w:spacing w:before="60"/>
              <w:rPr>
                <w:b/>
                <w:sz w:val="24"/>
                <w:u w:val="single"/>
                <w:rFonts w:ascii="Times New Roman" w:hAnsi="Times New Roman"/>
              </w:rPr>
            </w:pPr>
            <w:r>
              <w:rPr>
                <w:sz w:val="24"/>
                <w:rFonts w:ascii="Times New Roman" w:hAnsi="Times New Roman"/>
              </w:rPr>
              <w:t xml:space="preserve">Institucije iskazuju zbroj skupova za netiranje s pozitivnim CMV-om ako postoji više skupova za netiranje za istu drugu ugovornu stranu.</w:t>
            </w:r>
          </w:p>
        </w:tc>
      </w:tr>
      <w:tr w:rsidR="00EF74C7" w:rsidRPr="002A677E" w14:paraId="11A7EB1F" w14:textId="77777777" w:rsidTr="00822842">
        <w:trPr>
          <w:trHeight w:val="680"/>
        </w:trPr>
        <w:tc>
          <w:tcPr>
            <w:tcW w:w="1384" w:type="dxa"/>
          </w:tcPr>
          <w:p w14:paraId="7D8B949C" w14:textId="77777777" w:rsidR="00EF74C7" w:rsidRPr="002A677E" w:rsidRDefault="00EF74C7" w:rsidP="00822842">
            <w:pPr>
              <w:pStyle w:val="Applicationdirecte"/>
              <w:spacing w:before="0" w:after="0"/>
            </w:pPr>
            <w:r>
              <w:t xml:space="preserve">0100</w:t>
            </w:r>
          </w:p>
        </w:tc>
        <w:tc>
          <w:tcPr>
            <w:tcW w:w="7655" w:type="dxa"/>
            <w:vAlign w:val="center"/>
          </w:tcPr>
          <w:p w14:paraId="6ED129D1" w14:textId="77777777" w:rsidR="00EF74C7" w:rsidRPr="002A677E" w:rsidRDefault="00EF74C7" w:rsidP="00822842">
            <w:pPr>
              <w:keepNext/>
              <w:spacing w:before="60"/>
              <w:rPr>
                <w:b/>
                <w:sz w:val="24"/>
                <w:u w:val="single"/>
                <w:rFonts w:ascii="Times New Roman" w:hAnsi="Times New Roman"/>
              </w:rPr>
            </w:pPr>
            <w:r>
              <w:rPr>
                <w:b/>
                <w:sz w:val="24"/>
                <w:u w:val="single"/>
                <w:rFonts w:ascii="Times New Roman" w:hAnsi="Times New Roman"/>
              </w:rPr>
              <w:t xml:space="preserve">SADAŠNJA TRŽIŠNA VRIJEDNOST (CMV), negativna</w:t>
            </w:r>
          </w:p>
          <w:p w14:paraId="693E2E96"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Vidjeti upute za stupac 0040 u obrascu C 34.02.</w:t>
            </w:r>
          </w:p>
          <w:p w14:paraId="118E0D7B" w14:textId="77777777" w:rsidR="00EF74C7" w:rsidRPr="002A677E" w:rsidRDefault="00EF74C7" w:rsidP="00822842">
            <w:pPr>
              <w:keepNext/>
              <w:spacing w:before="60"/>
              <w:rPr>
                <w:b/>
                <w:sz w:val="24"/>
                <w:u w:val="single"/>
                <w:rFonts w:ascii="Times New Roman" w:hAnsi="Times New Roman"/>
              </w:rPr>
            </w:pPr>
            <w:r>
              <w:rPr>
                <w:sz w:val="24"/>
                <w:rFonts w:ascii="Times New Roman" w:hAnsi="Times New Roman"/>
              </w:rPr>
              <w:t xml:space="preserve">Institucije iskazuju apsolutni zbroj skupova za netiranje s negativnim CMV-om ako postoji više skupova za netiranje za istu drugu ugovornu stranu.</w:t>
            </w:r>
          </w:p>
        </w:tc>
      </w:tr>
      <w:tr w:rsidR="00EF74C7" w:rsidRPr="002A677E" w14:paraId="733474D0" w14:textId="77777777" w:rsidTr="00822842">
        <w:trPr>
          <w:trHeight w:val="680"/>
        </w:trPr>
        <w:tc>
          <w:tcPr>
            <w:tcW w:w="1384" w:type="dxa"/>
          </w:tcPr>
          <w:p w14:paraId="71F3CA04" w14:textId="77777777" w:rsidR="00EF74C7" w:rsidRPr="002A677E" w:rsidRDefault="00EF74C7" w:rsidP="00822842">
            <w:pPr>
              <w:pStyle w:val="Applicationdirecte"/>
              <w:spacing w:before="0" w:after="0"/>
            </w:pPr>
            <w:r>
              <w:t xml:space="preserve">0110</w:t>
            </w:r>
          </w:p>
        </w:tc>
        <w:tc>
          <w:tcPr>
            <w:tcW w:w="7655" w:type="dxa"/>
            <w:vAlign w:val="center"/>
          </w:tcPr>
          <w:p w14:paraId="3099FFC7" w14:textId="77777777" w:rsidR="00EF74C7" w:rsidRPr="002A677E" w:rsidRDefault="00EF74C7" w:rsidP="00822842">
            <w:pPr>
              <w:keepNext/>
              <w:spacing w:before="60"/>
              <w:rPr>
                <w:b/>
                <w:sz w:val="24"/>
                <w:u w:val="single"/>
                <w:rFonts w:ascii="Times New Roman" w:hAnsi="Times New Roman"/>
              </w:rPr>
            </w:pPr>
            <w:r>
              <w:rPr>
                <w:b/>
                <w:sz w:val="24"/>
                <w:u w:val="single"/>
                <w:rFonts w:ascii="Times New Roman" w:hAnsi="Times New Roman"/>
              </w:rPr>
              <w:t xml:space="preserve">VRIJEDNOST IZLOŽENOSTI NAKON SMANJENJA KREDITNOG RIZIKA</w:t>
            </w:r>
          </w:p>
          <w:p w14:paraId="1EF646BE"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Vidjeti upute za stupac 0160 u obrascu C 34.02.</w:t>
            </w:r>
            <w:r>
              <w:rPr>
                <w:sz w:val="24"/>
                <w:rFonts w:ascii="Times New Roman" w:hAnsi="Times New Roman"/>
              </w:rPr>
              <w:t xml:space="preserve"> </w:t>
            </w:r>
          </w:p>
          <w:p w14:paraId="6904AB81" w14:textId="77777777" w:rsidR="00EF74C7" w:rsidRPr="002A677E" w:rsidRDefault="00EF74C7" w:rsidP="00822842">
            <w:pPr>
              <w:keepNext/>
              <w:spacing w:before="60"/>
              <w:rPr>
                <w:b/>
                <w:sz w:val="24"/>
                <w:u w:val="single"/>
                <w:rFonts w:ascii="Times New Roman" w:hAnsi="Times New Roman"/>
              </w:rPr>
            </w:pPr>
            <w:r>
              <w:rPr>
                <w:sz w:val="24"/>
                <w:rFonts w:ascii="Times New Roman" w:hAnsi="Times New Roman"/>
              </w:rPr>
              <w:t xml:space="preserve">Institucija iskazuje zbroj skupova za netiranje vrijednosti izloženosti nakon smanjenja kreditnog rizika ako postoji više skupova za netiranje za istu drugu ugovornu stranu.</w:t>
            </w:r>
          </w:p>
        </w:tc>
      </w:tr>
      <w:tr w:rsidR="00EF74C7" w:rsidRPr="002A677E" w14:paraId="2DC25145" w14:textId="77777777" w:rsidTr="00822842">
        <w:trPr>
          <w:trHeight w:val="680"/>
        </w:trPr>
        <w:tc>
          <w:tcPr>
            <w:tcW w:w="1384" w:type="dxa"/>
          </w:tcPr>
          <w:p w14:paraId="3E72408E" w14:textId="77777777" w:rsidR="00EF74C7" w:rsidRPr="002A677E" w:rsidRDefault="00EF74C7" w:rsidP="00822842">
            <w:pPr>
              <w:pStyle w:val="Applicationdirecte"/>
              <w:spacing w:before="0" w:after="0"/>
            </w:pPr>
            <w:r>
              <w:t xml:space="preserve">0120</w:t>
            </w:r>
          </w:p>
        </w:tc>
        <w:tc>
          <w:tcPr>
            <w:tcW w:w="7655" w:type="dxa"/>
            <w:vAlign w:val="center"/>
          </w:tcPr>
          <w:p w14:paraId="40235E21" w14:textId="77777777" w:rsidR="00EF74C7" w:rsidRPr="002A677E" w:rsidRDefault="00EF74C7" w:rsidP="00822842">
            <w:pPr>
              <w:keepNext/>
              <w:spacing w:before="60"/>
              <w:rPr>
                <w:b/>
                <w:sz w:val="24"/>
                <w:u w:val="single"/>
                <w:rFonts w:ascii="Times New Roman" w:hAnsi="Times New Roman"/>
              </w:rPr>
            </w:pPr>
            <w:r>
              <w:rPr>
                <w:b/>
                <w:sz w:val="24"/>
                <w:u w:val="single"/>
                <w:rFonts w:ascii="Times New Roman" w:hAnsi="Times New Roman"/>
              </w:rPr>
              <w:t xml:space="preserve">VRIJEDNOST IZLOŽENOSTI</w:t>
            </w:r>
          </w:p>
          <w:p w14:paraId="27DEE9F6" w14:textId="77777777" w:rsidR="00EF74C7" w:rsidRPr="002A677E" w:rsidRDefault="00EF74C7" w:rsidP="00822842">
            <w:pPr>
              <w:keepNext/>
              <w:spacing w:before="60"/>
              <w:rPr>
                <w:b/>
                <w:sz w:val="24"/>
                <w:u w:val="single"/>
                <w:rFonts w:ascii="Times New Roman" w:hAnsi="Times New Roman"/>
              </w:rPr>
            </w:pPr>
            <w:r>
              <w:rPr>
                <w:sz w:val="24"/>
                <w:rFonts w:ascii="Times New Roman" w:hAnsi="Times New Roman"/>
              </w:rPr>
              <w:t xml:space="preserve">Vidjeti upute za stupac 0170 u obrascu C 34.02.</w:t>
            </w:r>
          </w:p>
        </w:tc>
      </w:tr>
      <w:tr w:rsidR="00EF74C7" w:rsidRPr="002A677E" w14:paraId="00801519" w14:textId="77777777" w:rsidTr="00822842">
        <w:trPr>
          <w:trHeight w:val="680"/>
        </w:trPr>
        <w:tc>
          <w:tcPr>
            <w:tcW w:w="1384" w:type="dxa"/>
          </w:tcPr>
          <w:p w14:paraId="12B481CF" w14:textId="77777777" w:rsidR="00EF74C7" w:rsidRPr="002A677E" w:rsidRDefault="00EF74C7" w:rsidP="00822842">
            <w:pPr>
              <w:pStyle w:val="Applicationdirecte"/>
              <w:spacing w:before="0" w:after="0"/>
            </w:pPr>
            <w:r>
              <w:t xml:space="preserve">0130</w:t>
            </w:r>
          </w:p>
        </w:tc>
        <w:tc>
          <w:tcPr>
            <w:tcW w:w="7655" w:type="dxa"/>
            <w:vAlign w:val="center"/>
          </w:tcPr>
          <w:p w14:paraId="31E4AF74" w14:textId="77777777" w:rsidR="00EF74C7" w:rsidRPr="002A677E" w:rsidRDefault="00EF74C7" w:rsidP="00822842">
            <w:pPr>
              <w:keepNext/>
              <w:spacing w:before="60"/>
              <w:rPr>
                <w:b/>
                <w:sz w:val="24"/>
                <w:u w:val="single"/>
                <w:rFonts w:ascii="Times New Roman" w:hAnsi="Times New Roman"/>
              </w:rPr>
            </w:pPr>
            <w:r>
              <w:rPr>
                <w:b/>
                <w:sz w:val="24"/>
                <w:u w:val="single"/>
                <w:rFonts w:ascii="Times New Roman" w:hAnsi="Times New Roman"/>
              </w:rPr>
              <w:t xml:space="preserve">IZNOSI IZLOŽENOSTI PONDERIRANI RIZIKOM</w:t>
            </w:r>
          </w:p>
          <w:p w14:paraId="2D2BB308" w14:textId="77777777" w:rsidR="00EF74C7" w:rsidRPr="002A677E" w:rsidRDefault="00EF74C7" w:rsidP="00822842">
            <w:pPr>
              <w:keepNext/>
              <w:spacing w:before="60"/>
              <w:rPr>
                <w:b/>
                <w:sz w:val="24"/>
                <w:u w:val="single"/>
                <w:rFonts w:ascii="Times New Roman" w:hAnsi="Times New Roman"/>
              </w:rPr>
            </w:pPr>
            <w:r>
              <w:rPr>
                <w:sz w:val="24"/>
                <w:rFonts w:ascii="Times New Roman" w:hAnsi="Times New Roman"/>
              </w:rPr>
              <w:t xml:space="preserve">Vidjeti upute za stupac 0200 u obrascu C 34.02.</w:t>
            </w:r>
          </w:p>
        </w:tc>
      </w:tr>
    </w:tbl>
    <w:p w14:paraId="4CB615BB" w14:textId="77777777" w:rsidR="00EF74C7" w:rsidRPr="002A677E" w:rsidRDefault="00EF74C7" w:rsidP="00EF74C7">
      <w:pPr>
        <w:pStyle w:val="Titlelevel2"/>
        <w:spacing w:before="120" w:after="120"/>
        <w:jc w:val="both"/>
        <w:rPr>
          <w:rFonts w:ascii="Times New Roman" w:hAnsi="Times New Roman" w:cs="Times New Roman"/>
          <w:color w:val="auto"/>
          <w:sz w:val="24"/>
          <w:lang w:val="en-GB"/>
        </w:rPr>
      </w:pPr>
    </w:p>
    <w:p w14:paraId="006C82E0" w14:textId="77777777" w:rsidR="00EF74C7" w:rsidRPr="002A677E" w:rsidRDefault="00EF74C7" w:rsidP="00EF74C7">
      <w:pPr>
        <w:pStyle w:val="Instructionsberschrift2"/>
        <w:numPr>
          <w:ilvl w:val="2"/>
          <w:numId w:val="29"/>
        </w:numPr>
        <w:rPr>
          <w:sz w:val="24"/>
          <w:rFonts w:ascii="Times New Roman" w:hAnsi="Times New Roman" w:cs="Times New Roman"/>
        </w:rPr>
      </w:pPr>
      <w:bookmarkStart w:id="48" w:name="_Toc19715819"/>
      <w:bookmarkStart w:id="49" w:name="_Toc151714459"/>
      <w:r>
        <w:rPr>
          <w:sz w:val="24"/>
          <w:rFonts w:ascii="Times New Roman" w:hAnsi="Times New Roman"/>
        </w:rPr>
        <w:t xml:space="preserve">C 34.07 – IRB pristup – Izloženosti kreditnom riziku druge ugovorne strane po kategoriji izloženosti i rasponu PD-a</w:t>
      </w:r>
      <w:bookmarkEnd w:id="48"/>
      <w:bookmarkEnd w:id="49"/>
      <w:r>
        <w:rPr>
          <w:sz w:val="24"/>
          <w:rFonts w:ascii="Times New Roman" w:hAnsi="Times New Roman"/>
        </w:rPr>
        <w:t xml:space="preserve"> </w:t>
      </w:r>
    </w:p>
    <w:p w14:paraId="5DE58571" w14:textId="77777777" w:rsidR="00EF74C7" w:rsidRPr="002A677E" w:rsidRDefault="00EF74C7" w:rsidP="00EF74C7">
      <w:pPr>
        <w:pStyle w:val="Instructionsberschrift2"/>
        <w:numPr>
          <w:ilvl w:val="3"/>
          <w:numId w:val="29"/>
        </w:numPr>
        <w:rPr>
          <w:sz w:val="24"/>
          <w:rFonts w:ascii="Times New Roman" w:hAnsi="Times New Roman" w:cs="Times New Roman"/>
        </w:rPr>
      </w:pPr>
      <w:bookmarkStart w:id="50" w:name="_Toc19715820"/>
      <w:bookmarkStart w:id="51" w:name="_Toc151714460"/>
      <w:r>
        <w:rPr>
          <w:sz w:val="24"/>
          <w:rFonts w:ascii="Times New Roman" w:hAnsi="Times New Roman"/>
        </w:rPr>
        <w:t xml:space="preserve">Opće napomene</w:t>
      </w:r>
      <w:bookmarkEnd w:id="50"/>
      <w:bookmarkEnd w:id="51"/>
    </w:p>
    <w:p w14:paraId="493D377D" w14:textId="08D4F1D7" w:rsidR="00EF74C7" w:rsidRPr="002A677E" w:rsidRDefault="00EF74C7" w:rsidP="00EF74C7">
      <w:pPr>
        <w:pStyle w:val="InstructionsText2"/>
        <w:numPr>
          <w:ilvl w:val="0"/>
          <w:numId w:val="0"/>
        </w:numPr>
        <w:ind w:left="993"/>
      </w:pPr>
      <w:r>
        <w:fldChar w:fldCharType="begin" w:dirty="true"/>
      </w:r>
      <w:r>
        <w:instrText>seq paragraphs</w:instrText>
      </w:r>
      <w:r>
        <w:fldChar w:fldCharType="separate"/>
      </w:r>
      <w:r w:rsidRPr="002A677E">
        <w:t>128</w:t>
      </w:r>
      <w:r>
        <w:fldChar w:fldCharType="end"/>
      </w:r>
      <w:r>
        <w:t xml:space="preserve">.</w:t>
      </w:r>
      <w:r>
        <w:t xml:space="preserve"> </w:t>
      </w:r>
      <w:r>
        <w:t xml:space="preserve">Ovaj obrazac dostavljaju institucije koje primjenjuju napredni ili osnovni IRB pristup za izračun iznosa izloženosti ponderiranih rizikom za sve ili dio svojih izloženosti kreditnom riziku druge ugovorne strane u skladu s člankom 107. Uredbe (EU) 575/2013, neovisno o pristupu kreditnom riziku druge ugovorne strane koji se primjenjuje za utvrđivanje vrijednosti izloženosti u skladu s dijelom trećim glavom II. poglavljima 4. i 6. Uredbe (EU) 575/2013.</w:t>
      </w:r>
      <w:r>
        <w:t xml:space="preserve"> </w:t>
      </w:r>
    </w:p>
    <w:p w14:paraId="4C8689E1" w14:textId="222A66BC" w:rsidR="00EF74C7" w:rsidRPr="002A677E" w:rsidRDefault="00EF74C7" w:rsidP="00EF74C7">
      <w:pPr>
        <w:pStyle w:val="InstructionsText2"/>
        <w:numPr>
          <w:ilvl w:val="0"/>
          <w:numId w:val="0"/>
        </w:numPr>
        <w:ind w:left="993"/>
      </w:pPr>
      <w:r>
        <w:fldChar w:fldCharType="begin" w:dirty="true"/>
      </w:r>
      <w:r>
        <w:instrText>seq paragraphs</w:instrText>
      </w:r>
      <w:r>
        <w:fldChar w:fldCharType="separate"/>
      </w:r>
      <w:r w:rsidRPr="002A677E">
        <w:t>129</w:t>
      </w:r>
      <w:r>
        <w:fldChar w:fldCharType="end"/>
      </w:r>
      <w:r>
        <w:t xml:space="preserve">.</w:t>
      </w:r>
      <w:r>
        <w:t xml:space="preserve"> </w:t>
      </w:r>
      <w:r>
        <w:t xml:space="preserve">Obrazac se dostavlja zasebno za ukupne kategorije izloženosti te zasebno za svaku kategoriju izloženosti navedenu u članku 147. Uredbe (EU) 575/2013.</w:t>
      </w:r>
      <w:r>
        <w:t xml:space="preserve"> </w:t>
      </w:r>
      <w:r>
        <w:t xml:space="preserve">U ovom se obrascu ne uključuju izloženosti koje su poravnane preko središnje druge ugovorne strane.</w:t>
      </w:r>
      <w:r>
        <w:t xml:space="preserve"> </w:t>
      </w:r>
    </w:p>
    <w:p w14:paraId="606463EA" w14:textId="4FB3F052" w:rsidR="00EF74C7" w:rsidRPr="002A677E" w:rsidRDefault="00EF74C7" w:rsidP="00EF74C7">
      <w:pPr>
        <w:pStyle w:val="InstructionsText2"/>
        <w:numPr>
          <w:ilvl w:val="0"/>
          <w:numId w:val="0"/>
        </w:numPr>
        <w:ind w:left="993"/>
      </w:pPr>
      <w:r>
        <w:fldChar w:fldCharType="begin" w:dirty="true"/>
      </w:r>
      <w:r>
        <w:instrText>seq paragraphs</w:instrText>
      </w:r>
      <w:r>
        <w:fldChar w:fldCharType="separate"/>
      </w:r>
      <w:r w:rsidRPr="002A677E">
        <w:t>130</w:t>
      </w:r>
      <w:r>
        <w:fldChar w:fldCharType="end"/>
      </w:r>
      <w:r>
        <w:t xml:space="preserve">.</w:t>
      </w:r>
      <w:r>
        <w:t xml:space="preserve"> </w:t>
      </w:r>
      <w:r>
        <w:t xml:space="preserve">Radi pojašnjenja koristi li institucija vlastite procjene LGD-a i/ili kreditnih konverzijskih faktora, za svaku iskazanu kategoriju izloženosti dostavljaju se sljedeće informacije:</w:t>
      </w:r>
    </w:p>
    <w:p w14:paraId="0659E66C" w14:textId="77777777" w:rsidR="00EF74C7" w:rsidRPr="002A677E" w:rsidRDefault="00EF74C7" w:rsidP="00EF74C7">
      <w:pPr>
        <w:autoSpaceDE w:val="0"/>
        <w:autoSpaceDN w:val="0"/>
        <w:adjustRightInd w:val="0"/>
        <w:spacing w:after="240"/>
        <w:ind w:left="709"/>
        <w:rPr>
          <w:sz w:val="24"/>
          <w:rFonts w:ascii="Times New Roman" w:hAnsi="Times New Roman"/>
        </w:rPr>
      </w:pPr>
      <w:r>
        <w:rPr>
          <w:sz w:val="24"/>
          <w:rFonts w:ascii="Times New Roman" w:hAnsi="Times New Roman"/>
        </w:rPr>
        <w:t xml:space="preserve">„NE” = ako se koriste nadzorne procjene LGD-a i kreditnih konverzijskih faktora (osnovni IRB pristup)</w:t>
      </w:r>
    </w:p>
    <w:p w14:paraId="41E96B9D" w14:textId="77777777" w:rsidR="00EF74C7" w:rsidRPr="002A677E" w:rsidRDefault="00EF74C7" w:rsidP="00EF74C7">
      <w:pPr>
        <w:autoSpaceDE w:val="0"/>
        <w:autoSpaceDN w:val="0"/>
        <w:adjustRightInd w:val="0"/>
        <w:spacing w:after="240"/>
        <w:ind w:left="709"/>
        <w:rPr>
          <w:sz w:val="24"/>
          <w:rFonts w:ascii="Times New Roman" w:hAnsi="Times New Roman"/>
        </w:rPr>
      </w:pPr>
      <w:r>
        <w:rPr>
          <w:sz w:val="24"/>
          <w:rFonts w:ascii="Times New Roman" w:hAnsi="Times New Roman"/>
        </w:rPr>
        <w:t xml:space="preserve">„DA” = ako se koriste vlastite procjene LGD-a i kreditnih konverzijskih faktora (napredni IRB pristup)</w:t>
      </w:r>
      <w:r>
        <w:rPr>
          <w:sz w:val="24"/>
          <w:rFonts w:ascii="Times New Roman" w:hAnsi="Times New Roman"/>
        </w:rPr>
        <w:t xml:space="preserve"> </w:t>
      </w:r>
    </w:p>
    <w:p w14:paraId="32D25096" w14:textId="77777777" w:rsidR="00EF74C7" w:rsidRPr="002A677E" w:rsidRDefault="00EF74C7" w:rsidP="00EF74C7">
      <w:pPr>
        <w:pStyle w:val="Instructionsberschrift2"/>
        <w:numPr>
          <w:ilvl w:val="3"/>
          <w:numId w:val="29"/>
        </w:numPr>
        <w:rPr>
          <w:sz w:val="24"/>
          <w:rFonts w:ascii="Times New Roman" w:hAnsi="Times New Roman" w:cs="Times New Roman"/>
        </w:rPr>
      </w:pPr>
      <w:bookmarkStart w:id="52" w:name="_Toc19715821"/>
      <w:bookmarkStart w:id="53" w:name="_Toc151714461"/>
      <w:r>
        <w:rPr>
          <w:sz w:val="24"/>
          <w:rFonts w:ascii="Times New Roman" w:hAnsi="Times New Roman"/>
        </w:rPr>
        <w:t xml:space="preserve">Upute za specifične pozicije</w:t>
      </w:r>
      <w:bookmarkEnd w:id="52"/>
      <w:bookmarkEnd w:id="53"/>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7"/>
      </w:tblGrid>
      <w:tr w:rsidR="00EF74C7" w:rsidRPr="002A677E" w14:paraId="0D87515F" w14:textId="77777777" w:rsidTr="00822842">
        <w:trPr>
          <w:trHeight w:val="238"/>
        </w:trPr>
        <w:tc>
          <w:tcPr>
            <w:tcW w:w="9067" w:type="dxa"/>
            <w:shd w:val="clear" w:color="auto" w:fill="D9D9D9" w:themeFill="background1" w:themeFillShade="D9"/>
          </w:tcPr>
          <w:p w14:paraId="496A4935" w14:textId="77777777" w:rsidR="00EF74C7" w:rsidRPr="002A677E" w:rsidRDefault="00EF74C7" w:rsidP="00822842">
            <w:pPr>
              <w:autoSpaceDE w:val="0"/>
              <w:autoSpaceDN w:val="0"/>
              <w:adjustRightInd w:val="0"/>
              <w:rPr>
                <w:b/>
                <w:sz w:val="24"/>
                <w:rFonts w:ascii="Times New Roman" w:hAnsi="Times New Roman"/>
              </w:rPr>
            </w:pPr>
            <w:r>
              <w:rPr>
                <w:b/>
                <w:sz w:val="24"/>
                <w:rFonts w:ascii="Times New Roman" w:hAnsi="Times New Roman"/>
              </w:rPr>
              <w:t xml:space="preserve">Stupci</w:t>
            </w:r>
          </w:p>
        </w:tc>
      </w:tr>
    </w:tbl>
    <w:tbl>
      <w:tblPr>
        <w:tblStyle w:val="TableGrid"/>
        <w:tblW w:w="9067" w:type="dxa"/>
        <w:tblLook w:val="04A0" w:firstRow="1" w:lastRow="0" w:firstColumn="1" w:lastColumn="0" w:noHBand="0" w:noVBand="1"/>
      </w:tblPr>
      <w:tblGrid>
        <w:gridCol w:w="1413"/>
        <w:gridCol w:w="7654"/>
      </w:tblGrid>
      <w:tr w:rsidR="00EF74C7" w:rsidRPr="002A677E" w14:paraId="5CB4A790" w14:textId="77777777" w:rsidTr="00822842">
        <w:tc>
          <w:tcPr>
            <w:tcW w:w="1413" w:type="dxa"/>
          </w:tcPr>
          <w:p w14:paraId="1B495832" w14:textId="77777777" w:rsidR="00EF74C7" w:rsidRPr="002A677E" w:rsidRDefault="00EF74C7" w:rsidP="00822842">
            <w:pPr>
              <w:spacing w:before="60" w:after="240"/>
              <w:rPr>
                <w:sz w:val="24"/>
                <w:szCs w:val="22"/>
                <w:rFonts w:ascii="Times New Roman" w:hAnsi="Times New Roman"/>
              </w:rPr>
            </w:pPr>
            <w:r>
              <w:rPr>
                <w:sz w:val="24"/>
                <w:rFonts w:ascii="Times New Roman" w:hAnsi="Times New Roman"/>
              </w:rPr>
              <w:t xml:space="preserve">0010</w:t>
            </w:r>
          </w:p>
        </w:tc>
        <w:tc>
          <w:tcPr>
            <w:tcW w:w="7654" w:type="dxa"/>
          </w:tcPr>
          <w:p w14:paraId="67C92FDB" w14:textId="77777777" w:rsidR="00EF74C7" w:rsidRPr="001235ED" w:rsidRDefault="00EF74C7" w:rsidP="00822842">
            <w:pPr>
              <w:spacing w:before="60"/>
              <w:rPr>
                <w:rStyle w:val="InstructionsTabelleberschrift"/>
                <w:sz w:val="24"/>
                <w:rFonts w:ascii="Times New Roman" w:hAnsi="Times New Roman"/>
              </w:rPr>
            </w:pPr>
            <w:r>
              <w:rPr>
                <w:rStyle w:val="InstructionsTabelleberschrift"/>
                <w:sz w:val="24"/>
                <w:rFonts w:ascii="Times New Roman" w:hAnsi="Times New Roman"/>
              </w:rPr>
              <w:t xml:space="preserve">Vrijednost izloženosti</w:t>
            </w:r>
            <w:r>
              <w:rPr>
                <w:rStyle w:val="InstructionsTabelleberschrift"/>
                <w:sz w:val="24"/>
                <w:rFonts w:ascii="Times New Roman" w:hAnsi="Times New Roman"/>
              </w:rPr>
              <w:t xml:space="preserve"> </w:t>
            </w:r>
          </w:p>
          <w:p w14:paraId="2C3DDF84" w14:textId="77777777" w:rsidR="00EF74C7" w:rsidRPr="002A677E" w:rsidRDefault="00EF74C7" w:rsidP="00822842">
            <w:pPr>
              <w:spacing w:before="60" w:after="240"/>
              <w:rPr>
                <w:sz w:val="24"/>
                <w:rFonts w:ascii="Times New Roman" w:hAnsi="Times New Roman"/>
              </w:rPr>
            </w:pPr>
            <w:r>
              <w:rPr>
                <w:sz w:val="24"/>
                <w:rFonts w:ascii="Times New Roman" w:hAnsi="Times New Roman"/>
              </w:rPr>
              <w:t xml:space="preserve">Vrijednost izloženosti (vidjeti upute za stupac 0170 u obrascu C 34.02)</w:t>
            </w:r>
            <w:r>
              <w:rPr>
                <w:sz w:val="24"/>
                <w:i/>
                <w:rFonts w:ascii="Times New Roman" w:hAnsi="Times New Roman"/>
              </w:rPr>
              <w:t xml:space="preserve">,</w:t>
            </w:r>
            <w:r>
              <w:rPr>
                <w:sz w:val="24"/>
                <w:rFonts w:ascii="Times New Roman" w:hAnsi="Times New Roman"/>
              </w:rPr>
              <w:t xml:space="preserve"> raščlanjena prema PD rasponu</w:t>
            </w:r>
          </w:p>
        </w:tc>
      </w:tr>
      <w:tr w:rsidR="00EF74C7" w:rsidRPr="002A677E" w14:paraId="7A3BA614" w14:textId="77777777" w:rsidTr="00822842">
        <w:tc>
          <w:tcPr>
            <w:tcW w:w="1413" w:type="dxa"/>
          </w:tcPr>
          <w:p w14:paraId="198D2CA3" w14:textId="77777777" w:rsidR="00EF74C7" w:rsidRPr="002A677E" w:rsidRDefault="00EF74C7" w:rsidP="00822842">
            <w:pPr>
              <w:spacing w:before="60" w:after="240"/>
              <w:rPr>
                <w:sz w:val="24"/>
                <w:szCs w:val="22"/>
                <w:rFonts w:ascii="Times New Roman" w:hAnsi="Times New Roman"/>
              </w:rPr>
            </w:pPr>
            <w:r>
              <w:rPr>
                <w:sz w:val="24"/>
                <w:rFonts w:ascii="Times New Roman" w:hAnsi="Times New Roman"/>
              </w:rPr>
              <w:t xml:space="preserve">0020</w:t>
            </w:r>
          </w:p>
        </w:tc>
        <w:tc>
          <w:tcPr>
            <w:tcW w:w="7654" w:type="dxa"/>
          </w:tcPr>
          <w:p w14:paraId="57F61D37" w14:textId="77777777" w:rsidR="00EF74C7" w:rsidRPr="001235ED" w:rsidRDefault="00EF74C7" w:rsidP="00822842">
            <w:pPr>
              <w:spacing w:before="60" w:after="240"/>
              <w:rPr>
                <w:rStyle w:val="InstructionsTabelleberschrift"/>
                <w:sz w:val="24"/>
                <w:rFonts w:ascii="Times New Roman" w:hAnsi="Times New Roman"/>
              </w:rPr>
            </w:pPr>
            <w:r>
              <w:rPr>
                <w:rStyle w:val="InstructionsTabelleberschrift"/>
                <w:sz w:val="24"/>
                <w:rFonts w:ascii="Times New Roman" w:hAnsi="Times New Roman"/>
              </w:rPr>
              <w:t xml:space="preserve">Izloženošću ponderiran prosječni PD (%)</w:t>
            </w:r>
          </w:p>
          <w:p w14:paraId="17CBA312" w14:textId="77777777" w:rsidR="00EF74C7" w:rsidRPr="002A677E" w:rsidRDefault="00EF74C7" w:rsidP="00822842">
            <w:pPr>
              <w:spacing w:before="60" w:after="240"/>
              <w:rPr>
                <w:sz w:val="24"/>
                <w:rFonts w:ascii="Times New Roman" w:hAnsi="Times New Roman"/>
              </w:rPr>
            </w:pPr>
            <w:r>
              <w:rPr>
                <w:sz w:val="24"/>
                <w:rFonts w:ascii="Times New Roman" w:hAnsi="Times New Roman"/>
              </w:rPr>
              <w:t xml:space="preserve">Prosječni PD pojedinih rejting kategorija dužnika ponderiran odgovarajućom vrijednosti izloženosti kako je definirana u stupcu 0010.</w:t>
            </w:r>
          </w:p>
        </w:tc>
      </w:tr>
      <w:tr w:rsidR="00EF74C7" w:rsidRPr="002A677E" w14:paraId="463531AA" w14:textId="77777777" w:rsidTr="00822842">
        <w:tc>
          <w:tcPr>
            <w:tcW w:w="1413" w:type="dxa"/>
          </w:tcPr>
          <w:p w14:paraId="5D5F447A" w14:textId="77777777" w:rsidR="00EF74C7" w:rsidRPr="002A677E" w:rsidRDefault="00EF74C7" w:rsidP="00822842">
            <w:pPr>
              <w:spacing w:before="60" w:after="240"/>
              <w:rPr>
                <w:sz w:val="24"/>
                <w:szCs w:val="22"/>
                <w:rFonts w:ascii="Times New Roman" w:hAnsi="Times New Roman"/>
              </w:rPr>
            </w:pPr>
            <w:r>
              <w:rPr>
                <w:sz w:val="24"/>
                <w:rFonts w:ascii="Times New Roman" w:hAnsi="Times New Roman"/>
              </w:rPr>
              <w:t xml:space="preserve">0030</w:t>
            </w:r>
          </w:p>
        </w:tc>
        <w:tc>
          <w:tcPr>
            <w:tcW w:w="7654" w:type="dxa"/>
          </w:tcPr>
          <w:p w14:paraId="2AD2D5DC" w14:textId="77777777" w:rsidR="00EF74C7" w:rsidRPr="001235ED" w:rsidRDefault="00EF74C7" w:rsidP="00822842">
            <w:pPr>
              <w:spacing w:before="60"/>
              <w:rPr>
                <w:rStyle w:val="InstructionsTabelleberschrift"/>
                <w:sz w:val="24"/>
                <w:rFonts w:ascii="Times New Roman" w:hAnsi="Times New Roman"/>
              </w:rPr>
            </w:pPr>
            <w:r>
              <w:rPr>
                <w:rStyle w:val="InstructionsTabelleberschrift"/>
                <w:sz w:val="24"/>
                <w:rFonts w:ascii="Times New Roman" w:hAnsi="Times New Roman"/>
              </w:rPr>
              <w:t xml:space="preserve">Broj dužnika</w:t>
            </w:r>
            <w:r>
              <w:rPr>
                <w:rStyle w:val="InstructionsTabelleberschrift"/>
                <w:sz w:val="24"/>
                <w:rFonts w:ascii="Times New Roman" w:hAnsi="Times New Roman"/>
              </w:rPr>
              <w:t xml:space="preserve"> </w:t>
            </w:r>
          </w:p>
          <w:p w14:paraId="75633515" w14:textId="77777777" w:rsidR="00EF74C7" w:rsidRPr="002A677E" w:rsidRDefault="00EF74C7" w:rsidP="00822842">
            <w:pPr>
              <w:rPr>
                <w:sz w:val="24"/>
                <w:rFonts w:ascii="Times New Roman" w:hAnsi="Times New Roman"/>
              </w:rPr>
            </w:pPr>
            <w:r>
              <w:rPr>
                <w:sz w:val="24"/>
                <w:rFonts w:ascii="Times New Roman" w:hAnsi="Times New Roman"/>
              </w:rPr>
              <w:t xml:space="preserve">broj pravnih subjekata ili dužnika raspoređenih u svaki razred fiksnog PD raspona, kojima je dodijeljen zasebni rejting, bez obzira na broj različitih odobrenih kredita ili izloženosti.</w:t>
            </w:r>
          </w:p>
          <w:p w14:paraId="79F85080" w14:textId="77777777" w:rsidR="00EF74C7" w:rsidRPr="002A677E" w:rsidRDefault="00EF74C7" w:rsidP="00822842">
            <w:pPr>
              <w:rPr>
                <w:sz w:val="24"/>
                <w:rFonts w:ascii="Times New Roman" w:hAnsi="Times New Roman"/>
              </w:rPr>
            </w:pPr>
            <w:r>
              <w:rPr>
                <w:sz w:val="24"/>
                <w:rFonts w:ascii="Times New Roman" w:hAnsi="Times New Roman"/>
              </w:rPr>
              <w:t xml:space="preserve">Ako se različite izloženosti prema istom dužniku zasebno ocjenjuju, računaju se zasebno.</w:t>
            </w:r>
            <w:r>
              <w:rPr>
                <w:sz w:val="24"/>
                <w:rFonts w:ascii="Times New Roman" w:hAnsi="Times New Roman"/>
              </w:rPr>
              <w:t xml:space="preserve"> </w:t>
            </w:r>
            <w:r>
              <w:rPr>
                <w:sz w:val="24"/>
                <w:rFonts w:ascii="Times New Roman" w:hAnsi="Times New Roman"/>
              </w:rPr>
              <w:t xml:space="preserve">Takva je situacija moguća ako su pojedinačne izloženosti prema istom dužniku raspoređene u različite rejting kategorije u skladu s člankom 172. stavkom 1. točkom (e) drugom rečenicom Uredbe (EU) 575/2013.</w:t>
            </w:r>
          </w:p>
        </w:tc>
      </w:tr>
      <w:tr w:rsidR="00EF74C7" w:rsidRPr="002A677E" w14:paraId="239943F5" w14:textId="77777777" w:rsidTr="00822842">
        <w:tc>
          <w:tcPr>
            <w:tcW w:w="1413" w:type="dxa"/>
          </w:tcPr>
          <w:p w14:paraId="01BF27A5" w14:textId="77777777" w:rsidR="00EF74C7" w:rsidRPr="002A677E" w:rsidRDefault="00EF74C7" w:rsidP="00822842">
            <w:pPr>
              <w:spacing w:before="60" w:after="240"/>
              <w:rPr>
                <w:sz w:val="24"/>
                <w:szCs w:val="22"/>
                <w:rFonts w:ascii="Times New Roman" w:hAnsi="Times New Roman"/>
              </w:rPr>
            </w:pPr>
            <w:r>
              <w:rPr>
                <w:sz w:val="24"/>
                <w:rFonts w:ascii="Times New Roman" w:hAnsi="Times New Roman"/>
              </w:rPr>
              <w:t xml:space="preserve">0040</w:t>
            </w:r>
          </w:p>
        </w:tc>
        <w:tc>
          <w:tcPr>
            <w:tcW w:w="7654" w:type="dxa"/>
          </w:tcPr>
          <w:p w14:paraId="1D60931A" w14:textId="77777777" w:rsidR="00EF74C7" w:rsidRPr="001235ED" w:rsidRDefault="00EF74C7" w:rsidP="00822842">
            <w:pPr>
              <w:spacing w:before="60" w:after="240"/>
              <w:rPr>
                <w:rStyle w:val="InstructionsTabelleberschrift"/>
                <w:sz w:val="24"/>
                <w:rFonts w:ascii="Times New Roman" w:hAnsi="Times New Roman"/>
              </w:rPr>
            </w:pPr>
            <w:r>
              <w:rPr>
                <w:rStyle w:val="InstructionsTabelleberschrift"/>
                <w:sz w:val="24"/>
                <w:rFonts w:ascii="Times New Roman" w:hAnsi="Times New Roman"/>
              </w:rPr>
              <w:t xml:space="preserve">Prosječni LGD ponderiran visinom izloženosti(%)</w:t>
            </w:r>
          </w:p>
          <w:p w14:paraId="1CF7FBBB" w14:textId="77777777" w:rsidR="00EF74C7" w:rsidRPr="002A677E" w:rsidRDefault="00EF74C7" w:rsidP="00822842">
            <w:pPr>
              <w:spacing w:before="60" w:after="240"/>
              <w:rPr>
                <w:sz w:val="24"/>
                <w:rFonts w:ascii="Times New Roman" w:hAnsi="Times New Roman"/>
              </w:rPr>
            </w:pPr>
            <w:r>
              <w:rPr>
                <w:sz w:val="24"/>
                <w:rFonts w:ascii="Times New Roman" w:hAnsi="Times New Roman"/>
              </w:rPr>
              <w:t xml:space="preserve">Prosječni LGD rejting kategorije dužnika ponderiran odgovarajućom vrijednosti izloženosti kako je definirana u stupcu 0010.</w:t>
            </w:r>
          </w:p>
          <w:p w14:paraId="7080F0A6" w14:textId="080029A0" w:rsidR="00EF74C7" w:rsidRPr="002A677E" w:rsidRDefault="00EF74C7" w:rsidP="00822842">
            <w:pPr>
              <w:rPr>
                <w:sz w:val="24"/>
                <w:rFonts w:ascii="Times New Roman" w:hAnsi="Times New Roman"/>
              </w:rPr>
            </w:pPr>
            <w:r>
              <w:rPr>
                <w:sz w:val="24"/>
                <w:rFonts w:ascii="Times New Roman" w:hAnsi="Times New Roman"/>
              </w:rPr>
              <w:t xml:space="preserve">Iskazani LGD odgovara završnoj procjeni LGD-a koja je korištena u izračunu iznosa ponderiranih rizikom dobivenih nakon razmatranja svih učinaka smanjenja kreditnog rizika i okolnosti recesije kako su navedeni u dijelu trećem glavi II. poglavljima 3. i 4. Uredbe (EU) br. 575/2013 ako je relevantno.</w:t>
            </w:r>
            <w:r>
              <w:rPr>
                <w:sz w:val="24"/>
                <w:rFonts w:ascii="Times New Roman" w:hAnsi="Times New Roman"/>
              </w:rPr>
              <w:t xml:space="preserve"> </w:t>
            </w:r>
            <w:r>
              <w:rPr>
                <w:sz w:val="24"/>
                <w:rFonts w:ascii="Times New Roman" w:hAnsi="Times New Roman"/>
              </w:rPr>
              <w:t xml:space="preserve">Osobito, za institucije koje primjenjuju IRB pristup, ali ne primjenjuju vlastite procjene LGD-a, učinci smanjenja rizika financijskog kolaterala odražavaju se u E*, potpuno prilagođenoj vrijednosti izloženosti, a zatim u LGD* u skladu s člankom 230. Uredbe (EU) 575/2013.</w:t>
            </w:r>
            <w:r>
              <w:rPr>
                <w:sz w:val="24"/>
                <w:rFonts w:ascii="Times New Roman" w:hAnsi="Times New Roman"/>
              </w:rPr>
              <w:t xml:space="preserve"> </w:t>
            </w:r>
            <w:r>
              <w:rPr>
                <w:sz w:val="24"/>
                <w:rFonts w:ascii="Times New Roman" w:hAnsi="Times New Roman"/>
              </w:rPr>
              <w:t xml:space="preserve">Ako se ne primjenjuju vlastite procjene LGD-a, u obzir se uzima članak 175. i članak 181. stavci 1. i 2. Uredbe (EU) 575/2013.</w:t>
            </w:r>
          </w:p>
          <w:p w14:paraId="1D9D0798" w14:textId="77777777" w:rsidR="00EF74C7" w:rsidRPr="002A677E" w:rsidRDefault="00EF74C7" w:rsidP="00822842">
            <w:pPr>
              <w:rPr>
                <w:sz w:val="24"/>
                <w:rFonts w:ascii="Times New Roman" w:hAnsi="Times New Roman"/>
              </w:rPr>
            </w:pPr>
            <w:r>
              <w:rPr>
                <w:sz w:val="24"/>
                <w:rFonts w:ascii="Times New Roman" w:hAnsi="Times New Roman"/>
              </w:rPr>
              <w:t xml:space="preserve">U slučaju izloženosti na koje se primjenjuje tretman dvostrukog statusa neispunjavanja obveza, LGD koji se iskazuje odgovara LGD-u odabranom u skladu s člankom 161. stavkom 4. Uredbe (EU) br. 575/2013.</w:t>
            </w:r>
          </w:p>
          <w:p w14:paraId="2C390C4A" w14:textId="77777777" w:rsidR="00EF74C7" w:rsidRPr="002A677E" w:rsidRDefault="00EF74C7" w:rsidP="00822842">
            <w:pPr>
              <w:spacing w:before="60" w:after="240"/>
              <w:rPr>
                <w:strike/>
                <w:sz w:val="24"/>
                <w:rFonts w:ascii="Times New Roman" w:hAnsi="Times New Roman"/>
              </w:rPr>
            </w:pPr>
            <w:r>
              <w:rPr>
                <w:sz w:val="24"/>
                <w:rFonts w:ascii="Times New Roman" w:hAnsi="Times New Roman"/>
              </w:rPr>
              <w:t xml:space="preserve">Za izloženosti u statusu neispunjavanja obveza u skladu s A-IRB pristupom, uzimaju se u obzir odredbe članka 181. stavka 1. točke (h) Uredbe (EU) br. 575/2013.</w:t>
            </w:r>
            <w:r>
              <w:rPr>
                <w:sz w:val="24"/>
                <w:rFonts w:ascii="Times New Roman" w:hAnsi="Times New Roman"/>
              </w:rPr>
              <w:t xml:space="preserve"> </w:t>
            </w:r>
            <w:r>
              <w:rPr>
                <w:sz w:val="24"/>
                <w:rFonts w:ascii="Times New Roman" w:hAnsi="Times New Roman"/>
              </w:rPr>
              <w:t xml:space="preserve">Iskazani LGD odgovara procjeni LGD-a u statusu neispunjavanja obveza.</w:t>
            </w:r>
            <w:r>
              <w:rPr>
                <w:sz w:val="24"/>
                <w:rFonts w:ascii="Times New Roman" w:hAnsi="Times New Roman"/>
              </w:rPr>
              <w:t xml:space="preserve"> </w:t>
            </w:r>
          </w:p>
        </w:tc>
      </w:tr>
      <w:tr w:rsidR="00EF74C7" w:rsidRPr="002A677E" w14:paraId="6EA42417" w14:textId="77777777" w:rsidTr="00822842">
        <w:tc>
          <w:tcPr>
            <w:tcW w:w="1413" w:type="dxa"/>
          </w:tcPr>
          <w:p w14:paraId="49D0D602" w14:textId="77777777" w:rsidR="00EF74C7" w:rsidRPr="002A677E" w:rsidRDefault="00EF74C7" w:rsidP="00822842">
            <w:pPr>
              <w:spacing w:before="60" w:after="240"/>
              <w:rPr>
                <w:sz w:val="24"/>
                <w:rFonts w:ascii="Times New Roman" w:hAnsi="Times New Roman"/>
              </w:rPr>
            </w:pPr>
            <w:r>
              <w:rPr>
                <w:sz w:val="24"/>
                <w:rFonts w:ascii="Times New Roman" w:hAnsi="Times New Roman"/>
              </w:rPr>
              <w:t xml:space="preserve">0050</w:t>
            </w:r>
          </w:p>
        </w:tc>
        <w:tc>
          <w:tcPr>
            <w:tcW w:w="7654" w:type="dxa"/>
          </w:tcPr>
          <w:p w14:paraId="6BAEF9EB" w14:textId="77777777" w:rsidR="00EF74C7" w:rsidRPr="001235ED" w:rsidRDefault="00EF74C7" w:rsidP="00822842">
            <w:pPr>
              <w:spacing w:before="60"/>
              <w:rPr>
                <w:rStyle w:val="InstructionsTabelleberschrift"/>
                <w:sz w:val="24"/>
                <w:rFonts w:ascii="Times New Roman" w:hAnsi="Times New Roman"/>
              </w:rPr>
            </w:pPr>
            <w:r>
              <w:rPr>
                <w:rStyle w:val="InstructionsTabelleberschrift"/>
                <w:sz w:val="24"/>
                <w:rFonts w:ascii="Times New Roman" w:hAnsi="Times New Roman"/>
              </w:rPr>
              <w:t xml:space="preserve">Ponderirani prosjek dospijeća izloženosti (godine)</w:t>
            </w:r>
          </w:p>
          <w:p w14:paraId="32B69B7E" w14:textId="77777777" w:rsidR="00EF74C7" w:rsidRPr="002A677E" w:rsidRDefault="00EF74C7" w:rsidP="00822842">
            <w:pPr>
              <w:spacing w:before="60"/>
              <w:rPr>
                <w:sz w:val="24"/>
                <w:rFonts w:ascii="Times New Roman" w:hAnsi="Times New Roman"/>
              </w:rPr>
            </w:pPr>
            <w:r>
              <w:rPr>
                <w:sz w:val="24"/>
                <w:rStyle w:val="InstructionsTabelleberschrift"/>
                <w:b w:val="0"/>
                <w:u w:val="none"/>
                <w:rFonts w:ascii="Times New Roman" w:hAnsi="Times New Roman"/>
              </w:rPr>
              <w:t xml:space="preserve">Prosjek</w:t>
            </w:r>
            <w:r>
              <w:rPr>
                <w:sz w:val="24"/>
                <w:rFonts w:ascii="Times New Roman" w:hAnsi="Times New Roman"/>
              </w:rPr>
              <w:t xml:space="preserve"> dužnikovih dospijeća u godinama ponderiran odgovarajućom vrijednosti izloženosti kako je definirana u stupcu 0010</w:t>
            </w:r>
          </w:p>
          <w:p w14:paraId="2277F2A3" w14:textId="77777777" w:rsidR="00EF74C7" w:rsidRPr="002A677E" w:rsidRDefault="00EF74C7" w:rsidP="00822842">
            <w:pPr>
              <w:rPr>
                <w:sz w:val="24"/>
                <w:rFonts w:ascii="Times New Roman" w:hAnsi="Times New Roman"/>
              </w:rPr>
            </w:pPr>
            <w:r>
              <w:rPr>
                <w:sz w:val="24"/>
                <w:rFonts w:ascii="Times New Roman" w:hAnsi="Times New Roman"/>
              </w:rPr>
              <w:t xml:space="preserve">Dospijeće se utvrđuje u skladu s člankom 162. Uredbe (EU) br. 575/2013.</w:t>
            </w:r>
            <w:r>
              <w:rPr>
                <w:sz w:val="24"/>
                <w:rFonts w:ascii="Times New Roman" w:hAnsi="Times New Roman"/>
              </w:rPr>
              <w:t xml:space="preserve"> </w:t>
            </w:r>
          </w:p>
        </w:tc>
      </w:tr>
      <w:tr w:rsidR="00EF74C7" w:rsidRPr="002A677E" w14:paraId="5B18C05A" w14:textId="77777777" w:rsidTr="00822842">
        <w:tc>
          <w:tcPr>
            <w:tcW w:w="1413" w:type="dxa"/>
          </w:tcPr>
          <w:p w14:paraId="2A096E22" w14:textId="77777777" w:rsidR="00EF74C7" w:rsidRPr="002A677E" w:rsidRDefault="00EF74C7" w:rsidP="00822842">
            <w:pPr>
              <w:spacing w:before="60" w:after="240"/>
              <w:rPr>
                <w:sz w:val="24"/>
              </w:rPr>
            </w:pPr>
            <w:r>
              <w:rPr>
                <w:sz w:val="24"/>
                <w:rFonts w:ascii="Times New Roman" w:hAnsi="Times New Roman"/>
              </w:rPr>
              <w:t xml:space="preserve">0060</w:t>
            </w:r>
          </w:p>
        </w:tc>
        <w:tc>
          <w:tcPr>
            <w:tcW w:w="7654" w:type="dxa"/>
          </w:tcPr>
          <w:p w14:paraId="46D2D7DB" w14:textId="77777777" w:rsidR="00EF74C7" w:rsidRPr="002A677E" w:rsidRDefault="00EF74C7" w:rsidP="00822842">
            <w:pPr>
              <w:spacing w:before="60"/>
              <w:rPr>
                <w:sz w:val="24"/>
                <w:rFonts w:ascii="Times New Roman" w:hAnsi="Times New Roman"/>
              </w:rPr>
            </w:pPr>
            <w:r>
              <w:rPr>
                <w:sz w:val="24"/>
                <w:rStyle w:val="InstructionsTabelleberschrift"/>
                <w:rFonts w:ascii="Times New Roman" w:hAnsi="Times New Roman"/>
              </w:rPr>
              <w:t xml:space="preserve">Iznosi izloženosti ponderirani rizikom</w:t>
            </w:r>
            <w:r>
              <w:rPr>
                <w:sz w:val="24"/>
                <w:i/>
                <w:rFonts w:ascii="Times New Roman" w:hAnsi="Times New Roman"/>
              </w:rPr>
              <w:t xml:space="preserve"> </w:t>
            </w:r>
          </w:p>
          <w:p w14:paraId="21AFCDAB" w14:textId="09499DC5" w:rsidR="00EF74C7" w:rsidRPr="002A677E" w:rsidRDefault="00EF74C7" w:rsidP="00822842">
            <w:pPr>
              <w:spacing w:before="60"/>
              <w:rPr>
                <w:sz w:val="24"/>
                <w:rFonts w:ascii="Times New Roman" w:hAnsi="Times New Roman"/>
              </w:rPr>
            </w:pPr>
            <w:r>
              <w:rPr>
                <w:sz w:val="24"/>
                <w:rFonts w:ascii="Times New Roman" w:hAnsi="Times New Roman"/>
              </w:rPr>
              <w:t xml:space="preserve">Iznosi izloženosti ponderirani rizikom, kako su definirani u članku 92. stavku 3. Uredbe (EU) 575/2013, za pozicije za koje se ponderi rizika procjenjuju na temelju zahtjeva utvrđenih u dijelu trećem glavi II. poglavlju 3. Uredbe (EU) 575/2013 i za koje se vrijednost izloženosti za izloženosti kreditnom riziku druge ugovorne strane izračunava u skladu s dijelom trećim glavom II. poglavljima 4. i 6. te uredbe.</w:t>
            </w:r>
            <w:r>
              <w:rPr>
                <w:sz w:val="24"/>
                <w:rFonts w:ascii="Times New Roman" w:hAnsi="Times New Roman"/>
              </w:rPr>
              <w:t xml:space="preserve"> </w:t>
            </w:r>
          </w:p>
          <w:p w14:paraId="7071DC2E" w14:textId="77777777" w:rsidR="00EF74C7" w:rsidRPr="002A677E" w:rsidRDefault="00EF74C7" w:rsidP="00822842">
            <w:pPr>
              <w:spacing w:before="60" w:after="240"/>
              <w:rPr>
                <w:i/>
                <w:sz w:val="24"/>
                <w:rFonts w:ascii="Times New Roman" w:hAnsi="Times New Roman"/>
              </w:rPr>
            </w:pPr>
            <w:r>
              <w:rPr>
                <w:sz w:val="24"/>
                <w:rFonts w:ascii="Times New Roman" w:hAnsi="Times New Roman"/>
              </w:rPr>
              <w:t xml:space="preserve">Pomoćni faktori za MSP-ove i infrastrukturu iz članaka 501. i 501.a Uredbe (EU) br. 575/2013 uzimaju se u obzir.</w:t>
            </w:r>
            <w:r>
              <w:rPr>
                <w:sz w:val="24"/>
                <w:rFonts w:ascii="Times New Roman" w:hAnsi="Times New Roman"/>
              </w:rPr>
              <w:t xml:space="preserve"> </w:t>
            </w:r>
          </w:p>
        </w:tc>
      </w:tr>
      <w:tr w:rsidR="00EF74C7" w:rsidRPr="002A677E" w14:paraId="4BA3B7AB" w14:textId="77777777" w:rsidTr="00822842">
        <w:tc>
          <w:tcPr>
            <w:tcW w:w="1413" w:type="dxa"/>
          </w:tcPr>
          <w:p w14:paraId="5F982F69" w14:textId="77777777" w:rsidR="00EF74C7" w:rsidRPr="002A677E" w:rsidRDefault="00EF74C7" w:rsidP="00822842">
            <w:pPr>
              <w:spacing w:before="60" w:after="240"/>
              <w:rPr>
                <w:sz w:val="24"/>
              </w:rPr>
            </w:pPr>
            <w:r>
              <w:rPr>
                <w:sz w:val="24"/>
                <w:rFonts w:ascii="Times New Roman" w:hAnsi="Times New Roman"/>
              </w:rPr>
              <w:t xml:space="preserve">0070</w:t>
            </w:r>
          </w:p>
        </w:tc>
        <w:tc>
          <w:tcPr>
            <w:tcW w:w="7654" w:type="dxa"/>
          </w:tcPr>
          <w:p w14:paraId="6C5FAC81" w14:textId="77777777" w:rsidR="00EF74C7" w:rsidRPr="001235ED" w:rsidRDefault="00EF74C7" w:rsidP="00822842">
            <w:pPr>
              <w:spacing w:before="60"/>
              <w:rPr>
                <w:rStyle w:val="InstructionsTabelleberschrift"/>
                <w:sz w:val="24"/>
                <w:rFonts w:ascii="Times New Roman" w:hAnsi="Times New Roman"/>
              </w:rPr>
            </w:pPr>
            <w:r>
              <w:rPr>
                <w:rStyle w:val="InstructionsTabelleberschrift"/>
                <w:sz w:val="24"/>
                <w:rFonts w:ascii="Times New Roman" w:hAnsi="Times New Roman"/>
              </w:rPr>
              <w:t xml:space="preserve">Gustoća iznosa izloženosti ponderiranih rizikom</w:t>
            </w:r>
            <w:r>
              <w:rPr>
                <w:rStyle w:val="InstructionsTabelleberschrift"/>
                <w:sz w:val="24"/>
                <w:rFonts w:ascii="Times New Roman" w:hAnsi="Times New Roman"/>
              </w:rPr>
              <w:t xml:space="preserve"> </w:t>
            </w:r>
          </w:p>
          <w:p w14:paraId="2D69B724" w14:textId="77777777" w:rsidR="00EF74C7" w:rsidRPr="002A677E" w:rsidDel="00291448" w:rsidRDefault="00EF74C7" w:rsidP="00822842">
            <w:pPr>
              <w:spacing w:before="60"/>
              <w:rPr>
                <w:sz w:val="24"/>
                <w:rFonts w:ascii="Times New Roman" w:hAnsi="Times New Roman"/>
              </w:rPr>
            </w:pPr>
            <w:r>
              <w:rPr>
                <w:sz w:val="24"/>
                <w:rFonts w:ascii="Times New Roman" w:hAnsi="Times New Roman"/>
              </w:rPr>
              <w:t xml:space="preserve">Omjer ukupnih iznosa izloženosti ponderiranih rizikom (iskazani u stupcu 0060) i vrijednosti izloženosti (iskazana u stupcu 0010)</w:t>
            </w:r>
          </w:p>
        </w:tc>
      </w:tr>
    </w:tbl>
    <w:p w14:paraId="62CA01EC" w14:textId="77777777" w:rsidR="00EF74C7" w:rsidRPr="002A677E" w:rsidRDefault="00EF74C7" w:rsidP="00EF74C7">
      <w:pPr>
        <w:spacing w:before="60" w:after="240"/>
        <w:rPr>
          <w:rFonts w:ascii="Times New Roman" w:hAnsi="Times New Roman"/>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175F0F1C" w14:textId="77777777" w:rsidTr="00822842">
        <w:trPr>
          <w:trHeight w:val="720"/>
        </w:trPr>
        <w:tc>
          <w:tcPr>
            <w:tcW w:w="9039" w:type="dxa"/>
            <w:gridSpan w:val="2"/>
            <w:shd w:val="clear" w:color="auto" w:fill="D9D9D9" w:themeFill="background1" w:themeFillShade="D9"/>
          </w:tcPr>
          <w:p w14:paraId="7AB89CAA" w14:textId="77777777" w:rsidR="00EF74C7" w:rsidRPr="002A677E" w:rsidRDefault="00EF74C7" w:rsidP="00822842">
            <w:pPr>
              <w:autoSpaceDE w:val="0"/>
              <w:autoSpaceDN w:val="0"/>
              <w:adjustRightInd w:val="0"/>
              <w:rPr>
                <w:sz w:val="24"/>
                <w:rFonts w:ascii="Times New Roman" w:hAnsi="Times New Roman"/>
              </w:rPr>
            </w:pPr>
            <w:r>
              <w:rPr>
                <w:b/>
                <w:sz w:val="24"/>
                <w:rFonts w:ascii="Times New Roman" w:hAnsi="Times New Roman"/>
              </w:rPr>
              <w:t xml:space="preserve">Redci</w:t>
            </w:r>
            <w:r>
              <w:rPr>
                <w:b/>
                <w:sz w:val="24"/>
                <w:rFonts w:ascii="Times New Roman" w:hAnsi="Times New Roman"/>
              </w:rPr>
              <w:t xml:space="preserve"> </w:t>
            </w:r>
          </w:p>
        </w:tc>
      </w:tr>
      <w:tr w:rsidR="00EF74C7" w:rsidRPr="002A677E" w14:paraId="68004F65" w14:textId="77777777" w:rsidTr="00822842">
        <w:trPr>
          <w:trHeight w:val="680"/>
        </w:trPr>
        <w:tc>
          <w:tcPr>
            <w:tcW w:w="1384" w:type="dxa"/>
          </w:tcPr>
          <w:p w14:paraId="34D367A2" w14:textId="77777777" w:rsidR="00EF74C7" w:rsidRPr="002A677E" w:rsidRDefault="00EF74C7" w:rsidP="00822842">
            <w:pPr>
              <w:pStyle w:val="Applicationdirecte"/>
              <w:spacing w:before="60" w:after="0"/>
              <w:jc w:val="center"/>
            </w:pPr>
            <w:r>
              <w:t xml:space="preserve">0010-0170</w:t>
            </w:r>
          </w:p>
        </w:tc>
        <w:tc>
          <w:tcPr>
            <w:tcW w:w="7655" w:type="dxa"/>
            <w:vAlign w:val="center"/>
          </w:tcPr>
          <w:p w14:paraId="2D3B901D" w14:textId="77777777" w:rsidR="00EF74C7" w:rsidRPr="002A677E" w:rsidRDefault="00EF74C7" w:rsidP="00822842">
            <w:pPr>
              <w:spacing w:before="60"/>
              <w:rPr>
                <w:b/>
                <w:bCs/>
                <w:sz w:val="24"/>
                <w:u w:val="single"/>
                <w:rFonts w:ascii="Times New Roman" w:hAnsi="Times New Roman"/>
              </w:rPr>
            </w:pPr>
            <w:r>
              <w:rPr>
                <w:rStyle w:val="InstructionsTabelleberschrift"/>
                <w:sz w:val="24"/>
                <w:rFonts w:ascii="Times New Roman" w:hAnsi="Times New Roman"/>
              </w:rPr>
              <w:t xml:space="preserve">Raspon PD-a</w:t>
            </w:r>
          </w:p>
          <w:p w14:paraId="61146F57" w14:textId="68363C58" w:rsidR="00EF74C7" w:rsidRPr="002A677E" w:rsidRDefault="00EF74C7" w:rsidP="00822842">
            <w:pPr>
              <w:spacing w:before="60"/>
              <w:rPr>
                <w:sz w:val="24"/>
                <w:rFonts w:ascii="Times New Roman" w:hAnsi="Times New Roman"/>
              </w:rPr>
            </w:pPr>
            <w:r>
              <w:rPr>
                <w:sz w:val="24"/>
                <w:rFonts w:ascii="Times New Roman" w:hAnsi="Times New Roman"/>
              </w:rPr>
              <w:t xml:space="preserve">Izloženosti kreditnom riziku druge ugovorne strane (utvrđene na razini druge ugovorne strane) raspoređuju se u odgovarajući razred fiksnog raspona PD-a na temelju procijenjenog PD-a za svakog dužnika koji je raspoređen u tu kategoriju izloženosti (uzimajući u obzir bilo kakvu zamjenu zbog postojanja jamstva ili kreditne izvedenice).</w:t>
            </w:r>
            <w:r>
              <w:rPr>
                <w:sz w:val="24"/>
                <w:rFonts w:ascii="Times New Roman" w:hAnsi="Times New Roman"/>
              </w:rPr>
              <w:t xml:space="preserve"> </w:t>
            </w:r>
            <w:r>
              <w:rPr>
                <w:sz w:val="24"/>
                <w:rFonts w:ascii="Times New Roman" w:hAnsi="Times New Roman"/>
              </w:rPr>
              <w:t xml:space="preserve">Institucije raspoređuju izloženost po izloženost u raspon PD-a naveden u obrascu, uzimajući u obzir i kontinuirane raspone.</w:t>
            </w:r>
            <w:r>
              <w:rPr>
                <w:sz w:val="24"/>
                <w:rFonts w:ascii="Times New Roman" w:hAnsi="Times New Roman"/>
              </w:rPr>
              <w:t xml:space="preserve"> </w:t>
            </w:r>
            <w:r>
              <w:rPr>
                <w:sz w:val="24"/>
                <w:rFonts w:ascii="Times New Roman" w:hAnsi="Times New Roman"/>
              </w:rPr>
              <w:t xml:space="preserve">Sve izloženosti u statusu neispunjavanja obveza uključuju se u razred koji predstavlja PD od 100 %.</w:t>
            </w:r>
          </w:p>
        </w:tc>
      </w:tr>
    </w:tbl>
    <w:p w14:paraId="6EF2BA05" w14:textId="77777777" w:rsidR="00EF74C7" w:rsidRPr="002A677E" w:rsidRDefault="00EF74C7" w:rsidP="00EF74C7">
      <w:pPr>
        <w:pStyle w:val="Instructionsberschrift2"/>
        <w:numPr>
          <w:ilvl w:val="2"/>
          <w:numId w:val="29"/>
        </w:numPr>
        <w:rPr>
          <w:sz w:val="24"/>
          <w:rFonts w:ascii="Times New Roman" w:hAnsi="Times New Roman" w:cs="Times New Roman"/>
        </w:rPr>
      </w:pPr>
      <w:bookmarkStart w:id="54" w:name="_Toc19715822"/>
      <w:bookmarkStart w:id="55" w:name="_Toc151714462"/>
      <w:r>
        <w:rPr>
          <w:sz w:val="24"/>
          <w:rFonts w:ascii="Times New Roman" w:hAnsi="Times New Roman"/>
        </w:rPr>
        <w:t xml:space="preserve">C 34.08 – Sastav kolaterala za izloženosti kreditnom riziku drugih ugovornih strana</w:t>
      </w:r>
      <w:bookmarkEnd w:id="54"/>
      <w:bookmarkEnd w:id="55"/>
    </w:p>
    <w:p w14:paraId="70D733F8" w14:textId="77777777" w:rsidR="00EF74C7" w:rsidRPr="002A677E" w:rsidRDefault="00EF74C7" w:rsidP="00EF74C7">
      <w:pPr>
        <w:pStyle w:val="Instructionsberschrift2"/>
        <w:numPr>
          <w:ilvl w:val="3"/>
          <w:numId w:val="29"/>
        </w:numPr>
        <w:rPr>
          <w:sz w:val="24"/>
          <w:rFonts w:ascii="Times New Roman" w:hAnsi="Times New Roman" w:cs="Times New Roman"/>
        </w:rPr>
      </w:pPr>
      <w:bookmarkStart w:id="56" w:name="_Toc19715823"/>
      <w:bookmarkStart w:id="57" w:name="_Toc151714463"/>
      <w:r>
        <w:rPr>
          <w:sz w:val="24"/>
          <w:rFonts w:ascii="Times New Roman" w:hAnsi="Times New Roman"/>
        </w:rPr>
        <w:t xml:space="preserve">Opće napomene</w:t>
      </w:r>
      <w:bookmarkEnd w:id="56"/>
      <w:bookmarkEnd w:id="57"/>
    </w:p>
    <w:p w14:paraId="0AF1AF80" w14:textId="794CBD92" w:rsidR="00EF74C7" w:rsidRPr="002A677E" w:rsidRDefault="00EF74C7" w:rsidP="00EF74C7">
      <w:pPr>
        <w:pStyle w:val="InstructionsText2"/>
        <w:numPr>
          <w:ilvl w:val="0"/>
          <w:numId w:val="0"/>
        </w:numPr>
        <w:ind w:left="993"/>
      </w:pPr>
      <w:r>
        <w:fldChar w:fldCharType="begin" w:dirty="true"/>
      </w:r>
      <w:r>
        <w:instrText>seq paragraphs</w:instrText>
      </w:r>
      <w:r>
        <w:fldChar w:fldCharType="separate"/>
      </w:r>
      <w:r w:rsidRPr="002A677E">
        <w:t>131</w:t>
      </w:r>
      <w:r>
        <w:fldChar w:fldCharType="end"/>
      </w:r>
      <w:r>
        <w:t xml:space="preserve">.</w:t>
      </w:r>
      <w:r>
        <w:t xml:space="preserve"> </w:t>
      </w:r>
      <w:r>
        <w:t xml:space="preserve">U ovom se obrascu ispunjavaju fer vrijednosti kolaterala (danog ili primljenog) koji se koristi u izloženostima kreditnom riziku drugih ugovornih strana povezanih s transakcijama izvedenicama, transakcijama s dugim rokom namire ili transakcijama financiranja vrijednosnim papirima, neovisno o tome jesu li transakcije poravnane preko središnje druge ugovorne strane i je li kolateral dan središnjoj drugoj ugovornoj strani.</w:t>
      </w:r>
      <w:r>
        <w:t xml:space="preserve"> </w:t>
      </w:r>
    </w:p>
    <w:p w14:paraId="74E68575" w14:textId="77777777" w:rsidR="00EF74C7" w:rsidRPr="002A677E" w:rsidRDefault="00EF74C7" w:rsidP="00EF74C7">
      <w:pPr>
        <w:pStyle w:val="Instructionsberschrift2"/>
        <w:numPr>
          <w:ilvl w:val="3"/>
          <w:numId w:val="29"/>
        </w:numPr>
        <w:rPr>
          <w:sz w:val="24"/>
          <w:rFonts w:ascii="Times New Roman" w:hAnsi="Times New Roman" w:cs="Times New Roman"/>
        </w:rPr>
      </w:pPr>
      <w:bookmarkStart w:id="58" w:name="_Toc19715824"/>
      <w:bookmarkStart w:id="59" w:name="_Toc151714464"/>
      <w:r>
        <w:rPr>
          <w:sz w:val="24"/>
          <w:rFonts w:ascii="Times New Roman" w:hAnsi="Times New Roman"/>
        </w:rPr>
        <w:t xml:space="preserve">Upute za specifične pozicije</w:t>
      </w:r>
      <w:bookmarkEnd w:id="58"/>
      <w:bookmarkEnd w:id="59"/>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302BF743"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9AD00A" w14:textId="77777777" w:rsidR="00EF74C7" w:rsidRPr="002A677E" w:rsidRDefault="00EF74C7" w:rsidP="00822842">
            <w:pPr>
              <w:pStyle w:val="TableMainHeading"/>
              <w:spacing w:before="60"/>
              <w:rPr>
                <w:b/>
                <w:sz w:val="24"/>
                <w:szCs w:val="24"/>
                <w:rFonts w:ascii="Times New Roman" w:hAnsi="Times New Roman"/>
              </w:rPr>
            </w:pPr>
            <w:r>
              <w:rPr>
                <w:b/>
                <w:sz w:val="24"/>
                <w:rFonts w:ascii="Times New Roman" w:hAnsi="Times New Roman"/>
              </w:rPr>
              <w:t xml:space="preserve">Stupci</w:t>
            </w:r>
            <w:r>
              <w:rPr>
                <w:b/>
                <w:sz w:val="24"/>
                <w:rFonts w:ascii="Times New Roman" w:hAnsi="Times New Roman"/>
              </w:rPr>
              <w:t xml:space="preserve"> </w:t>
            </w:r>
          </w:p>
        </w:tc>
      </w:tr>
      <w:tr w:rsidR="00EF74C7" w:rsidRPr="002A677E" w14:paraId="26586561" w14:textId="77777777" w:rsidTr="00822842">
        <w:trPr>
          <w:trHeight w:val="680"/>
        </w:trPr>
        <w:tc>
          <w:tcPr>
            <w:tcW w:w="1384" w:type="dxa"/>
          </w:tcPr>
          <w:p w14:paraId="21B980D6" w14:textId="77777777" w:rsidR="00EF74C7" w:rsidRPr="002A677E" w:rsidRDefault="00EF74C7" w:rsidP="00822842">
            <w:pPr>
              <w:pStyle w:val="Applicationdirecte"/>
              <w:spacing w:before="60" w:after="0"/>
            </w:pPr>
            <w:r>
              <w:t xml:space="preserve">0010-0080</w:t>
            </w:r>
          </w:p>
        </w:tc>
        <w:tc>
          <w:tcPr>
            <w:tcW w:w="7655" w:type="dxa"/>
            <w:vAlign w:val="center"/>
          </w:tcPr>
          <w:p w14:paraId="64904DC2" w14:textId="77777777" w:rsidR="00EF74C7" w:rsidRPr="002A677E" w:rsidRDefault="00EF74C7" w:rsidP="00822842">
            <w:pPr>
              <w:spacing w:before="60"/>
              <w:rPr>
                <w:rStyle w:val="InstructionsTabelleberschrift"/>
                <w:sz w:val="24"/>
                <w:rFonts w:ascii="Times New Roman" w:hAnsi="Times New Roman"/>
              </w:rPr>
            </w:pPr>
            <w:r>
              <w:rPr>
                <w:rStyle w:val="InstructionsTabelleberschrift"/>
                <w:sz w:val="24"/>
                <w:rFonts w:ascii="Times New Roman" w:hAnsi="Times New Roman"/>
              </w:rPr>
              <w:t xml:space="preserve">Kolateral u transakcijama izvedenicama</w:t>
            </w:r>
            <w:r>
              <w:rPr>
                <w:rStyle w:val="InstructionsTabelleberschrift"/>
                <w:sz w:val="24"/>
                <w:rFonts w:ascii="Times New Roman" w:hAnsi="Times New Roman"/>
              </w:rPr>
              <w:t xml:space="preserve"> </w:t>
            </w:r>
          </w:p>
          <w:p w14:paraId="0F03F847" w14:textId="77777777" w:rsidR="00EF74C7" w:rsidRPr="002A677E" w:rsidRDefault="00EF74C7" w:rsidP="00822842">
            <w:pPr>
              <w:pStyle w:val="numberedparagraph"/>
              <w:numPr>
                <w:ilvl w:val="0"/>
                <w:numId w:val="0"/>
              </w:numPr>
              <w:spacing w:before="60" w:line="240" w:lineRule="auto"/>
              <w:rPr>
                <w:sz w:val="24"/>
                <w:rFonts w:ascii="Times New Roman" w:hAnsi="Times New Roman" w:cs="Times New Roman"/>
              </w:rPr>
            </w:pPr>
            <w:r>
              <w:rPr>
                <w:sz w:val="24"/>
                <w:rFonts w:ascii="Times New Roman" w:hAnsi="Times New Roman"/>
              </w:rPr>
              <w:t xml:space="preserve">Institucije iskazuju kolateral (uključujući inicijalni i varijacijski iznos nadoknade) koji se upotrebljava u izloženostima kreditnom riziku druge ugovorne strane koje se odnose na izvedene instrumente iz Priloga II. Uredbi (EU) br. 575/2013 ili transakciju s dugim rokom namire kako je definirana u članku 272. točki 2. iste uredbe koja se ne smatra transakcijom financiranja vrijednosnim papirima.</w:t>
            </w:r>
            <w:r>
              <w:rPr>
                <w:sz w:val="24"/>
                <w:rFonts w:ascii="Times New Roman" w:hAnsi="Times New Roman"/>
              </w:rPr>
              <w:t xml:space="preserve"> </w:t>
            </w:r>
          </w:p>
        </w:tc>
      </w:tr>
      <w:tr w:rsidR="00EF74C7" w:rsidRPr="002A677E" w14:paraId="1B7CDC53" w14:textId="77777777" w:rsidTr="00822842">
        <w:trPr>
          <w:trHeight w:val="680"/>
        </w:trPr>
        <w:tc>
          <w:tcPr>
            <w:tcW w:w="1384" w:type="dxa"/>
          </w:tcPr>
          <w:p w14:paraId="28360CD0" w14:textId="77777777" w:rsidR="00EF74C7" w:rsidRPr="002A677E" w:rsidRDefault="00EF74C7" w:rsidP="00822842">
            <w:pPr>
              <w:pStyle w:val="Applicationdirecte"/>
              <w:spacing w:before="60" w:after="0"/>
            </w:pPr>
            <w:r>
              <w:t xml:space="preserve">0090-0180</w:t>
            </w:r>
          </w:p>
        </w:tc>
        <w:tc>
          <w:tcPr>
            <w:tcW w:w="7655" w:type="dxa"/>
            <w:vAlign w:val="center"/>
          </w:tcPr>
          <w:p w14:paraId="3C96417C" w14:textId="77777777" w:rsidR="00EF74C7" w:rsidRPr="002A677E" w:rsidRDefault="00EF74C7" w:rsidP="00822842">
            <w:pPr>
              <w:spacing w:before="60"/>
              <w:rPr>
                <w:rStyle w:val="InstructionsTabelleberschrift"/>
                <w:sz w:val="24"/>
                <w:rFonts w:ascii="Times New Roman" w:hAnsi="Times New Roman"/>
              </w:rPr>
            </w:pPr>
            <w:r>
              <w:rPr>
                <w:rStyle w:val="InstructionsTabelleberschrift"/>
                <w:sz w:val="24"/>
                <w:rFonts w:ascii="Times New Roman" w:hAnsi="Times New Roman"/>
              </w:rPr>
              <w:t xml:space="preserve">Kolateral koji se upotrebljava za transakcije financiranja vrijednosnim papirima</w:t>
            </w:r>
            <w:r>
              <w:rPr>
                <w:rStyle w:val="InstructionsTabelleberschrift"/>
                <w:sz w:val="24"/>
                <w:rFonts w:ascii="Times New Roman" w:hAnsi="Times New Roman"/>
              </w:rPr>
              <w:t xml:space="preserve"> </w:t>
            </w:r>
          </w:p>
          <w:p w14:paraId="6B5AF52E" w14:textId="77777777" w:rsidR="00EF74C7" w:rsidRPr="002A677E" w:rsidRDefault="00EF74C7" w:rsidP="00822842">
            <w:pPr>
              <w:pStyle w:val="numberedparagraph"/>
              <w:numPr>
                <w:ilvl w:val="0"/>
                <w:numId w:val="0"/>
              </w:numPr>
              <w:spacing w:before="60" w:line="240" w:lineRule="auto"/>
              <w:rPr>
                <w:sz w:val="24"/>
                <w:rFonts w:ascii="Times New Roman" w:hAnsi="Times New Roman" w:cs="Times New Roman"/>
              </w:rPr>
            </w:pPr>
            <w:r>
              <w:rPr>
                <w:sz w:val="24"/>
                <w:rFonts w:ascii="Times New Roman" w:hAnsi="Times New Roman"/>
              </w:rPr>
              <w:t xml:space="preserve">Institucije iskazuju kolateral (uključujući inicijalni iznos nadoknade i varijacijski iznos nadoknade kao i kolateral koji se pojavljuje kao vrijednosni papir u transakciji financiranja vrijednosnim papirima) koji se upotrebljava u izloženostima kreditnom riziku druge ugovorne strane koje se odnose na bilo koju transakciju financiranja vrijednosnim papirima ili transakciju s dugim rokom namire koja se ne smatra izvedenicom.</w:t>
            </w:r>
            <w:r>
              <w:rPr>
                <w:sz w:val="24"/>
                <w:rFonts w:ascii="Times New Roman" w:hAnsi="Times New Roman"/>
              </w:rPr>
              <w:t xml:space="preserve"> </w:t>
            </w:r>
          </w:p>
        </w:tc>
      </w:tr>
      <w:tr w:rsidR="00EF74C7" w:rsidRPr="002A677E" w14:paraId="0B6009FC" w14:textId="77777777" w:rsidTr="00822842">
        <w:trPr>
          <w:trHeight w:val="416"/>
        </w:trPr>
        <w:tc>
          <w:tcPr>
            <w:tcW w:w="1384" w:type="dxa"/>
          </w:tcPr>
          <w:p w14:paraId="201D2450" w14:textId="77777777" w:rsidR="00EF74C7" w:rsidRPr="002A677E" w:rsidRDefault="00EF74C7" w:rsidP="00822842">
            <w:pPr>
              <w:pStyle w:val="Applicationdirecte"/>
              <w:spacing w:before="60" w:after="0"/>
            </w:pPr>
            <w:r>
              <w:t xml:space="preserve">0010, 0020, 0050, 0060, 0090, 0100, 0140, 0150</w:t>
            </w:r>
          </w:p>
        </w:tc>
        <w:tc>
          <w:tcPr>
            <w:tcW w:w="7655" w:type="dxa"/>
            <w:vAlign w:val="center"/>
          </w:tcPr>
          <w:p w14:paraId="1906C178" w14:textId="77777777" w:rsidR="00EF74C7" w:rsidRPr="002A677E" w:rsidRDefault="00EF74C7" w:rsidP="00822842">
            <w:pPr>
              <w:spacing w:before="60"/>
              <w:rPr>
                <w:rStyle w:val="InstructionsTabelleberschrift"/>
                <w:sz w:val="24"/>
                <w:rFonts w:ascii="Times New Roman" w:hAnsi="Times New Roman"/>
              </w:rPr>
            </w:pPr>
            <w:r>
              <w:rPr>
                <w:rStyle w:val="InstructionsTabelleberschrift"/>
                <w:sz w:val="24"/>
                <w:rFonts w:ascii="Times New Roman" w:hAnsi="Times New Roman"/>
              </w:rPr>
              <w:t xml:space="preserve">Odvojen</w:t>
            </w:r>
          </w:p>
          <w:p w14:paraId="3338D91C" w14:textId="77777777" w:rsidR="00EF74C7" w:rsidRPr="002A677E" w:rsidRDefault="00EF74C7" w:rsidP="00822842">
            <w:pPr>
              <w:spacing w:before="60"/>
              <w:rPr>
                <w:rStyle w:val="InstructionsTabelleberschrift"/>
                <w:sz w:val="24"/>
                <w:rFonts w:ascii="Times New Roman" w:hAnsi="Times New Roman"/>
              </w:rPr>
            </w:pPr>
            <w:r>
              <w:rPr>
                <w:sz w:val="24"/>
                <w:rFonts w:ascii="Times New Roman" w:hAnsi="Times New Roman"/>
              </w:rPr>
              <w:t xml:space="preserve">Članak 300. stavak 1. Uredbe (EU) br. 575/2013</w:t>
            </w:r>
          </w:p>
          <w:p w14:paraId="26EDC9B6"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Institucije iskazuju kolateral koji se drži tako da ne ulazi u stečajnu masu kako je definirano u članku 300. stavku 1. Uredbe (EU) br. 575/2013, dodatno raščlanjen na kolateral u obliku inicijalnog odnosno varijacijskog iznosa nadoknade.</w:t>
            </w:r>
          </w:p>
        </w:tc>
      </w:tr>
      <w:tr w:rsidR="00EF74C7" w:rsidRPr="002A677E" w14:paraId="72806B64" w14:textId="77777777" w:rsidTr="00822842">
        <w:trPr>
          <w:trHeight w:val="680"/>
        </w:trPr>
        <w:tc>
          <w:tcPr>
            <w:tcW w:w="1384" w:type="dxa"/>
          </w:tcPr>
          <w:p w14:paraId="7E6BCB3B" w14:textId="77777777" w:rsidR="00EF74C7" w:rsidRPr="002A677E" w:rsidRDefault="00EF74C7" w:rsidP="00822842">
            <w:pPr>
              <w:pStyle w:val="Applicationdirecte"/>
              <w:spacing w:before="60" w:after="0"/>
            </w:pPr>
            <w:r>
              <w:t xml:space="preserve">0030, 0040, 0070, 0080, 0110, 0120, 0130, 0160, 0170, 0180</w:t>
            </w:r>
            <w:r>
              <w:t xml:space="preserve"> </w:t>
            </w:r>
          </w:p>
        </w:tc>
        <w:tc>
          <w:tcPr>
            <w:tcW w:w="7655" w:type="dxa"/>
          </w:tcPr>
          <w:p w14:paraId="0860899A" w14:textId="77777777" w:rsidR="00EF74C7" w:rsidRPr="002A677E" w:rsidRDefault="00EF74C7" w:rsidP="00822842">
            <w:pPr>
              <w:spacing w:before="60"/>
              <w:rPr>
                <w:rStyle w:val="InstructionsTabelleberschrift"/>
                <w:sz w:val="24"/>
                <w:rFonts w:ascii="Times New Roman" w:hAnsi="Times New Roman"/>
              </w:rPr>
            </w:pPr>
            <w:r>
              <w:rPr>
                <w:rStyle w:val="InstructionsTabelleberschrift"/>
                <w:sz w:val="24"/>
                <w:rFonts w:ascii="Times New Roman" w:hAnsi="Times New Roman"/>
              </w:rPr>
              <w:t xml:space="preserve">Neodvojen</w:t>
            </w:r>
            <w:r>
              <w:rPr>
                <w:rStyle w:val="InstructionsTabelleberschrift"/>
                <w:sz w:val="24"/>
                <w:rFonts w:ascii="Times New Roman" w:hAnsi="Times New Roman"/>
              </w:rPr>
              <w:t xml:space="preserve"> </w:t>
            </w:r>
          </w:p>
          <w:p w14:paraId="7A8B9376" w14:textId="77777777" w:rsidR="00EF74C7" w:rsidRPr="002A677E" w:rsidRDefault="00EF74C7" w:rsidP="00822842">
            <w:pPr>
              <w:spacing w:before="60"/>
              <w:rPr>
                <w:rStyle w:val="InstructionsTabelleberschrift"/>
                <w:sz w:val="24"/>
                <w:rFonts w:ascii="Times New Roman" w:hAnsi="Times New Roman"/>
              </w:rPr>
            </w:pPr>
            <w:r>
              <w:rPr>
                <w:sz w:val="24"/>
                <w:rFonts w:ascii="Times New Roman" w:hAnsi="Times New Roman"/>
              </w:rPr>
              <w:t xml:space="preserve">Članak 300. stavak 1. Uredbe (EU) br. 575/2013</w:t>
            </w:r>
          </w:p>
          <w:p w14:paraId="57A510C0" w14:textId="77777777" w:rsidR="00EF74C7" w:rsidRPr="002A677E" w:rsidRDefault="00EF74C7" w:rsidP="00822842">
            <w:pPr>
              <w:rPr>
                <w:sz w:val="24"/>
                <w:rFonts w:ascii="Times New Roman" w:hAnsi="Times New Roman"/>
              </w:rPr>
            </w:pPr>
            <w:r>
              <w:rPr>
                <w:sz w:val="24"/>
                <w:rFonts w:ascii="Times New Roman" w:hAnsi="Times New Roman"/>
              </w:rPr>
              <w:t xml:space="preserve">Institucije iskazuju kolateral koji se ne drži tako da ne ulazi u stečajnu masu kako je definirano u članku 300. stavku 1. Uredbe (EU) br. 575/2013, dodatno raščlanjen na inicijalni iznos nadoknade, varijacijski iznos nadoknade i vrijednosni papir u transakciji financiranja vrijednosnim papirima.</w:t>
            </w:r>
          </w:p>
        </w:tc>
      </w:tr>
      <w:tr w:rsidR="00EF74C7" w:rsidRPr="002A677E" w14:paraId="10122572" w14:textId="77777777" w:rsidTr="00822842">
        <w:trPr>
          <w:trHeight w:val="680"/>
        </w:trPr>
        <w:tc>
          <w:tcPr>
            <w:tcW w:w="1384" w:type="dxa"/>
          </w:tcPr>
          <w:p w14:paraId="43A4CCC5" w14:textId="77777777" w:rsidR="00EF74C7" w:rsidRPr="002A677E" w:rsidRDefault="00EF74C7" w:rsidP="00822842">
            <w:pPr>
              <w:pStyle w:val="Applicationdirecte"/>
              <w:spacing w:before="60" w:after="0"/>
            </w:pPr>
            <w:r>
              <w:t xml:space="preserve">0010, 0030, 0050, 0070, 0090, 0110, 0140, 0160</w:t>
            </w:r>
          </w:p>
        </w:tc>
        <w:tc>
          <w:tcPr>
            <w:tcW w:w="7655" w:type="dxa"/>
            <w:vAlign w:val="center"/>
          </w:tcPr>
          <w:p w14:paraId="24507BB5" w14:textId="77777777" w:rsidR="00EF74C7" w:rsidRPr="002A677E" w:rsidRDefault="00EF74C7" w:rsidP="00822842">
            <w:pPr>
              <w:spacing w:before="60"/>
              <w:rPr>
                <w:rStyle w:val="InstructionsTabelleberschrift"/>
                <w:sz w:val="24"/>
                <w:rFonts w:ascii="Times New Roman" w:hAnsi="Times New Roman"/>
              </w:rPr>
            </w:pPr>
            <w:r>
              <w:rPr>
                <w:rStyle w:val="InstructionsTabelleberschrift"/>
                <w:sz w:val="24"/>
                <w:rFonts w:ascii="Times New Roman" w:hAnsi="Times New Roman"/>
              </w:rPr>
              <w:t xml:space="preserve">Inicijalni iznos nadoknade</w:t>
            </w:r>
          </w:p>
          <w:p w14:paraId="3EA695F0"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Članak 4. stavak 1. točka 140. Uredbe (EU) br. 575/2013</w:t>
            </w:r>
          </w:p>
          <w:p w14:paraId="17D2E118"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Institucije iskazuju fer vrijednosti kolaterala koji je primljen ili dan kao inicijalni iznos nadoknade (definiran u članku 4. stavku 1. točki 140. Uredbe (EU) br. 575/2013).</w:t>
            </w:r>
          </w:p>
        </w:tc>
      </w:tr>
      <w:tr w:rsidR="00EF74C7" w:rsidRPr="002A677E" w14:paraId="32DE18A2" w14:textId="77777777" w:rsidTr="00822842">
        <w:trPr>
          <w:trHeight w:val="680"/>
        </w:trPr>
        <w:tc>
          <w:tcPr>
            <w:tcW w:w="1384" w:type="dxa"/>
          </w:tcPr>
          <w:p w14:paraId="23334415" w14:textId="77777777" w:rsidR="00EF74C7" w:rsidRPr="002A677E" w:rsidRDefault="00EF74C7" w:rsidP="00822842">
            <w:pPr>
              <w:pStyle w:val="Applicationdirecte"/>
              <w:spacing w:before="60" w:after="0"/>
            </w:pPr>
            <w:r>
              <w:t xml:space="preserve">0020, 0040, 0060, 0080, 0100, 0120, 0150, 0170</w:t>
            </w:r>
          </w:p>
        </w:tc>
        <w:tc>
          <w:tcPr>
            <w:tcW w:w="7655" w:type="dxa"/>
            <w:vAlign w:val="center"/>
          </w:tcPr>
          <w:p w14:paraId="00C79FEA" w14:textId="77777777" w:rsidR="00EF74C7" w:rsidRPr="002A677E" w:rsidRDefault="00EF74C7" w:rsidP="00822842">
            <w:pPr>
              <w:spacing w:before="60"/>
              <w:rPr>
                <w:rStyle w:val="InstructionsTabelleberschrift"/>
                <w:sz w:val="24"/>
                <w:rFonts w:ascii="Times New Roman" w:hAnsi="Times New Roman"/>
              </w:rPr>
            </w:pPr>
            <w:r>
              <w:rPr>
                <w:rStyle w:val="InstructionsTabelleberschrift"/>
                <w:sz w:val="24"/>
                <w:rFonts w:ascii="Times New Roman" w:hAnsi="Times New Roman"/>
              </w:rPr>
              <w:t xml:space="preserve">Varijacijski iznos nadoknade</w:t>
            </w:r>
          </w:p>
          <w:p w14:paraId="054E9606" w14:textId="77777777" w:rsidR="00EF74C7" w:rsidRPr="002A677E" w:rsidRDefault="00EF74C7" w:rsidP="00822842">
            <w:pPr>
              <w:spacing w:before="60"/>
              <w:rPr>
                <w:sz w:val="24"/>
                <w:rFonts w:ascii="Times New Roman" w:eastAsia="Calibri" w:hAnsi="Times New Roman"/>
              </w:rPr>
            </w:pPr>
            <w:r>
              <w:rPr>
                <w:sz w:val="24"/>
                <w:rFonts w:ascii="Times New Roman" w:hAnsi="Times New Roman"/>
              </w:rPr>
              <w:t xml:space="preserve">Institucije iskazuju fer vrijednosti kolaterala koji je primljen ili dan kao varijacijski iznos nadoknade.</w:t>
            </w:r>
          </w:p>
        </w:tc>
      </w:tr>
      <w:tr w:rsidR="00EF74C7" w:rsidRPr="002A677E" w14:paraId="1FB544F3" w14:textId="77777777" w:rsidTr="00822842">
        <w:trPr>
          <w:trHeight w:val="680"/>
        </w:trPr>
        <w:tc>
          <w:tcPr>
            <w:tcW w:w="1384" w:type="dxa"/>
          </w:tcPr>
          <w:p w14:paraId="0D63C386" w14:textId="77777777" w:rsidR="00EF74C7" w:rsidRPr="002A677E" w:rsidRDefault="00EF74C7" w:rsidP="00822842">
            <w:pPr>
              <w:pStyle w:val="Applicationdirecte"/>
              <w:spacing w:before="60" w:after="0"/>
            </w:pPr>
            <w:r>
              <w:t xml:space="preserve">0130, 0180</w:t>
            </w:r>
          </w:p>
        </w:tc>
        <w:tc>
          <w:tcPr>
            <w:tcW w:w="7655" w:type="dxa"/>
            <w:vAlign w:val="center"/>
          </w:tcPr>
          <w:p w14:paraId="47509680" w14:textId="77777777" w:rsidR="00EF74C7" w:rsidRPr="002A677E" w:rsidRDefault="00EF74C7" w:rsidP="00822842">
            <w:pPr>
              <w:spacing w:before="60"/>
              <w:rPr>
                <w:rStyle w:val="InstructionsTabelleberschrift"/>
                <w:sz w:val="24"/>
                <w:rFonts w:ascii="Times New Roman" w:hAnsi="Times New Roman"/>
              </w:rPr>
            </w:pPr>
            <w:r>
              <w:rPr>
                <w:rStyle w:val="InstructionsTabelleberschrift"/>
                <w:sz w:val="24"/>
                <w:rFonts w:ascii="Times New Roman" w:hAnsi="Times New Roman"/>
              </w:rPr>
              <w:t xml:space="preserve">Vrijednosni papir u transakciji financiranja vrijednosnim papirima</w:t>
            </w:r>
            <w:r>
              <w:rPr>
                <w:rStyle w:val="InstructionsTabelleberschrift"/>
                <w:sz w:val="24"/>
                <w:rFonts w:ascii="Times New Roman" w:hAnsi="Times New Roman"/>
              </w:rPr>
              <w:t xml:space="preserve"> </w:t>
            </w:r>
          </w:p>
          <w:p w14:paraId="79AA9223" w14:textId="77777777" w:rsidR="00EF74C7" w:rsidRPr="002A677E" w:rsidRDefault="00EF74C7" w:rsidP="00822842">
            <w:pPr>
              <w:spacing w:before="60"/>
              <w:rPr>
                <w:i/>
                <w:sz w:val="24"/>
                <w:rFonts w:ascii="Times New Roman" w:eastAsia="Calibri" w:hAnsi="Times New Roman"/>
              </w:rPr>
            </w:pPr>
            <w:r>
              <w:rPr>
                <w:sz w:val="24"/>
                <w:rFonts w:ascii="Times New Roman" w:hAnsi="Times New Roman"/>
              </w:rPr>
              <w:t xml:space="preserve">Institucije iskazuju fer vrijednosti kolaterala koji se pojavljuje kao vrijednosni papir u transakcijama financiranja vrijednosnim papirima (npr. strana vrijednosnog papira transakcije financiranja vrijednosnim papirima koja je primljena u stupcu 0130 ili dana u stupcu 0180).</w:t>
            </w:r>
          </w:p>
        </w:tc>
      </w:tr>
    </w:tbl>
    <w:p w14:paraId="0822D80D" w14:textId="77777777" w:rsidR="00EF74C7" w:rsidRPr="002A677E" w:rsidRDefault="00EF74C7" w:rsidP="00EF74C7">
      <w:pPr>
        <w:pStyle w:val="Titlelevel2"/>
        <w:spacing w:before="120" w:after="120"/>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61207939" w14:textId="77777777" w:rsidTr="00822842">
        <w:trPr>
          <w:trHeight w:val="238"/>
        </w:trPr>
        <w:tc>
          <w:tcPr>
            <w:tcW w:w="9039" w:type="dxa"/>
            <w:gridSpan w:val="2"/>
            <w:shd w:val="clear" w:color="auto" w:fill="D9D9D9" w:themeFill="background1" w:themeFillShade="D9"/>
          </w:tcPr>
          <w:p w14:paraId="3BC71FEC" w14:textId="77777777" w:rsidR="00EF74C7" w:rsidRPr="002A677E" w:rsidRDefault="00EF74C7" w:rsidP="00822842">
            <w:pPr>
              <w:autoSpaceDE w:val="0"/>
              <w:autoSpaceDN w:val="0"/>
              <w:adjustRightInd w:val="0"/>
              <w:rPr>
                <w:sz w:val="24"/>
                <w:rFonts w:ascii="Times New Roman" w:hAnsi="Times New Roman"/>
              </w:rPr>
            </w:pPr>
            <w:r>
              <w:rPr>
                <w:b/>
                <w:sz w:val="24"/>
                <w:rFonts w:ascii="Times New Roman" w:hAnsi="Times New Roman"/>
              </w:rPr>
              <w:t xml:space="preserve">Redci</w:t>
            </w:r>
            <w:r>
              <w:rPr>
                <w:b/>
                <w:sz w:val="24"/>
                <w:rFonts w:ascii="Times New Roman" w:hAnsi="Times New Roman"/>
              </w:rPr>
              <w:t xml:space="preserve"> </w:t>
            </w:r>
          </w:p>
        </w:tc>
      </w:tr>
      <w:tr w:rsidR="00EF74C7" w:rsidRPr="002A677E" w14:paraId="69BA6111"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5D76D67" w14:textId="77777777" w:rsidR="00EF74C7" w:rsidRPr="002A677E" w:rsidRDefault="00EF74C7" w:rsidP="00822842">
            <w:pPr>
              <w:autoSpaceDE w:val="0"/>
              <w:autoSpaceDN w:val="0"/>
              <w:adjustRightInd w:val="0"/>
              <w:rPr>
                <w:sz w:val="24"/>
                <w:rFonts w:ascii="Times New Roman" w:hAnsi="Times New Roman"/>
              </w:rPr>
            </w:pPr>
            <w:r>
              <w:rPr>
                <w:sz w:val="24"/>
                <w:rFonts w:ascii="Times New Roman" w:hAnsi="Times New Roman"/>
              </w:rPr>
              <w:t xml:space="preserve">0010 –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48CDF43" w14:textId="77777777" w:rsidR="00EF74C7" w:rsidRPr="002A677E" w:rsidRDefault="00EF74C7" w:rsidP="00822842">
            <w:pPr>
              <w:autoSpaceDE w:val="0"/>
              <w:autoSpaceDN w:val="0"/>
              <w:adjustRightInd w:val="0"/>
              <w:rPr>
                <w:rStyle w:val="InstructionsTabelleberschrift"/>
                <w:sz w:val="24"/>
                <w:rFonts w:ascii="Times New Roman" w:hAnsi="Times New Roman"/>
              </w:rPr>
            </w:pPr>
            <w:r>
              <w:rPr>
                <w:rStyle w:val="InstructionsTabelleberschrift"/>
                <w:sz w:val="24"/>
                <w:rFonts w:ascii="Times New Roman" w:hAnsi="Times New Roman"/>
              </w:rPr>
              <w:t xml:space="preserve">Vrsta kolaterala</w:t>
            </w:r>
          </w:p>
          <w:p w14:paraId="4B5DD4D2" w14:textId="77777777" w:rsidR="00EF74C7" w:rsidRPr="002A677E" w:rsidRDefault="00EF74C7" w:rsidP="00822842">
            <w:pPr>
              <w:autoSpaceDE w:val="0"/>
              <w:autoSpaceDN w:val="0"/>
              <w:adjustRightInd w:val="0"/>
              <w:rPr>
                <w:sz w:val="24"/>
                <w:rFonts w:ascii="Times New Roman" w:hAnsi="Times New Roman"/>
              </w:rPr>
            </w:pPr>
            <w:r>
              <w:rPr>
                <w:sz w:val="24"/>
                <w:rFonts w:ascii="Times New Roman" w:hAnsi="Times New Roman"/>
              </w:rPr>
              <w:t xml:space="preserve">Raščlamba po različitim vrstama kolaterala</w:t>
            </w:r>
          </w:p>
        </w:tc>
      </w:tr>
    </w:tbl>
    <w:p w14:paraId="2E2AAEC8" w14:textId="77777777" w:rsidR="00EF74C7" w:rsidRPr="002A677E" w:rsidRDefault="00EF74C7" w:rsidP="00EF74C7">
      <w:pPr>
        <w:pStyle w:val="Titlelevel2"/>
        <w:spacing w:before="120" w:after="120"/>
        <w:rPr>
          <w:rFonts w:ascii="Times New Roman" w:hAnsi="Times New Roman" w:cs="Times New Roman"/>
          <w:color w:val="auto"/>
          <w:sz w:val="24"/>
        </w:rPr>
      </w:pPr>
    </w:p>
    <w:p w14:paraId="367FEDD2" w14:textId="77777777" w:rsidR="00EF74C7" w:rsidRPr="002A677E" w:rsidRDefault="00EF74C7" w:rsidP="00EF74C7">
      <w:pPr>
        <w:pStyle w:val="Instructionsberschrift2"/>
        <w:numPr>
          <w:ilvl w:val="2"/>
          <w:numId w:val="29"/>
        </w:numPr>
        <w:rPr>
          <w:sz w:val="24"/>
          <w:rFonts w:ascii="Times New Roman" w:hAnsi="Times New Roman" w:cs="Times New Roman"/>
        </w:rPr>
      </w:pPr>
      <w:bookmarkStart w:id="60" w:name="_Toc19715825"/>
      <w:bookmarkStart w:id="61" w:name="_Toc151714465"/>
      <w:r>
        <w:rPr>
          <w:sz w:val="24"/>
          <w:rFonts w:ascii="Times New Roman" w:hAnsi="Times New Roman"/>
        </w:rPr>
        <w:t xml:space="preserve">C 34.09 – Izloženosti kreditnih izvedenica</w:t>
      </w:r>
      <w:bookmarkEnd w:id="60"/>
      <w:bookmarkEnd w:id="61"/>
    </w:p>
    <w:p w14:paraId="64D36FD9" w14:textId="77777777" w:rsidR="00EF74C7" w:rsidRPr="002A677E" w:rsidRDefault="00EF74C7" w:rsidP="00EF74C7">
      <w:pPr>
        <w:pStyle w:val="Instructionsberschrift2"/>
        <w:numPr>
          <w:ilvl w:val="3"/>
          <w:numId w:val="29"/>
        </w:numPr>
        <w:rPr>
          <w:sz w:val="24"/>
          <w:rFonts w:ascii="Times New Roman" w:hAnsi="Times New Roman" w:cs="Times New Roman"/>
        </w:rPr>
      </w:pPr>
      <w:bookmarkStart w:id="62" w:name="_Toc19715826"/>
      <w:bookmarkStart w:id="63" w:name="_Toc151714466"/>
      <w:r>
        <w:rPr>
          <w:sz w:val="24"/>
          <w:rFonts w:ascii="Times New Roman" w:hAnsi="Times New Roman"/>
        </w:rPr>
        <w:t xml:space="preserve">Upute za specifične pozicije</w:t>
      </w:r>
      <w:bookmarkEnd w:id="62"/>
      <w:bookmarkEnd w:id="6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4BDE15E5"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76BA84" w14:textId="77777777" w:rsidR="00EF74C7" w:rsidRPr="002A677E" w:rsidRDefault="00EF74C7" w:rsidP="00822842">
            <w:pPr>
              <w:autoSpaceDE w:val="0"/>
              <w:autoSpaceDN w:val="0"/>
              <w:adjustRightInd w:val="0"/>
              <w:rPr>
                <w:b/>
                <w:sz w:val="24"/>
                <w:rFonts w:ascii="Times New Roman" w:hAnsi="Times New Roman"/>
              </w:rPr>
            </w:pPr>
            <w:r>
              <w:rPr>
                <w:b/>
                <w:sz w:val="24"/>
                <w:rFonts w:ascii="Times New Roman" w:hAnsi="Times New Roman"/>
              </w:rPr>
              <w:t xml:space="preserve">Stupci</w:t>
            </w:r>
            <w:r>
              <w:rPr>
                <w:b/>
                <w:sz w:val="24"/>
                <w:rFonts w:ascii="Times New Roman" w:hAnsi="Times New Roman"/>
              </w:rPr>
              <w:t xml:space="preserve"> </w:t>
            </w:r>
          </w:p>
        </w:tc>
      </w:tr>
      <w:tr w:rsidR="00EF74C7" w:rsidRPr="002A677E" w14:paraId="09C39834"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1FAD805" w14:textId="77777777" w:rsidR="00EF74C7" w:rsidRPr="002A677E" w:rsidRDefault="00EF74C7" w:rsidP="00822842">
            <w:pPr>
              <w:autoSpaceDE w:val="0"/>
              <w:autoSpaceDN w:val="0"/>
              <w:adjustRightInd w:val="0"/>
              <w:rPr>
                <w:sz w:val="24"/>
                <w:rFonts w:ascii="Times New Roman" w:hAnsi="Times New Roman"/>
              </w:rPr>
            </w:pPr>
            <w:r>
              <w:rPr>
                <w:sz w:val="24"/>
                <w:rFonts w:ascii="Times New Roman" w:hAnsi="Times New Roman"/>
              </w:rPr>
              <w:t xml:space="preserve">0010-0040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F3E0BE3" w14:textId="77777777" w:rsidR="00EF74C7" w:rsidRPr="002A677E" w:rsidRDefault="00EF74C7" w:rsidP="00822842">
            <w:pPr>
              <w:autoSpaceDE w:val="0"/>
              <w:autoSpaceDN w:val="0"/>
              <w:adjustRightInd w:val="0"/>
              <w:rPr>
                <w:rStyle w:val="InstructionsTabelleberschrift"/>
                <w:sz w:val="24"/>
                <w:rFonts w:ascii="Times New Roman" w:hAnsi="Times New Roman"/>
              </w:rPr>
            </w:pPr>
            <w:r>
              <w:rPr>
                <w:rStyle w:val="InstructionsTabelleberschrift"/>
                <w:sz w:val="24"/>
                <w:rFonts w:ascii="Times New Roman" w:hAnsi="Times New Roman"/>
              </w:rPr>
              <w:t xml:space="preserve">ZAŠTITA KREDITNIM IZVEDENICAMA</w:t>
            </w:r>
          </w:p>
          <w:p w14:paraId="7A5AD5A8" w14:textId="77777777" w:rsidR="00EF74C7" w:rsidRPr="002A677E" w:rsidRDefault="00EF74C7" w:rsidP="00822842">
            <w:pPr>
              <w:autoSpaceDE w:val="0"/>
              <w:autoSpaceDN w:val="0"/>
              <w:adjustRightInd w:val="0"/>
              <w:spacing w:before="60"/>
              <w:rPr>
                <w:b/>
                <w:sz w:val="24"/>
                <w:rFonts w:ascii="Times New Roman" w:hAnsi="Times New Roman"/>
              </w:rPr>
            </w:pPr>
            <w:r>
              <w:rPr>
                <w:sz w:val="24"/>
                <w:rFonts w:ascii="Times New Roman" w:hAnsi="Times New Roman"/>
              </w:rPr>
              <w:t xml:space="preserve">Zaštita kreditnim izvedenicama primljena ili dana</w:t>
            </w:r>
          </w:p>
        </w:tc>
      </w:tr>
      <w:tr w:rsidR="00EF74C7" w:rsidRPr="002A677E" w14:paraId="3E4575D5"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FB2B445" w14:textId="77777777" w:rsidR="00EF74C7" w:rsidRPr="002A677E" w:rsidRDefault="00EF74C7" w:rsidP="00822842">
            <w:pPr>
              <w:autoSpaceDE w:val="0"/>
              <w:autoSpaceDN w:val="0"/>
              <w:adjustRightInd w:val="0"/>
              <w:rPr>
                <w:sz w:val="24"/>
                <w:rFonts w:ascii="Times New Roman" w:hAnsi="Times New Roman"/>
              </w:rPr>
            </w:pPr>
            <w:r>
              <w:rPr>
                <w:sz w:val="24"/>
                <w:rFonts w:ascii="Times New Roman" w:hAnsi="Times New Roman"/>
              </w:rPr>
              <w:t xml:space="preserve">0010, 0020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5BA8970" w14:textId="77777777" w:rsidR="00EF74C7" w:rsidRPr="002A677E" w:rsidRDefault="00EF74C7" w:rsidP="00822842">
            <w:pPr>
              <w:autoSpaceDE w:val="0"/>
              <w:autoSpaceDN w:val="0"/>
              <w:adjustRightInd w:val="0"/>
              <w:rPr>
                <w:rStyle w:val="InstructionsTabelleberschrift"/>
                <w:sz w:val="24"/>
                <w:rFonts w:ascii="Times New Roman" w:hAnsi="Times New Roman"/>
              </w:rPr>
            </w:pPr>
            <w:r>
              <w:rPr>
                <w:rStyle w:val="InstructionsTabelleberschrift"/>
                <w:sz w:val="24"/>
                <w:rFonts w:ascii="Times New Roman" w:hAnsi="Times New Roman"/>
              </w:rPr>
              <w:t xml:space="preserve">ZAMIŠLJENI IZNOSI</w:t>
            </w:r>
            <w:r>
              <w:rPr>
                <w:rStyle w:val="InstructionsTabelleberschrift"/>
                <w:sz w:val="24"/>
                <w:rFonts w:ascii="Times New Roman" w:hAnsi="Times New Roman"/>
              </w:rPr>
              <w:t xml:space="preserve"> </w:t>
            </w:r>
          </w:p>
          <w:p w14:paraId="10378DBE" w14:textId="77777777" w:rsidR="00EF74C7" w:rsidRPr="002A677E" w:rsidRDefault="00EF74C7" w:rsidP="00822842">
            <w:pPr>
              <w:autoSpaceDE w:val="0"/>
              <w:autoSpaceDN w:val="0"/>
              <w:adjustRightInd w:val="0"/>
              <w:spacing w:before="60"/>
              <w:rPr>
                <w:i/>
                <w:sz w:val="24"/>
                <w:rFonts w:ascii="Times New Roman" w:hAnsi="Times New Roman"/>
              </w:rPr>
            </w:pPr>
            <w:r>
              <w:rPr>
                <w:sz w:val="24"/>
                <w:rFonts w:ascii="Times New Roman" w:hAnsi="Times New Roman"/>
              </w:rPr>
              <w:t xml:space="preserve">Zbroj zamišljenih iznosa izvedenica prije netiranja, raščlanjen po vrsti proizvoda</w:t>
            </w:r>
          </w:p>
        </w:tc>
      </w:tr>
      <w:tr w:rsidR="00EF74C7" w:rsidRPr="002A677E" w14:paraId="77CA12A3"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C654FC" w14:textId="77777777" w:rsidR="00EF74C7" w:rsidRPr="002A677E" w:rsidRDefault="00EF74C7" w:rsidP="00822842">
            <w:pPr>
              <w:autoSpaceDE w:val="0"/>
              <w:autoSpaceDN w:val="0"/>
              <w:adjustRightInd w:val="0"/>
              <w:rPr>
                <w:sz w:val="24"/>
                <w:rFonts w:ascii="Times New Roman" w:hAnsi="Times New Roman"/>
              </w:rPr>
            </w:pPr>
            <w:r>
              <w:rPr>
                <w:sz w:val="24"/>
                <w:rFonts w:ascii="Times New Roman" w:hAnsi="Times New Roman"/>
              </w:rPr>
              <w:t xml:space="preserve">0030, 0040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8B6EA8B" w14:textId="77777777" w:rsidR="00EF74C7" w:rsidRPr="002A677E" w:rsidRDefault="00EF74C7" w:rsidP="00822842">
            <w:pPr>
              <w:autoSpaceDE w:val="0"/>
              <w:autoSpaceDN w:val="0"/>
              <w:adjustRightInd w:val="0"/>
              <w:spacing w:before="60"/>
              <w:rPr>
                <w:rStyle w:val="InstructionsTabelleberschrift"/>
                <w:sz w:val="24"/>
                <w:rFonts w:ascii="Times New Roman" w:hAnsi="Times New Roman"/>
              </w:rPr>
            </w:pPr>
            <w:r>
              <w:rPr>
                <w:rStyle w:val="InstructionsTabelleberschrift"/>
                <w:sz w:val="24"/>
                <w:rFonts w:ascii="Times New Roman" w:hAnsi="Times New Roman"/>
              </w:rPr>
              <w:t xml:space="preserve">FER VRIJEDNOSTI</w:t>
            </w:r>
          </w:p>
          <w:p w14:paraId="3C50834E" w14:textId="77777777" w:rsidR="00EF74C7" w:rsidRPr="002A677E" w:rsidRDefault="00EF74C7" w:rsidP="00822842">
            <w:pPr>
              <w:autoSpaceDE w:val="0"/>
              <w:autoSpaceDN w:val="0"/>
              <w:adjustRightInd w:val="0"/>
              <w:spacing w:before="60"/>
              <w:rPr>
                <w:i/>
                <w:sz w:val="24"/>
                <w:rFonts w:ascii="Times New Roman" w:hAnsi="Times New Roman"/>
              </w:rPr>
            </w:pPr>
            <w:r>
              <w:rPr>
                <w:sz w:val="24"/>
                <w:rFonts w:ascii="Times New Roman" w:hAnsi="Times New Roman"/>
              </w:rPr>
              <w:t xml:space="preserve">Zbroj fer vrijednosti raščlanjen po primljenoj ili danoj zaštiti</w:t>
            </w:r>
            <w:r>
              <w:rPr>
                <w:sz w:val="24"/>
                <w:rFonts w:ascii="Times New Roman" w:hAnsi="Times New Roman"/>
              </w:rPr>
              <w:t xml:space="preserve"> </w:t>
            </w:r>
          </w:p>
        </w:tc>
      </w:tr>
    </w:tbl>
    <w:p w14:paraId="1E39E61C" w14:textId="77777777" w:rsidR="00EF74C7" w:rsidRPr="002A677E" w:rsidRDefault="00EF74C7" w:rsidP="00EF74C7">
      <w:pPr>
        <w:pStyle w:val="InstructionsText2"/>
        <w:numPr>
          <w:ilvl w:val="0"/>
          <w:numId w:val="0"/>
        </w:numPr>
        <w:ind w:left="993"/>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0B4D4225" w14:textId="77777777" w:rsidTr="00822842">
        <w:trPr>
          <w:trHeight w:val="238"/>
        </w:trPr>
        <w:tc>
          <w:tcPr>
            <w:tcW w:w="9039" w:type="dxa"/>
            <w:gridSpan w:val="2"/>
            <w:shd w:val="clear" w:color="auto" w:fill="D9D9D9" w:themeFill="background1" w:themeFillShade="D9"/>
          </w:tcPr>
          <w:p w14:paraId="2E3D936B" w14:textId="77777777" w:rsidR="00EF74C7" w:rsidRPr="002A677E" w:rsidRDefault="00EF74C7" w:rsidP="00822842">
            <w:pPr>
              <w:autoSpaceDE w:val="0"/>
              <w:autoSpaceDN w:val="0"/>
              <w:adjustRightInd w:val="0"/>
              <w:rPr>
                <w:sz w:val="24"/>
                <w:rFonts w:ascii="Times New Roman" w:hAnsi="Times New Roman"/>
              </w:rPr>
            </w:pPr>
            <w:r>
              <w:rPr>
                <w:b/>
                <w:sz w:val="24"/>
                <w:rFonts w:ascii="Times New Roman" w:hAnsi="Times New Roman"/>
              </w:rPr>
              <w:t xml:space="preserve">Redci</w:t>
            </w:r>
            <w:r>
              <w:rPr>
                <w:b/>
                <w:sz w:val="24"/>
                <w:rFonts w:ascii="Times New Roman" w:hAnsi="Times New Roman"/>
              </w:rPr>
              <w:t xml:space="preserve"> </w:t>
            </w:r>
          </w:p>
        </w:tc>
      </w:tr>
      <w:tr w:rsidR="00EF74C7" w:rsidRPr="002A677E" w14:paraId="7760BE03"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DEF49DA" w14:textId="77777777" w:rsidR="00EF74C7" w:rsidRPr="002A677E" w:rsidRDefault="00EF74C7" w:rsidP="00822842">
            <w:pPr>
              <w:autoSpaceDE w:val="0"/>
              <w:autoSpaceDN w:val="0"/>
              <w:adjustRightInd w:val="0"/>
              <w:rPr>
                <w:sz w:val="24"/>
                <w:rFonts w:ascii="Times New Roman" w:hAnsi="Times New Roman"/>
              </w:rPr>
            </w:pPr>
            <w:r>
              <w:rPr>
                <w:sz w:val="24"/>
                <w:rFonts w:ascii="Times New Roman" w:hAnsi="Times New Roman"/>
              </w:rPr>
              <w:t xml:space="preserve">0010 – 0050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FF103D1" w14:textId="77777777" w:rsidR="00EF74C7" w:rsidRPr="002A677E" w:rsidRDefault="00EF74C7" w:rsidP="00822842">
            <w:pPr>
              <w:autoSpaceDE w:val="0"/>
              <w:autoSpaceDN w:val="0"/>
              <w:adjustRightInd w:val="0"/>
              <w:rPr>
                <w:rStyle w:val="InstructionsTabelleberschrift"/>
                <w:sz w:val="24"/>
                <w:rFonts w:ascii="Times New Roman" w:hAnsi="Times New Roman"/>
              </w:rPr>
            </w:pPr>
            <w:r>
              <w:rPr>
                <w:rStyle w:val="InstructionsTabelleberschrift"/>
                <w:sz w:val="24"/>
                <w:rFonts w:ascii="Times New Roman" w:hAnsi="Times New Roman"/>
              </w:rPr>
              <w:t xml:space="preserve">Vrsta proizvoda</w:t>
            </w:r>
          </w:p>
          <w:p w14:paraId="6C2C37AC" w14:textId="77777777" w:rsidR="00EF74C7" w:rsidRPr="002A677E" w:rsidRDefault="00EF74C7" w:rsidP="00822842">
            <w:pPr>
              <w:autoSpaceDE w:val="0"/>
              <w:autoSpaceDN w:val="0"/>
              <w:adjustRightInd w:val="0"/>
              <w:rPr>
                <w:sz w:val="24"/>
                <w:rFonts w:ascii="Times New Roman" w:hAnsi="Times New Roman"/>
              </w:rPr>
            </w:pPr>
            <w:r>
              <w:rPr>
                <w:sz w:val="24"/>
                <w:rFonts w:ascii="Times New Roman" w:hAnsi="Times New Roman"/>
              </w:rPr>
              <w:t xml:space="preserve">Raščlamba kreditnih izvedenica po vrsti proizvoda</w:t>
            </w:r>
          </w:p>
        </w:tc>
      </w:tr>
      <w:tr w:rsidR="00EF74C7" w:rsidRPr="002A677E" w14:paraId="4256109A"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5667518" w14:textId="77777777" w:rsidR="00EF74C7" w:rsidRPr="002A677E" w:rsidRDefault="00EF74C7" w:rsidP="00822842">
            <w:pPr>
              <w:autoSpaceDE w:val="0"/>
              <w:autoSpaceDN w:val="0"/>
              <w:adjustRightInd w:val="0"/>
              <w:rPr>
                <w:sz w:val="24"/>
                <w:rFonts w:ascii="Times New Roman" w:hAnsi="Times New Roman"/>
              </w:rPr>
            </w:pPr>
            <w:r>
              <w:rPr>
                <w:sz w:val="24"/>
                <w:rFonts w:ascii="Times New Roman" w:hAnsi="Times New Roman"/>
              </w:rPr>
              <w:t xml:space="preserve">0060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6A70B3C" w14:textId="77777777" w:rsidR="00EF74C7" w:rsidRPr="002A677E" w:rsidRDefault="00EF74C7" w:rsidP="00822842">
            <w:pPr>
              <w:autoSpaceDE w:val="0"/>
              <w:autoSpaceDN w:val="0"/>
              <w:adjustRightInd w:val="0"/>
              <w:rPr>
                <w:rStyle w:val="InstructionsTabelleberschrift"/>
                <w:sz w:val="24"/>
                <w:rFonts w:ascii="Times New Roman" w:hAnsi="Times New Roman"/>
              </w:rPr>
            </w:pPr>
            <w:r>
              <w:rPr>
                <w:rStyle w:val="InstructionsTabelleberschrift"/>
                <w:sz w:val="24"/>
                <w:rFonts w:ascii="Times New Roman" w:hAnsi="Times New Roman"/>
              </w:rPr>
              <w:t xml:space="preserve">Ukupno</w:t>
            </w:r>
          </w:p>
          <w:p w14:paraId="6166DDC1" w14:textId="77777777" w:rsidR="00EF74C7" w:rsidRPr="002A677E" w:rsidRDefault="00EF74C7" w:rsidP="00822842">
            <w:pPr>
              <w:autoSpaceDE w:val="0"/>
              <w:autoSpaceDN w:val="0"/>
              <w:adjustRightInd w:val="0"/>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Zbroj svih vrsta proizvoda</w:t>
            </w:r>
          </w:p>
        </w:tc>
      </w:tr>
      <w:tr w:rsidR="00EF74C7" w:rsidRPr="002A677E" w14:paraId="32F011E4"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AC7B577" w14:textId="77777777" w:rsidR="00EF74C7" w:rsidRPr="002A677E" w:rsidRDefault="00EF74C7" w:rsidP="00822842">
            <w:pPr>
              <w:autoSpaceDE w:val="0"/>
              <w:autoSpaceDN w:val="0"/>
              <w:adjustRightInd w:val="0"/>
              <w:rPr>
                <w:sz w:val="24"/>
                <w:rFonts w:ascii="Times New Roman" w:hAnsi="Times New Roman"/>
              </w:rPr>
            </w:pPr>
            <w:r>
              <w:rPr>
                <w:sz w:val="24"/>
                <w:rFonts w:ascii="Times New Roman" w:hAnsi="Times New Roman"/>
              </w:rPr>
              <w:t xml:space="preserve">0070, 0080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A89880C" w14:textId="77777777" w:rsidR="00EF74C7" w:rsidRPr="002A677E" w:rsidRDefault="00EF74C7" w:rsidP="00822842">
            <w:pPr>
              <w:autoSpaceDE w:val="0"/>
              <w:autoSpaceDN w:val="0"/>
              <w:adjustRightInd w:val="0"/>
              <w:rPr>
                <w:rStyle w:val="InstructionsTabelleberschrift"/>
                <w:sz w:val="24"/>
                <w:rFonts w:ascii="Times New Roman" w:hAnsi="Times New Roman"/>
              </w:rPr>
            </w:pPr>
            <w:r>
              <w:rPr>
                <w:rStyle w:val="InstructionsTabelleberschrift"/>
                <w:sz w:val="24"/>
                <w:rFonts w:ascii="Times New Roman" w:hAnsi="Times New Roman"/>
              </w:rPr>
              <w:t xml:space="preserve">Fer vrijednosti</w:t>
            </w:r>
          </w:p>
          <w:p w14:paraId="69350AE6" w14:textId="77777777" w:rsidR="00EF74C7" w:rsidRPr="002A677E" w:rsidRDefault="00EF74C7" w:rsidP="00822842">
            <w:pPr>
              <w:autoSpaceDE w:val="0"/>
              <w:autoSpaceDN w:val="0"/>
              <w:adjustRightInd w:val="0"/>
              <w:rPr>
                <w:bCs/>
                <w:sz w:val="24"/>
                <w:rFonts w:ascii="Times New Roman" w:hAnsi="Times New Roman"/>
              </w:rPr>
            </w:pPr>
            <w:r>
              <w:rPr>
                <w:sz w:val="24"/>
                <w:rFonts w:ascii="Times New Roman" w:hAnsi="Times New Roman"/>
              </w:rPr>
              <w:t xml:space="preserve">Fer vrijednosti raščlanjene po vrsti proizvoda i po imovini (pozitivne fer vrijednosti) i obveze (negativne fer vrijednosti)</w:t>
            </w:r>
          </w:p>
        </w:tc>
      </w:tr>
    </w:tbl>
    <w:p w14:paraId="3EEB26BA" w14:textId="77777777" w:rsidR="00EF74C7" w:rsidRPr="002A677E" w:rsidRDefault="00EF74C7" w:rsidP="00EF74C7">
      <w:pPr>
        <w:pStyle w:val="Titlelevel2"/>
        <w:spacing w:before="120" w:after="120"/>
        <w:rPr>
          <w:rFonts w:ascii="Times New Roman" w:hAnsi="Times New Roman" w:cs="Times New Roman"/>
          <w:b/>
          <w:color w:val="auto"/>
          <w:sz w:val="24"/>
        </w:rPr>
      </w:pPr>
    </w:p>
    <w:p w14:paraId="5E3991AC" w14:textId="77777777" w:rsidR="00EF74C7" w:rsidRPr="002A677E" w:rsidRDefault="00EF74C7" w:rsidP="00EF74C7">
      <w:pPr>
        <w:pStyle w:val="Instructionsberschrift2"/>
        <w:numPr>
          <w:ilvl w:val="2"/>
          <w:numId w:val="29"/>
        </w:numPr>
        <w:rPr>
          <w:sz w:val="24"/>
          <w:rFonts w:ascii="Times New Roman" w:hAnsi="Times New Roman" w:cs="Times New Roman"/>
        </w:rPr>
      </w:pPr>
      <w:bookmarkStart w:id="64" w:name="_Toc19715827"/>
      <w:bookmarkStart w:id="65" w:name="_Toc151714467"/>
      <w:r>
        <w:rPr>
          <w:sz w:val="24"/>
          <w:rFonts w:ascii="Times New Roman" w:hAnsi="Times New Roman"/>
        </w:rPr>
        <w:t xml:space="preserve">C 34.10 – Izloženosti prema središnjim drugim ugovornim stranama</w:t>
      </w:r>
      <w:bookmarkEnd w:id="64"/>
      <w:bookmarkEnd w:id="65"/>
    </w:p>
    <w:p w14:paraId="61966719" w14:textId="77777777" w:rsidR="00EF74C7" w:rsidRPr="002A677E" w:rsidRDefault="00EF74C7" w:rsidP="00EF74C7">
      <w:pPr>
        <w:pStyle w:val="Instructionsberschrift2"/>
        <w:numPr>
          <w:ilvl w:val="3"/>
          <w:numId w:val="29"/>
        </w:numPr>
        <w:rPr>
          <w:sz w:val="24"/>
          <w:rFonts w:ascii="Times New Roman" w:hAnsi="Times New Roman" w:cs="Times New Roman"/>
        </w:rPr>
      </w:pPr>
      <w:bookmarkStart w:id="66" w:name="_Toc19715828"/>
      <w:bookmarkStart w:id="67" w:name="_Toc151714468"/>
      <w:r>
        <w:rPr>
          <w:sz w:val="24"/>
          <w:rFonts w:ascii="Times New Roman" w:hAnsi="Times New Roman"/>
        </w:rPr>
        <w:t xml:space="preserve">Opće napomene</w:t>
      </w:r>
      <w:bookmarkEnd w:id="66"/>
      <w:bookmarkEnd w:id="67"/>
    </w:p>
    <w:p w14:paraId="61FE0E56" w14:textId="36BE8166" w:rsidR="00EF74C7" w:rsidRPr="002A677E" w:rsidRDefault="00EF74C7" w:rsidP="00EF74C7">
      <w:pPr>
        <w:pStyle w:val="InstructionsText2"/>
        <w:numPr>
          <w:ilvl w:val="0"/>
          <w:numId w:val="0"/>
        </w:numPr>
        <w:ind w:left="993"/>
      </w:pPr>
      <w:r>
        <w:fldChar w:fldCharType="begin" w:dirty="true"/>
      </w:r>
      <w:r>
        <w:instrText>seq paragraphs</w:instrText>
      </w:r>
      <w:r>
        <w:fldChar w:fldCharType="separate"/>
      </w:r>
      <w:r w:rsidRPr="002A677E">
        <w:t>132</w:t>
      </w:r>
      <w:r>
        <w:fldChar w:fldCharType="end"/>
      </w:r>
      <w:r>
        <w:t xml:space="preserve">.</w:t>
      </w:r>
      <w:r>
        <w:t xml:space="preserve"> </w:t>
      </w:r>
      <w:r>
        <w:t xml:space="preserve">Institucije iskazuju informacije o izloženostima prema središnjim drugim ugovornim stranama tj. ugovorima i transakcijama navedenima u članku 301. stavku 1. Uredbe (EU) br. 575/2013, dok su nepodmirene u odnosu na središnju drugu ugovornu stranu i izloženostima iz transakcija povezanih sa središnjom drugom ugovornom stranom, u skladu s člankom 300. stavkom 2. te uredbe, za koje se kapitalni zahtjevi izračunavaju u skladu s dijelom trećim glavom II. poglavljem 6. odjeljkom 9. te uredbe.</w:t>
      </w:r>
      <w:r>
        <w:t xml:space="preserve"> </w:t>
      </w:r>
    </w:p>
    <w:p w14:paraId="6A78D46D" w14:textId="77777777" w:rsidR="00EF74C7" w:rsidRPr="002A677E" w:rsidRDefault="00EF74C7" w:rsidP="00EF74C7">
      <w:pPr>
        <w:pStyle w:val="Instructionsberschrift2"/>
        <w:numPr>
          <w:ilvl w:val="3"/>
          <w:numId w:val="29"/>
        </w:numPr>
        <w:rPr>
          <w:sz w:val="24"/>
          <w:rFonts w:ascii="Times New Roman" w:hAnsi="Times New Roman" w:cs="Times New Roman"/>
        </w:rPr>
      </w:pPr>
      <w:bookmarkStart w:id="68" w:name="_Toc19715829"/>
      <w:bookmarkStart w:id="69" w:name="_Toc151714469"/>
      <w:r>
        <w:rPr>
          <w:sz w:val="24"/>
          <w:rFonts w:ascii="Times New Roman" w:hAnsi="Times New Roman"/>
        </w:rPr>
        <w:t xml:space="preserve">Upute za specifične pozicije</w:t>
      </w:r>
      <w:bookmarkEnd w:id="68"/>
      <w:bookmarkEnd w:id="69"/>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49273B65"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7A5BF9" w14:textId="77777777" w:rsidR="00EF74C7" w:rsidRPr="002A677E" w:rsidRDefault="00EF74C7" w:rsidP="00822842">
            <w:pPr>
              <w:autoSpaceDE w:val="0"/>
              <w:autoSpaceDN w:val="0"/>
              <w:adjustRightInd w:val="0"/>
              <w:rPr>
                <w:b/>
                <w:sz w:val="24"/>
                <w:rFonts w:ascii="Times New Roman" w:hAnsi="Times New Roman"/>
              </w:rPr>
            </w:pPr>
            <w:r>
              <w:rPr>
                <w:b/>
                <w:sz w:val="24"/>
                <w:rFonts w:ascii="Times New Roman" w:hAnsi="Times New Roman"/>
              </w:rPr>
              <w:t xml:space="preserve">Stupci</w:t>
            </w:r>
            <w:r>
              <w:rPr>
                <w:b/>
                <w:sz w:val="24"/>
                <w:rFonts w:ascii="Times New Roman" w:hAnsi="Times New Roman"/>
              </w:rPr>
              <w:t xml:space="preserve"> </w:t>
            </w:r>
          </w:p>
        </w:tc>
      </w:tr>
      <w:tr w:rsidR="00EF74C7" w:rsidRPr="002A677E" w14:paraId="124AAA9B" w14:textId="77777777" w:rsidTr="00822842">
        <w:trPr>
          <w:trHeight w:val="680"/>
        </w:trPr>
        <w:tc>
          <w:tcPr>
            <w:tcW w:w="1384" w:type="dxa"/>
          </w:tcPr>
          <w:p w14:paraId="011E66AA" w14:textId="77777777" w:rsidR="00EF74C7" w:rsidRPr="002A677E" w:rsidRDefault="00EF74C7" w:rsidP="00822842">
            <w:pPr>
              <w:pStyle w:val="Applicationdirecte"/>
              <w:spacing w:before="0" w:after="0"/>
            </w:pPr>
            <w:r>
              <w:t xml:space="preserve">0010</w:t>
            </w:r>
          </w:p>
        </w:tc>
        <w:tc>
          <w:tcPr>
            <w:tcW w:w="7655" w:type="dxa"/>
            <w:vAlign w:val="center"/>
          </w:tcPr>
          <w:p w14:paraId="06553A7D"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VRIJEDNOST IZLOŽENOSTI</w:t>
            </w:r>
            <w:r>
              <w:rPr>
                <w:rStyle w:val="InstructionsTabelleberschrift"/>
                <w:sz w:val="24"/>
                <w:rFonts w:ascii="Times New Roman" w:hAnsi="Times New Roman"/>
              </w:rPr>
              <w:t xml:space="preserve"> </w:t>
            </w:r>
          </w:p>
          <w:p w14:paraId="0EB17FC4"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Vrijednost izloženosti za transakcije obuhvaćene područjem primjene dijela trećeg glave II. poglavlja 6. odjeljka 9. Uredbe (EU) br. 575/2013 izračunata u skladu s relevantnim metodama iz tog poglavlja, a posebno njegova odjeljka 9.</w:t>
            </w:r>
          </w:p>
          <w:p w14:paraId="4A7F4393"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Vrijednost izloženosti koja se iskazuje iznos je relevantan za izračun kapitalnih zahtjeva u skladu s dijelom trećim glavom II poglavljem 6. odjeljkom 9. Uredbe (EU) br. 575/2013, uzimajući u obzir zahtjeve iz članka 497. te uredbe tijekom prijelaznog razdoblja iz tog članka.</w:t>
            </w:r>
          </w:p>
          <w:p w14:paraId="0F502FE9"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Izloženost može biti izloženost iz trgovanja kako je definirana u članku 4. stavku 1. točki 91. Uredbe (EU) 575/2013</w:t>
            </w:r>
          </w:p>
        </w:tc>
      </w:tr>
      <w:tr w:rsidR="00EF74C7" w:rsidRPr="002A677E" w14:paraId="774930E7" w14:textId="77777777" w:rsidTr="00822842">
        <w:trPr>
          <w:trHeight w:val="680"/>
        </w:trPr>
        <w:tc>
          <w:tcPr>
            <w:tcW w:w="1384" w:type="dxa"/>
          </w:tcPr>
          <w:p w14:paraId="557FAF2F" w14:textId="77777777" w:rsidR="00EF74C7" w:rsidRPr="002A677E" w:rsidRDefault="00EF74C7" w:rsidP="00822842">
            <w:pPr>
              <w:pStyle w:val="Applicationdirecte"/>
              <w:spacing w:before="0" w:after="0"/>
            </w:pPr>
            <w:r>
              <w:t xml:space="preserve">0020</w:t>
            </w:r>
          </w:p>
        </w:tc>
        <w:tc>
          <w:tcPr>
            <w:tcW w:w="7655" w:type="dxa"/>
            <w:vAlign w:val="center"/>
          </w:tcPr>
          <w:p w14:paraId="1E7084BA" w14:textId="77777777" w:rsidR="00EF74C7" w:rsidRPr="002A677E" w:rsidRDefault="00EF74C7" w:rsidP="00822842">
            <w:pPr>
              <w:keepNext/>
              <w:tabs>
                <w:tab w:val="left" w:pos="6983"/>
              </w:tabs>
              <w:spacing w:before="60"/>
              <w:rPr>
                <w:rStyle w:val="InstructionsTabelleberschrift"/>
                <w:sz w:val="24"/>
                <w:rFonts w:ascii="Times New Roman" w:hAnsi="Times New Roman"/>
              </w:rPr>
            </w:pPr>
            <w:r>
              <w:rPr>
                <w:rStyle w:val="InstructionsTabelleberschrift"/>
                <w:sz w:val="24"/>
                <w:rFonts w:ascii="Times New Roman" w:hAnsi="Times New Roman"/>
              </w:rPr>
              <w:t xml:space="preserve">IZNOSI IZLOŽENOSTI PONDERIRANI RIZIKOM</w:t>
            </w:r>
          </w:p>
          <w:p w14:paraId="5DA0A790" w14:textId="77777777" w:rsidR="00EF74C7" w:rsidRPr="002A677E" w:rsidRDefault="00EF74C7" w:rsidP="00822842">
            <w:pPr>
              <w:keepNext/>
              <w:spacing w:before="60"/>
              <w:rPr>
                <w:strike/>
                <w:sz w:val="24"/>
                <w:rFonts w:ascii="Times New Roman" w:hAnsi="Times New Roman"/>
              </w:rPr>
            </w:pPr>
            <w:r>
              <w:rPr>
                <w:sz w:val="24"/>
                <w:rFonts w:ascii="Times New Roman" w:hAnsi="Times New Roman"/>
              </w:rPr>
              <w:t xml:space="preserve">Iznosi izloženosti ponderirani rizikom utvrđeni u skladu s dijelom trećim glavom II poglavljem 6. odjeljkom 9. Uredbe (EU) br. 575/2013, uzimajući u obzir zahtjeve iz članka 497. te uredbe tijekom prijelaznog razdoblja iz tog članka.</w:t>
            </w:r>
          </w:p>
        </w:tc>
      </w:tr>
    </w:tbl>
    <w:p w14:paraId="4DE5F5D8" w14:textId="77777777" w:rsidR="00EF74C7" w:rsidRPr="002A677E" w:rsidRDefault="00EF74C7" w:rsidP="00EF74C7">
      <w:pPr>
        <w:pStyle w:val="Titlelevel2"/>
        <w:spacing w:before="120" w:after="120"/>
        <w:jc w:val="both"/>
        <w:rPr>
          <w:rFonts w:ascii="Times New Roman" w:hAnsi="Times New Roman" w:cs="Times New Roman"/>
          <w:b/>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6AE86182" w14:textId="77777777" w:rsidTr="00822842">
        <w:trPr>
          <w:trHeight w:val="238"/>
        </w:trPr>
        <w:tc>
          <w:tcPr>
            <w:tcW w:w="9039" w:type="dxa"/>
            <w:gridSpan w:val="2"/>
            <w:shd w:val="clear" w:color="auto" w:fill="D9D9D9" w:themeFill="background1" w:themeFillShade="D9"/>
          </w:tcPr>
          <w:p w14:paraId="0A1536EA" w14:textId="77777777" w:rsidR="00EF74C7" w:rsidRPr="002A677E" w:rsidRDefault="00EF74C7" w:rsidP="00822842">
            <w:pPr>
              <w:autoSpaceDE w:val="0"/>
              <w:autoSpaceDN w:val="0"/>
              <w:adjustRightInd w:val="0"/>
              <w:rPr>
                <w:sz w:val="24"/>
                <w:rFonts w:ascii="Times New Roman" w:hAnsi="Times New Roman"/>
              </w:rPr>
            </w:pPr>
            <w:r>
              <w:rPr>
                <w:b/>
                <w:sz w:val="24"/>
                <w:rFonts w:ascii="Times New Roman" w:hAnsi="Times New Roman"/>
              </w:rPr>
              <w:t xml:space="preserve">Redci</w:t>
            </w:r>
            <w:r>
              <w:rPr>
                <w:b/>
                <w:sz w:val="24"/>
                <w:rFonts w:ascii="Times New Roman" w:hAnsi="Times New Roman"/>
              </w:rPr>
              <w:t xml:space="preserve"> </w:t>
            </w:r>
          </w:p>
        </w:tc>
      </w:tr>
      <w:tr w:rsidR="00EF74C7" w:rsidRPr="002A677E" w14:paraId="2D4AF3E6" w14:textId="77777777" w:rsidTr="00822842">
        <w:trPr>
          <w:trHeight w:val="680"/>
        </w:trPr>
        <w:tc>
          <w:tcPr>
            <w:tcW w:w="1384" w:type="dxa"/>
          </w:tcPr>
          <w:p w14:paraId="6FF1A266" w14:textId="77777777" w:rsidR="00EF74C7" w:rsidRPr="002A677E" w:rsidRDefault="00EF74C7" w:rsidP="00822842">
            <w:pPr>
              <w:pStyle w:val="Applicationdirecte"/>
              <w:spacing w:before="0" w:after="0"/>
            </w:pPr>
            <w:r>
              <w:t xml:space="preserve">0010-0100</w:t>
            </w:r>
          </w:p>
        </w:tc>
        <w:tc>
          <w:tcPr>
            <w:tcW w:w="7655" w:type="dxa"/>
            <w:vAlign w:val="center"/>
          </w:tcPr>
          <w:p w14:paraId="23F00BBB" w14:textId="77777777" w:rsidR="00EF74C7" w:rsidRPr="002A677E" w:rsidRDefault="00EF74C7" w:rsidP="00822842">
            <w:pPr>
              <w:spacing w:beforeLines="60" w:before="144" w:afterLines="60" w:after="144"/>
              <w:rPr>
                <w:sz w:val="24"/>
                <w:rFonts w:ascii="Times New Roman" w:hAnsi="Times New Roman"/>
              </w:rPr>
            </w:pPr>
            <w:r>
              <w:rPr>
                <w:sz w:val="24"/>
                <w:rStyle w:val="InstructionsTabelleberschrift"/>
                <w:rFonts w:ascii="Times New Roman" w:hAnsi="Times New Roman"/>
              </w:rPr>
              <w:t xml:space="preserve">Kvalificirana središnja druga ugovorna strana (QCCP)</w:t>
            </w:r>
            <w:r>
              <w:rPr>
                <w:sz w:val="24"/>
                <w:rFonts w:ascii="Times New Roman" w:hAnsi="Times New Roman"/>
              </w:rPr>
              <w:t xml:space="preserve"> </w:t>
            </w:r>
          </w:p>
          <w:p w14:paraId="4AFED555" w14:textId="77777777" w:rsidR="00EF74C7" w:rsidRPr="002A677E" w:rsidRDefault="00EF74C7" w:rsidP="00822842">
            <w:pPr>
              <w:spacing w:beforeLines="60" w:before="144" w:afterLines="60" w:after="144"/>
              <w:rPr>
                <w:sz w:val="24"/>
                <w:rFonts w:ascii="Times New Roman" w:hAnsi="Times New Roman"/>
              </w:rPr>
            </w:pPr>
            <w:r>
              <w:rPr>
                <w:sz w:val="24"/>
                <w:rFonts w:ascii="Times New Roman" w:hAnsi="Times New Roman"/>
              </w:rPr>
              <w:t xml:space="preserve">Kvalificirana središnja druga ugovorna strana ili „QCCP” kako je definirana u članku 4. stavku 1. točki 88. Uredbe (EU) 575/2013</w:t>
            </w:r>
            <w:r>
              <w:rPr>
                <w:sz w:val="24"/>
                <w:rFonts w:ascii="Times New Roman" w:hAnsi="Times New Roman"/>
              </w:rPr>
              <w:t xml:space="preserve"> </w:t>
            </w:r>
          </w:p>
        </w:tc>
      </w:tr>
      <w:tr w:rsidR="00EF74C7" w:rsidRPr="002A677E" w14:paraId="4EE07156" w14:textId="77777777" w:rsidTr="00822842">
        <w:trPr>
          <w:trHeight w:val="680"/>
        </w:trPr>
        <w:tc>
          <w:tcPr>
            <w:tcW w:w="1384" w:type="dxa"/>
          </w:tcPr>
          <w:p w14:paraId="2F7B861D" w14:textId="77777777" w:rsidR="00EF74C7" w:rsidRPr="002A677E" w:rsidRDefault="00EF74C7" w:rsidP="00822842">
            <w:pPr>
              <w:pStyle w:val="Applicationdirecte"/>
              <w:spacing w:before="0" w:after="0"/>
            </w:pPr>
            <w:r>
              <w:t xml:space="preserve">0070, 0080</w:t>
            </w:r>
          </w:p>
          <w:p w14:paraId="30D4CBEC" w14:textId="77777777" w:rsidR="00EF74C7" w:rsidRPr="002A677E" w:rsidRDefault="00EF74C7" w:rsidP="00822842">
            <w:pPr>
              <w:pStyle w:val="Fait"/>
            </w:pPr>
            <w:r>
              <w:t xml:space="preserve">0170, 0180</w:t>
            </w:r>
          </w:p>
        </w:tc>
        <w:tc>
          <w:tcPr>
            <w:tcW w:w="7655" w:type="dxa"/>
            <w:vAlign w:val="center"/>
          </w:tcPr>
          <w:p w14:paraId="6E9FD7DA" w14:textId="77777777" w:rsidR="00EF74C7" w:rsidRPr="002A677E" w:rsidRDefault="00EF74C7" w:rsidP="00822842">
            <w:pPr>
              <w:keepNext/>
              <w:spacing w:before="60"/>
              <w:rPr>
                <w:rStyle w:val="InstructionsTabelleberschrift"/>
                <w:b w:val="0"/>
                <w:sz w:val="24"/>
                <w:rFonts w:ascii="Times New Roman" w:hAnsi="Times New Roman"/>
              </w:rPr>
            </w:pPr>
            <w:r>
              <w:rPr>
                <w:rStyle w:val="InstructionsTabelleberschrift"/>
                <w:sz w:val="24"/>
                <w:rFonts w:ascii="Times New Roman" w:hAnsi="Times New Roman"/>
              </w:rPr>
              <w:t xml:space="preserve">Inicijalni iznos nadoknade</w:t>
            </w:r>
          </w:p>
          <w:p w14:paraId="0528AC1A"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Vidjeti upute za obrazac C 34.08.</w:t>
            </w:r>
          </w:p>
          <w:p w14:paraId="045F1620" w14:textId="77777777" w:rsidR="00EF74C7" w:rsidRPr="002A677E" w:rsidRDefault="00EF74C7" w:rsidP="00822842">
            <w:pPr>
              <w:keepNext/>
              <w:spacing w:before="60"/>
              <w:rPr>
                <w:i/>
                <w:sz w:val="24"/>
                <w:rFonts w:ascii="Times New Roman" w:hAnsi="Times New Roman"/>
              </w:rPr>
            </w:pPr>
            <w:r>
              <w:rPr>
                <w:sz w:val="24"/>
                <w:rFonts w:ascii="Times New Roman" w:hAnsi="Times New Roman"/>
              </w:rPr>
              <w:t xml:space="preserve">Za potrebe ovog obrasca, inicijalni iznos nadoknade ne uključuje uplate središnjoj drugoj ugovornoj strani za uzajamne aranžmane o podjeli gubitka (tj. u slučajevima kada središnja druga ugovorna strana upotrebljava inicijalni iznos nadoknade radi podjele gubitaka među klirinškim članovima, iznos se tretira se kao izloženost jamstvenog fonda).</w:t>
            </w:r>
            <w:r>
              <w:rPr>
                <w:sz w:val="24"/>
                <w:rFonts w:ascii="Times New Roman" w:hAnsi="Times New Roman"/>
              </w:rPr>
              <w:t xml:space="preserve"> </w:t>
            </w:r>
          </w:p>
        </w:tc>
      </w:tr>
      <w:tr w:rsidR="00EF74C7" w:rsidRPr="002A677E" w14:paraId="678BD1FD" w14:textId="77777777" w:rsidTr="00822842">
        <w:trPr>
          <w:trHeight w:val="680"/>
        </w:trPr>
        <w:tc>
          <w:tcPr>
            <w:tcW w:w="1384" w:type="dxa"/>
          </w:tcPr>
          <w:p w14:paraId="1368D46D" w14:textId="77777777" w:rsidR="00EF74C7" w:rsidRPr="002A677E" w:rsidRDefault="00EF74C7" w:rsidP="00822842">
            <w:pPr>
              <w:pStyle w:val="Applicationdirecte"/>
              <w:spacing w:before="0" w:after="0"/>
            </w:pPr>
            <w:r>
              <w:t xml:space="preserve">0090, 0190</w:t>
            </w:r>
          </w:p>
        </w:tc>
        <w:tc>
          <w:tcPr>
            <w:tcW w:w="7655" w:type="dxa"/>
            <w:vAlign w:val="center"/>
          </w:tcPr>
          <w:p w14:paraId="37AA0774"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Preduplate u jamstveni fond</w:t>
            </w:r>
          </w:p>
          <w:p w14:paraId="10ECCD47"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Članci 308. i 309. Uredbe (EU) br. 575/2013;</w:t>
            </w:r>
            <w:r>
              <w:rPr>
                <w:sz w:val="24"/>
                <w:rFonts w:ascii="Times New Roman" w:hAnsi="Times New Roman"/>
              </w:rPr>
              <w:t xml:space="preserve"> </w:t>
            </w:r>
            <w:r>
              <w:rPr>
                <w:sz w:val="24"/>
                <w:rFonts w:ascii="Times New Roman" w:hAnsi="Times New Roman"/>
              </w:rPr>
              <w:t xml:space="preserve">jamstveni fond kako je definiran u članku 4. stavku 1. točki 89. Uredbe (EU) 575/2013;</w:t>
            </w:r>
            <w:r>
              <w:rPr>
                <w:sz w:val="24"/>
                <w:rFonts w:ascii="Times New Roman" w:hAnsi="Times New Roman"/>
              </w:rPr>
              <w:t xml:space="preserve"> </w:t>
            </w:r>
            <w:r>
              <w:rPr>
                <w:sz w:val="24"/>
                <w:rFonts w:ascii="Times New Roman" w:hAnsi="Times New Roman"/>
              </w:rPr>
              <w:t xml:space="preserve">uplata u jamstveni fond središnje druge ugovorne strane koju plaća institucija</w:t>
            </w:r>
          </w:p>
        </w:tc>
      </w:tr>
      <w:tr w:rsidR="00EF74C7" w:rsidRPr="002A677E" w14:paraId="7BD4821D" w14:textId="77777777" w:rsidTr="00822842">
        <w:trPr>
          <w:trHeight w:val="680"/>
        </w:trPr>
        <w:tc>
          <w:tcPr>
            <w:tcW w:w="1384" w:type="dxa"/>
          </w:tcPr>
          <w:p w14:paraId="7A03D5C3" w14:textId="77777777" w:rsidR="00EF74C7" w:rsidRPr="002A677E" w:rsidRDefault="00EF74C7" w:rsidP="00822842">
            <w:pPr>
              <w:pStyle w:val="Applicationdirecte"/>
              <w:spacing w:before="0" w:after="0"/>
            </w:pPr>
            <w:r>
              <w:t xml:space="preserve">0100, 0200</w:t>
            </w:r>
          </w:p>
        </w:tc>
        <w:tc>
          <w:tcPr>
            <w:tcW w:w="7655" w:type="dxa"/>
            <w:vAlign w:val="center"/>
          </w:tcPr>
          <w:p w14:paraId="002C878A"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Naknadne uplate u jamstveni fond</w:t>
            </w:r>
          </w:p>
          <w:p w14:paraId="4758699C" w14:textId="77777777" w:rsidR="00EF74C7" w:rsidRPr="002A677E" w:rsidRDefault="00EF74C7" w:rsidP="00822842">
            <w:pPr>
              <w:keepNext/>
              <w:spacing w:before="60"/>
              <w:rPr>
                <w:rStyle w:val="InstructionsTabelleberschrift"/>
                <w:b w:val="0"/>
                <w:bCs w:val="0"/>
                <w:sz w:val="24"/>
                <w:rFonts w:ascii="Times New Roman" w:hAnsi="Times New Roman"/>
              </w:rPr>
            </w:pPr>
            <w:r>
              <w:rPr>
                <w:sz w:val="24"/>
                <w:rFonts w:ascii="Times New Roman" w:hAnsi="Times New Roman"/>
              </w:rPr>
              <w:t xml:space="preserve">Članci 309. i 310. Uredbe (EU) br. 575/2013;</w:t>
            </w:r>
            <w:r>
              <w:rPr>
                <w:sz w:val="24"/>
                <w:rFonts w:ascii="Times New Roman" w:hAnsi="Times New Roman"/>
              </w:rPr>
              <w:t xml:space="preserve"> </w:t>
            </w:r>
            <w:r>
              <w:rPr>
                <w:sz w:val="24"/>
                <w:rFonts w:ascii="Times New Roman" w:hAnsi="Times New Roman"/>
              </w:rPr>
              <w:t xml:space="preserve">jamstveni fond kako je definiran u članku 4. stavku 1. točki 89. Uredbe (EU) 575/2013</w:t>
            </w:r>
          </w:p>
          <w:p w14:paraId="25D87385"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Institucije iskazuju uplate na koje se institucija koja djeluje kao klirinški član ugovorno obvezala izvršiti središnjoj drugoj ugovornoj strani nakon što je središnja druga ugovorna strana iscrpila svoj jamstveni fond kako bi pokrila gubitke koje je snosila nakon nastanka statusa neispunjavanja obveza jednog svog klirinškog člana ili više njih.</w:t>
            </w:r>
          </w:p>
        </w:tc>
      </w:tr>
      <w:tr w:rsidR="00EF74C7" w:rsidRPr="002A677E" w14:paraId="7623E425" w14:textId="77777777" w:rsidTr="00822842">
        <w:trPr>
          <w:trHeight w:val="680"/>
        </w:trPr>
        <w:tc>
          <w:tcPr>
            <w:tcW w:w="1384" w:type="dxa"/>
          </w:tcPr>
          <w:p w14:paraId="229099B5" w14:textId="77777777" w:rsidR="00EF74C7" w:rsidRPr="002A677E" w:rsidRDefault="00EF74C7" w:rsidP="00822842">
            <w:pPr>
              <w:pStyle w:val="Applicationdirecte"/>
              <w:spacing w:before="0" w:after="0"/>
            </w:pPr>
            <w:r>
              <w:t xml:space="preserve">0070, 0170</w:t>
            </w:r>
          </w:p>
        </w:tc>
        <w:tc>
          <w:tcPr>
            <w:tcW w:w="7655" w:type="dxa"/>
            <w:vAlign w:val="center"/>
          </w:tcPr>
          <w:p w14:paraId="2065824F"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Odvojen</w:t>
            </w:r>
          </w:p>
          <w:p w14:paraId="7144C419" w14:textId="77777777" w:rsidR="00EF74C7" w:rsidRPr="002A677E" w:rsidRDefault="00EF74C7" w:rsidP="00822842">
            <w:pPr>
              <w:spacing w:before="60"/>
              <w:rPr>
                <w:sz w:val="24"/>
                <w:rFonts w:ascii="Times New Roman" w:eastAsia="Calibri" w:hAnsi="Times New Roman"/>
              </w:rPr>
            </w:pPr>
            <w:r>
              <w:rPr>
                <w:sz w:val="24"/>
                <w:rFonts w:ascii="Times New Roman" w:hAnsi="Times New Roman"/>
              </w:rPr>
              <w:t xml:space="preserve">Vidjeti upute za obrazac C 34.08.</w:t>
            </w:r>
          </w:p>
        </w:tc>
      </w:tr>
      <w:tr w:rsidR="00EF74C7" w:rsidRPr="002A677E" w14:paraId="26D915DB" w14:textId="77777777" w:rsidTr="00822842">
        <w:trPr>
          <w:trHeight w:val="680"/>
        </w:trPr>
        <w:tc>
          <w:tcPr>
            <w:tcW w:w="1384" w:type="dxa"/>
          </w:tcPr>
          <w:p w14:paraId="59F46364" w14:textId="77777777" w:rsidR="00EF74C7" w:rsidRPr="002A677E" w:rsidRDefault="00EF74C7" w:rsidP="00822842">
            <w:pPr>
              <w:pStyle w:val="Applicationdirecte"/>
              <w:spacing w:before="0" w:after="0"/>
            </w:pPr>
            <w:r>
              <w:t xml:space="preserve">0080, 0180</w:t>
            </w:r>
          </w:p>
        </w:tc>
        <w:tc>
          <w:tcPr>
            <w:tcW w:w="7655" w:type="dxa"/>
            <w:vAlign w:val="center"/>
          </w:tcPr>
          <w:p w14:paraId="0F95C83A"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Neodvojen</w:t>
            </w:r>
          </w:p>
          <w:p w14:paraId="002F04D5" w14:textId="77777777" w:rsidR="00EF74C7" w:rsidRPr="002A677E" w:rsidRDefault="00EF74C7" w:rsidP="00822842">
            <w:pPr>
              <w:spacing w:before="60"/>
              <w:rPr>
                <w:sz w:val="24"/>
                <w:rFonts w:ascii="Times New Roman" w:eastAsia="Calibri" w:hAnsi="Times New Roman"/>
              </w:rPr>
            </w:pPr>
            <w:r>
              <w:rPr>
                <w:sz w:val="24"/>
                <w:rFonts w:ascii="Times New Roman" w:hAnsi="Times New Roman"/>
              </w:rPr>
              <w:t xml:space="preserve">Vidjeti upute za obrazac C 34.08.</w:t>
            </w:r>
          </w:p>
        </w:tc>
      </w:tr>
    </w:tbl>
    <w:p w14:paraId="7128280E" w14:textId="77777777" w:rsidR="00EF74C7" w:rsidRPr="002A677E" w:rsidRDefault="00EF74C7" w:rsidP="00EF74C7">
      <w:pPr>
        <w:pStyle w:val="Instructionsberschrift2"/>
        <w:numPr>
          <w:ilvl w:val="2"/>
          <w:numId w:val="29"/>
        </w:numPr>
        <w:rPr>
          <w:sz w:val="24"/>
          <w:rFonts w:ascii="Times New Roman" w:hAnsi="Times New Roman" w:cs="Times New Roman"/>
        </w:rPr>
      </w:pPr>
      <w:bookmarkStart w:id="70" w:name="_Toc19715830"/>
      <w:bookmarkStart w:id="71" w:name="_Toc151714470"/>
      <w:r>
        <w:rPr>
          <w:sz w:val="24"/>
          <w:rFonts w:ascii="Times New Roman" w:hAnsi="Times New Roman"/>
        </w:rPr>
        <w:t xml:space="preserve">C 34.11 – Izvješća o tokovima iznosa izloženosti ponderiranih rizikom (RWEA) za izloženosti kreditnom riziku druge ugovorne strane u skladu s metodom internog modela</w:t>
      </w:r>
      <w:bookmarkEnd w:id="70"/>
      <w:bookmarkEnd w:id="71"/>
    </w:p>
    <w:p w14:paraId="2C95A3D6" w14:textId="77777777" w:rsidR="00EF74C7" w:rsidRPr="002A677E" w:rsidRDefault="00EF74C7" w:rsidP="00EF74C7">
      <w:pPr>
        <w:pStyle w:val="Instructionsberschrift2"/>
        <w:numPr>
          <w:ilvl w:val="3"/>
          <w:numId w:val="29"/>
        </w:numPr>
        <w:rPr>
          <w:sz w:val="24"/>
          <w:rFonts w:ascii="Times New Roman" w:hAnsi="Times New Roman" w:cs="Times New Roman"/>
        </w:rPr>
      </w:pPr>
      <w:bookmarkStart w:id="72" w:name="_Toc19715831"/>
      <w:bookmarkStart w:id="73" w:name="_Toc151714471"/>
      <w:r>
        <w:rPr>
          <w:sz w:val="24"/>
          <w:rFonts w:ascii="Times New Roman" w:hAnsi="Times New Roman"/>
        </w:rPr>
        <w:t xml:space="preserve">Opće napomene</w:t>
      </w:r>
      <w:bookmarkEnd w:id="72"/>
      <w:bookmarkEnd w:id="73"/>
    </w:p>
    <w:p w14:paraId="03BB213D" w14:textId="647FCB93" w:rsidR="00EF74C7" w:rsidRPr="002A677E" w:rsidRDefault="00EF74C7" w:rsidP="00EF74C7">
      <w:pPr>
        <w:pStyle w:val="InstructionsText2"/>
        <w:numPr>
          <w:ilvl w:val="0"/>
          <w:numId w:val="0"/>
        </w:numPr>
        <w:ind w:left="993"/>
      </w:pPr>
      <w:r>
        <w:fldChar w:fldCharType="begin" w:dirty="true"/>
      </w:r>
      <w:r>
        <w:instrText>seq paragraphs</w:instrText>
      </w:r>
      <w:r>
        <w:fldChar w:fldCharType="separate"/>
      </w:r>
      <w:r w:rsidRPr="002A677E">
        <w:t>133</w:t>
      </w:r>
      <w:r>
        <w:fldChar w:fldCharType="end"/>
      </w:r>
      <w:r>
        <w:t xml:space="preserve">.</w:t>
      </w:r>
      <w:r>
        <w:t xml:space="preserve"> </w:t>
      </w:r>
      <w:r>
        <w:t xml:space="preserve">Institucije koje primjenjuju IMM za izračun iznosa izloženosti ponderiranih rizikom za sve ili dio svojih izloženosti kreditnom riziku druge ugovorne strane u skladu s dijelom trećim glavom II. poglavljem 6. Uredbe (EU) br. 575/2013, neovisno o pristupu kreditnom riziku druge ugovorne strane koji je se primjenjuje za utvrđivanje odgovarajućih pondera rizika, ovaj obrazac dostavljaju s izvješćem o tokovima u kojem objašnjavaju iznose izloženosti ponderirane rizikom za izvedenice i transakcije financiranja vrijednosnim papirima koje su u opsegu IMM-a i razlikuju se po ključnim činiteljima i temelje na razumnim procjenama.</w:t>
      </w:r>
    </w:p>
    <w:p w14:paraId="3CF6C221" w14:textId="3050BF14" w:rsidR="00EF74C7" w:rsidRPr="002A677E" w:rsidRDefault="00EF74C7" w:rsidP="00EF74C7">
      <w:pPr>
        <w:pStyle w:val="InstructionsText2"/>
        <w:numPr>
          <w:ilvl w:val="0"/>
          <w:numId w:val="0"/>
        </w:numPr>
        <w:ind w:left="993"/>
      </w:pPr>
      <w:r>
        <w:fldChar w:fldCharType="begin" w:dirty="true"/>
      </w:r>
      <w:r>
        <w:instrText>seq paragraphs</w:instrText>
      </w:r>
      <w:r>
        <w:fldChar w:fldCharType="separate"/>
      </w:r>
      <w:r w:rsidRPr="002A677E">
        <w:t>134</w:t>
      </w:r>
      <w:r>
        <w:fldChar w:fldCharType="end"/>
      </w:r>
      <w:r>
        <w:t xml:space="preserve">.</w:t>
      </w:r>
      <w:r>
        <w:t xml:space="preserve"> </w:t>
      </w:r>
      <w:r>
        <w:t xml:space="preserve">Institucije koje ovaj obrazac dostavljaju tromjesečno ispunjavaju samo stupac 0010.</w:t>
      </w:r>
      <w:r>
        <w:t xml:space="preserve"> </w:t>
      </w:r>
      <w:r>
        <w:t xml:space="preserve">Institucije koje ovaj obrazac dostavljaju jednom godišnje ispunjavaju samo stupac 0020.</w:t>
      </w:r>
      <w:r>
        <w:t xml:space="preserve"> </w:t>
      </w:r>
    </w:p>
    <w:p w14:paraId="618242D4" w14:textId="24BF40AD" w:rsidR="00EF74C7" w:rsidRPr="002A677E" w:rsidRDefault="00EF74C7" w:rsidP="00EF74C7">
      <w:pPr>
        <w:pStyle w:val="InstructionsText2"/>
        <w:numPr>
          <w:ilvl w:val="0"/>
          <w:numId w:val="0"/>
        </w:numPr>
        <w:ind w:left="993"/>
      </w:pPr>
      <w:r>
        <w:fldChar w:fldCharType="begin" w:dirty="true"/>
      </w:r>
      <w:r>
        <w:instrText>seq paragraphs</w:instrText>
      </w:r>
      <w:r>
        <w:fldChar w:fldCharType="separate"/>
      </w:r>
      <w:r w:rsidRPr="002A677E">
        <w:t>135</w:t>
      </w:r>
      <w:r>
        <w:fldChar w:fldCharType="end"/>
      </w:r>
      <w:r>
        <w:t xml:space="preserve">.</w:t>
      </w:r>
      <w:r>
        <w:t xml:space="preserve"> </w:t>
      </w:r>
      <w:r>
        <w:t xml:space="preserve">U ovaj se obrazac ne uključuju iznosi izloženosti ponderirani rizikom za izloženosti prema središnjoj drugoj ugovornoj strani (dio treći glava II. poglavlje 6. odjeljak 9. Uredbe (EU) br. 575/2013).</w:t>
      </w:r>
    </w:p>
    <w:p w14:paraId="5D4AACDC" w14:textId="77777777" w:rsidR="00EF74C7" w:rsidRPr="002A677E" w:rsidRDefault="00EF74C7" w:rsidP="00EF74C7">
      <w:pPr>
        <w:pStyle w:val="Instructionsberschrift2"/>
        <w:numPr>
          <w:ilvl w:val="3"/>
          <w:numId w:val="29"/>
        </w:numPr>
        <w:rPr>
          <w:sz w:val="24"/>
          <w:rFonts w:ascii="Times New Roman" w:hAnsi="Times New Roman" w:cs="Times New Roman"/>
        </w:rPr>
      </w:pPr>
      <w:bookmarkStart w:id="74" w:name="_Toc19715832"/>
      <w:bookmarkStart w:id="75" w:name="_Toc151714472"/>
      <w:r>
        <w:rPr>
          <w:sz w:val="24"/>
          <w:rFonts w:ascii="Times New Roman" w:hAnsi="Times New Roman"/>
        </w:rPr>
        <w:t xml:space="preserve">Upute za specifične pozicije</w:t>
      </w:r>
      <w:bookmarkEnd w:id="74"/>
      <w:bookmarkEnd w:id="75"/>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7E15B0A0" w14:textId="77777777" w:rsidTr="0082284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D658B4" w14:textId="77777777" w:rsidR="00EF74C7" w:rsidRPr="002A677E" w:rsidRDefault="00EF74C7" w:rsidP="00822842">
            <w:pPr>
              <w:rPr>
                <w:b/>
                <w:sz w:val="24"/>
                <w:rFonts w:ascii="Times New Roman" w:hAnsi="Times New Roman"/>
              </w:rPr>
            </w:pPr>
            <w:r>
              <w:rPr>
                <w:b/>
                <w:sz w:val="24"/>
                <w:rFonts w:ascii="Times New Roman" w:hAnsi="Times New Roman"/>
              </w:rPr>
              <w:t xml:space="preserve">Stupci</w:t>
            </w:r>
          </w:p>
        </w:tc>
      </w:tr>
      <w:tr w:rsidR="00EF74C7" w:rsidRPr="002A677E" w14:paraId="535FF70B"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125F605" w14:textId="77777777" w:rsidR="00EF74C7" w:rsidRPr="002A677E" w:rsidRDefault="00EF74C7" w:rsidP="00822842">
            <w:pPr>
              <w:pStyle w:val="Applicationdirecte"/>
              <w:spacing w:before="0" w:after="0"/>
            </w:pPr>
            <w:r>
              <w:t xml:space="preserve">0010, 0020</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485BD616"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IZNOSI IZLOŽENOSTI PONDERIRANI RIZIKOM</w:t>
            </w:r>
          </w:p>
          <w:p w14:paraId="0630F3A5" w14:textId="03B5FB80" w:rsidR="00EF74C7" w:rsidRPr="002A677E" w:rsidRDefault="00EF74C7" w:rsidP="00822842">
            <w:pPr>
              <w:rPr>
                <w:sz w:val="24"/>
                <w:rFonts w:ascii="Times New Roman" w:hAnsi="Times New Roman"/>
              </w:rPr>
            </w:pPr>
            <w:r>
              <w:rPr>
                <w:sz w:val="24"/>
                <w:rFonts w:ascii="Times New Roman" w:hAnsi="Times New Roman"/>
              </w:rPr>
              <w:t xml:space="preserve">Iznosi izloženosti ponderirani rizikom, kako su definirani u članku 92. stavku 3. Uredbe (EU) 575/2013, za pozicije za koje se ponderi rizika procjenjuju na temelju zahtjeva utvrđenih u dijelu trećem glavi II. poglavljima 2. i 3. te uredbe i za koje institucijama dopušteno izračunati vrijednost izloženosti primjenom IMM-a u skladu s dijelom trećim glavom II. poglavljem 6. odjeljkom 6. te uredbe</w:t>
            </w:r>
            <w:r>
              <w:rPr>
                <w:sz w:val="24"/>
                <w:rFonts w:ascii="Times New Roman" w:hAnsi="Times New Roman"/>
              </w:rPr>
              <w:t xml:space="preserve"> </w:t>
            </w:r>
          </w:p>
          <w:p w14:paraId="1EFFB8C4" w14:textId="77777777" w:rsidR="00EF74C7" w:rsidRPr="002A677E" w:rsidRDefault="00EF74C7" w:rsidP="00822842">
            <w:pPr>
              <w:spacing w:before="60"/>
              <w:rPr>
                <w:i/>
                <w:sz w:val="24"/>
                <w:rFonts w:ascii="Times New Roman" w:hAnsi="Times New Roman"/>
              </w:rPr>
            </w:pPr>
            <w:r>
              <w:rPr>
                <w:sz w:val="24"/>
                <w:rFonts w:ascii="Times New Roman" w:hAnsi="Times New Roman"/>
              </w:rPr>
              <w:t xml:space="preserve">Pomoćni faktori za MSP-ove i infrastrukturu iz članaka 501. i 501.a Uredbe (EU) br. 575/2013 uzimaju se u obzir.</w:t>
            </w:r>
          </w:p>
        </w:tc>
      </w:tr>
    </w:tbl>
    <w:p w14:paraId="2395318C" w14:textId="77777777" w:rsidR="00EF74C7" w:rsidRPr="002A677E" w:rsidRDefault="00EF74C7" w:rsidP="00EF74C7">
      <w:pPr>
        <w:pStyle w:val="Titlelevel2"/>
        <w:spacing w:before="60" w:after="120"/>
        <w:jc w:val="both"/>
        <w:rPr>
          <w:rFonts w:ascii="Times New Roman" w:hAnsi="Times New Roman" w:cs="Times New Roman"/>
          <w:color w:val="auto"/>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1BFE7275" w14:textId="77777777" w:rsidTr="0082284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9A8574" w14:textId="77777777" w:rsidR="00EF74C7" w:rsidRPr="002A677E" w:rsidRDefault="00EF74C7" w:rsidP="00822842">
            <w:pPr>
              <w:rPr>
                <w:b/>
                <w:sz w:val="24"/>
                <w:rFonts w:ascii="Times New Roman" w:hAnsi="Times New Roman"/>
              </w:rPr>
            </w:pPr>
            <w:r>
              <w:rPr>
                <w:b/>
                <w:sz w:val="24"/>
                <w:rFonts w:ascii="Times New Roman" w:hAnsi="Times New Roman"/>
              </w:rPr>
              <w:t xml:space="preserve">Redci</w:t>
            </w:r>
          </w:p>
        </w:tc>
      </w:tr>
      <w:tr w:rsidR="00EF74C7" w:rsidRPr="002A677E" w14:paraId="605493FD"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0B79B8A4" w14:textId="77777777" w:rsidR="00EF74C7" w:rsidRPr="002A677E" w:rsidRDefault="00EF74C7" w:rsidP="00822842">
            <w:pPr>
              <w:pStyle w:val="Applicationdirecte"/>
              <w:spacing w:before="0" w:after="0"/>
            </w:pPr>
            <w:r>
              <w:t xml:space="preserve">0010</w:t>
            </w:r>
          </w:p>
        </w:tc>
        <w:tc>
          <w:tcPr>
            <w:tcW w:w="7655" w:type="dxa"/>
            <w:tcBorders>
              <w:top w:val="single" w:sz="4" w:space="0" w:color="auto"/>
              <w:left w:val="single" w:sz="4" w:space="0" w:color="auto"/>
              <w:bottom w:val="single" w:sz="4" w:space="0" w:color="auto"/>
              <w:right w:val="single" w:sz="4" w:space="0" w:color="auto"/>
            </w:tcBorders>
            <w:vAlign w:val="center"/>
          </w:tcPr>
          <w:p w14:paraId="57AD1FA7"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Iznosi izloženosti ponderirani rizikom na kraju prethodnog izvještajnog razdoblja</w:t>
            </w:r>
          </w:p>
          <w:p w14:paraId="27A42CBA"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Iznosi izloženosti ponderirani rizikom za izloženosti kreditnom riziku druge ugovorne strane u skladu s metodom internog modela na kraju prethodnog izvještajnog razdoblja</w:t>
            </w:r>
          </w:p>
        </w:tc>
      </w:tr>
      <w:tr w:rsidR="00EF74C7" w:rsidRPr="002A677E" w14:paraId="07E271DA"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27BE487F" w14:textId="77777777" w:rsidR="00EF74C7" w:rsidRPr="002A677E" w:rsidRDefault="00EF74C7" w:rsidP="00822842">
            <w:pPr>
              <w:pStyle w:val="Applicationdirecte"/>
              <w:spacing w:before="0" w:after="0"/>
            </w:pPr>
            <w:r>
              <w:t xml:space="preserve">0020</w:t>
            </w:r>
          </w:p>
        </w:tc>
        <w:tc>
          <w:tcPr>
            <w:tcW w:w="7655" w:type="dxa"/>
            <w:tcBorders>
              <w:top w:val="single" w:sz="4" w:space="0" w:color="auto"/>
              <w:left w:val="single" w:sz="4" w:space="0" w:color="auto"/>
              <w:bottom w:val="single" w:sz="4" w:space="0" w:color="auto"/>
              <w:right w:val="single" w:sz="4" w:space="0" w:color="auto"/>
            </w:tcBorders>
            <w:vAlign w:val="center"/>
          </w:tcPr>
          <w:p w14:paraId="49F00614"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Visina imovine</w:t>
            </w:r>
          </w:p>
          <w:p w14:paraId="18261438"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Promjene iznosa izloženosti ponderiranih rizikom (pozitivnih ili negativnih) zbog promjena veličine i sastava knjige koje proizlaze iz uobičajene poslovne aktivnosti (uključujući podrijetlo novih poslova i dospjelih izloženosti), ali ne uključujući promjene veličine knjige uzrokovane preuzimanjem i otuđivanjem subjekata.</w:t>
            </w:r>
          </w:p>
        </w:tc>
      </w:tr>
      <w:tr w:rsidR="00EF74C7" w:rsidRPr="002A677E" w14:paraId="530A19A1"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53672F1" w14:textId="77777777" w:rsidR="00EF74C7" w:rsidRPr="002A677E" w:rsidRDefault="00EF74C7" w:rsidP="00822842">
            <w:pPr>
              <w:pStyle w:val="Applicationdirecte"/>
              <w:spacing w:before="0" w:after="0"/>
            </w:pPr>
            <w:r>
              <w:t xml:space="preserve">0030</w:t>
            </w:r>
          </w:p>
        </w:tc>
        <w:tc>
          <w:tcPr>
            <w:tcW w:w="7655" w:type="dxa"/>
            <w:tcBorders>
              <w:top w:val="single" w:sz="4" w:space="0" w:color="auto"/>
              <w:left w:val="single" w:sz="4" w:space="0" w:color="auto"/>
              <w:bottom w:val="single" w:sz="4" w:space="0" w:color="auto"/>
              <w:right w:val="single" w:sz="4" w:space="0" w:color="auto"/>
            </w:tcBorders>
            <w:vAlign w:val="center"/>
          </w:tcPr>
          <w:p w14:paraId="64E44A9C"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Kreditna kvaliteta drugih ugovornih strana</w:t>
            </w:r>
            <w:r>
              <w:rPr>
                <w:rStyle w:val="InstructionsTabelleberschrift"/>
                <w:sz w:val="24"/>
                <w:rFonts w:ascii="Times New Roman" w:hAnsi="Times New Roman"/>
              </w:rPr>
              <w:t xml:space="preserve"> </w:t>
            </w:r>
          </w:p>
          <w:p w14:paraId="250F3251"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Promjene iznosa izloženosti ponderiranih rizikom (pozitivnih ili negativnih) zbog promjena procijenjene kvalitete drugih ugovornih strana institucije kako je mjerena na temelju okvira kreditnog rizika, koji god pristup institucija primjenjivala.</w:t>
            </w:r>
            <w:r>
              <w:rPr>
                <w:sz w:val="24"/>
                <w:rFonts w:ascii="Times New Roman" w:hAnsi="Times New Roman"/>
              </w:rPr>
              <w:t xml:space="preserve"> </w:t>
            </w:r>
            <w:r>
              <w:rPr>
                <w:sz w:val="24"/>
                <w:rFonts w:ascii="Times New Roman" w:hAnsi="Times New Roman"/>
              </w:rPr>
              <w:t xml:space="preserve">Ovaj redak uključuje i potencijalne promjene iznosa izloženosti ponderiranih rizikom zbog modela IRB ako institucija primjenjuje IRB pristup</w:t>
            </w:r>
          </w:p>
        </w:tc>
      </w:tr>
      <w:tr w:rsidR="00EF74C7" w:rsidRPr="002A677E" w14:paraId="2E1CADFD"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458604EA" w14:textId="77777777" w:rsidR="00EF74C7" w:rsidRPr="002A677E" w:rsidRDefault="00EF74C7" w:rsidP="00822842">
            <w:pPr>
              <w:pStyle w:val="Applicationdirecte"/>
              <w:spacing w:before="0" w:after="0"/>
            </w:pPr>
            <w:r>
              <w:t xml:space="preserve">0040</w:t>
            </w:r>
          </w:p>
        </w:tc>
        <w:tc>
          <w:tcPr>
            <w:tcW w:w="7655" w:type="dxa"/>
            <w:tcBorders>
              <w:top w:val="single" w:sz="4" w:space="0" w:color="auto"/>
              <w:left w:val="single" w:sz="4" w:space="0" w:color="auto"/>
              <w:bottom w:val="single" w:sz="4" w:space="0" w:color="auto"/>
              <w:right w:val="single" w:sz="4" w:space="0" w:color="auto"/>
            </w:tcBorders>
            <w:vAlign w:val="center"/>
          </w:tcPr>
          <w:p w14:paraId="41774D2A"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Ažuriranja modela (samo metoda internog modela)</w:t>
            </w:r>
          </w:p>
          <w:p w14:paraId="18D81B07"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Promjene iznosa izloženosti ponderiranih rizikom (pozitivnih ili negativnih) zbog primjene modela, promjena u području primjene modela ili bilo kakvih promjena namijenjenih uklanjanju slabosti modela</w:t>
            </w:r>
          </w:p>
          <w:p w14:paraId="35919C0F"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U ovom retku navode se samo promjene metode internog modela.</w:t>
            </w:r>
          </w:p>
        </w:tc>
      </w:tr>
      <w:tr w:rsidR="00EF74C7" w:rsidRPr="002A677E" w14:paraId="0A0C826F"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D4B81C7" w14:textId="77777777" w:rsidR="00EF74C7" w:rsidRPr="002A677E" w:rsidRDefault="00EF74C7" w:rsidP="00822842">
            <w:pPr>
              <w:pStyle w:val="Applicationdirecte"/>
              <w:spacing w:before="0" w:after="0"/>
            </w:pPr>
            <w:r>
              <w:t xml:space="preserve">0050</w:t>
            </w:r>
          </w:p>
        </w:tc>
        <w:tc>
          <w:tcPr>
            <w:tcW w:w="7655" w:type="dxa"/>
            <w:tcBorders>
              <w:top w:val="single" w:sz="4" w:space="0" w:color="auto"/>
              <w:left w:val="single" w:sz="4" w:space="0" w:color="auto"/>
              <w:bottom w:val="single" w:sz="4" w:space="0" w:color="auto"/>
              <w:right w:val="single" w:sz="4" w:space="0" w:color="auto"/>
            </w:tcBorders>
            <w:vAlign w:val="center"/>
          </w:tcPr>
          <w:p w14:paraId="74BE71FA"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Metodologija i politika (samo metoda internog modela)</w:t>
            </w:r>
          </w:p>
          <w:p w14:paraId="492776FC"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Promjene iznosa izloženosti ponderiranih rizikom (pozitivnih ili negativnih) zbog metodoloških promjena u izračunima prouzrokovanima izmjenama regulatorne politike, kao što su nove uredbe (samo u metodi internog modela)</w:t>
            </w:r>
          </w:p>
        </w:tc>
      </w:tr>
      <w:tr w:rsidR="00EF74C7" w:rsidRPr="002A677E" w14:paraId="2F18F45C"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CF48A7C" w14:textId="77777777" w:rsidR="00EF74C7" w:rsidRPr="002A677E" w:rsidRDefault="00EF74C7" w:rsidP="00822842">
            <w:pPr>
              <w:pStyle w:val="Applicationdirecte"/>
              <w:spacing w:before="0" w:after="0"/>
            </w:pPr>
            <w:r>
              <w:t xml:space="preserve">0060</w:t>
            </w:r>
          </w:p>
        </w:tc>
        <w:tc>
          <w:tcPr>
            <w:tcW w:w="7655" w:type="dxa"/>
            <w:tcBorders>
              <w:top w:val="single" w:sz="4" w:space="0" w:color="auto"/>
              <w:left w:val="single" w:sz="4" w:space="0" w:color="auto"/>
              <w:bottom w:val="single" w:sz="4" w:space="0" w:color="auto"/>
              <w:right w:val="single" w:sz="4" w:space="0" w:color="auto"/>
            </w:tcBorders>
            <w:vAlign w:val="center"/>
          </w:tcPr>
          <w:p w14:paraId="6C716653"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Preuzimanja i otuđivanja</w:t>
            </w:r>
          </w:p>
          <w:p w14:paraId="556F6F98"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Promjene iznosa izloženosti ponderiranih rizikom (pozitivnih ili negativnih) zbog promjena u veličini knjige zbog preuzimanja i otuđivanja subjekata</w:t>
            </w:r>
          </w:p>
        </w:tc>
      </w:tr>
      <w:tr w:rsidR="00EF74C7" w:rsidRPr="002A677E" w14:paraId="29CBD54B"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6B63349A" w14:textId="77777777" w:rsidR="00EF74C7" w:rsidRPr="002A677E" w:rsidRDefault="00EF74C7" w:rsidP="00822842">
            <w:pPr>
              <w:pStyle w:val="Applicationdirecte"/>
              <w:spacing w:before="0" w:after="0"/>
            </w:pPr>
            <w:r>
              <w:t xml:space="preserve">0070</w:t>
            </w:r>
          </w:p>
        </w:tc>
        <w:tc>
          <w:tcPr>
            <w:tcW w:w="7655" w:type="dxa"/>
            <w:tcBorders>
              <w:top w:val="single" w:sz="4" w:space="0" w:color="auto"/>
              <w:left w:val="single" w:sz="4" w:space="0" w:color="auto"/>
              <w:bottom w:val="single" w:sz="4" w:space="0" w:color="auto"/>
              <w:right w:val="single" w:sz="4" w:space="0" w:color="auto"/>
            </w:tcBorders>
            <w:vAlign w:val="center"/>
          </w:tcPr>
          <w:p w14:paraId="57E5E736"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Kretanja valuta</w:t>
            </w:r>
          </w:p>
          <w:p w14:paraId="29E3F8C8"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Promjene iznosa izloženosti ponderiranih rizikom (pozitivnih ili negativnih) zbog promjena koje proizlaze iz kretanja strane valute</w:t>
            </w:r>
            <w:r>
              <w:rPr>
                <w:sz w:val="24"/>
                <w:rFonts w:ascii="Times New Roman" w:hAnsi="Times New Roman"/>
              </w:rPr>
              <w:t xml:space="preserve"> </w:t>
            </w:r>
          </w:p>
        </w:tc>
      </w:tr>
      <w:tr w:rsidR="00EF74C7" w:rsidRPr="002A677E" w14:paraId="6EB9C3F4"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0BC26069" w14:textId="77777777" w:rsidR="00EF74C7" w:rsidRPr="002A677E" w:rsidRDefault="00EF74C7" w:rsidP="00822842">
            <w:pPr>
              <w:pStyle w:val="Applicationdirecte"/>
              <w:spacing w:before="0" w:after="0"/>
            </w:pPr>
            <w:r>
              <w:t xml:space="preserve">0080</w:t>
            </w:r>
          </w:p>
        </w:tc>
        <w:tc>
          <w:tcPr>
            <w:tcW w:w="7655" w:type="dxa"/>
            <w:tcBorders>
              <w:top w:val="single" w:sz="4" w:space="0" w:color="auto"/>
              <w:left w:val="single" w:sz="4" w:space="0" w:color="auto"/>
              <w:bottom w:val="single" w:sz="4" w:space="0" w:color="auto"/>
              <w:right w:val="single" w:sz="4" w:space="0" w:color="auto"/>
            </w:tcBorders>
            <w:vAlign w:val="center"/>
          </w:tcPr>
          <w:p w14:paraId="3AF95E88"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Ostalo</w:t>
            </w:r>
          </w:p>
          <w:p w14:paraId="0BAC5EB4"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Ova se kategorija koristi za bilježenje promjena iznosa izloženosti ponderiranih rizikom (pozitivnih ili negativnih) koje se ne mogu pripisati prethodno navedenim kategorijama.</w:t>
            </w:r>
            <w:r>
              <w:rPr>
                <w:sz w:val="24"/>
                <w:rFonts w:ascii="Times New Roman" w:hAnsi="Times New Roman"/>
              </w:rPr>
              <w:t xml:space="preserve"> </w:t>
            </w:r>
          </w:p>
        </w:tc>
      </w:tr>
      <w:tr w:rsidR="00EF74C7" w:rsidRPr="002A677E" w14:paraId="2BDFC767"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679F5A0E" w14:textId="77777777" w:rsidR="00EF74C7" w:rsidRPr="002A677E" w:rsidRDefault="00EF74C7" w:rsidP="00822842">
            <w:pPr>
              <w:pStyle w:val="Applicationdirecte"/>
              <w:spacing w:before="0" w:after="0"/>
            </w:pPr>
            <w:r>
              <w:t xml:space="preserve">0090</w:t>
            </w:r>
          </w:p>
        </w:tc>
        <w:tc>
          <w:tcPr>
            <w:tcW w:w="7655" w:type="dxa"/>
            <w:tcBorders>
              <w:top w:val="single" w:sz="4" w:space="0" w:color="auto"/>
              <w:left w:val="single" w:sz="4" w:space="0" w:color="auto"/>
              <w:bottom w:val="single" w:sz="4" w:space="0" w:color="auto"/>
              <w:right w:val="single" w:sz="4" w:space="0" w:color="auto"/>
            </w:tcBorders>
            <w:vAlign w:val="center"/>
          </w:tcPr>
          <w:p w14:paraId="674EB302"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Iznosi izloženosti ponderirani rizikom na kraju sadašnjeg izvještajnog razdoblja</w:t>
            </w:r>
          </w:p>
          <w:p w14:paraId="51365175" w14:textId="77777777" w:rsidR="00EF74C7" w:rsidRPr="002A677E" w:rsidRDefault="00EF74C7" w:rsidP="00822842">
            <w:pPr>
              <w:spacing w:before="60"/>
              <w:rPr>
                <w:i/>
                <w:sz w:val="24"/>
                <w:rFonts w:ascii="Times New Roman" w:hAnsi="Times New Roman"/>
              </w:rPr>
            </w:pPr>
            <w:r>
              <w:rPr>
                <w:sz w:val="24"/>
                <w:rFonts w:ascii="Times New Roman" w:hAnsi="Times New Roman"/>
              </w:rPr>
              <w:t xml:space="preserve">Iznosi izloženosti ponderirani rizikom za izloženosti kreditnom riziku središnje druge ugovorne strane u skladu s metodom internog modela na kraju sadašnjeg izvještajnog razdoblja</w:t>
            </w:r>
          </w:p>
        </w:tc>
      </w:tr>
    </w:tbl>
    <w:p w14:paraId="46880A2A" w14:textId="77777777" w:rsidR="00EF74C7" w:rsidRDefault="00EF74C7"/>
    <w:p w14:paraId="0CA113AF" w14:textId="77777777" w:rsidR="00EF74C7" w:rsidRDefault="00EF74C7"/>
    <w:sectPr w:rsidR="00EF74C7">
      <w:headerReference w:type="even" r:id="rId12"/>
      <w:headerReference w:type="default" r:id="rId13"/>
      <w:head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6A073B" w14:textId="77777777" w:rsidR="00E26A90" w:rsidRDefault="00E26A90" w:rsidP="00E26A90">
      <w:pPr>
        <w:spacing w:after="0"/>
      </w:pPr>
      <w:r>
        <w:separator/>
      </w:r>
    </w:p>
  </w:endnote>
  <w:endnote w:type="continuationSeparator" w:id="0">
    <w:p w14:paraId="4D137E89" w14:textId="77777777" w:rsidR="00E26A90" w:rsidRDefault="00E26A90"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inherit">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C3C0CF" w14:textId="77777777" w:rsidR="00E26A90" w:rsidRDefault="00E26A90" w:rsidP="00E26A90">
      <w:pPr>
        <w:spacing w:after="0"/>
      </w:pPr>
      <w:r>
        <w:separator/>
      </w:r>
    </w:p>
  </w:footnote>
  <w:footnote w:type="continuationSeparator" w:id="0">
    <w:p w14:paraId="0FB73E57" w14:textId="77777777" w:rsidR="00E26A90" w:rsidRDefault="00E26A90" w:rsidP="00E26A9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FC0291" w14:textId="50F94529" w:rsidR="00E26A90" w:rsidRDefault="00E26A90">
    <w:pPr>
      <w:pStyle w:val="Header"/>
    </w:pPr>
    <w: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Redovita primjen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Redovita primjena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Title:  - Description: EBA Redovita primjena"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Redovita primjena</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22170D" w14:textId="140FE0A2" w:rsidR="00E26A90" w:rsidRDefault="00E26A90">
    <w:pPr>
      <w:pStyle w:val="Header"/>
    </w:pPr>
    <w: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Redovita primjen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Redovita primjena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Title:  - Description: EBA Redovita primjena"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Redovita primjena</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497100" w14:textId="19F65C93" w:rsidR="00E26A90" w:rsidRDefault="00E26A90">
    <w:pPr>
      <w:pStyle w:val="Header"/>
    </w:pPr>
    <w: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Redovita primjen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Redovita primjena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Title:  - Description: EBA Redovita primjena"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Redovita primjena</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2F7D7F02"/>
    <w:multiLevelType w:val="multilevel"/>
    <w:tmpl w:val="0407001D"/>
    <w:numStyleLink w:val="Formatvorlage3"/>
  </w:abstractNum>
  <w:abstractNum w:abstractNumId="9"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0"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1"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7"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0"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1"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4"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5"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6"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20"/>
  </w:num>
  <w:num w:numId="3" w16cid:durableId="286200695">
    <w:abstractNumId w:val="28"/>
  </w:num>
  <w:num w:numId="4" w16cid:durableId="487287975">
    <w:abstractNumId w:val="15"/>
  </w:num>
  <w:num w:numId="5" w16cid:durableId="1754350949">
    <w:abstractNumId w:val="23"/>
  </w:num>
  <w:num w:numId="6" w16cid:durableId="1507597667">
    <w:abstractNumId w:val="12"/>
  </w:num>
  <w:num w:numId="7" w16cid:durableId="139271283">
    <w:abstractNumId w:val="27"/>
  </w:num>
  <w:num w:numId="8" w16cid:durableId="763764270">
    <w:abstractNumId w:val="5"/>
  </w:num>
  <w:num w:numId="9" w16cid:durableId="1561986968">
    <w:abstractNumId w:val="21"/>
  </w:num>
  <w:num w:numId="10" w16cid:durableId="1349260748">
    <w:abstractNumId w:val="10"/>
  </w:num>
  <w:num w:numId="11" w16cid:durableId="1097991330">
    <w:abstractNumId w:val="17"/>
  </w:num>
  <w:num w:numId="12" w16cid:durableId="858469680">
    <w:abstractNumId w:val="6"/>
  </w:num>
  <w:num w:numId="13" w16cid:durableId="1485394352">
    <w:abstractNumId w:val="22"/>
  </w:num>
  <w:num w:numId="14" w16cid:durableId="881021889">
    <w:abstractNumId w:val="19"/>
  </w:num>
  <w:num w:numId="15" w16cid:durableId="1923681300">
    <w:abstractNumId w:val="9"/>
  </w:num>
  <w:num w:numId="16" w16cid:durableId="211188018">
    <w:abstractNumId w:val="16"/>
  </w:num>
  <w:num w:numId="17" w16cid:durableId="373817584">
    <w:abstractNumId w:val="8"/>
  </w:num>
  <w:num w:numId="18" w16cid:durableId="1615165847">
    <w:abstractNumId w:val="24"/>
  </w:num>
  <w:num w:numId="19" w16cid:durableId="429467310">
    <w:abstractNumId w:val="4"/>
  </w:num>
  <w:num w:numId="20" w16cid:durableId="1079792157">
    <w:abstractNumId w:val="13"/>
  </w:num>
  <w:num w:numId="21" w16cid:durableId="1333265662">
    <w:abstractNumId w:val="2"/>
  </w:num>
  <w:num w:numId="22" w16cid:durableId="737484550">
    <w:abstractNumId w:val="11"/>
  </w:num>
  <w:num w:numId="23" w16cid:durableId="309210531">
    <w:abstractNumId w:val="26"/>
  </w:num>
  <w:num w:numId="24" w16cid:durableId="166527561">
    <w:abstractNumId w:val="1"/>
  </w:num>
  <w:num w:numId="25" w16cid:durableId="1544101633">
    <w:abstractNumId w:val="25"/>
  </w:num>
  <w:num w:numId="26" w16cid:durableId="44380249">
    <w:abstractNumId w:val="18"/>
  </w:num>
  <w:num w:numId="27" w16cid:durableId="1838038624">
    <w:abstractNumId w:val="0"/>
  </w:num>
  <w:num w:numId="28" w16cid:durableId="1856265522">
    <w:abstractNumId w:val="7"/>
  </w:num>
  <w:num w:numId="29" w16cid:durableId="2081713154">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0122B"/>
    <w:rsid w:val="00013986"/>
    <w:rsid w:val="00074AC8"/>
    <w:rsid w:val="00631623"/>
    <w:rsid w:val="00632962"/>
    <w:rsid w:val="00793BDE"/>
    <w:rsid w:val="007D3B3D"/>
    <w:rsid w:val="00A6002C"/>
    <w:rsid w:val="00B5223F"/>
    <w:rsid w:val="00B71F25"/>
    <w:rsid w:val="00BD63AA"/>
    <w:rsid w:val="00D57F80"/>
    <w:rsid w:val="00DE7FB9"/>
    <w:rsid w:val="00E26A90"/>
    <w:rsid w:val="00EF07A1"/>
    <w:rsid w:val="00EF74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15:docId w15:val="{9763B1B4-A265-4636-BFE7-4B5FDE4C4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74C7"/>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EF74C7"/>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EF74C7"/>
    <w:pPr>
      <w:keepNext/>
      <w:spacing w:before="240"/>
      <w:outlineLvl w:val="1"/>
    </w:pPr>
    <w:rPr>
      <w:rFonts w:eastAsia="Arial"/>
      <w:b/>
      <w:sz w:val="24"/>
      <w:u w:val="single"/>
      <w:lang w:val="hr-HR" w:eastAsia="x-none"/>
    </w:rPr>
  </w:style>
  <w:style w:type="paragraph" w:styleId="Heading3">
    <w:name w:val="heading 3"/>
    <w:aliases w:val="Title 2"/>
    <w:basedOn w:val="Normal"/>
    <w:next w:val="Normal"/>
    <w:link w:val="Heading3Char1"/>
    <w:autoRedefine/>
    <w:uiPriority w:val="99"/>
    <w:qFormat/>
    <w:rsid w:val="00EF74C7"/>
    <w:pPr>
      <w:keepNext/>
      <w:spacing w:before="180"/>
      <w:outlineLvl w:val="2"/>
    </w:pPr>
    <w:rPr>
      <w:rFonts w:ascii="Arial" w:eastAsia="Arial" w:hAnsi="Arial"/>
      <w:b/>
      <w:szCs w:val="20"/>
      <w:lang w:val="hr-HR" w:eastAsia="de-DE"/>
    </w:rPr>
  </w:style>
  <w:style w:type="paragraph" w:styleId="Heading4">
    <w:name w:val="heading 4"/>
    <w:basedOn w:val="Normal"/>
    <w:next w:val="Normal"/>
    <w:link w:val="Heading4Char"/>
    <w:autoRedefine/>
    <w:uiPriority w:val="99"/>
    <w:qFormat/>
    <w:rsid w:val="00EF74C7"/>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EF74C7"/>
    <w:pPr>
      <w:keepNext/>
      <w:spacing w:before="140"/>
      <w:outlineLvl w:val="4"/>
    </w:pPr>
    <w:rPr>
      <w:rFonts w:ascii="Arial" w:eastAsia="Arial" w:hAnsi="Arial"/>
      <w:b/>
      <w:i/>
      <w:szCs w:val="20"/>
      <w:lang w:val="hr-HR" w:eastAsia="de-DE"/>
    </w:rPr>
  </w:style>
  <w:style w:type="paragraph" w:styleId="Heading6">
    <w:name w:val="heading 6"/>
    <w:basedOn w:val="Normal"/>
    <w:next w:val="Normal"/>
    <w:link w:val="Heading6Char"/>
    <w:qFormat/>
    <w:rsid w:val="00EF74C7"/>
    <w:pPr>
      <w:spacing w:before="240" w:after="60"/>
      <w:outlineLvl w:val="5"/>
    </w:pPr>
    <w:rPr>
      <w:rFonts w:ascii="Times New Roman" w:eastAsia="Arial" w:hAnsi="Times New Roman"/>
      <w:b/>
      <w:bCs/>
      <w:szCs w:val="20"/>
      <w:lang w:val="hr-HR" w:eastAsia="de-DE"/>
    </w:rPr>
  </w:style>
  <w:style w:type="paragraph" w:styleId="Heading7">
    <w:name w:val="heading 7"/>
    <w:basedOn w:val="Normal"/>
    <w:next w:val="Normal"/>
    <w:link w:val="Heading7Char"/>
    <w:qFormat/>
    <w:rsid w:val="00EF74C7"/>
    <w:pPr>
      <w:spacing w:before="240" w:after="60"/>
      <w:outlineLvl w:val="6"/>
    </w:pPr>
    <w:rPr>
      <w:rFonts w:ascii="Times New Roman" w:eastAsia="Arial" w:hAnsi="Times New Roman"/>
      <w:szCs w:val="20"/>
      <w:lang w:val="hr-HR" w:eastAsia="de-DE"/>
    </w:rPr>
  </w:style>
  <w:style w:type="paragraph" w:styleId="Heading8">
    <w:name w:val="heading 8"/>
    <w:basedOn w:val="Normal"/>
    <w:next w:val="Normal"/>
    <w:link w:val="Heading8Char"/>
    <w:qFormat/>
    <w:rsid w:val="00EF74C7"/>
    <w:pPr>
      <w:spacing w:before="240" w:after="60"/>
      <w:outlineLvl w:val="7"/>
    </w:pPr>
    <w:rPr>
      <w:rFonts w:ascii="Times New Roman" w:eastAsia="Arial" w:hAnsi="Times New Roman"/>
      <w:i/>
      <w:iCs/>
      <w:szCs w:val="20"/>
      <w:lang w:val="hr-HR" w:eastAsia="de-DE"/>
    </w:rPr>
  </w:style>
  <w:style w:type="paragraph" w:styleId="Heading9">
    <w:name w:val="heading 9"/>
    <w:basedOn w:val="Normal"/>
    <w:next w:val="Normal"/>
    <w:link w:val="Heading9Char"/>
    <w:qFormat/>
    <w:rsid w:val="00EF74C7"/>
    <w:pPr>
      <w:spacing w:before="240" w:after="60"/>
      <w:outlineLvl w:val="8"/>
    </w:pPr>
    <w:rPr>
      <w:rFonts w:ascii="Arial" w:eastAsia="Arial" w:hAnsi="Arial"/>
      <w:szCs w:val="20"/>
      <w:lang w:val="hr-HR"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EF74C7"/>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EF74C7"/>
    <w:rPr>
      <w:rFonts w:ascii="Verdana" w:eastAsia="Arial" w:hAnsi="Verdana" w:cs="Times New Roman"/>
      <w:b/>
      <w:kern w:val="0"/>
      <w:sz w:val="24"/>
      <w:szCs w:val="24"/>
      <w:u w:val="single"/>
      <w:lang w:val="hr-HR" w:eastAsia="x-none"/>
      <w14:ligatures w14:val="none"/>
    </w:rPr>
  </w:style>
  <w:style w:type="character" w:customStyle="1" w:styleId="Heading3Char">
    <w:name w:val="Heading 3 Char"/>
    <w:aliases w:val="Title 2 Char"/>
    <w:basedOn w:val="DefaultParagraphFont"/>
    <w:uiPriority w:val="99"/>
    <w:rsid w:val="00EF74C7"/>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EF74C7"/>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EF74C7"/>
    <w:rPr>
      <w:rFonts w:ascii="Arial" w:eastAsia="Arial" w:hAnsi="Arial" w:cs="Times New Roman"/>
      <w:b/>
      <w:i/>
      <w:kern w:val="0"/>
      <w:sz w:val="20"/>
      <w:szCs w:val="20"/>
      <w:lang w:val="hr-HR" w:eastAsia="de-DE"/>
      <w14:ligatures w14:val="none"/>
    </w:rPr>
  </w:style>
  <w:style w:type="character" w:customStyle="1" w:styleId="Heading6Char">
    <w:name w:val="Heading 6 Char"/>
    <w:basedOn w:val="DefaultParagraphFont"/>
    <w:link w:val="Heading6"/>
    <w:rsid w:val="00EF74C7"/>
    <w:rPr>
      <w:rFonts w:ascii="Times New Roman" w:eastAsia="Arial" w:hAnsi="Times New Roman" w:cs="Times New Roman"/>
      <w:b/>
      <w:bCs/>
      <w:kern w:val="0"/>
      <w:sz w:val="20"/>
      <w:szCs w:val="20"/>
      <w:lang w:val="hr-HR" w:eastAsia="de-DE"/>
      <w14:ligatures w14:val="none"/>
    </w:rPr>
  </w:style>
  <w:style w:type="character" w:customStyle="1" w:styleId="Heading7Char">
    <w:name w:val="Heading 7 Char"/>
    <w:basedOn w:val="DefaultParagraphFont"/>
    <w:link w:val="Heading7"/>
    <w:rsid w:val="00EF74C7"/>
    <w:rPr>
      <w:rFonts w:ascii="Times New Roman" w:eastAsia="Arial" w:hAnsi="Times New Roman" w:cs="Times New Roman"/>
      <w:kern w:val="0"/>
      <w:sz w:val="20"/>
      <w:szCs w:val="20"/>
      <w:lang w:val="hr-HR" w:eastAsia="de-DE"/>
      <w14:ligatures w14:val="none"/>
    </w:rPr>
  </w:style>
  <w:style w:type="character" w:customStyle="1" w:styleId="Heading8Char">
    <w:name w:val="Heading 8 Char"/>
    <w:basedOn w:val="DefaultParagraphFont"/>
    <w:link w:val="Heading8"/>
    <w:rsid w:val="00EF74C7"/>
    <w:rPr>
      <w:rFonts w:ascii="Times New Roman" w:eastAsia="Arial" w:hAnsi="Times New Roman" w:cs="Times New Roman"/>
      <w:i/>
      <w:iCs/>
      <w:kern w:val="0"/>
      <w:sz w:val="20"/>
      <w:szCs w:val="20"/>
      <w:lang w:val="hr-HR" w:eastAsia="de-DE"/>
      <w14:ligatures w14:val="none"/>
    </w:rPr>
  </w:style>
  <w:style w:type="character" w:customStyle="1" w:styleId="Heading9Char">
    <w:name w:val="Heading 9 Char"/>
    <w:basedOn w:val="DefaultParagraphFont"/>
    <w:link w:val="Heading9"/>
    <w:rsid w:val="00EF74C7"/>
    <w:rPr>
      <w:rFonts w:ascii="Arial" w:eastAsia="Arial" w:hAnsi="Arial" w:cs="Times New Roman"/>
      <w:kern w:val="0"/>
      <w:sz w:val="20"/>
      <w:szCs w:val="20"/>
      <w:lang w:val="hr-HR" w:eastAsia="de-DE"/>
      <w14:ligatures w14:val="none"/>
    </w:rPr>
  </w:style>
  <w:style w:type="paragraph" w:styleId="TableofFigures">
    <w:name w:val="table of figures"/>
    <w:basedOn w:val="Normal"/>
    <w:next w:val="Normal"/>
    <w:qFormat/>
    <w:rsid w:val="00EF74C7"/>
    <w:pPr>
      <w:ind w:left="440" w:hanging="440"/>
    </w:pPr>
  </w:style>
  <w:style w:type="paragraph" w:customStyle="1" w:styleId="Aufzhlungszeichen1">
    <w:name w:val="Aufzählungszeichen1"/>
    <w:basedOn w:val="Normal"/>
    <w:uiPriority w:val="1"/>
    <w:qFormat/>
    <w:rsid w:val="00EF74C7"/>
    <w:pPr>
      <w:numPr>
        <w:numId w:val="1"/>
      </w:numPr>
      <w:spacing w:line="240" w:lineRule="exact"/>
    </w:pPr>
  </w:style>
  <w:style w:type="paragraph" w:customStyle="1" w:styleId="Aufzhlungszeichen2">
    <w:name w:val="Aufzählungszeichen2"/>
    <w:basedOn w:val="Normal"/>
    <w:uiPriority w:val="1"/>
    <w:qFormat/>
    <w:rsid w:val="00EF74C7"/>
    <w:pPr>
      <w:numPr>
        <w:numId w:val="2"/>
      </w:numPr>
      <w:spacing w:line="240" w:lineRule="exact"/>
    </w:pPr>
  </w:style>
  <w:style w:type="paragraph" w:customStyle="1" w:styleId="Aufzhlungszeichen3">
    <w:name w:val="Aufzählungszeichen3"/>
    <w:basedOn w:val="Normal"/>
    <w:uiPriority w:val="1"/>
    <w:qFormat/>
    <w:rsid w:val="00EF74C7"/>
    <w:pPr>
      <w:numPr>
        <w:numId w:val="3"/>
      </w:numPr>
      <w:spacing w:line="240" w:lineRule="exact"/>
    </w:pPr>
  </w:style>
  <w:style w:type="paragraph" w:customStyle="1" w:styleId="Aufzhlungszeichen4">
    <w:name w:val="Aufzählungszeichen4"/>
    <w:basedOn w:val="Normal"/>
    <w:uiPriority w:val="1"/>
    <w:qFormat/>
    <w:rsid w:val="00EF74C7"/>
    <w:pPr>
      <w:numPr>
        <w:numId w:val="4"/>
      </w:numPr>
      <w:spacing w:line="240" w:lineRule="exact"/>
    </w:pPr>
  </w:style>
  <w:style w:type="paragraph" w:styleId="FootnoteText">
    <w:name w:val="footnote text"/>
    <w:basedOn w:val="Normal"/>
    <w:link w:val="FootnoteTextChar"/>
    <w:qFormat/>
    <w:rsid w:val="00EF74C7"/>
    <w:pPr>
      <w:spacing w:line="180" w:lineRule="exact"/>
      <w:ind w:left="142" w:hanging="142"/>
    </w:pPr>
    <w:rPr>
      <w:rFonts w:ascii="Arial" w:eastAsia="Arial" w:hAnsi="Arial"/>
      <w:sz w:val="16"/>
      <w:szCs w:val="16"/>
      <w:lang w:val="hr-HR" w:eastAsia="de-DE"/>
    </w:rPr>
  </w:style>
  <w:style w:type="character" w:customStyle="1" w:styleId="FootnoteTextChar">
    <w:name w:val="Footnote Text Char"/>
    <w:basedOn w:val="DefaultParagraphFont"/>
    <w:link w:val="FootnoteText"/>
    <w:rsid w:val="00EF74C7"/>
    <w:rPr>
      <w:rFonts w:ascii="Arial" w:eastAsia="Arial" w:hAnsi="Arial" w:cs="Times New Roman"/>
      <w:kern w:val="0"/>
      <w:sz w:val="16"/>
      <w:szCs w:val="16"/>
      <w:lang w:val="hr-HR"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EF74C7"/>
    <w:rPr>
      <w:rFonts w:ascii="Arial" w:hAnsi="Arial" w:cs="Times New Roman"/>
      <w:kern w:val="0"/>
      <w:position w:val="4"/>
      <w:sz w:val="12"/>
      <w:szCs w:val="12"/>
      <w:vertAlign w:val="baseline"/>
    </w:rPr>
  </w:style>
  <w:style w:type="paragraph" w:styleId="Footer">
    <w:name w:val="footer"/>
    <w:basedOn w:val="Normal"/>
    <w:link w:val="FooterChar"/>
    <w:uiPriority w:val="99"/>
    <w:rsid w:val="00EF74C7"/>
    <w:pPr>
      <w:tabs>
        <w:tab w:val="center" w:pos="4536"/>
        <w:tab w:val="right" w:pos="9072"/>
      </w:tabs>
    </w:pPr>
    <w:rPr>
      <w:rFonts w:ascii="Arial" w:eastAsia="Arial" w:hAnsi="Arial"/>
      <w:sz w:val="14"/>
      <w:szCs w:val="14"/>
      <w:lang w:val="hr-HR" w:eastAsia="de-DE"/>
    </w:rPr>
  </w:style>
  <w:style w:type="character" w:customStyle="1" w:styleId="FooterChar">
    <w:name w:val="Footer Char"/>
    <w:basedOn w:val="DefaultParagraphFont"/>
    <w:link w:val="Footer"/>
    <w:uiPriority w:val="99"/>
    <w:rsid w:val="00EF74C7"/>
    <w:rPr>
      <w:rFonts w:ascii="Arial" w:eastAsia="Arial" w:hAnsi="Arial" w:cs="Times New Roman"/>
      <w:kern w:val="0"/>
      <w:sz w:val="14"/>
      <w:szCs w:val="14"/>
      <w:lang w:val="hr-HR" w:eastAsia="de-DE"/>
      <w14:ligatures w14:val="none"/>
    </w:rPr>
  </w:style>
  <w:style w:type="paragraph" w:customStyle="1" w:styleId="GliederungmitAufzhlung">
    <w:name w:val="Gliederung mit Aufzählung"/>
    <w:basedOn w:val="Normal"/>
    <w:uiPriority w:val="1"/>
    <w:qFormat/>
    <w:rsid w:val="00EF74C7"/>
    <w:pPr>
      <w:numPr>
        <w:numId w:val="7"/>
      </w:numPr>
      <w:spacing w:line="312" w:lineRule="auto"/>
    </w:pPr>
  </w:style>
  <w:style w:type="paragraph" w:customStyle="1" w:styleId="GliederungmitNummerierung">
    <w:name w:val="Gliederung mit Nummerierung"/>
    <w:basedOn w:val="Normal"/>
    <w:uiPriority w:val="1"/>
    <w:qFormat/>
    <w:rsid w:val="00EF74C7"/>
    <w:pPr>
      <w:numPr>
        <w:numId w:val="8"/>
      </w:numPr>
      <w:spacing w:line="312" w:lineRule="auto"/>
    </w:pPr>
  </w:style>
  <w:style w:type="paragraph" w:customStyle="1" w:styleId="HngEinrckung1">
    <w:name w:val="Häng. Einrückung1"/>
    <w:basedOn w:val="Normal"/>
    <w:uiPriority w:val="1"/>
    <w:qFormat/>
    <w:rsid w:val="00EF74C7"/>
    <w:pPr>
      <w:spacing w:line="312" w:lineRule="auto"/>
      <w:ind w:left="567" w:hanging="567"/>
    </w:pPr>
  </w:style>
  <w:style w:type="paragraph" w:customStyle="1" w:styleId="HngEinrckung2">
    <w:name w:val="Häng. Einrückung2"/>
    <w:basedOn w:val="Normal"/>
    <w:uiPriority w:val="1"/>
    <w:qFormat/>
    <w:rsid w:val="00EF74C7"/>
    <w:pPr>
      <w:spacing w:line="312" w:lineRule="auto"/>
      <w:ind w:left="1134" w:hanging="567"/>
    </w:pPr>
  </w:style>
  <w:style w:type="paragraph" w:customStyle="1" w:styleId="HngEinrckung3">
    <w:name w:val="Häng. Einrückung3"/>
    <w:basedOn w:val="Normal"/>
    <w:uiPriority w:val="1"/>
    <w:qFormat/>
    <w:rsid w:val="00EF74C7"/>
    <w:pPr>
      <w:spacing w:line="312" w:lineRule="auto"/>
      <w:ind w:left="1701" w:hanging="567"/>
    </w:pPr>
  </w:style>
  <w:style w:type="character" w:styleId="Hyperlink">
    <w:name w:val="Hyperlink"/>
    <w:uiPriority w:val="99"/>
    <w:rsid w:val="00EF74C7"/>
    <w:rPr>
      <w:rFonts w:cs="Times New Roman"/>
      <w:color w:val="0000FF"/>
      <w:u w:val="single"/>
    </w:rPr>
  </w:style>
  <w:style w:type="paragraph" w:customStyle="1" w:styleId="Marginalspalte">
    <w:name w:val="Marginalspalte"/>
    <w:basedOn w:val="Normal"/>
    <w:uiPriority w:val="1"/>
    <w:qFormat/>
    <w:rsid w:val="00EF74C7"/>
    <w:pPr>
      <w:framePr w:w="851" w:h="851" w:hSpace="284" w:wrap="around" w:vAnchor="text" w:hAnchor="page" w:y="1"/>
    </w:pPr>
    <w:rPr>
      <w:i/>
      <w:szCs w:val="22"/>
    </w:rPr>
  </w:style>
  <w:style w:type="paragraph" w:customStyle="1" w:styleId="Nummerierungsart1">
    <w:name w:val="Nummerierungsart1"/>
    <w:basedOn w:val="Normal"/>
    <w:uiPriority w:val="1"/>
    <w:qFormat/>
    <w:rsid w:val="00EF74C7"/>
    <w:pPr>
      <w:numPr>
        <w:numId w:val="9"/>
      </w:numPr>
    </w:pPr>
  </w:style>
  <w:style w:type="paragraph" w:customStyle="1" w:styleId="Nummerierungsart2">
    <w:name w:val="Nummerierungsart2"/>
    <w:basedOn w:val="Normal"/>
    <w:uiPriority w:val="1"/>
    <w:qFormat/>
    <w:rsid w:val="00EF74C7"/>
    <w:pPr>
      <w:numPr>
        <w:numId w:val="10"/>
      </w:numPr>
    </w:pPr>
  </w:style>
  <w:style w:type="paragraph" w:customStyle="1" w:styleId="Nummerierungsart3">
    <w:name w:val="Nummerierungsart3"/>
    <w:basedOn w:val="Normal"/>
    <w:uiPriority w:val="1"/>
    <w:qFormat/>
    <w:rsid w:val="00EF74C7"/>
    <w:pPr>
      <w:numPr>
        <w:numId w:val="11"/>
      </w:numPr>
    </w:pPr>
  </w:style>
  <w:style w:type="paragraph" w:customStyle="1" w:styleId="Nummerierungsart4">
    <w:name w:val="Nummerierungsart4"/>
    <w:basedOn w:val="Normal"/>
    <w:uiPriority w:val="1"/>
    <w:qFormat/>
    <w:rsid w:val="00EF74C7"/>
    <w:pPr>
      <w:numPr>
        <w:numId w:val="12"/>
      </w:numPr>
    </w:pPr>
  </w:style>
  <w:style w:type="character" w:styleId="PageNumber">
    <w:name w:val="page number"/>
    <w:uiPriority w:val="99"/>
    <w:rsid w:val="00EF74C7"/>
    <w:rPr>
      <w:rFonts w:ascii="Arial" w:hAnsi="Arial" w:cs="Times New Roman"/>
      <w:sz w:val="22"/>
    </w:rPr>
  </w:style>
  <w:style w:type="character" w:customStyle="1" w:styleId="Heading3Char1">
    <w:name w:val="Heading 3 Char1"/>
    <w:aliases w:val="Title 2 Char1"/>
    <w:link w:val="Heading3"/>
    <w:uiPriority w:val="99"/>
    <w:locked/>
    <w:rsid w:val="00EF74C7"/>
    <w:rPr>
      <w:rFonts w:ascii="Arial" w:eastAsia="Arial" w:hAnsi="Arial" w:cs="Times New Roman"/>
      <w:b/>
      <w:kern w:val="0"/>
      <w:sz w:val="20"/>
      <w:szCs w:val="20"/>
      <w:lang w:val="hr-HR" w:eastAsia="de-DE"/>
      <w14:ligatures w14:val="none"/>
    </w:rPr>
  </w:style>
  <w:style w:type="paragraph" w:styleId="TOC1">
    <w:name w:val="toc 1"/>
    <w:basedOn w:val="Normal"/>
    <w:next w:val="Normal"/>
    <w:autoRedefine/>
    <w:uiPriority w:val="39"/>
    <w:qFormat/>
    <w:rsid w:val="00EF74C7"/>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EF74C7"/>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EF74C7"/>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EF74C7"/>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EF74C7"/>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EF74C7"/>
    <w:pPr>
      <w:tabs>
        <w:tab w:val="left" w:pos="2058"/>
        <w:tab w:val="right" w:leader="dot" w:pos="9071"/>
      </w:tabs>
      <w:ind w:left="1134" w:hanging="1134"/>
    </w:pPr>
    <w:rPr>
      <w:noProof/>
      <w:sz w:val="16"/>
    </w:rPr>
  </w:style>
  <w:style w:type="paragraph" w:styleId="TOC7">
    <w:name w:val="toc 7"/>
    <w:basedOn w:val="Normal"/>
    <w:next w:val="Normal"/>
    <w:autoRedefine/>
    <w:uiPriority w:val="39"/>
    <w:rsid w:val="00EF74C7"/>
    <w:pPr>
      <w:tabs>
        <w:tab w:val="right" w:leader="dot" w:pos="9071"/>
      </w:tabs>
      <w:ind w:left="1134" w:hanging="1134"/>
    </w:pPr>
    <w:rPr>
      <w:sz w:val="16"/>
    </w:rPr>
  </w:style>
  <w:style w:type="paragraph" w:styleId="TOC8">
    <w:name w:val="toc 8"/>
    <w:basedOn w:val="Normal"/>
    <w:next w:val="Normal"/>
    <w:autoRedefine/>
    <w:uiPriority w:val="39"/>
    <w:rsid w:val="00EF74C7"/>
    <w:pPr>
      <w:tabs>
        <w:tab w:val="left" w:pos="2758"/>
        <w:tab w:val="right" w:leader="dot" w:pos="9071"/>
      </w:tabs>
      <w:ind w:left="1361" w:hanging="1361"/>
    </w:pPr>
    <w:rPr>
      <w:noProof/>
      <w:sz w:val="16"/>
    </w:rPr>
  </w:style>
  <w:style w:type="paragraph" w:styleId="TOC9">
    <w:name w:val="toc 9"/>
    <w:basedOn w:val="Normal"/>
    <w:next w:val="Normal"/>
    <w:autoRedefine/>
    <w:uiPriority w:val="39"/>
    <w:rsid w:val="00EF74C7"/>
    <w:pPr>
      <w:tabs>
        <w:tab w:val="right" w:leader="dot" w:pos="9071"/>
      </w:tabs>
      <w:ind w:left="1361" w:hanging="1361"/>
    </w:pPr>
    <w:rPr>
      <w:sz w:val="16"/>
    </w:rPr>
  </w:style>
  <w:style w:type="paragraph" w:styleId="Quote">
    <w:name w:val="Quote"/>
    <w:basedOn w:val="Normal"/>
    <w:next w:val="Normal"/>
    <w:link w:val="QuoteChar"/>
    <w:uiPriority w:val="29"/>
    <w:qFormat/>
    <w:rsid w:val="00EF74C7"/>
    <w:rPr>
      <w:rFonts w:ascii="Arial" w:eastAsia="Arial" w:hAnsi="Arial"/>
      <w:i/>
      <w:iCs/>
      <w:color w:val="000000"/>
      <w:szCs w:val="20"/>
      <w:lang w:val="hr-HR" w:eastAsia="de-DE"/>
    </w:rPr>
  </w:style>
  <w:style w:type="character" w:customStyle="1" w:styleId="QuoteChar">
    <w:name w:val="Quote Char"/>
    <w:basedOn w:val="DefaultParagraphFont"/>
    <w:link w:val="Quote"/>
    <w:uiPriority w:val="29"/>
    <w:rsid w:val="00EF74C7"/>
    <w:rPr>
      <w:rFonts w:ascii="Arial" w:eastAsia="Arial" w:hAnsi="Arial" w:cs="Times New Roman"/>
      <w:i/>
      <w:iCs/>
      <w:color w:val="000000"/>
      <w:kern w:val="0"/>
      <w:sz w:val="20"/>
      <w:szCs w:val="20"/>
      <w:lang w:val="hr-HR" w:eastAsia="de-DE"/>
      <w14:ligatures w14:val="none"/>
    </w:rPr>
  </w:style>
  <w:style w:type="paragraph" w:styleId="TOCHeading">
    <w:name w:val="TOC Heading"/>
    <w:basedOn w:val="Heading1"/>
    <w:next w:val="Normal"/>
    <w:uiPriority w:val="39"/>
    <w:qFormat/>
    <w:rsid w:val="00EF74C7"/>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EF74C7"/>
    <w:pPr>
      <w:spacing w:line="180" w:lineRule="exact"/>
      <w:ind w:left="142" w:hanging="142"/>
    </w:pPr>
    <w:rPr>
      <w:rFonts w:ascii="Arial" w:eastAsia="Arial" w:hAnsi="Arial"/>
      <w:szCs w:val="20"/>
      <w:lang w:val="hr-HR" w:eastAsia="de-DE"/>
    </w:rPr>
  </w:style>
  <w:style w:type="character" w:customStyle="1" w:styleId="EndnoteTextChar">
    <w:name w:val="Endnote Text Char"/>
    <w:basedOn w:val="DefaultParagraphFont"/>
    <w:link w:val="EndnoteText"/>
    <w:uiPriority w:val="1"/>
    <w:rsid w:val="00EF74C7"/>
    <w:rPr>
      <w:rFonts w:ascii="Arial" w:eastAsia="Arial" w:hAnsi="Arial" w:cs="Times New Roman"/>
      <w:kern w:val="0"/>
      <w:sz w:val="20"/>
      <w:szCs w:val="20"/>
      <w:lang w:val="hr-HR" w:eastAsia="de-DE"/>
      <w14:ligatures w14:val="none"/>
    </w:rPr>
  </w:style>
  <w:style w:type="character" w:styleId="EndnoteReference">
    <w:name w:val="endnote reference"/>
    <w:uiPriority w:val="1"/>
    <w:rsid w:val="00EF74C7"/>
    <w:rPr>
      <w:rFonts w:ascii="Arial" w:hAnsi="Arial" w:cs="Times New Roman"/>
      <w:color w:val="auto"/>
      <w:position w:val="4"/>
      <w:sz w:val="12"/>
      <w:vertAlign w:val="baseline"/>
    </w:rPr>
  </w:style>
  <w:style w:type="paragraph" w:customStyle="1" w:styleId="Ballontekst">
    <w:name w:val="Ballontekst"/>
    <w:basedOn w:val="Normal"/>
    <w:uiPriority w:val="99"/>
    <w:semiHidden/>
    <w:rsid w:val="00EF74C7"/>
    <w:rPr>
      <w:rFonts w:ascii="Tahoma" w:hAnsi="Tahoma" w:cs="Tahoma"/>
      <w:sz w:val="16"/>
      <w:szCs w:val="16"/>
    </w:rPr>
  </w:style>
  <w:style w:type="character" w:styleId="CommentReference">
    <w:name w:val="annotation reference"/>
    <w:uiPriority w:val="99"/>
    <w:rsid w:val="00EF74C7"/>
    <w:rPr>
      <w:rFonts w:cs="Times New Roman"/>
      <w:sz w:val="16"/>
      <w:szCs w:val="16"/>
    </w:rPr>
  </w:style>
  <w:style w:type="paragraph" w:styleId="CommentText">
    <w:name w:val="annotation text"/>
    <w:basedOn w:val="Normal"/>
    <w:link w:val="CommentTextChar"/>
    <w:uiPriority w:val="99"/>
    <w:rsid w:val="00EF74C7"/>
    <w:rPr>
      <w:rFonts w:eastAsia="Arial"/>
      <w:szCs w:val="20"/>
      <w:lang w:val="hr-HR" w:eastAsia="x-none"/>
    </w:rPr>
  </w:style>
  <w:style w:type="character" w:customStyle="1" w:styleId="CommentTextChar">
    <w:name w:val="Comment Text Char"/>
    <w:basedOn w:val="DefaultParagraphFont"/>
    <w:link w:val="CommentText"/>
    <w:uiPriority w:val="99"/>
    <w:rsid w:val="00EF74C7"/>
    <w:rPr>
      <w:rFonts w:ascii="Verdana" w:eastAsia="Arial" w:hAnsi="Verdana" w:cs="Times New Roman"/>
      <w:kern w:val="0"/>
      <w:sz w:val="20"/>
      <w:szCs w:val="20"/>
      <w:lang w:val="hr-HR" w:eastAsia="x-none"/>
      <w14:ligatures w14:val="none"/>
    </w:rPr>
  </w:style>
  <w:style w:type="paragraph" w:customStyle="1" w:styleId="Onderwerpvanopmerking">
    <w:name w:val="Onderwerp van opmerking"/>
    <w:basedOn w:val="CommentText"/>
    <w:next w:val="CommentText"/>
    <w:uiPriority w:val="99"/>
    <w:semiHidden/>
    <w:rsid w:val="00EF74C7"/>
    <w:rPr>
      <w:b/>
      <w:bCs/>
    </w:rPr>
  </w:style>
  <w:style w:type="character" w:styleId="FollowedHyperlink">
    <w:name w:val="FollowedHyperlink"/>
    <w:uiPriority w:val="99"/>
    <w:rsid w:val="00EF74C7"/>
    <w:rPr>
      <w:rFonts w:cs="Times New Roman"/>
      <w:color w:val="606420"/>
      <w:u w:val="single"/>
    </w:rPr>
  </w:style>
  <w:style w:type="paragraph" w:styleId="BalloonText">
    <w:name w:val="Balloon Text"/>
    <w:basedOn w:val="Normal"/>
    <w:link w:val="BalloonTextChar"/>
    <w:uiPriority w:val="99"/>
    <w:rsid w:val="00EF74C7"/>
    <w:rPr>
      <w:rFonts w:ascii="Tahoma" w:eastAsia="Arial" w:hAnsi="Tahoma"/>
      <w:sz w:val="16"/>
      <w:szCs w:val="16"/>
      <w:lang w:val="hr-HR" w:eastAsia="x-none"/>
    </w:rPr>
  </w:style>
  <w:style w:type="character" w:customStyle="1" w:styleId="BalloonTextChar">
    <w:name w:val="Balloon Text Char"/>
    <w:basedOn w:val="DefaultParagraphFont"/>
    <w:link w:val="BalloonText"/>
    <w:uiPriority w:val="99"/>
    <w:rsid w:val="00EF74C7"/>
    <w:rPr>
      <w:rFonts w:ascii="Tahoma" w:eastAsia="Arial" w:hAnsi="Tahoma" w:cs="Times New Roman"/>
      <w:kern w:val="0"/>
      <w:sz w:val="16"/>
      <w:szCs w:val="16"/>
      <w:lang w:val="hr-HR" w:eastAsia="x-none"/>
      <w14:ligatures w14:val="none"/>
    </w:rPr>
  </w:style>
  <w:style w:type="paragraph" w:styleId="CommentSubject">
    <w:name w:val="annotation subject"/>
    <w:basedOn w:val="CommentText"/>
    <w:next w:val="CommentText"/>
    <w:link w:val="CommentSubjectChar"/>
    <w:uiPriority w:val="99"/>
    <w:rsid w:val="00EF74C7"/>
    <w:rPr>
      <w:b/>
      <w:bCs/>
    </w:rPr>
  </w:style>
  <w:style w:type="character" w:customStyle="1" w:styleId="CommentSubjectChar">
    <w:name w:val="Comment Subject Char"/>
    <w:basedOn w:val="CommentTextChar"/>
    <w:link w:val="CommentSubject"/>
    <w:uiPriority w:val="99"/>
    <w:rsid w:val="00EF74C7"/>
    <w:rPr>
      <w:rFonts w:ascii="Verdana" w:eastAsia="Arial" w:hAnsi="Verdana" w:cs="Times New Roman"/>
      <w:b/>
      <w:bCs/>
      <w:kern w:val="0"/>
      <w:sz w:val="20"/>
      <w:szCs w:val="20"/>
      <w:lang w:val="hr-HR" w:eastAsia="x-none"/>
      <w14:ligatures w14:val="none"/>
    </w:rPr>
  </w:style>
  <w:style w:type="table" w:styleId="TableGrid">
    <w:name w:val="Table Grid"/>
    <w:aliases w:val="Tabla CUADROS"/>
    <w:basedOn w:val="TableNormal"/>
    <w:uiPriority w:val="59"/>
    <w:rsid w:val="00EF74C7"/>
    <w:pPr>
      <w:spacing w:after="0" w:line="240" w:lineRule="auto"/>
    </w:pPr>
    <w:rPr>
      <w:rFonts w:ascii="Times New Roman" w:eastAsia="Times New Roman" w:hAnsi="Times New Roman" w:cs="Times New Roman"/>
      <w:kern w:val="0"/>
      <w:sz w:val="20"/>
      <w:szCs w:val="20"/>
      <w:lang w:val="hr-HR"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EF74C7"/>
    <w:pPr>
      <w:spacing w:before="240" w:after="60"/>
    </w:pPr>
    <w:rPr>
      <w:iCs/>
      <w:szCs w:val="28"/>
    </w:rPr>
  </w:style>
  <w:style w:type="character" w:customStyle="1" w:styleId="Formatvorlageberschrift4Char">
    <w:name w:val="Formatvorlage Überschrift 4 Char"/>
    <w:link w:val="Formatvorlageberschrift4"/>
    <w:uiPriority w:val="99"/>
    <w:locked/>
    <w:rsid w:val="00EF74C7"/>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EF74C7"/>
    <w:pPr>
      <w:tabs>
        <w:tab w:val="num" w:pos="540"/>
      </w:tabs>
      <w:spacing w:before="240"/>
      <w:ind w:left="540" w:hanging="540"/>
    </w:pPr>
    <w:rPr>
      <w:b w:val="0"/>
      <w:kern w:val="32"/>
    </w:rPr>
  </w:style>
  <w:style w:type="paragraph" w:customStyle="1" w:styleId="Instructionsberschrift2">
    <w:name w:val="Instructions Überschrift 2"/>
    <w:basedOn w:val="Heading2"/>
    <w:rsid w:val="00EF74C7"/>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EF74C7"/>
    <w:pPr>
      <w:numPr>
        <w:numId w:val="14"/>
      </w:numPr>
      <w:spacing w:before="240" w:after="60" w:line="360" w:lineRule="auto"/>
    </w:pPr>
    <w:rPr>
      <w:rFonts w:ascii="Verdana" w:eastAsia="Times New Roman" w:hAnsi="Verdana"/>
      <w:szCs w:val="26"/>
      <w:u w:val="single"/>
      <w:lang w:val="hr-HR" w:eastAsia="en-US"/>
    </w:rPr>
  </w:style>
  <w:style w:type="character" w:customStyle="1" w:styleId="Instructionsberschrift3Zchn">
    <w:name w:val="Instructions Überschrift 3 Zchn"/>
    <w:link w:val="Instructionsberschrift3"/>
    <w:locked/>
    <w:rsid w:val="00EF74C7"/>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EF74C7"/>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EF74C7"/>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EF74C7"/>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EF74C7"/>
    <w:rPr>
      <w:rFonts w:ascii="Verdana" w:hAnsi="Verdana" w:cs="Times New Roman"/>
      <w:b/>
      <w:bCs/>
      <w:sz w:val="20"/>
      <w:u w:val="single"/>
    </w:rPr>
  </w:style>
  <w:style w:type="character" w:customStyle="1" w:styleId="InstructionsTabelleText">
    <w:name w:val="Instructions Tabelle Text"/>
    <w:rsid w:val="00EF74C7"/>
    <w:rPr>
      <w:rFonts w:ascii="Verdana" w:hAnsi="Verdana" w:cs="Times New Roman"/>
      <w:sz w:val="20"/>
    </w:rPr>
  </w:style>
  <w:style w:type="character" w:customStyle="1" w:styleId="FormatvorlageInstructionsTabelleText">
    <w:name w:val="Formatvorlage Instructions Tabelle Text"/>
    <w:uiPriority w:val="99"/>
    <w:qFormat/>
    <w:rsid w:val="00EF74C7"/>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EF74C7"/>
    <w:pPr>
      <w:ind w:left="0" w:firstLine="0"/>
    </w:pPr>
    <w:rPr>
      <w:szCs w:val="20"/>
    </w:rPr>
  </w:style>
  <w:style w:type="paragraph" w:customStyle="1" w:styleId="Texte2">
    <w:name w:val="Texte 2"/>
    <w:basedOn w:val="Normal"/>
    <w:uiPriority w:val="99"/>
    <w:rsid w:val="00EF74C7"/>
    <w:pPr>
      <w:spacing w:after="0"/>
      <w:ind w:left="567"/>
    </w:pPr>
    <w:rPr>
      <w:sz w:val="22"/>
      <w:szCs w:val="20"/>
      <w:lang w:eastAsia="fr-FR"/>
    </w:rPr>
  </w:style>
  <w:style w:type="paragraph" w:customStyle="1" w:styleId="Prrafodelista1">
    <w:name w:val="Párrafo de lista1"/>
    <w:basedOn w:val="Normal"/>
    <w:uiPriority w:val="99"/>
    <w:rsid w:val="00EF74C7"/>
    <w:pPr>
      <w:ind w:left="720"/>
    </w:pPr>
  </w:style>
  <w:style w:type="paragraph" w:customStyle="1" w:styleId="Prrafodelista2">
    <w:name w:val="Párrafo de lista2"/>
    <w:basedOn w:val="Normal"/>
    <w:uiPriority w:val="99"/>
    <w:rsid w:val="00EF74C7"/>
    <w:pPr>
      <w:ind w:left="708"/>
    </w:pPr>
  </w:style>
  <w:style w:type="paragraph" w:styleId="PlainText">
    <w:name w:val="Plain Text"/>
    <w:basedOn w:val="Normal"/>
    <w:link w:val="PlainTextChar"/>
    <w:uiPriority w:val="99"/>
    <w:rsid w:val="00EF74C7"/>
    <w:pPr>
      <w:spacing w:before="0" w:after="0"/>
      <w:jc w:val="left"/>
    </w:pPr>
    <w:rPr>
      <w:rFonts w:eastAsia="Arial"/>
      <w:szCs w:val="20"/>
      <w:lang w:val="hr-HR" w:eastAsia="es-ES_tradnl"/>
    </w:rPr>
  </w:style>
  <w:style w:type="character" w:customStyle="1" w:styleId="PlainTextChar">
    <w:name w:val="Plain Text Char"/>
    <w:basedOn w:val="DefaultParagraphFont"/>
    <w:link w:val="PlainText"/>
    <w:uiPriority w:val="99"/>
    <w:rsid w:val="00EF74C7"/>
    <w:rPr>
      <w:rFonts w:ascii="Verdana" w:eastAsia="Arial" w:hAnsi="Verdana" w:cs="Times New Roman"/>
      <w:kern w:val="0"/>
      <w:sz w:val="20"/>
      <w:szCs w:val="20"/>
      <w:lang w:val="hr-HR" w:eastAsia="es-ES_tradnl"/>
      <w14:ligatures w14:val="none"/>
    </w:rPr>
  </w:style>
  <w:style w:type="paragraph" w:customStyle="1" w:styleId="Listenabsatz1">
    <w:name w:val="Listenabsatz1"/>
    <w:basedOn w:val="Normal"/>
    <w:uiPriority w:val="99"/>
    <w:rsid w:val="00EF74C7"/>
    <w:pPr>
      <w:ind w:left="708"/>
    </w:pPr>
  </w:style>
  <w:style w:type="character" w:customStyle="1" w:styleId="InstructionsTextChar">
    <w:name w:val="Instructions Text Char"/>
    <w:link w:val="InstructionsText"/>
    <w:locked/>
    <w:rsid w:val="00EF74C7"/>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EF74C7"/>
    <w:pPr>
      <w:spacing w:after="0" w:line="240" w:lineRule="auto"/>
    </w:pPr>
    <w:rPr>
      <w:rFonts w:ascii="Verdana" w:eastAsia="Times New Roman" w:hAnsi="Verdana" w:cs="Times New Roman"/>
      <w:kern w:val="0"/>
      <w:sz w:val="20"/>
      <w:szCs w:val="24"/>
      <w:lang w:val="hr-HR"/>
      <w14:ligatures w14:val="none"/>
    </w:rPr>
  </w:style>
  <w:style w:type="paragraph" w:styleId="ListParagraph">
    <w:name w:val="List Paragraph"/>
    <w:basedOn w:val="Normal"/>
    <w:link w:val="ListParagraphChar"/>
    <w:uiPriority w:val="34"/>
    <w:qFormat/>
    <w:rsid w:val="00EF74C7"/>
    <w:pPr>
      <w:ind w:left="708"/>
    </w:pPr>
  </w:style>
  <w:style w:type="character" w:styleId="PlaceholderText">
    <w:name w:val="Placeholder Text"/>
    <w:uiPriority w:val="99"/>
    <w:semiHidden/>
    <w:rsid w:val="00EF74C7"/>
    <w:rPr>
      <w:rFonts w:cs="Times New Roman"/>
      <w:color w:val="808080"/>
    </w:rPr>
  </w:style>
  <w:style w:type="paragraph" w:customStyle="1" w:styleId="InstructionsText2">
    <w:name w:val="Instructions Text 2"/>
    <w:basedOn w:val="InstructionsText"/>
    <w:qFormat/>
    <w:rsid w:val="00EF74C7"/>
    <w:pPr>
      <w:numPr>
        <w:numId w:val="15"/>
      </w:numPr>
      <w:spacing w:after="240"/>
    </w:pPr>
  </w:style>
  <w:style w:type="character" w:customStyle="1" w:styleId="Instructionsberschrift3Char">
    <w:name w:val="Instructions Überschrift 3 Char"/>
    <w:locked/>
    <w:rsid w:val="00EF74C7"/>
    <w:rPr>
      <w:rFonts w:ascii="Verdana" w:hAnsi="Verdana" w:cs="Arial"/>
      <w:b/>
      <w:bCs/>
      <w:sz w:val="26"/>
      <w:szCs w:val="26"/>
      <w:u w:val="single"/>
      <w:lang w:val="hr-HR" w:eastAsia="en-US" w:bidi="ar-SA"/>
    </w:rPr>
  </w:style>
  <w:style w:type="paragraph" w:customStyle="1" w:styleId="CM4">
    <w:name w:val="CM4"/>
    <w:basedOn w:val="Normal"/>
    <w:next w:val="Normal"/>
    <w:uiPriority w:val="99"/>
    <w:rsid w:val="00EF74C7"/>
    <w:pPr>
      <w:autoSpaceDE w:val="0"/>
      <w:autoSpaceDN w:val="0"/>
      <w:adjustRightInd w:val="0"/>
      <w:spacing w:before="0" w:after="0"/>
      <w:jc w:val="left"/>
    </w:pPr>
    <w:rPr>
      <w:rFonts w:ascii="Times New Roman" w:eastAsia="Arial" w:hAnsi="Times New Roman"/>
      <w:sz w:val="24"/>
      <w:lang w:val="hr-HR"/>
    </w:rPr>
  </w:style>
  <w:style w:type="paragraph" w:styleId="DocumentMap">
    <w:name w:val="Document Map"/>
    <w:basedOn w:val="Normal"/>
    <w:link w:val="DocumentMapChar"/>
    <w:uiPriority w:val="99"/>
    <w:semiHidden/>
    <w:rsid w:val="00EF74C7"/>
    <w:pPr>
      <w:spacing w:before="0" w:after="0"/>
    </w:pPr>
    <w:rPr>
      <w:rFonts w:ascii="Tahoma" w:eastAsia="Arial" w:hAnsi="Tahoma"/>
      <w:sz w:val="16"/>
      <w:szCs w:val="16"/>
      <w:lang w:val="hr-HR" w:eastAsia="x-none"/>
    </w:rPr>
  </w:style>
  <w:style w:type="character" w:customStyle="1" w:styleId="DocumentMapChar">
    <w:name w:val="Document Map Char"/>
    <w:basedOn w:val="DefaultParagraphFont"/>
    <w:link w:val="DocumentMap"/>
    <w:uiPriority w:val="99"/>
    <w:semiHidden/>
    <w:rsid w:val="00EF74C7"/>
    <w:rPr>
      <w:rFonts w:ascii="Tahoma" w:eastAsia="Arial" w:hAnsi="Tahoma" w:cs="Times New Roman"/>
      <w:kern w:val="0"/>
      <w:sz w:val="16"/>
      <w:szCs w:val="16"/>
      <w:lang w:val="hr-HR" w:eastAsia="x-none"/>
      <w14:ligatures w14:val="none"/>
    </w:rPr>
  </w:style>
  <w:style w:type="paragraph" w:customStyle="1" w:styleId="Titrearticle">
    <w:name w:val="Titre article"/>
    <w:basedOn w:val="Normal"/>
    <w:next w:val="Normal"/>
    <w:rsid w:val="00EF74C7"/>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EF74C7"/>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EF74C7"/>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EF74C7"/>
    <w:rPr>
      <w:rFonts w:cs="Times New Roman"/>
      <w:sz w:val="24"/>
      <w:szCs w:val="24"/>
      <w:lang w:eastAsia="de-DE"/>
    </w:rPr>
  </w:style>
  <w:style w:type="paragraph" w:customStyle="1" w:styleId="NumPar1">
    <w:name w:val="NumPar 1"/>
    <w:basedOn w:val="Normal"/>
    <w:next w:val="Normal"/>
    <w:link w:val="NumPar1Char"/>
    <w:uiPriority w:val="99"/>
    <w:rsid w:val="00EF74C7"/>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EF74C7"/>
    <w:rPr>
      <w:rFonts w:cs="Times New Roman"/>
      <w:sz w:val="24"/>
      <w:szCs w:val="24"/>
    </w:rPr>
  </w:style>
  <w:style w:type="paragraph" w:customStyle="1" w:styleId="Point1letter">
    <w:name w:val="Point 1 (letter)"/>
    <w:basedOn w:val="Normal"/>
    <w:link w:val="Point1letterChar"/>
    <w:uiPriority w:val="99"/>
    <w:rsid w:val="00EF74C7"/>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EF74C7"/>
    <w:pPr>
      <w:numPr>
        <w:numId w:val="6"/>
      </w:numPr>
    </w:pPr>
  </w:style>
  <w:style w:type="numbering" w:customStyle="1" w:styleId="Formatvorlage3">
    <w:name w:val="Formatvorlage3"/>
    <w:uiPriority w:val="99"/>
    <w:rsid w:val="00EF74C7"/>
    <w:pPr>
      <w:numPr>
        <w:numId w:val="16"/>
      </w:numPr>
    </w:pPr>
  </w:style>
  <w:style w:type="numbering" w:customStyle="1" w:styleId="Formatvorlage1">
    <w:name w:val="Formatvorlage1"/>
    <w:uiPriority w:val="99"/>
    <w:rsid w:val="00EF74C7"/>
    <w:pPr>
      <w:numPr>
        <w:numId w:val="5"/>
      </w:numPr>
    </w:pPr>
  </w:style>
  <w:style w:type="numbering" w:customStyle="1" w:styleId="Formatvorlage4">
    <w:name w:val="Formatvorlage4"/>
    <w:uiPriority w:val="99"/>
    <w:rsid w:val="00EF74C7"/>
    <w:pPr>
      <w:numPr>
        <w:numId w:val="18"/>
      </w:numPr>
    </w:pPr>
  </w:style>
  <w:style w:type="paragraph" w:customStyle="1" w:styleId="ListParagraph1">
    <w:name w:val="List Paragraph1"/>
    <w:basedOn w:val="Normal"/>
    <w:uiPriority w:val="99"/>
    <w:qFormat/>
    <w:rsid w:val="00EF74C7"/>
    <w:pPr>
      <w:ind w:left="708"/>
    </w:pPr>
  </w:style>
  <w:style w:type="paragraph" w:customStyle="1" w:styleId="Anfhrungszeichen1">
    <w:name w:val="Anführungszeichen1"/>
    <w:basedOn w:val="Normal"/>
    <w:next w:val="Normal"/>
    <w:link w:val="AnfhrungszeichenZchn"/>
    <w:uiPriority w:val="29"/>
    <w:semiHidden/>
    <w:rsid w:val="00EF74C7"/>
    <w:rPr>
      <w:i/>
      <w:iCs/>
      <w:color w:val="000000"/>
    </w:rPr>
  </w:style>
  <w:style w:type="character" w:customStyle="1" w:styleId="AnfhrungszeichenZchn">
    <w:name w:val="Anführungszeichen Zchn"/>
    <w:link w:val="Anfhrungszeichen1"/>
    <w:uiPriority w:val="29"/>
    <w:semiHidden/>
    <w:rsid w:val="00EF74C7"/>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EF74C7"/>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EF74C7"/>
    <w:pPr>
      <w:spacing w:after="0" w:line="240" w:lineRule="auto"/>
    </w:pPr>
    <w:rPr>
      <w:rFonts w:ascii="Verdana" w:eastAsia="Times New Roman" w:hAnsi="Verdana" w:cs="Times New Roman"/>
      <w:kern w:val="0"/>
      <w:sz w:val="20"/>
      <w:szCs w:val="24"/>
      <w:lang w:val="hr-HR"/>
      <w14:ligatures w14:val="none"/>
    </w:rPr>
  </w:style>
  <w:style w:type="paragraph" w:customStyle="1" w:styleId="Listenabsatz2">
    <w:name w:val="Listenabsatz2"/>
    <w:basedOn w:val="Normal"/>
    <w:uiPriority w:val="99"/>
    <w:qFormat/>
    <w:rsid w:val="00EF74C7"/>
    <w:pPr>
      <w:ind w:left="708"/>
    </w:pPr>
  </w:style>
  <w:style w:type="character" w:customStyle="1" w:styleId="Platzhaltertext1">
    <w:name w:val="Platzhaltertext1"/>
    <w:uiPriority w:val="99"/>
    <w:semiHidden/>
    <w:rsid w:val="00EF74C7"/>
    <w:rPr>
      <w:color w:val="808080"/>
    </w:rPr>
  </w:style>
  <w:style w:type="paragraph" w:customStyle="1" w:styleId="Default">
    <w:name w:val="Default"/>
    <w:rsid w:val="00EF74C7"/>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EF74C7"/>
    <w:rPr>
      <w:rFonts w:ascii="EU Albertina" w:hAnsi="EU Albertina" w:cs="Times New Roman"/>
      <w:color w:val="auto"/>
    </w:rPr>
  </w:style>
  <w:style w:type="paragraph" w:customStyle="1" w:styleId="CM3">
    <w:name w:val="CM3"/>
    <w:basedOn w:val="Default"/>
    <w:next w:val="Default"/>
    <w:uiPriority w:val="99"/>
    <w:rsid w:val="00EF74C7"/>
    <w:rPr>
      <w:rFonts w:ascii="EU Albertina" w:hAnsi="EU Albertina" w:cs="Times New Roman"/>
      <w:color w:val="auto"/>
    </w:rPr>
  </w:style>
  <w:style w:type="paragraph" w:styleId="NormalWeb">
    <w:name w:val="Normal (Web)"/>
    <w:basedOn w:val="Normal"/>
    <w:uiPriority w:val="99"/>
    <w:unhideWhenUsed/>
    <w:rsid w:val="00EF74C7"/>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EF74C7"/>
    <w:rPr>
      <w:i/>
      <w:iCs/>
    </w:rPr>
  </w:style>
  <w:style w:type="paragraph" w:customStyle="1" w:styleId="TableMainHeading">
    <w:name w:val="TableMainHeading"/>
    <w:basedOn w:val="Normal"/>
    <w:next w:val="Normal"/>
    <w:uiPriority w:val="99"/>
    <w:rsid w:val="00EF74C7"/>
    <w:pPr>
      <w:jc w:val="left"/>
    </w:pPr>
    <w:rPr>
      <w:rFonts w:ascii="Segoe UI" w:hAnsi="Segoe UI"/>
      <w:sz w:val="22"/>
      <w:szCs w:val="20"/>
    </w:rPr>
  </w:style>
  <w:style w:type="paragraph" w:customStyle="1" w:styleId="body">
    <w:name w:val="body"/>
    <w:qFormat/>
    <w:rsid w:val="00EF74C7"/>
    <w:pPr>
      <w:spacing w:before="240" w:after="120" w:line="276" w:lineRule="auto"/>
      <w:jc w:val="both"/>
    </w:pPr>
    <w:rPr>
      <w:rFonts w:eastAsiaTheme="minorEastAsia"/>
      <w:kern w:val="0"/>
      <w:szCs w:val="24"/>
      <w:lang w:val="hr-HR"/>
      <w14:ligatures w14:val="none"/>
    </w:rPr>
  </w:style>
  <w:style w:type="paragraph" w:customStyle="1" w:styleId="Applicationdirecte">
    <w:name w:val="Application directe"/>
    <w:basedOn w:val="Normal"/>
    <w:next w:val="Fait"/>
    <w:rsid w:val="00EF74C7"/>
    <w:pPr>
      <w:spacing w:before="480"/>
    </w:pPr>
    <w:rPr>
      <w:rFonts w:ascii="Times New Roman" w:hAnsi="Times New Roman"/>
      <w:sz w:val="24"/>
    </w:rPr>
  </w:style>
  <w:style w:type="paragraph" w:customStyle="1" w:styleId="Fait">
    <w:name w:val="Fait à"/>
    <w:basedOn w:val="Normal"/>
    <w:next w:val="Normal"/>
    <w:rsid w:val="00EF74C7"/>
    <w:pPr>
      <w:keepNext/>
      <w:spacing w:after="0"/>
    </w:pPr>
    <w:rPr>
      <w:rFonts w:ascii="Times New Roman" w:hAnsi="Times New Roman"/>
      <w:sz w:val="24"/>
    </w:rPr>
  </w:style>
  <w:style w:type="paragraph" w:customStyle="1" w:styleId="Numberedtilelevel1">
    <w:name w:val="Numbered tile level 1"/>
    <w:basedOn w:val="Titlelevel1"/>
    <w:qFormat/>
    <w:rsid w:val="00EF74C7"/>
    <w:pPr>
      <w:numPr>
        <w:numId w:val="25"/>
      </w:numPr>
    </w:pPr>
  </w:style>
  <w:style w:type="paragraph" w:customStyle="1" w:styleId="Numberedtitlelevel2">
    <w:name w:val="Numbered title level 2"/>
    <w:basedOn w:val="Titlelevel2"/>
    <w:next w:val="body"/>
    <w:qFormat/>
    <w:rsid w:val="00EF74C7"/>
    <w:pPr>
      <w:numPr>
        <w:ilvl w:val="1"/>
        <w:numId w:val="25"/>
      </w:numPr>
    </w:pPr>
  </w:style>
  <w:style w:type="paragraph" w:customStyle="1" w:styleId="Titlelevel2">
    <w:name w:val="Title level 2"/>
    <w:qFormat/>
    <w:rsid w:val="00EF74C7"/>
    <w:pPr>
      <w:spacing w:before="240" w:after="240" w:line="240" w:lineRule="auto"/>
    </w:pPr>
    <w:rPr>
      <w:rFonts w:asciiTheme="majorHAnsi" w:eastAsiaTheme="majorEastAsia" w:hAnsiTheme="majorHAnsi" w:cstheme="majorBidi"/>
      <w:bCs/>
      <w:color w:val="44546A" w:themeColor="text2"/>
      <w:kern w:val="0"/>
      <w:sz w:val="32"/>
      <w:szCs w:val="24"/>
      <w:lang w:val="hr-HR"/>
      <w14:ligatures w14:val="none"/>
    </w:rPr>
  </w:style>
  <w:style w:type="paragraph" w:customStyle="1" w:styleId="Tableheader">
    <w:name w:val="Table header"/>
    <w:next w:val="Tabledata"/>
    <w:qFormat/>
    <w:rsid w:val="00EF74C7"/>
    <w:pPr>
      <w:spacing w:after="80" w:line="240" w:lineRule="auto"/>
    </w:pPr>
    <w:rPr>
      <w:rFonts w:ascii="Calibri" w:eastAsia="Times New Roman" w:hAnsi="Calibri" w:cs="Times New Roman"/>
      <w:b/>
      <w:color w:val="000000"/>
      <w:kern w:val="0"/>
      <w:lang w:val="hr-HR"/>
      <w14:ligatures w14:val="none"/>
    </w:rPr>
  </w:style>
  <w:style w:type="paragraph" w:customStyle="1" w:styleId="Tabledata">
    <w:name w:val="Table data"/>
    <w:basedOn w:val="body"/>
    <w:qFormat/>
    <w:rsid w:val="00EF74C7"/>
    <w:pPr>
      <w:spacing w:before="120" w:line="240" w:lineRule="auto"/>
    </w:pPr>
    <w:rPr>
      <w:rFonts w:eastAsia="Times New Roman" w:cstheme="minorHAnsi"/>
      <w:bCs/>
      <w:color w:val="000000"/>
      <w:sz w:val="20"/>
      <w:szCs w:val="22"/>
      <w:lang w:val="hr-HR" w:eastAsia="en-GB"/>
    </w:rPr>
  </w:style>
  <w:style w:type="paragraph" w:customStyle="1" w:styleId="List1">
    <w:name w:val="List1"/>
    <w:autoRedefine/>
    <w:qFormat/>
    <w:rsid w:val="00EF74C7"/>
    <w:pPr>
      <w:numPr>
        <w:numId w:val="23"/>
      </w:numPr>
      <w:spacing w:after="0" w:line="240" w:lineRule="auto"/>
    </w:pPr>
    <w:rPr>
      <w:rFonts w:eastAsiaTheme="minorEastAsia"/>
      <w:kern w:val="0"/>
      <w:lang w:val="hr-HR"/>
      <w14:ligatures w14:val="none"/>
    </w:rPr>
  </w:style>
  <w:style w:type="table" w:styleId="TableProfessional">
    <w:name w:val="Table Professional"/>
    <w:basedOn w:val="TableNormal"/>
    <w:uiPriority w:val="99"/>
    <w:semiHidden/>
    <w:unhideWhenUsed/>
    <w:rsid w:val="00EF74C7"/>
    <w:pPr>
      <w:spacing w:after="0" w:line="240" w:lineRule="auto"/>
    </w:pPr>
    <w:rPr>
      <w:rFonts w:eastAsiaTheme="minorEastAsia"/>
      <w:kern w:val="0"/>
      <w:sz w:val="24"/>
      <w:szCs w:val="24"/>
      <w:lang w:val="hr-HR"/>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EF74C7"/>
    <w:pPr>
      <w:numPr>
        <w:numId w:val="24"/>
      </w:numPr>
      <w:spacing w:before="240" w:after="120" w:line="240" w:lineRule="auto"/>
      <w:contextualSpacing/>
    </w:pPr>
    <w:rPr>
      <w:rFonts w:eastAsiaTheme="minorEastAsia"/>
      <w:kern w:val="0"/>
      <w:szCs w:val="24"/>
      <w:lang w:val="hr-HR"/>
      <w14:ligatures w14:val="none"/>
    </w:rPr>
  </w:style>
  <w:style w:type="paragraph" w:customStyle="1" w:styleId="Titlelevel1">
    <w:name w:val="Title level 1"/>
    <w:autoRedefine/>
    <w:qFormat/>
    <w:rsid w:val="00EF74C7"/>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lang w:val="hr-HR"/>
      <w14:ligatures w14:val="none"/>
    </w:rPr>
  </w:style>
  <w:style w:type="paragraph" w:customStyle="1" w:styleId="Titlelevel3">
    <w:name w:val="Title level 3"/>
    <w:qFormat/>
    <w:rsid w:val="00EF74C7"/>
    <w:pPr>
      <w:spacing w:before="240" w:after="240" w:line="240" w:lineRule="auto"/>
    </w:pPr>
    <w:rPr>
      <w:rFonts w:eastAsiaTheme="minorEastAsia"/>
      <w:b/>
      <w:color w:val="44546A" w:themeColor="text2"/>
      <w:kern w:val="0"/>
      <w:sz w:val="24"/>
      <w:szCs w:val="24"/>
      <w:lang w:val="hr-HR"/>
      <w14:ligatures w14:val="none"/>
    </w:rPr>
  </w:style>
  <w:style w:type="paragraph" w:customStyle="1" w:styleId="Titlelevel4">
    <w:name w:val="Title level 4"/>
    <w:next w:val="body"/>
    <w:qFormat/>
    <w:rsid w:val="00EF74C7"/>
    <w:pPr>
      <w:spacing w:before="240" w:after="240" w:line="240" w:lineRule="auto"/>
    </w:pPr>
    <w:rPr>
      <w:rFonts w:eastAsiaTheme="minorEastAsia"/>
      <w:color w:val="E7E6E6" w:themeColor="background2"/>
      <w:kern w:val="0"/>
      <w:sz w:val="24"/>
      <w:szCs w:val="24"/>
      <w:lang w:val="hr-HR"/>
      <w14:ligatures w14:val="none"/>
    </w:rPr>
  </w:style>
  <w:style w:type="paragraph" w:customStyle="1" w:styleId="Figuretitle">
    <w:name w:val="Figure title"/>
    <w:basedOn w:val="body"/>
    <w:next w:val="Normal"/>
    <w:autoRedefine/>
    <w:qFormat/>
    <w:rsid w:val="00EF74C7"/>
    <w:pPr>
      <w:keepNext/>
      <w:spacing w:before="360" w:after="360"/>
    </w:pPr>
    <w:rPr>
      <w:rFonts w:eastAsia="Times New Roman" w:cs="Times New Roman"/>
      <w:bCs/>
      <w:noProof/>
      <w:color w:val="44546A" w:themeColor="text2"/>
      <w:szCs w:val="20"/>
      <w:lang w:val="hr-HR" w:eastAsia="en-GB"/>
    </w:rPr>
  </w:style>
  <w:style w:type="table" w:customStyle="1" w:styleId="EBAtable">
    <w:name w:val="EBA table"/>
    <w:basedOn w:val="TableNormal"/>
    <w:uiPriority w:val="99"/>
    <w:rsid w:val="00EF74C7"/>
    <w:pPr>
      <w:spacing w:after="0" w:line="240" w:lineRule="auto"/>
    </w:pPr>
    <w:rPr>
      <w:rFonts w:eastAsiaTheme="minorEastAsia"/>
      <w:kern w:val="0"/>
      <w:sz w:val="24"/>
      <w:szCs w:val="24"/>
      <w:lang w:val="hr-HR"/>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EF74C7"/>
    <w:pPr>
      <w:spacing w:after="0" w:line="240" w:lineRule="auto"/>
    </w:pPr>
    <w:rPr>
      <w:rFonts w:eastAsiaTheme="minorEastAsia"/>
      <w:caps/>
      <w:kern w:val="0"/>
      <w:sz w:val="16"/>
      <w:szCs w:val="18"/>
      <w:lang w:val="hr-HR"/>
      <w14:ligatures w14:val="none"/>
    </w:rPr>
  </w:style>
  <w:style w:type="paragraph" w:customStyle="1" w:styleId="bullet1">
    <w:name w:val="bullet 1"/>
    <w:basedOn w:val="body"/>
    <w:next w:val="body"/>
    <w:qFormat/>
    <w:rsid w:val="00EF74C7"/>
    <w:pPr>
      <w:numPr>
        <w:numId w:val="21"/>
      </w:numPr>
    </w:pPr>
    <w:rPr>
      <w:szCs w:val="22"/>
    </w:rPr>
  </w:style>
  <w:style w:type="paragraph" w:customStyle="1" w:styleId="bullet2">
    <w:name w:val="bullet 2"/>
    <w:basedOn w:val="body"/>
    <w:qFormat/>
    <w:rsid w:val="00EF74C7"/>
    <w:pPr>
      <w:numPr>
        <w:numId w:val="20"/>
      </w:numPr>
    </w:pPr>
    <w:rPr>
      <w:szCs w:val="22"/>
    </w:rPr>
  </w:style>
  <w:style w:type="paragraph" w:customStyle="1" w:styleId="Numberedtitlelevel3">
    <w:name w:val="Numbered title level 3"/>
    <w:basedOn w:val="Titlelevel3"/>
    <w:next w:val="body"/>
    <w:qFormat/>
    <w:rsid w:val="00EF74C7"/>
    <w:pPr>
      <w:numPr>
        <w:ilvl w:val="2"/>
        <w:numId w:val="25"/>
      </w:numPr>
    </w:pPr>
  </w:style>
  <w:style w:type="table" w:styleId="LightShading">
    <w:name w:val="Light Shading"/>
    <w:basedOn w:val="TableNormal"/>
    <w:uiPriority w:val="60"/>
    <w:rsid w:val="00EF74C7"/>
    <w:pPr>
      <w:spacing w:after="0" w:line="240" w:lineRule="auto"/>
    </w:pPr>
    <w:rPr>
      <w:rFonts w:eastAsiaTheme="minorEastAsia"/>
      <w:color w:val="000000" w:themeColor="text1" w:themeShade="BF"/>
      <w:kern w:val="0"/>
      <w:sz w:val="24"/>
      <w:szCs w:val="24"/>
      <w:lang w:val="hr-HR"/>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EF74C7"/>
    <w:pPr>
      <w:spacing w:after="0" w:line="240" w:lineRule="auto"/>
    </w:pPr>
    <w:rPr>
      <w:rFonts w:eastAsiaTheme="minorEastAsia"/>
      <w:color w:val="2F5496" w:themeColor="accent1" w:themeShade="BF"/>
      <w:kern w:val="0"/>
      <w:sz w:val="24"/>
      <w:szCs w:val="24"/>
      <w:lang w:val="hr-HR"/>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EF74C7"/>
  </w:style>
  <w:style w:type="paragraph" w:customStyle="1" w:styleId="Numberedtitlelevel4">
    <w:name w:val="Numbered title level 4"/>
    <w:basedOn w:val="Titlelevel4"/>
    <w:qFormat/>
    <w:rsid w:val="00EF74C7"/>
    <w:pPr>
      <w:numPr>
        <w:numId w:val="22"/>
      </w:numPr>
    </w:pPr>
  </w:style>
  <w:style w:type="paragraph" w:styleId="Title">
    <w:name w:val="Title"/>
    <w:basedOn w:val="Normal"/>
    <w:next w:val="Normal"/>
    <w:link w:val="TitleChar"/>
    <w:qFormat/>
    <w:rsid w:val="00EF74C7"/>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lang w:val="hr-HR"/>
    </w:rPr>
  </w:style>
  <w:style w:type="character" w:customStyle="1" w:styleId="TitleChar">
    <w:name w:val="Title Char"/>
    <w:basedOn w:val="DefaultParagraphFont"/>
    <w:link w:val="Title"/>
    <w:rsid w:val="00EF74C7"/>
    <w:rPr>
      <w:rFonts w:asciiTheme="majorHAnsi" w:eastAsiaTheme="majorEastAsia" w:hAnsiTheme="majorHAnsi" w:cstheme="majorBidi"/>
      <w:color w:val="44546A" w:themeColor="text2"/>
      <w:spacing w:val="5"/>
      <w:kern w:val="28"/>
      <w:sz w:val="52"/>
      <w:szCs w:val="52"/>
      <w:lang w:val="hr-HR"/>
      <w14:ligatures w14:val="none"/>
    </w:rPr>
  </w:style>
  <w:style w:type="paragraph" w:styleId="Subtitle">
    <w:name w:val="Subtitle"/>
    <w:next w:val="Normal"/>
    <w:link w:val="SubtitleChar"/>
    <w:autoRedefine/>
    <w:uiPriority w:val="11"/>
    <w:qFormat/>
    <w:rsid w:val="00EF74C7"/>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EF74C7"/>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EF74C7"/>
    <w:rPr>
      <w:b/>
      <w:bCs/>
      <w:smallCaps/>
      <w:spacing w:val="5"/>
    </w:rPr>
  </w:style>
  <w:style w:type="character" w:customStyle="1" w:styleId="Highlighttext">
    <w:name w:val="Highlight text"/>
    <w:basedOn w:val="DefaultParagraphFont"/>
    <w:uiPriority w:val="1"/>
    <w:semiHidden/>
    <w:qFormat/>
    <w:rsid w:val="00EF74C7"/>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EF74C7"/>
    <w:rPr>
      <w:bCs/>
      <w:lang w:val="hr-HR" w:eastAsia="en-GB"/>
    </w:rPr>
  </w:style>
  <w:style w:type="paragraph" w:styleId="ListBullet">
    <w:name w:val="List Bullet"/>
    <w:basedOn w:val="Normal"/>
    <w:semiHidden/>
    <w:qFormat/>
    <w:rsid w:val="00EF74C7"/>
    <w:pPr>
      <w:numPr>
        <w:numId w:val="27"/>
      </w:numPr>
      <w:spacing w:before="0" w:after="0"/>
      <w:contextualSpacing/>
      <w:jc w:val="left"/>
    </w:pPr>
    <w:rPr>
      <w:rFonts w:asciiTheme="minorHAnsi" w:eastAsiaTheme="minorEastAsia" w:hAnsiTheme="minorHAnsi" w:cstheme="minorBidi"/>
      <w:sz w:val="22"/>
      <w:lang w:val="hr-HR"/>
    </w:rPr>
  </w:style>
  <w:style w:type="paragraph" w:customStyle="1" w:styleId="numberedparagraph">
    <w:name w:val="numbered paragraph"/>
    <w:basedOn w:val="body"/>
    <w:qFormat/>
    <w:rsid w:val="00EF74C7"/>
    <w:pPr>
      <w:numPr>
        <w:numId w:val="26"/>
      </w:numPr>
    </w:pPr>
  </w:style>
  <w:style w:type="character" w:customStyle="1" w:styleId="Marker">
    <w:name w:val="Marker"/>
    <w:rsid w:val="00EF74C7"/>
    <w:rPr>
      <w:color w:val="0000FF"/>
      <w:shd w:val="clear" w:color="auto" w:fill="auto"/>
    </w:rPr>
  </w:style>
  <w:style w:type="character" w:customStyle="1" w:styleId="Marker2">
    <w:name w:val="Marker2"/>
    <w:rsid w:val="00EF74C7"/>
    <w:rPr>
      <w:color w:val="FF0000"/>
      <w:shd w:val="clear" w:color="auto" w:fill="auto"/>
    </w:rPr>
  </w:style>
  <w:style w:type="paragraph" w:customStyle="1" w:styleId="Annexetitre">
    <w:name w:val="Annexe titre"/>
    <w:basedOn w:val="Normal"/>
    <w:next w:val="Normal"/>
    <w:rsid w:val="00EF74C7"/>
    <w:pPr>
      <w:jc w:val="center"/>
    </w:pPr>
    <w:rPr>
      <w:rFonts w:ascii="Times New Roman" w:hAnsi="Times New Roman"/>
      <w:b/>
      <w:sz w:val="24"/>
      <w:u w:val="single"/>
    </w:rPr>
  </w:style>
  <w:style w:type="paragraph" w:customStyle="1" w:styleId="Considrant">
    <w:name w:val="Considérant"/>
    <w:basedOn w:val="Normal"/>
    <w:rsid w:val="00EF74C7"/>
    <w:pPr>
      <w:numPr>
        <w:numId w:val="28"/>
      </w:numPr>
    </w:pPr>
    <w:rPr>
      <w:rFonts w:ascii="Times New Roman" w:hAnsi="Times New Roman"/>
      <w:sz w:val="24"/>
    </w:rPr>
  </w:style>
  <w:style w:type="paragraph" w:customStyle="1" w:styleId="Datedadoption">
    <w:name w:val="Date d'adoption"/>
    <w:basedOn w:val="Normal"/>
    <w:next w:val="Titreobjet"/>
    <w:rsid w:val="00EF74C7"/>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EF74C7"/>
    <w:pPr>
      <w:keepNext/>
    </w:pPr>
    <w:rPr>
      <w:rFonts w:ascii="Times New Roman" w:hAnsi="Times New Roman"/>
      <w:sz w:val="24"/>
    </w:rPr>
  </w:style>
  <w:style w:type="paragraph" w:customStyle="1" w:styleId="Institutionquisigne">
    <w:name w:val="Institution qui signe"/>
    <w:basedOn w:val="Normal"/>
    <w:next w:val="Personnequisigne"/>
    <w:rsid w:val="00EF74C7"/>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EF74C7"/>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EF74C7"/>
    <w:pPr>
      <w:spacing w:before="360" w:after="360"/>
      <w:jc w:val="center"/>
    </w:pPr>
    <w:rPr>
      <w:rFonts w:ascii="Times New Roman" w:hAnsi="Times New Roman"/>
      <w:b/>
      <w:sz w:val="24"/>
    </w:rPr>
  </w:style>
  <w:style w:type="paragraph" w:customStyle="1" w:styleId="Typedudocument">
    <w:name w:val="Type du document"/>
    <w:basedOn w:val="Normal"/>
    <w:next w:val="Titreobjet"/>
    <w:rsid w:val="00EF74C7"/>
    <w:pPr>
      <w:spacing w:before="360" w:after="0"/>
      <w:jc w:val="center"/>
    </w:pPr>
    <w:rPr>
      <w:rFonts w:ascii="Times New Roman" w:hAnsi="Times New Roman"/>
      <w:b/>
      <w:sz w:val="24"/>
    </w:rPr>
  </w:style>
  <w:style w:type="paragraph" w:customStyle="1" w:styleId="Pagedecouverture">
    <w:name w:val="Page de couverture"/>
    <w:basedOn w:val="Normal"/>
    <w:next w:val="Normal"/>
    <w:rsid w:val="00EF74C7"/>
    <w:rPr>
      <w:rFonts w:ascii="Times New Roman" w:hAnsi="Times New Roman"/>
      <w:sz w:val="24"/>
    </w:rPr>
  </w:style>
  <w:style w:type="paragraph" w:customStyle="1" w:styleId="Institutionquiagit">
    <w:name w:val="Institution qui agit"/>
    <w:basedOn w:val="Normal"/>
    <w:next w:val="Normal"/>
    <w:rsid w:val="00EF74C7"/>
    <w:pPr>
      <w:keepNext/>
      <w:spacing w:before="600"/>
    </w:pPr>
    <w:rPr>
      <w:rFonts w:ascii="Times New Roman" w:hAnsi="Times New Roman"/>
      <w:sz w:val="24"/>
    </w:rPr>
  </w:style>
  <w:style w:type="paragraph" w:styleId="Caption">
    <w:name w:val="caption"/>
    <w:basedOn w:val="Normal"/>
    <w:next w:val="Normal"/>
    <w:uiPriority w:val="35"/>
    <w:unhideWhenUsed/>
    <w:qFormat/>
    <w:rsid w:val="00EF74C7"/>
    <w:pPr>
      <w:spacing w:before="0" w:after="200"/>
      <w:jc w:val="left"/>
    </w:pPr>
    <w:rPr>
      <w:rFonts w:asciiTheme="minorHAnsi" w:eastAsiaTheme="minorEastAsia" w:hAnsiTheme="minorHAnsi" w:cstheme="minorBidi"/>
      <w:b/>
      <w:bCs/>
      <w:color w:val="4472C4" w:themeColor="accent1"/>
      <w:sz w:val="18"/>
      <w:szCs w:val="18"/>
      <w:lang w:val="hr-HR"/>
    </w:rPr>
  </w:style>
  <w:style w:type="paragraph" w:customStyle="1" w:styleId="TableNote">
    <w:name w:val="TableNote"/>
    <w:basedOn w:val="Normal"/>
    <w:rsid w:val="00EF74C7"/>
    <w:pPr>
      <w:spacing w:before="60"/>
    </w:pPr>
    <w:rPr>
      <w:rFonts w:ascii="Segoe UI" w:hAnsi="Segoe UI"/>
      <w:sz w:val="15"/>
      <w:szCs w:val="20"/>
    </w:rPr>
  </w:style>
  <w:style w:type="paragraph" w:customStyle="1" w:styleId="CM11">
    <w:name w:val="CM1+1"/>
    <w:basedOn w:val="Default"/>
    <w:next w:val="Default"/>
    <w:uiPriority w:val="99"/>
    <w:rsid w:val="00EF74C7"/>
    <w:rPr>
      <w:rFonts w:ascii="EUAlbertina" w:eastAsiaTheme="minorEastAsia" w:hAnsi="EUAlbertina" w:cstheme="minorBidi"/>
      <w:color w:val="auto"/>
      <w:lang w:val="hr-HR" w:eastAsia="en-US"/>
    </w:rPr>
  </w:style>
  <w:style w:type="paragraph" w:customStyle="1" w:styleId="CM31">
    <w:name w:val="CM3+1"/>
    <w:basedOn w:val="Default"/>
    <w:next w:val="Default"/>
    <w:uiPriority w:val="99"/>
    <w:rsid w:val="00EF74C7"/>
    <w:rPr>
      <w:rFonts w:ascii="EUAlbertina" w:eastAsiaTheme="minorEastAsia" w:hAnsi="EUAlbertina" w:cstheme="minorBidi"/>
      <w:color w:val="auto"/>
      <w:lang w:val="hr-HR" w:eastAsia="en-US"/>
    </w:rPr>
  </w:style>
  <w:style w:type="paragraph" w:customStyle="1" w:styleId="CM13">
    <w:name w:val="CM1+3"/>
    <w:basedOn w:val="Default"/>
    <w:next w:val="Default"/>
    <w:uiPriority w:val="99"/>
    <w:rsid w:val="00EF74C7"/>
    <w:rPr>
      <w:rFonts w:ascii="EUAlbertina" w:eastAsiaTheme="minorEastAsia" w:hAnsi="EUAlbertina" w:cstheme="minorBidi"/>
      <w:color w:val="auto"/>
      <w:lang w:val="hr-HR" w:eastAsia="en-US"/>
    </w:rPr>
  </w:style>
  <w:style w:type="paragraph" w:customStyle="1" w:styleId="CM33">
    <w:name w:val="CM3+3"/>
    <w:basedOn w:val="Default"/>
    <w:next w:val="Default"/>
    <w:uiPriority w:val="99"/>
    <w:rsid w:val="00EF74C7"/>
    <w:rPr>
      <w:rFonts w:ascii="EUAlbertina" w:eastAsiaTheme="minorEastAsia" w:hAnsi="EUAlbertina" w:cstheme="minorBidi"/>
      <w:color w:val="auto"/>
      <w:lang w:val="hr-HR" w:eastAsia="en-US"/>
    </w:rPr>
  </w:style>
  <w:style w:type="character" w:customStyle="1" w:styleId="ListParagraphChar">
    <w:name w:val="List Paragraph Char"/>
    <w:basedOn w:val="DefaultParagraphFont"/>
    <w:link w:val="ListParagraph"/>
    <w:uiPriority w:val="34"/>
    <w:locked/>
    <w:rsid w:val="00EF74C7"/>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EF74C7"/>
    <w:rPr>
      <w:color w:val="605E5C"/>
      <w:shd w:val="clear" w:color="auto" w:fill="E1DFDD"/>
    </w:rPr>
  </w:style>
  <w:style w:type="character" w:styleId="Mention">
    <w:name w:val="Mention"/>
    <w:basedOn w:val="DefaultParagraphFont"/>
    <w:uiPriority w:val="99"/>
    <w:unhideWhenUsed/>
    <w:rsid w:val="00EF74C7"/>
    <w:rPr>
      <w:color w:val="2B579A"/>
      <w:shd w:val="clear" w:color="auto" w:fill="E1DFDD"/>
    </w:rPr>
  </w:style>
  <w:style w:type="paragraph" w:customStyle="1" w:styleId="pf0">
    <w:name w:val="pf0"/>
    <w:basedOn w:val="Normal"/>
    <w:rsid w:val="00EF74C7"/>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EF74C7"/>
  </w:style>
  <w:style w:type="character" w:customStyle="1" w:styleId="cf01">
    <w:name w:val="cf01"/>
    <w:basedOn w:val="DefaultParagraphFont"/>
    <w:rsid w:val="00EF74C7"/>
    <w:rPr>
      <w:rFonts w:ascii="Segoe UI" w:hAnsi="Segoe UI" w:cs="Segoe UI" w:hint="default"/>
      <w:sz w:val="18"/>
      <w:szCs w:val="18"/>
    </w:rPr>
  </w:style>
  <w:style w:type="paragraph" w:styleId="BodyText">
    <w:name w:val="Body Text"/>
    <w:basedOn w:val="Normal"/>
    <w:link w:val="BodyTextChar"/>
    <w:rsid w:val="00EF74C7"/>
    <w:pPr>
      <w:spacing w:before="0" w:after="140" w:line="259" w:lineRule="auto"/>
      <w:jc w:val="left"/>
    </w:pPr>
    <w:rPr>
      <w:rFonts w:ascii="Liberation Serif" w:eastAsia="SimSun" w:hAnsi="Liberation Serif" w:cs="Lucida Sans"/>
      <w:sz w:val="24"/>
      <w:lang w:val="hr-HR" w:eastAsia="zh-CN" w:bidi="hi-IN"/>
    </w:rPr>
  </w:style>
  <w:style w:type="character" w:customStyle="1" w:styleId="BodyTextChar">
    <w:name w:val="Body Text Char"/>
    <w:basedOn w:val="DefaultParagraphFont"/>
    <w:link w:val="BodyText"/>
    <w:rsid w:val="00EF74C7"/>
    <w:rPr>
      <w:rFonts w:ascii="Liberation Serif" w:eastAsia="SimSun" w:hAnsi="Liberation Serif" w:cs="Lucida Sans"/>
      <w:kern w:val="0"/>
      <w:sz w:val="24"/>
      <w:szCs w:val="24"/>
      <w:lang w:val="hr-HR" w:eastAsia="zh-CN" w:bidi="hi-IN"/>
      <w14:ligatures w14:val="none"/>
    </w:rPr>
  </w:style>
  <w:style w:type="paragraph" w:customStyle="1" w:styleId="Tabelleninhalt">
    <w:name w:val="Tabelleninhalt"/>
    <w:basedOn w:val="Normal"/>
    <w:qFormat/>
    <w:rsid w:val="00EF74C7"/>
    <w:pPr>
      <w:spacing w:before="0" w:after="0" w:line="259" w:lineRule="auto"/>
      <w:jc w:val="left"/>
    </w:pPr>
    <w:rPr>
      <w:rFonts w:ascii="Liberation Serif" w:eastAsia="SimSun" w:hAnsi="Liberation Serif" w:cs="Lucida Sans"/>
      <w:sz w:val="24"/>
      <w:lang w:val="hr-HR" w:eastAsia="zh-CN" w:bidi="hi-IN"/>
    </w:rPr>
  </w:style>
  <w:style w:type="character" w:customStyle="1" w:styleId="cf11">
    <w:name w:val="cf11"/>
    <w:basedOn w:val="DefaultParagraphFont"/>
    <w:rsid w:val="00EF74C7"/>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EF74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64970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so.org/iso-4217-currency-codes.html"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iso.org/iso-4217-currency-codes.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F06A24-53E1-4128-BDE5-EF027B37DF94}">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20352F70-C515-4459-8338-3B2EB0E38D2D}">
  <ds:schemaRefs>
    <ds:schemaRef ds:uri="http://schemas.microsoft.com/sharepoint/v3/contenttype/forms"/>
  </ds:schemaRefs>
</ds:datastoreItem>
</file>

<file path=customXml/itemProps3.xml><?xml version="1.0" encoding="utf-8"?>
<ds:datastoreItem xmlns:ds="http://schemas.openxmlformats.org/officeDocument/2006/customXml" ds:itemID="{9CC1F3EC-66B7-4F5E-8933-E7D6389C0A41}"/>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1</TotalTime>
  <Pages>26</Pages>
  <Words>7372</Words>
  <Characters>42023</Characters>
  <Application>Microsoft Office Word</Application>
  <DocSecurity>0</DocSecurity>
  <Lines>350</Lines>
  <Paragraphs>98</Paragraphs>
  <ScaleCrop>false</ScaleCrop>
  <Company>European Banking Authority</Company>
  <LinksUpToDate>false</LinksUpToDate>
  <CharactersWithSpaces>49297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2024-06-19T16:03:00Z</dcterms:created>
  <dcterms:modified xsi:type="dcterms:W3CDTF">2024-06-21T12:20:00Z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4205b5a0,13da6c1b,42f1195b</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ContentTypeId">
    <vt:lpwstr>0x010100A640DC13EB184F4EBE5AA21BE9F247DB</vt:lpwstr>
  </property>
</Properties>
</file>