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sz w:val="24"/>
          <w:szCs w:val="22"/>
          <w:rFonts w:ascii="Times New Roman" w:hAnsi="Times New Roman"/>
        </w:rPr>
      </w:pPr>
      <w:r>
        <w:rPr>
          <w:sz w:val="24"/>
          <w:rFonts w:ascii="Times New Roman" w:hAnsi="Times New Roman"/>
        </w:rPr>
        <w:t xml:space="preserve">HR</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sz w:val="24"/>
          <w:rFonts w:ascii="Times New Roman" w:hAnsi="Times New Roman"/>
        </w:rPr>
      </w:pPr>
      <w:r>
        <w:rPr>
          <w:sz w:val="24"/>
          <w:rFonts w:ascii="Times New Roman" w:hAnsi="Times New Roman"/>
        </w:rPr>
        <w:t xml:space="preserve">PRILOG II.</w:t>
      </w:r>
    </w:p>
    <w:p w14:paraId="42F286CA" w14:textId="77777777" w:rsidR="00441DF2" w:rsidRPr="00037E7B" w:rsidRDefault="00441DF2" w:rsidP="00441DF2">
      <w:pPr>
        <w:jc w:val="center"/>
        <w:rPr>
          <w:sz w:val="24"/>
          <w:rFonts w:ascii="Times New Roman" w:hAnsi="Times New Roman"/>
        </w:rPr>
      </w:pPr>
      <w:r>
        <w:rPr>
          <w:sz w:val="24"/>
          <w:rFonts w:ascii="Times New Roman" w:hAnsi="Times New Roman"/>
        </w:rPr>
        <w:t xml:space="preserve">„PRILOG II.</w:t>
      </w:r>
    </w:p>
    <w:p w14:paraId="6D29CBF2" w14:textId="77777777" w:rsidR="00441DF2" w:rsidRPr="00037E7B" w:rsidRDefault="00441DF2" w:rsidP="00441DF2">
      <w:pPr>
        <w:jc w:val="center"/>
        <w:rPr>
          <w:b/>
          <w:sz w:val="24"/>
          <w:rFonts w:ascii="Times New Roman" w:hAnsi="Times New Roman"/>
        </w:rPr>
      </w:pPr>
      <w:r>
        <w:rPr>
          <w:b/>
          <w:sz w:val="24"/>
          <w:rFonts w:ascii="Times New Roman" w:hAnsi="Times New Roman"/>
        </w:rPr>
        <w:t xml:space="preserve">UPUTE ZA IZVJEŠĆIVANJE O REGULATORNOM KAPITALU I KAPITALNIM ZAHTJEVIMA</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b/>
          <w:bCs/>
          <w:color w:val="000000" w:themeColor="text1"/>
          <w:sz w:val="24"/>
          <w:szCs w:val="24"/>
          <w:u w:val="single"/>
          <w:rFonts w:ascii="Times New Roman" w:hAnsi="Times New Roman"/>
        </w:rPr>
      </w:pPr>
      <w:bookmarkStart w:id="0" w:name="_Toc360188322"/>
      <w:bookmarkStart w:id="1" w:name="_Toc473560870"/>
      <w:bookmarkStart w:id="2" w:name="_Toc151714358"/>
      <w:r>
        <w:rPr>
          <w:b/>
          <w:color w:val="000000" w:themeColor="text1"/>
          <w:sz w:val="24"/>
          <w:u w:val="single"/>
          <w:rFonts w:ascii="Times New Roman" w:hAnsi="Times New Roman"/>
        </w:rPr>
        <w:t xml:space="preserve">DIO II.:</w:t>
      </w:r>
      <w:r>
        <w:rPr>
          <w:b/>
          <w:color w:val="000000" w:themeColor="text1"/>
          <w:sz w:val="24"/>
          <w:u w:val="single"/>
          <w:rFonts w:ascii="Times New Roman" w:hAnsi="Times New Roman"/>
        </w:rPr>
        <w:t xml:space="preserve"> </w:t>
      </w:r>
      <w:r>
        <w:rPr>
          <w:b/>
          <w:color w:val="000000" w:themeColor="text1"/>
          <w:sz w:val="24"/>
          <w:u w:val="single"/>
          <w:rFonts w:ascii="Times New Roman" w:hAnsi="Times New Roman"/>
        </w:rPr>
        <w:t xml:space="preserve">UPUTE ZA OBRASCE</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 xml:space="preserve">(…)</w:t>
      </w:r>
    </w:p>
    <w:p w14:paraId="0FC12B51" w14:textId="77777777" w:rsidR="006063BD" w:rsidRPr="002A677E" w:rsidRDefault="006063BD" w:rsidP="006063BD">
      <w:pPr>
        <w:pStyle w:val="Instructionsberschrift2"/>
        <w:numPr>
          <w:ilvl w:val="0"/>
          <w:numId w:val="0"/>
        </w:numPr>
        <w:ind w:left="357" w:hanging="357"/>
        <w:rPr>
          <w:sz w:val="24"/>
          <w:rFonts w:ascii="Times New Roman" w:hAnsi="Times New Roman" w:cs="Times New Roman"/>
        </w:rPr>
      </w:pPr>
      <w:bookmarkStart w:id="3" w:name="_Toc151714427"/>
      <w:r>
        <w:rPr>
          <w:sz w:val="24"/>
          <w:u w:val="none"/>
          <w:rFonts w:ascii="Times New Roman" w:hAnsi="Times New Roman"/>
        </w:rPr>
        <w:t xml:space="preserve">3.5.</w:t>
      </w:r>
      <w:r>
        <w:rPr>
          <w:sz w:val="24"/>
          <w:u w:val="none"/>
          <w:rFonts w:ascii="Times New Roman" w:hAnsi="Times New Roman"/>
        </w:rPr>
        <w:tab/>
      </w:r>
      <w:r>
        <w:rPr>
          <w:sz w:val="24"/>
          <w:rFonts w:ascii="Times New Roman" w:hAnsi="Times New Roman"/>
        </w:rPr>
        <w:t xml:space="preserve">C 10.01 i C 10.02 – Izloženosti na osnovi vlasničkih ulaganja u skladu s pristupom zasnovanim na internim rejting-sustavima (CR EQU IRB 1 i CR EQU IRB 2)</w:t>
      </w:r>
      <w:bookmarkEnd w:id="3"/>
    </w:p>
    <w:p w14:paraId="00A76F16" w14:textId="77777777" w:rsidR="006063BD" w:rsidRPr="002A677E" w:rsidRDefault="006063BD" w:rsidP="006063BD">
      <w:pPr>
        <w:pStyle w:val="Instructionsberschrift2"/>
        <w:numPr>
          <w:ilvl w:val="0"/>
          <w:numId w:val="0"/>
        </w:numPr>
        <w:rPr>
          <w:sz w:val="24"/>
          <w:rFonts w:ascii="Times New Roman" w:hAnsi="Times New Roman" w:cs="Times New Roman"/>
        </w:rPr>
      </w:pPr>
      <w:bookmarkStart w:id="4" w:name="_Toc151714428"/>
      <w:r>
        <w:rPr>
          <w:sz w:val="24"/>
          <w:rFonts w:ascii="Times New Roman" w:hAnsi="Times New Roman"/>
        </w:rPr>
        <w:t xml:space="preserve">3.5.1.</w:t>
      </w:r>
      <w:r>
        <w:rPr>
          <w:sz w:val="24"/>
          <w:rFonts w:ascii="Times New Roman" w:hAnsi="Times New Roman"/>
        </w:rPr>
        <w:tab/>
      </w:r>
      <w:r>
        <w:rPr>
          <w:sz w:val="24"/>
          <w:rFonts w:ascii="Times New Roman" w:hAnsi="Times New Roman"/>
        </w:rPr>
        <w:t xml:space="preserve">Opće napomene</w:t>
      </w:r>
      <w:bookmarkEnd w:id="4"/>
    </w:p>
    <w:p w14:paraId="325D5C5C" w14:textId="5351FFE5" w:rsidR="006063BD" w:rsidRPr="002A677E" w:rsidRDefault="006063BD" w:rsidP="006063BD">
      <w:pPr>
        <w:pStyle w:val="InstructionsText2"/>
        <w:numPr>
          <w:ilvl w:val="0"/>
          <w:numId w:val="0"/>
        </w:numPr>
        <w:ind w:left="993"/>
      </w:pPr>
      <w:r>
        <w:t xml:space="preserve">92.</w:t>
      </w:r>
      <w:r>
        <w:t xml:space="preserve"> </w:t>
      </w:r>
      <w:r>
        <w:t xml:space="preserve">Obrazac CR EQU IRB sastoji se od dva obrasca:</w:t>
      </w:r>
      <w:r>
        <w:t xml:space="preserve"> </w:t>
      </w:r>
      <w:r>
        <w:t xml:space="preserve">obrazac CR EQU IRB 1 sadržava opći pregled izloženosti u skladu s IRB pristupom kategorije izloženosti na osnovi vlasničkih ulaganja i različite metode izračuna iznosa ukupne izloženosti riziku.</w:t>
      </w:r>
      <w:r>
        <w:t xml:space="preserve"> </w:t>
      </w:r>
      <w:r>
        <w:t xml:space="preserve">Obrazac CR EQU IRB 2 sadržava raščlambu ukupnih izloženosti raspoređenih u rejting-kategorije dužnika u kontekstu PD/LGD pristupa.</w:t>
      </w:r>
      <w:r>
        <w:t xml:space="preserve"> </w:t>
      </w:r>
      <w:r>
        <w:t xml:space="preserve">‚CR EQU IRB’ odnosi se na obrasce ‚CR EQU IRB 1’ i ‚CR EQU IRB 2’, kako je primjenjivo, u sljedećim uputama.</w:t>
      </w:r>
    </w:p>
    <w:p w14:paraId="42AD0632" w14:textId="7F41541B"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93</w:t>
      </w:r>
      <w:r>
        <w:fldChar w:fldCharType="end"/>
      </w:r>
      <w:r>
        <w:t xml:space="preserve">.</w:t>
      </w:r>
      <w:r>
        <w:tab/>
      </w:r>
      <w:r>
        <w:t xml:space="preserve">U obrascu CR EQU IRB navode se informacije o izračunu iznosa izloženosti ponderiranih rizikom za kreditni rizik (članak 92. stavak 4. točka (a) Uredbe (EU) br. 575/2013), za izloženosti na koje se primjenjuje članak 495. stavak 1. točka (b) Uredbe (EU) br. 575/2013, s kojima se postupa u skladu s dijelom trećim glavom II. poglavljem 3. Uredbe (EU) br. 575/2013 za izloženosti na osnovi vlasničkih ulaganja iz članka 147. stavka 2. točke (e) te uredbe.</w:t>
      </w:r>
      <w:r>
        <w:t xml:space="preserve"> </w:t>
      </w:r>
      <w:r>
        <w:t xml:space="preserve">Izloženosti na osnovi vlasničkih ulaganja na koje se primjenjuje članak 495. stavak 1. točka (a) i članak 495. stavak 2. Uredbe (EU) br. 575/2013 iskazuju se u obrascu CR SA (C 07.00).</w:t>
      </w:r>
      <w:r>
        <w:t xml:space="preserve"> </w:t>
      </w:r>
      <w:r>
        <w:t xml:space="preserve">Izloženosti na osnovi vlasničkih ulaganja na koje se primjenjuje članak 495.a stavak 3. Uredbe (EU) br. 575/2013 također se iskazuju u obrascu CR SA (C 07.00).</w:t>
      </w:r>
    </w:p>
    <w:p w14:paraId="02D38A2A" w14:textId="0678C7A0"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94</w:t>
      </w:r>
      <w:r>
        <w:fldChar w:fldCharType="end"/>
      </w:r>
      <w:r>
        <w:t xml:space="preserve">.</w:t>
      </w:r>
      <w:r>
        <w:tab/>
      </w:r>
      <w:r>
        <w:t xml:space="preserve">U skladu s člankom 147. stavkom 6. Uredbe (EU) br. 575/2013 izloženosti iz članka 133. stavka 1. Uredbe (EU) br. 575/2013 raspoređuju se u kategoriju izloženosti „izloženosti na osnovi vlasničkih ulaganja”, osim ako su raspoređene u kategoriju izloženosti „izloženosti u obliku udjela ili dionica u CIU-u”.</w:t>
      </w:r>
    </w:p>
    <w:p w14:paraId="520150D0" w14:textId="52F4D880"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95</w:t>
      </w:r>
      <w:r>
        <w:fldChar w:fldCharType="end"/>
      </w:r>
      <w:r>
        <w:t xml:space="preserve">.</w:t>
      </w:r>
      <w:r>
        <w:tab/>
      </w:r>
      <w:r>
        <w:t xml:space="preserve">[Izbrisano]</w:t>
      </w:r>
    </w:p>
    <w:p w14:paraId="178611EC" w14:textId="34CA8091"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t>96</w:t>
      </w:r>
      <w:r>
        <w:fldChar w:fldCharType="end"/>
      </w:r>
      <w:r>
        <w:t xml:space="preserve">.</w:t>
      </w:r>
      <w:r>
        <w:tab/>
      </w:r>
      <w:r>
        <w:t xml:space="preserve">U skladu s člankom 495. stavkom 1. točkom (b) Uredbe (EU) br. 575/2013, institucije dostavljaju obrazac CR EQU IRB ako primjenjuju jedan od tri pristupa:</w:t>
      </w:r>
      <w:r>
        <w:t xml:space="preserve"> </w:t>
      </w:r>
    </w:p>
    <w:p w14:paraId="0D6A3825" w14:textId="77777777" w:rsidR="006063BD" w:rsidRPr="002A677E" w:rsidRDefault="006063BD" w:rsidP="006063BD">
      <w:pPr>
        <w:pStyle w:val="InstructionsText"/>
      </w:pPr>
      <w:r>
        <w:t xml:space="preserve">– jednostavni pristup ponderiranja,</w:t>
      </w:r>
    </w:p>
    <w:p w14:paraId="3EF899C4" w14:textId="77777777" w:rsidR="006063BD" w:rsidRPr="002A677E" w:rsidRDefault="006063BD" w:rsidP="006063BD">
      <w:pPr>
        <w:pStyle w:val="InstructionsText"/>
      </w:pPr>
      <w:r>
        <w:t xml:space="preserve">– PD/LGD pristup ili</w:t>
      </w:r>
    </w:p>
    <w:p w14:paraId="622FC220" w14:textId="77777777" w:rsidR="006063BD" w:rsidRDefault="006063BD" w:rsidP="006063BD">
      <w:pPr>
        <w:pStyle w:val="InstructionsText"/>
      </w:pPr>
      <w:r>
        <w:t xml:space="preserve">– pristup internih modela.</w:t>
      </w:r>
    </w:p>
    <w:p w14:paraId="5D37423B" w14:textId="57B3065A" w:rsidR="006063BD" w:rsidRPr="002A677E" w:rsidRDefault="006063BD" w:rsidP="006063BD">
      <w:pPr>
        <w:pStyle w:val="InstructionsText2"/>
        <w:numPr>
          <w:ilvl w:val="0"/>
          <w:numId w:val="0"/>
        </w:numPr>
        <w:ind w:left="1353"/>
        <w:rPr>
          <w:noProof/>
        </w:rPr>
      </w:pPr>
      <w:r>
        <w:t xml:space="preserve">U skladu s člankom 495. stavkom 1. točkom (b) Uredbe (EU) br. 575/2013, institucije mogu primijeniti različite pristupe (jednostavni pristup ponderiranja, PD/LGD pristup ili pristup internih modela) na različite portfelje ako interno primjenjuju te različite pristupe.</w:t>
      </w:r>
    </w:p>
    <w:p w14:paraId="2BF4ADE6" w14:textId="52D016FB" w:rsidR="006063BD" w:rsidRPr="002A677E" w:rsidRDefault="006063BD" w:rsidP="006063BD">
      <w:pPr>
        <w:pStyle w:val="InstructionsText2"/>
        <w:numPr>
          <w:ilvl w:val="0"/>
          <w:numId w:val="0"/>
        </w:numPr>
        <w:ind w:left="1353"/>
        <w:rPr>
          <w:noProof/>
        </w:rPr>
      </w:pPr>
      <w:r>
        <w:t xml:space="preserve">Osim toga, institucije koje primjenjuju IRB pristup u obrascu CR EQU IRB iskazuju i iznose izloženosti ponderirane rizikom za izloženosti na osnovi vlasničkih ulaganja na koje se primjenjuje tretman s fiksnim ponderom rizika (a da ih se pri tome ne tretira izričito u skladu s jednostavnim pristupom ponderiranja ili (privremeno ili stalno) izuzećem od primjene standardiziranog pristupa kreditnom riziku) npr. izloženosti na osnovi vlasničkih ulaganja na koje se primjenjuje ponder rizika od 250 % u skladu s člankom 48. stavkom 4. Uredbe (EU) br. 575/2013, odnosno ponder rizika od 370 % u skladu s člankom 471. stavkom 2. te uredbe.</w:t>
      </w:r>
    </w:p>
    <w:p w14:paraId="4BBD6043" w14:textId="467889B4" w:rsidR="006063BD" w:rsidRDefault="00A65C1A" w:rsidP="0092685D">
      <w:pPr>
        <w:pStyle w:val="InstructionsText2"/>
        <w:numPr>
          <w:ilvl w:val="0"/>
          <w:numId w:val="0"/>
        </w:numPr>
        <w:ind w:left="993"/>
      </w:pPr>
      <w:r>
        <w:t xml:space="preserve">97.</w:t>
      </w:r>
      <w:r>
        <w:tab/>
      </w:r>
      <w:r>
        <w:t xml:space="preserve">[Izbrisano]</w:t>
      </w:r>
    </w:p>
    <w:p w14:paraId="6DA8654B" w14:textId="4CECC17C" w:rsidR="00546AF1" w:rsidRPr="002A677E" w:rsidRDefault="00546AF1" w:rsidP="0092685D">
      <w:pPr>
        <w:pStyle w:val="InstructionsText2"/>
        <w:numPr>
          <w:ilvl w:val="0"/>
          <w:numId w:val="0"/>
        </w:numPr>
        <w:ind w:left="993"/>
      </w:pPr>
      <w:r>
        <w:t xml:space="preserve">97a.</w:t>
      </w:r>
      <w:r>
        <w:t xml:space="preserve"> </w:t>
      </w:r>
      <w:r>
        <w:t xml:space="preserve">Sljedeće upute odnose se na Uredbu (EU) br. 575/2013 u verziji koja se primjenjuje 8. srpnja 2024.</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sz w:val="24"/>
          <w:rFonts w:ascii="Times New Roman" w:hAnsi="Times New Roman" w:cs="Times New Roman"/>
        </w:rPr>
      </w:pPr>
      <w:bookmarkStart w:id="5" w:name="_Toc295829921"/>
      <w:bookmarkStart w:id="6" w:name="_Toc310415033"/>
      <w:bookmarkStart w:id="7" w:name="_Toc360188371"/>
      <w:bookmarkStart w:id="8" w:name="_Toc473560922"/>
      <w:bookmarkStart w:id="9" w:name="_Toc151714429"/>
      <w:r>
        <w:rPr>
          <w:sz w:val="24"/>
          <w:u w:val="none"/>
          <w:rFonts w:ascii="Times New Roman" w:hAnsi="Times New Roman"/>
        </w:rPr>
        <w:t xml:space="preserve">3.5.2.</w:t>
      </w:r>
      <w:r>
        <w:rPr>
          <w:sz w:val="24"/>
          <w:u w:val="none"/>
          <w:rFonts w:ascii="Times New Roman" w:hAnsi="Times New Roman"/>
        </w:rPr>
        <w:tab/>
      </w:r>
      <w:r>
        <w:rPr>
          <w:sz w:val="24"/>
          <w:rFonts w:ascii="Times New Roman" w:hAnsi="Times New Roman"/>
        </w:rPr>
        <w:t xml:space="preserve">Upute za specifične pozicije</w:t>
      </w:r>
      <w:bookmarkEnd w:id="5"/>
      <w:bookmarkEnd w:id="6"/>
      <w:r>
        <w:rPr>
          <w:sz w:val="24"/>
          <w:rFonts w:ascii="Times New Roman" w:hAnsi="Times New Roman"/>
        </w:rPr>
        <w:t xml:space="preserve"> (mogu se primijeniti na obrasce CR EQU IRB 1 i CR EQU IRB 2)</w:t>
      </w:r>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b/>
                <w:sz w:val="24"/>
                <w:rFonts w:ascii="Times New Roman" w:hAnsi="Times New Roman"/>
              </w:rPr>
            </w:pPr>
            <w:r>
              <w:rPr>
                <w:rStyle w:val="InstructionsTabelleText"/>
                <w:b/>
                <w:sz w:val="24"/>
                <w:rFonts w:ascii="Times New Roman" w:hAnsi="Times New Roman"/>
              </w:rPr>
              <w:t xml:space="preserve">Stupci</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0005</w:t>
            </w:r>
          </w:p>
        </w:tc>
        <w:tc>
          <w:tcPr>
            <w:tcW w:w="8004" w:type="dxa"/>
          </w:tcPr>
          <w:p w14:paraId="44A21873"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REJTING-KATEGORIJA DUŽNIKA (IDENTIFIKATOR RETKA)</w:t>
            </w:r>
          </w:p>
          <w:p w14:paraId="1990DE2E" w14:textId="77777777" w:rsidR="006063BD" w:rsidRPr="002A677E" w:rsidRDefault="006063BD" w:rsidP="00E07FE9">
            <w:pPr>
              <w:spacing w:beforeLines="60" w:before="144" w:afterLines="60" w:after="144"/>
              <w:rPr>
                <w:rStyle w:val="InstructionsTabelleberschrift"/>
                <w:b w:val="0"/>
                <w:sz w:val="24"/>
                <w:rFonts w:ascii="Times New Roman" w:hAnsi="Times New Roman"/>
              </w:rPr>
            </w:pPr>
            <w:r>
              <w:rPr>
                <w:sz w:val="24"/>
                <w:rStyle w:val="InstructionsTabelleberschrift"/>
                <w:rFonts w:ascii="Times New Roman" w:hAnsi="Times New Roman"/>
              </w:rPr>
              <w:t xml:space="preserve">Rejting-kategorija dužnika je identifikator retka i jedinstvena je za svaki redak u obrascu.</w:t>
            </w:r>
            <w:r>
              <w:rPr>
                <w:sz w:val="24"/>
                <w:rStyle w:val="InstructionsTabelleberschrift"/>
                <w:rFonts w:ascii="Times New Roman" w:hAnsi="Times New Roman"/>
              </w:rPr>
              <w:t xml:space="preserve"> </w:t>
            </w:r>
            <w:r>
              <w:rPr>
                <w:sz w:val="24"/>
                <w:rFonts w:ascii="Times New Roman" w:hAnsi="Times New Roman"/>
              </w:rPr>
              <w:t xml:space="preserve">Navodi se numeričkim redoslijedom 1, 2, 3 itd.</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004" w:type="dxa"/>
          </w:tcPr>
          <w:p w14:paraId="30BFEC80"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INTERNA REJTING-SKALA</w:t>
            </w:r>
            <w:r>
              <w:rPr>
                <w:rStyle w:val="InstructionsTabelleberschrift"/>
                <w:sz w:val="24"/>
                <w:rFonts w:ascii="Times New Roman" w:hAnsi="Times New Roman"/>
              </w:rPr>
              <w:t xml:space="preserve"> </w:t>
            </w:r>
          </w:p>
          <w:p w14:paraId="4DE0AB3D"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PD RASPOREĐEN U REJTING-KATEGORIJU DUŽNIKA (%)</w:t>
            </w:r>
          </w:p>
          <w:p w14:paraId="3F16319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Institucije koje primjenjuju PD/LGD pristup iskazuju u stupcu 0010 vjerojatnost nastanka statusa neispunjavanja obveza (PD) izračunatu u skladu s člankom 165. stavkom 1. Uredbe (EU) 575/2013.</w:t>
            </w:r>
          </w:p>
          <w:p w14:paraId="5179D71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PD raspoređen u rejting-kategoriju dužnika ili skup izloženosti iskazuje se u skladu s minimalnim zahtjevima utvrđenima u dijelu trećem glavi II. poglavlju 3. odjeljku 6. Uredbe (EU) 575/2013.</w:t>
            </w:r>
            <w:r>
              <w:rPr>
                <w:rStyle w:val="InstructionsTabelleText"/>
                <w:sz w:val="24"/>
                <w:rFonts w:ascii="Times New Roman" w:hAnsi="Times New Roman"/>
              </w:rPr>
              <w:t xml:space="preserve"> </w:t>
            </w:r>
            <w:r>
              <w:rPr>
                <w:rStyle w:val="InstructionsTabelleText"/>
                <w:sz w:val="24"/>
                <w:rFonts w:ascii="Times New Roman" w:hAnsi="Times New Roman"/>
              </w:rPr>
              <w:t xml:space="preserve">Za svaku pojedinu rejting-kategoriju ili skup iskazuje se PD raspoređen u specifičnu rejting-kategoriju dužnika ili skup izloženosti.</w:t>
            </w:r>
            <w:r>
              <w:rPr>
                <w:rStyle w:val="InstructionsTabelleText"/>
                <w:sz w:val="24"/>
                <w:rFonts w:ascii="Times New Roman" w:hAnsi="Times New Roman"/>
              </w:rPr>
              <w:t xml:space="preserve"> </w:t>
            </w:r>
            <w:r>
              <w:rPr>
                <w:rStyle w:val="InstructionsTabelleText"/>
                <w:sz w:val="24"/>
                <w:rFonts w:ascii="Times New Roman" w:hAnsi="Times New Roman"/>
              </w:rPr>
              <w:t xml:space="preserve">Svi iskazani parametri rizika izvode se iz parametara rizika upotrijebljenih u internoj rejting-skali koju je odobrilo nadležno tijelo.</w:t>
            </w:r>
          </w:p>
          <w:p w14:paraId="4A3E11CE"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Za vrijednosti koje odgovaraju agregiranju rejting-kategorija dužnika ili skupova izloženosti (npr. „ukupne izloženosti”) dostavlja se ponderirani prosjek izloženosti PD-ova raspoređenih u rejting-kategoriju dužnika ili skupove izloženosti uključen u agregiranje.</w:t>
            </w:r>
            <w:r>
              <w:rPr>
                <w:rStyle w:val="InstructionsTabelleText"/>
                <w:sz w:val="24"/>
                <w:rFonts w:ascii="Times New Roman" w:hAnsi="Times New Roman"/>
              </w:rPr>
              <w:t xml:space="preserve"> </w:t>
            </w:r>
            <w:r>
              <w:rPr>
                <w:rStyle w:val="InstructionsTabelleText"/>
                <w:sz w:val="24"/>
                <w:rFonts w:ascii="Times New Roman" w:hAnsi="Times New Roman"/>
              </w:rPr>
              <w:t xml:space="preserve">Sve izloženosti, uključujući izloženosti u statusu neispunjavanja obveza, potrebno je uzeti u obzir za potrebe izračuna izloženošću ponderiranog prosječnog PD-a. Za izračun izloženošću ponderiranog prosječnog PD-a, vrijednost izloženosti, uzimajući u obzir nematerijalnu kreditnu zaštitu (stupac 0060), koristi se za potrebe ponderiranja.</w:t>
            </w:r>
            <w:r>
              <w:rPr>
                <w:rStyle w:val="InstructionsTabelleText"/>
                <w:sz w:val="24"/>
                <w:rFonts w:ascii="Times New Roman" w:hAnsi="Times New Roman"/>
              </w:rPr>
              <w:t xml:space="preserve">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8004" w:type="dxa"/>
          </w:tcPr>
          <w:p w14:paraId="7DFAAD46"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ORIGINALNA IZLOŽENOST PRIJE KONVERZIJSKIH FAKTORA</w:t>
            </w:r>
          </w:p>
          <w:p w14:paraId="14D647B9" w14:textId="77777777" w:rsidR="006063BD" w:rsidRPr="002A677E" w:rsidRDefault="006063BD" w:rsidP="00E07FE9">
            <w:pPr>
              <w:autoSpaceDE w:val="0"/>
              <w:autoSpaceDN w:val="0"/>
              <w:adjustRightInd w:val="0"/>
              <w:spacing w:before="0" w:after="0"/>
              <w:rPr>
                <w:rStyle w:val="InstructionsTabelleText"/>
                <w:sz w:val="24"/>
                <w:rFonts w:ascii="Times New Roman" w:hAnsi="Times New Roman"/>
              </w:rPr>
            </w:pPr>
            <w:r>
              <w:rPr>
                <w:sz w:val="24"/>
                <w:rStyle w:val="InstructionsTabelleText"/>
                <w:rFonts w:ascii="Times New Roman" w:hAnsi="Times New Roman"/>
              </w:rPr>
              <w:t xml:space="preserve">U stupcu 0020 institucije iskazuju vrijednost originalne izloženosti (prije konverzijskih faktora).</w:t>
            </w:r>
            <w:r>
              <w:rPr>
                <w:sz w:val="24"/>
                <w:rStyle w:val="InstructionsTabelleText"/>
                <w:rFonts w:ascii="Times New Roman" w:hAnsi="Times New Roman"/>
              </w:rPr>
              <w:t xml:space="preserve"> </w:t>
            </w:r>
            <w:r>
              <w:rPr>
                <w:sz w:val="24"/>
                <w:rStyle w:val="InstructionsTabelleText"/>
                <w:rFonts w:ascii="Times New Roman" w:hAnsi="Times New Roman"/>
              </w:rPr>
              <w:t xml:space="preserve">U skladu s člankom 167. Uredbe (EU) br. 575/2013, vrijednost izloženosti za izloženosti na osnovi vlasničkih ulaganja računovodstvena je vrijednost preostala nakon primjene specifičnih ispravaka vrijednosti za kreditni rizik.</w:t>
            </w:r>
            <w:r>
              <w:rPr>
                <w:sz w:val="24"/>
                <w:rStyle w:val="InstructionsTabelleText"/>
                <w:rFonts w:ascii="Times New Roman" w:hAnsi="Times New Roman"/>
              </w:rPr>
              <w:t xml:space="preserve"> </w:t>
            </w:r>
            <w:r>
              <w:rPr>
                <w:sz w:val="24"/>
                <w:rStyle w:val="InstructionsTabelleText"/>
                <w:rFonts w:ascii="Times New Roman" w:hAnsi="Times New Roman"/>
              </w:rPr>
              <w:t xml:space="preserve"> </w:t>
            </w:r>
            <w:r>
              <w:rPr>
                <w:sz w:val="24"/>
                <w:rFonts w:ascii="Times New Roman" w:hAnsi="Times New Roman"/>
              </w:rPr>
              <w:t xml:space="preserve">Vrijednost izloženosti za kategoriju izvanbilančnih izloženosti na osnovi vlasničkih ulaganja njihova je nominalna vrijednost nakon specifičnih ispravaka vrijednosti za kreditni rizik.</w:t>
            </w:r>
          </w:p>
          <w:p w14:paraId="7B8A5042"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U stupac 0020 institucije uključuju i izvanbilančne stavke iz Priloga I. Uredbi (EU) 575/2013 raspoređene u kategoriju izloženosti na osnovi vlasničkih ulaganja (npr. „neuplaćeni dio djelomično uplaćenih dionica”).</w:t>
            </w:r>
          </w:p>
          <w:p w14:paraId="0435DBD5"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Institucije koje primjenjuju jednostavni pristup ponderiranja ili PD/LGD pristup (iz članka 165. stavka 1. Uredbe (EU) 575/2013) uzimaju u obzir i prijeboj iz članka 155. stavka 2. drugog podstavka Uredbe (EU) 575/2013.</w:t>
            </w:r>
            <w:r>
              <w:rPr>
                <w:sz w:val="24"/>
                <w:rStyle w:val="InstructionsTabelleText"/>
                <w:rFonts w:ascii="Times New Roman" w:hAnsi="Times New Roman"/>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0030-0040</w:t>
            </w:r>
          </w:p>
        </w:tc>
        <w:tc>
          <w:tcPr>
            <w:tcW w:w="8004" w:type="dxa"/>
          </w:tcPr>
          <w:p w14:paraId="2893F262"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TEHNIKE SMANJENJA KREDITNOG RIZIKA S UČINCIMA ZAMJENE NA IZLOŽENOST</w:t>
            </w:r>
          </w:p>
          <w:p w14:paraId="4EC65FBC"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NEMATERIJALNA KREDITNA ZAŠTITA</w:t>
            </w:r>
          </w:p>
          <w:p w14:paraId="2B5389BD"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JAMSTVA</w:t>
            </w:r>
          </w:p>
          <w:p w14:paraId="3ED7D45A"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KREDITNE IZVEDENICE</w:t>
            </w:r>
          </w:p>
          <w:p w14:paraId="78FA5F7A"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Bez obzira na usvojeni pristup za izračun iznosa izloženosti ponderiranih rizikom za izloženosti na osnovi vlasničkih ulaganja, institucije mogu priznati nematerijalnu kreditnu zaštitu primljenu za izloženosti na osnovi vlasničkih ulaganja (članak 155. stavci 2., 3. i 4. Uredbe (EU) 575/2013).</w:t>
            </w:r>
            <w:r>
              <w:rPr>
                <w:sz w:val="24"/>
                <w:rStyle w:val="InstructionsTabelleText"/>
                <w:rFonts w:ascii="Times New Roman" w:hAnsi="Times New Roman"/>
              </w:rPr>
              <w:t xml:space="preserve"> </w:t>
            </w:r>
            <w:r>
              <w:rPr>
                <w:sz w:val="24"/>
                <w:rFonts w:ascii="Times New Roman" w:hAnsi="Times New Roman"/>
              </w:rPr>
              <w:t xml:space="preserve">Institucije koje primjenjuju jednostavni pristup ponderiranja ili PD/LGD pristup u stupcima 0030 i 0040 iskazuju iznos nematerijalne kreditne zaštite u obliku jamstava (stupac 0030) ili kreditnih izvedenica (stupac 0040) koja se priznaje u skladu s metodama određenima u dijelu trećem glavi II. poglavlju 4. Uredbe (EU) 575/2013.</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8004" w:type="dxa"/>
          </w:tcPr>
          <w:p w14:paraId="2E63B5A9"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TEHNIKE SMANJENJA KREDITNOG RIZIKA S UČINCIMA ZAMJENE NA IZLOŽENOST</w:t>
            </w:r>
          </w:p>
          <w:p w14:paraId="423CDDE6"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ZAMJENA IZLOŽENOSTI ZBOG SMANJENJA KREDITNOG RIZIKA</w:t>
            </w:r>
          </w:p>
          <w:p w14:paraId="3419A1AA"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 UKUPNI ODLJEVI</w:t>
            </w:r>
          </w:p>
          <w:p w14:paraId="565BB9D1"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U stupcu 0050 institucije iskazuju dio originalne izloženosti prije konverzijskih faktora pokriven nematerijalnom kreditnom zaštitom priznatom u skladu s metodama određenima u dijelu trećem glavi II. poglavlju 4. Uredbe (EU) 575/2013.</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8004" w:type="dxa"/>
          </w:tcPr>
          <w:p w14:paraId="706B98F2"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VRIJEDNOST IZLOŽENOSTI</w:t>
            </w:r>
          </w:p>
          <w:p w14:paraId="6AD76A6E"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Institucije koje primjenjuju jednostavni pristup ponderiranja ili PD/LGD pristup u stupcu 0060 iskazuju vrijednosti izloženosti uzimajući u obzir učinke zamjene koji proizlaze iz nematerijalne kreditne zaštite (članak 155. stavci 2. i 3., članak 167. Uredbe (EU) 575/2013).</w:t>
            </w:r>
          </w:p>
          <w:p w14:paraId="651AFB2A"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U slučaju izvanbilančnih izloženosti na osnovi vlasničkih ulaganja, vrijednost izloženosti je nominalna vrijednost preostala nakon primjene specifičnih ispravaka vrijednosti za kreditni rizik (članak 167. Uredbe (EU) br. 575/2013).</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0061</w:t>
            </w:r>
          </w:p>
        </w:tc>
        <w:tc>
          <w:tcPr>
            <w:tcW w:w="8004" w:type="dxa"/>
          </w:tcPr>
          <w:p w14:paraId="453CE433"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IZVANBILANČNE STAVKE</w:t>
            </w:r>
          </w:p>
          <w:p w14:paraId="4C0B5E6E" w14:textId="77777777" w:rsidR="006063BD" w:rsidRPr="002A677E" w:rsidRDefault="006063BD" w:rsidP="00E07FE9">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Vidjeti upute za obrazac CR-SA</w:t>
            </w:r>
            <w:r>
              <w:rPr>
                <w:rStyle w:val="InstructionsTabelleberschrift"/>
                <w:sz w:val="24"/>
                <w:rFonts w:ascii="Times New Roman" w:hAnsi="Times New Roman"/>
              </w:rPr>
              <w:t xml:space="preserve">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0070</w:t>
            </w:r>
          </w:p>
        </w:tc>
        <w:tc>
          <w:tcPr>
            <w:tcW w:w="8004" w:type="dxa"/>
          </w:tcPr>
          <w:p w14:paraId="0937B83C"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PROSJEČNI LGD PONDERIRAN VISINOM IZLOŽENOSTI (%)</w:t>
            </w:r>
          </w:p>
          <w:p w14:paraId="39A39197"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Institucije koje primjenjuju PD/LGD pristup iskazuju izloženošću ponderirani prosjek LGD-ova raspoređenih u rejting-kategorije dužnika ili skupove izloženosti uključene u agregiranje.</w:t>
            </w:r>
          </w:p>
          <w:p w14:paraId="531525BF"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Vrijednost izloženosti, uzimajući u obzir nematerijalnu kreditnu zaštitu (stupac 0060) koristi se za izračun prosječnog LGD-a ponderiranog visinom izloženosti.</w:t>
            </w:r>
            <w:r>
              <w:rPr>
                <w:rStyle w:val="InstructionsTabelleText"/>
                <w:sz w:val="24"/>
                <w:rFonts w:ascii="Times New Roman" w:hAnsi="Times New Roman"/>
              </w:rPr>
              <w:t xml:space="preserve"> </w:t>
            </w:r>
          </w:p>
          <w:p w14:paraId="6D55ECB2"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Institucije uzimaju u obzir članak 165. stavak 2. Uredbe (EU) 575/2013.</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0080</w:t>
            </w:r>
          </w:p>
        </w:tc>
        <w:tc>
          <w:tcPr>
            <w:tcW w:w="8004" w:type="dxa"/>
          </w:tcPr>
          <w:p w14:paraId="4A7F554B"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IZNOS IZLOŽENOSTI PONDERIRAN RIZIKOM</w:t>
            </w:r>
          </w:p>
          <w:p w14:paraId="11F80B1F"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Institucije iskazuju iznose izloženosti ponderirane rizikom za izloženosti na osnovi vlasničkih ulaganja izračunate u skladu s člankom 155. Uredbe (EU) 575/2013.</w:t>
            </w:r>
          </w:p>
          <w:p w14:paraId="73CF54D0"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Ako institucije koje primjenjuju PD/LGD pristup nemaju dovoljno informacija za primjenu definicije nastanka statusa neispunjavanja obveza iz članka 178. Uredbe (EU) 575/2013, ponderima rizika dodjeljuje se faktor prilagodbe od 1,5 pri izračunu iznosa izloženosti ponderiranih rizikom (članak 155. stavak 3. Uredbe (EU) 575/2013).</w:t>
            </w:r>
            <w:r>
              <w:rPr>
                <w:sz w:val="24"/>
                <w:rStyle w:val="InstructionsTabelleText"/>
                <w:rFonts w:ascii="Times New Roman" w:hAnsi="Times New Roman"/>
              </w:rPr>
              <w:t xml:space="preserve"> </w:t>
            </w:r>
          </w:p>
          <w:p w14:paraId="73F5A45F"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Što se tiče ulaznog parametra M (efektivno dospijeće) u funkciji izračuna pondera rizika, izloženostima na osnovi vlasničkih ulaganja dodjeljuje se efektivno dospijeće od pet godina (članak 165. stavak 3. Uredbe (EU) 575/2013).</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0090</w:t>
            </w:r>
          </w:p>
        </w:tc>
        <w:tc>
          <w:tcPr>
            <w:tcW w:w="8004" w:type="dxa"/>
          </w:tcPr>
          <w:p w14:paraId="12D0755F" w14:textId="77777777" w:rsidR="006063BD" w:rsidRPr="002A677E" w:rsidRDefault="006063BD" w:rsidP="00E07FE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IZNOS OČEKIVANOGA GUBITKA</w:t>
            </w:r>
          </w:p>
          <w:p w14:paraId="623383B8" w14:textId="77777777" w:rsidR="006063BD" w:rsidRPr="002A677E" w:rsidRDefault="006063BD" w:rsidP="00E07FE9">
            <w:pPr>
              <w:spacing w:beforeLines="60" w:before="144" w:afterLines="60" w:after="144"/>
              <w:rPr>
                <w:rStyle w:val="InstructionsTabelleText"/>
                <w:sz w:val="24"/>
                <w:rFonts w:ascii="Times New Roman" w:hAnsi="Times New Roman"/>
              </w:rPr>
            </w:pPr>
            <w:r>
              <w:rPr>
                <w:sz w:val="24"/>
                <w:rFonts w:ascii="Times New Roman" w:hAnsi="Times New Roman"/>
              </w:rPr>
              <w:t xml:space="preserve">U stupcu 0090 institucije iskazuju iznos očekivanog gubitka za izloženosti na osnovi vlasničkih ulaganja izračunat u skladu s člankom 158. stavcima 4., 7., 8. i 9. Uredbe (EU) 575/2013.</w:t>
            </w:r>
            <w:r>
              <w:rPr>
                <w:sz w:val="24"/>
                <w:rStyle w:val="InstructionsTabelleText"/>
                <w:rFonts w:ascii="Times New Roman" w:hAnsi="Times New Roman"/>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dirty="true"/>
      </w:r>
      <w:r>
        <w:instrText>seq paragraphs</w:instrText>
      </w:r>
      <w:r>
        <w:fldChar w:fldCharType="separate"/>
      </w:r>
      <w:r w:rsidRPr="002A677E">
        <w:t>98</w:t>
      </w:r>
      <w:r>
        <w:fldChar w:fldCharType="end"/>
      </w:r>
      <w:r>
        <w:t xml:space="preserve">.</w:t>
      </w:r>
      <w:r>
        <w:tab/>
      </w:r>
      <w:r>
        <w:t xml:space="preserve">[Izbrisano]</w:t>
      </w:r>
    </w:p>
    <w:tbl>
      <w:tblPr>
        <w:tblW w:w="9524" w:type="dxa"/>
        <w:tblLook w:val="01E0" w:firstRow="1" w:lastRow="1" w:firstColumn="1" w:lastColumn="1" w:noHBand="0" w:noVBand="0"/>
      </w:tblPr>
      <w:tblGrid>
        <w:gridCol w:w="1608"/>
        <w:gridCol w:w="7916"/>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b/>
                <w:sz w:val="24"/>
                <w:rFonts w:ascii="Times New Roman" w:hAnsi="Times New Roman"/>
              </w:rPr>
            </w:pPr>
            <w:r>
              <w:rPr>
                <w:rStyle w:val="InstructionsTabelleText"/>
                <w:b/>
                <w:sz w:val="24"/>
                <w:rFonts w:ascii="Times New Roman" w:hAnsi="Times New Roman"/>
              </w:rPr>
              <w:t xml:space="preserve">Redci</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redak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PD/LGD PRISTUP:</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UKUPNO</w:t>
            </w:r>
            <w:r>
              <w:rPr>
                <w:rStyle w:val="InstructionsTabelleberschrift"/>
                <w:sz w:val="24"/>
                <w:rFonts w:ascii="Times New Roman" w:hAnsi="Times New Roman"/>
              </w:rPr>
              <w:t xml:space="preserve"> </w:t>
            </w:r>
          </w:p>
          <w:p w14:paraId="19AC2738"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Institucije koje primjenjuju PD/LGD pristup (članak 155. stavak 3. Uredbe (EU) 575/2013) iskazuju potrebne informacije u retku 0020 obrasca CR EQU IRB 1.</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redci 0050 – 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b/>
                <w:sz w:val="24"/>
                <w:u w:val="single"/>
                <w:rFonts w:ascii="Times New Roman" w:hAnsi="Times New Roman"/>
              </w:rPr>
            </w:pPr>
            <w:r>
              <w:rPr>
                <w:rStyle w:val="InstructionsTabelleText"/>
                <w:b/>
                <w:sz w:val="24"/>
                <w:u w:val="single"/>
                <w:rFonts w:ascii="Times New Roman" w:hAnsi="Times New Roman"/>
              </w:rPr>
              <w:t xml:space="preserve">JEDNOSTAVNI PRISTUP PONDERIRANJA:</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UKUPNO</w:t>
            </w:r>
          </w:p>
          <w:p w14:paraId="4AD71E33" w14:textId="77777777" w:rsidR="006063BD" w:rsidRPr="002A677E" w:rsidRDefault="006063BD" w:rsidP="00E07FE9">
            <w:pPr>
              <w:rPr>
                <w:rStyle w:val="InstructionsTabelleText"/>
                <w:b/>
                <w:sz w:val="24"/>
                <w:u w:val="single"/>
                <w:rFonts w:ascii="Times New Roman" w:hAnsi="Times New Roman"/>
              </w:rPr>
            </w:pPr>
            <w:r>
              <w:rPr>
                <w:rStyle w:val="InstructionsTabelleText"/>
                <w:b/>
                <w:sz w:val="24"/>
                <w:u w:val="single"/>
                <w:rFonts w:ascii="Times New Roman" w:hAnsi="Times New Roman"/>
              </w:rPr>
              <w:t xml:space="preserve">RAŠČLAMBA UKUPNIH IZLOŽENOSTI U SKLADU S JEDNOSTAVNIM PRISTUPOM PONDERIRANJA PREMA PONDERIMA RIZIKA:</w:t>
            </w:r>
          </w:p>
          <w:p w14:paraId="39AE74C7"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Institucije koje primjenjuju jednostavni pristup ponderiranja (članak 155. stavak 2. Uredbe (EU) 575/2013) iskazuju potrebne informacije u skladu s karakteristikama odnosnih izloženosti u redcima od 0050 do 0090.</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CR EQU IRB 1 – redak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sz w:val="24"/>
                <w:rFonts w:ascii="Times New Roman" w:hAnsi="Times New Roman"/>
              </w:rPr>
            </w:pPr>
            <w:r>
              <w:rPr>
                <w:rStyle w:val="InstructionsTabelleberschrift"/>
                <w:sz w:val="24"/>
                <w:rFonts w:ascii="Times New Roman" w:hAnsi="Times New Roman"/>
              </w:rPr>
              <w:t xml:space="preserve">PRISTUP INTERNIH MODELA</w:t>
            </w:r>
          </w:p>
          <w:p w14:paraId="186E4F54" w14:textId="77777777" w:rsidR="006063BD" w:rsidRPr="002A677E" w:rsidRDefault="006063BD" w:rsidP="00E07FE9">
            <w:pPr>
              <w:pStyle w:val="InstructionsText"/>
              <w:rPr>
                <w:rStyle w:val="FormatvorlageInstructionsTabelleText"/>
                <w:bCs w:val="0"/>
              </w:rPr>
            </w:pPr>
            <w:r>
              <w:t xml:space="preserve">Institucije koje primjenjuju pristup internih modela (članak 155. stavak 4. Uredbe (EU) 575/2013) iskazuju potrebne informacije u retku 0100.</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bCs/>
                <w:sz w:val="24"/>
                <w:rFonts w:ascii="Times New Roman" w:hAnsi="Times New Roman"/>
              </w:rPr>
            </w:pPr>
            <w:r>
              <w:rPr>
                <w:rStyle w:val="InstructionsTabelleText"/>
                <w:sz w:val="24"/>
                <w:rFonts w:ascii="Times New Roman" w:hAnsi="Times New Roman"/>
              </w:rPr>
              <w:t xml:space="preserve">CR EQU IRB 1 – redak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sz w:val="24"/>
                <w:rFonts w:ascii="Times New Roman" w:hAnsi="Times New Roman"/>
              </w:rPr>
            </w:pPr>
            <w:r>
              <w:rPr>
                <w:rStyle w:val="InstructionsTabelleberschrift"/>
                <w:sz w:val="24"/>
                <w:rFonts w:ascii="Times New Roman" w:hAnsi="Times New Roman"/>
              </w:rPr>
              <w:t xml:space="preserve">IZLOŽENOSTI NA OSNOVI VLASNIČKIH ULAGANJA NA KOJE SE PRIMJENJUJU PONDERI RIZIKA</w:t>
            </w:r>
          </w:p>
          <w:p w14:paraId="7E2EA0A2" w14:textId="77777777" w:rsidR="006063BD" w:rsidRPr="002A677E" w:rsidRDefault="006063BD" w:rsidP="00E07FE9">
            <w:pPr>
              <w:rPr>
                <w:sz w:val="24"/>
                <w:rFonts w:ascii="Times New Roman" w:hAnsi="Times New Roman"/>
              </w:rPr>
            </w:pPr>
            <w:r>
              <w:rPr>
                <w:sz w:val="24"/>
                <w:rFonts w:ascii="Times New Roman" w:hAnsi="Times New Roman"/>
              </w:rPr>
              <w:t xml:space="preserve">Institucije koje primjenjuju IRB pristup iskazuju iznose izloženosti ponderirane rizikom za one izloženosti na osnovi vlasničkih ulaganja na koje se primjenjuje tretman s fiksnim ponderom rizika (a pritom se na njih izričito ne primjenjuje jednostavni pristup ponderiranja ili (privremeno ili stalno) izuzeće od primjene standardiziranog pristupa kreditnom riziku), uključujući sljedeće:</w:t>
            </w:r>
          </w:p>
          <w:p w14:paraId="5DD55598" w14:textId="77777777" w:rsidR="006063BD" w:rsidRPr="002A677E" w:rsidRDefault="006063BD" w:rsidP="00E07FE9">
            <w:pPr>
              <w:rPr>
                <w:rStyle w:val="FormatvorlageInstructionsTabelleText"/>
                <w:sz w:val="24"/>
                <w:rFonts w:ascii="Times New Roman" w:hAnsi="Times New Roman"/>
              </w:rPr>
            </w:pPr>
            <w:r>
              <w:rPr>
                <w:sz w:val="24"/>
                <w:rFonts w:ascii="Times New Roman" w:hAnsi="Times New Roman"/>
              </w:rPr>
              <w:t xml:space="preserve">– iznos izloženosti ponderiran rizikom za pozicije vlasničkih ulaganja u subjekte financijskog sektora koje se tretiraju u skladu s člankom 48. stavkom 4. Uredbe (EU) 575/2013, te</w:t>
            </w:r>
          </w:p>
          <w:p w14:paraId="5C41940A" w14:textId="77777777" w:rsidR="006063BD" w:rsidRPr="002A677E" w:rsidRDefault="006063BD" w:rsidP="00E07FE9">
            <w:pPr>
              <w:rPr>
                <w:rStyle w:val="FormatvorlageInstructionsTabelleText"/>
                <w:sz w:val="24"/>
                <w:rFonts w:ascii="Times New Roman" w:hAnsi="Times New Roman"/>
              </w:rPr>
            </w:pPr>
            <w:r>
              <w:rPr>
                <w:sz w:val="24"/>
                <w:rFonts w:ascii="Times New Roman" w:hAnsi="Times New Roman"/>
              </w:rPr>
              <w:t xml:space="preserve">– pozicije vlasničkih ulaganja s ponderom rizika 370 % u skladu s člankom 471. stavkom 2. Uredbe (EU) 575/2013 iskazuju se u retku 0110.</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sz w:val="24"/>
                <w:rFonts w:ascii="Times New Roman" w:hAnsi="Times New Roman"/>
              </w:rPr>
            </w:pPr>
            <w:r>
              <w:rPr>
                <w:rStyle w:val="InstructionsTabelleText"/>
                <w:sz w:val="24"/>
                <w:rFonts w:ascii="Times New Roman" w:hAnsi="Times New Roman"/>
              </w:rPr>
              <w:t xml:space="preserve">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RAŠČLAMBA UKUPNIH IZLOŽENOSTI U SKLADU S PD/LGD PRISTUPOM PREMA REJTING-KATEGORIJAMA DUŽNIKA:</w:t>
            </w:r>
          </w:p>
          <w:p w14:paraId="248ED9FE" w14:textId="77777777" w:rsidR="006063BD" w:rsidRPr="002A677E" w:rsidRDefault="006063BD" w:rsidP="00E07FE9">
            <w:pPr>
              <w:keepNext/>
              <w:spacing w:beforeLines="60" w:before="144" w:afterLines="60" w:after="144"/>
              <w:rPr>
                <w:rStyle w:val="InstructionsTabelleText"/>
                <w:sz w:val="24"/>
                <w:rFonts w:ascii="Times New Roman" w:hAnsi="Times New Roman"/>
              </w:rPr>
            </w:pPr>
            <w:r>
              <w:rPr>
                <w:sz w:val="24"/>
                <w:rFonts w:ascii="Times New Roman" w:hAnsi="Times New Roman"/>
              </w:rPr>
              <w:t xml:space="preserve">Institucije koje primjenjuju PD/LGD pristup (članak 155. stavak 3. Uredbe (EU) 575/2013) iskazuju potrebne informacije u obrascu CR EQU IRB 2.</w:t>
            </w:r>
          </w:p>
          <w:p w14:paraId="174DA1AB" w14:textId="77777777" w:rsidR="006063BD" w:rsidRPr="002A677E" w:rsidRDefault="006063BD" w:rsidP="00E07FE9">
            <w:pPr>
              <w:rPr>
                <w:rStyle w:val="InstructionsTabelleberschrift"/>
                <w:b w:val="0"/>
                <w:bCs w:val="0"/>
                <w:sz w:val="24"/>
                <w:rFonts w:ascii="Times New Roman" w:hAnsi="Times New Roman"/>
              </w:rPr>
            </w:pPr>
            <w:r>
              <w:rPr>
                <w:rStyle w:val="InstructionsTabelleText"/>
                <w:sz w:val="24"/>
                <w:rFonts w:ascii="Times New Roman" w:hAnsi="Times New Roman"/>
              </w:rPr>
              <w:t xml:space="preserve">Ako institucije koje primjenjuju PD/LGD pristup primjenjuju jedinstvenu rejting-skalu ili mogu izvješćivati u skladu s internom rejting-skalom, u obrascu CR EQU IRB 2 iskazuju rejting-kategorije ili skupove povezane s tom jedinstvenom rejting-skalom/internom rejting-skalom.</w:t>
            </w:r>
            <w:r>
              <w:rPr>
                <w:rStyle w:val="InstructionsTabelleText"/>
                <w:sz w:val="24"/>
                <w:rFonts w:ascii="Times New Roman" w:hAnsi="Times New Roman"/>
              </w:rPr>
              <w:t xml:space="preserve"> </w:t>
            </w:r>
            <w:r>
              <w:rPr>
                <w:rStyle w:val="InstructionsTabelleText"/>
                <w:sz w:val="24"/>
                <w:rFonts w:ascii="Times New Roman" w:hAnsi="Times New Roman"/>
              </w:rPr>
              <w:t xml:space="preserve">U svim ostalim slučajevima različite rejting-skale spajaju se i određuju u skladu sa sljedećim kriterijima:</w:t>
            </w:r>
            <w:r>
              <w:rPr>
                <w:rStyle w:val="InstructionsTabelleText"/>
                <w:sz w:val="24"/>
                <w:rFonts w:ascii="Times New Roman" w:hAnsi="Times New Roman"/>
              </w:rPr>
              <w:t xml:space="preserve"> </w:t>
            </w:r>
            <w:r>
              <w:rPr>
                <w:rStyle w:val="InstructionsTabelleText"/>
                <w:sz w:val="24"/>
                <w:rFonts w:ascii="Times New Roman" w:hAnsi="Times New Roman"/>
              </w:rPr>
              <w:t xml:space="preserve">rejting-kategorije dužnika ili skupovi izloženosti različitih rejting-skala grupiraju se i određuju od nižeg PD-a raspoređenog u svaku rejting-kategoriju dužnika ili skup izloženosti prema višem.</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Redovita upotr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Redovita upotreba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Title:  - Description: EBA Redovita upotreb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Redovita upotreba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Redovita upotr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Redovita upotreba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Title:  - Description: EBA Redovita upotreb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Redovita upotreba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Redovita upotr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Redovita upotreba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Title:  - Description: EBA Redovita upotreb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Redovita upotreba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3F18D7"/>
    <w:rsid w:val="00402ED1"/>
    <w:rsid w:val="00441DF2"/>
    <w:rsid w:val="004E4837"/>
    <w:rsid w:val="00546AF1"/>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val="hr-HR"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E4E2CC73-F534-4761-8975-E4F5746F9910}"/>
</file>

<file path=customXml/itemProps3.xml><?xml version="1.0" encoding="utf-8"?>
<ds:datastoreItem xmlns:ds="http://schemas.openxmlformats.org/officeDocument/2006/customXml" ds:itemID="{E658C181-D3A8-4DAB-AD59-E6C451866B3A}">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1728</Words>
  <Characters>9303</Characters>
  <Application>Microsoft Office Word</Application>
  <DocSecurity>0</DocSecurity>
  <Lines>221</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2024-07-10T18:20:00Z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