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CAB54" w14:textId="77777777" w:rsidR="00023C1E" w:rsidRDefault="00023C1E" w:rsidP="00023C1E">
      <w:pPr>
        <w:jc w:val="center"/>
        <w:rPr>
          <w:rFonts w:ascii="Times New Roman" w:hAnsi="Times New Roman"/>
          <w:sz w:val="24"/>
          <w:szCs w:val="22"/>
        </w:rPr>
      </w:pPr>
      <w:r>
        <w:rPr>
          <w:rFonts w:ascii="Times New Roman" w:hAnsi="Times New Roman"/>
          <w:sz w:val="24"/>
        </w:rPr>
        <w:t>LV</w:t>
      </w:r>
    </w:p>
    <w:p w14:paraId="26E578F4" w14:textId="77777777" w:rsidR="00023C1E" w:rsidRDefault="00023C1E" w:rsidP="00023C1E">
      <w:pPr>
        <w:rPr>
          <w:rFonts w:asciiTheme="minorHAnsi" w:hAnsiTheme="minorHAnsi"/>
          <w:sz w:val="22"/>
        </w:rPr>
      </w:pPr>
    </w:p>
    <w:p w14:paraId="2814ADEA" w14:textId="77777777" w:rsidR="00EC5F08" w:rsidRPr="00037E7B" w:rsidRDefault="00EC5F08" w:rsidP="00EC5F08">
      <w:pPr>
        <w:jc w:val="center"/>
        <w:rPr>
          <w:rFonts w:ascii="Times New Roman" w:hAnsi="Times New Roman"/>
          <w:sz w:val="24"/>
        </w:rPr>
      </w:pPr>
      <w:r>
        <w:rPr>
          <w:rFonts w:ascii="Times New Roman" w:hAnsi="Times New Roman"/>
          <w:sz w:val="24"/>
        </w:rPr>
        <w:t>II PIELIKUMS</w:t>
      </w:r>
    </w:p>
    <w:p w14:paraId="3C60A640" w14:textId="77777777" w:rsidR="00EC5F08" w:rsidRPr="00037E7B" w:rsidRDefault="00EC5F08" w:rsidP="00EC5F08">
      <w:pPr>
        <w:jc w:val="center"/>
        <w:rPr>
          <w:rFonts w:ascii="Times New Roman" w:hAnsi="Times New Roman"/>
          <w:sz w:val="24"/>
        </w:rPr>
      </w:pPr>
      <w:r>
        <w:rPr>
          <w:rFonts w:ascii="Times New Roman" w:hAnsi="Times New Roman"/>
          <w:sz w:val="24"/>
        </w:rPr>
        <w:t>“II PIELIKUMS</w:t>
      </w:r>
    </w:p>
    <w:p w14:paraId="62D6C096" w14:textId="77777777" w:rsidR="00EC5F08" w:rsidRPr="00037E7B" w:rsidRDefault="00EC5F08" w:rsidP="00EC5F08">
      <w:pPr>
        <w:jc w:val="center"/>
        <w:rPr>
          <w:rFonts w:ascii="Times New Roman" w:hAnsi="Times New Roman"/>
          <w:b/>
          <w:sz w:val="24"/>
        </w:rPr>
      </w:pPr>
      <w:r>
        <w:rPr>
          <w:rFonts w:ascii="Times New Roman" w:hAnsi="Times New Roman"/>
          <w:b/>
          <w:sz w:val="24"/>
        </w:rPr>
        <w:t>NORĀDES PĀRSKATU SNIEGŠANAI PAR PAŠU KAPITĀLU UN PAŠU KAPITĀLA PRASĪBĀM</w:t>
      </w:r>
    </w:p>
    <w:p w14:paraId="63A72470" w14:textId="77777777" w:rsidR="00EC5F08" w:rsidRDefault="00EC5F08" w:rsidP="00EC5F08"/>
    <w:p w14:paraId="1E2DD6C0" w14:textId="77777777" w:rsidR="00EC5F08" w:rsidRDefault="00EC5F08" w:rsidP="00EC5F0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DAĻA. NORĀDĪJUMI SAISTĪBĀ AR VEIDNI</w:t>
      </w:r>
    </w:p>
    <w:p w14:paraId="5F94331A" w14:textId="77777777" w:rsidR="00EC5F08"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537964DB" w14:textId="77777777" w:rsidR="00EC5F08" w:rsidRPr="00736637" w:rsidRDefault="00EC5F08" w:rsidP="00EC5F0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541E439D" w14:textId="77777777" w:rsidR="00EC5F08" w:rsidRPr="002A677E" w:rsidRDefault="00EC5F08" w:rsidP="00BD16F2">
      <w:pPr>
        <w:rPr>
          <w:rStyle w:val="InstructionsTabelleText"/>
          <w:rFonts w:ascii="Times New Roman" w:hAnsi="Times New Roman"/>
          <w:sz w:val="24"/>
        </w:rPr>
      </w:pPr>
    </w:p>
    <w:p w14:paraId="329CE43D"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0" w:name="_Toc473561055"/>
      <w:bookmarkStart w:id="1" w:name="_Toc151714522"/>
      <w:r>
        <w:rPr>
          <w:rFonts w:ascii="Times New Roman" w:hAnsi="Times New Roman"/>
          <w:sz w:val="24"/>
          <w:u w:val="none"/>
        </w:rPr>
        <w:t>7.</w:t>
      </w:r>
      <w:r>
        <w:rPr>
          <w:rFonts w:ascii="Times New Roman" w:hAnsi="Times New Roman"/>
          <w:sz w:val="24"/>
          <w:u w:val="none"/>
        </w:rPr>
        <w:tab/>
      </w:r>
      <w:r>
        <w:rPr>
          <w:rFonts w:ascii="Times New Roman" w:hAnsi="Times New Roman"/>
          <w:sz w:val="24"/>
        </w:rPr>
        <w:t>C 33.00. – Riska darījumi ar vispārējām valdībām (GOV)</w:t>
      </w:r>
      <w:bookmarkEnd w:id="0"/>
      <w:bookmarkEnd w:id="1"/>
    </w:p>
    <w:p w14:paraId="47ECBF7E" w14:textId="77777777" w:rsidR="00BD16F2" w:rsidRPr="002A677E" w:rsidRDefault="00BD16F2" w:rsidP="00BD16F2">
      <w:pPr>
        <w:pStyle w:val="Instructionsberschrift2"/>
        <w:numPr>
          <w:ilvl w:val="0"/>
          <w:numId w:val="0"/>
        </w:numPr>
        <w:ind w:left="357" w:hanging="357"/>
        <w:rPr>
          <w:rFonts w:ascii="Times New Roman" w:hAnsi="Times New Roman" w:cs="Times New Roman"/>
          <w:sz w:val="24"/>
        </w:rPr>
      </w:pPr>
      <w:bookmarkStart w:id="2" w:name="_Toc367202008"/>
      <w:bookmarkStart w:id="3" w:name="_Toc473561056"/>
      <w:bookmarkStart w:id="4" w:name="_Toc151714523"/>
      <w:r>
        <w:rPr>
          <w:rFonts w:ascii="Times New Roman" w:hAnsi="Times New Roman"/>
          <w:sz w:val="24"/>
          <w:u w:val="none"/>
        </w:rPr>
        <w:t>7.1.</w:t>
      </w:r>
      <w:r>
        <w:rPr>
          <w:rFonts w:ascii="Times New Roman" w:hAnsi="Times New Roman"/>
          <w:sz w:val="24"/>
          <w:u w:val="none"/>
        </w:rPr>
        <w:tab/>
      </w:r>
      <w:r>
        <w:rPr>
          <w:rFonts w:ascii="Times New Roman" w:hAnsi="Times New Roman"/>
          <w:sz w:val="24"/>
        </w:rPr>
        <w:t>Vispārīgas piezīmes</w:t>
      </w:r>
      <w:bookmarkEnd w:id="2"/>
      <w:bookmarkEnd w:id="3"/>
      <w:bookmarkEnd w:id="4"/>
      <w:r>
        <w:rPr>
          <w:rFonts w:ascii="Times New Roman" w:hAnsi="Times New Roman"/>
          <w:sz w:val="24"/>
        </w:rPr>
        <w:t xml:space="preserve"> </w:t>
      </w:r>
    </w:p>
    <w:p w14:paraId="607B1B9D" w14:textId="4D6DEBA3"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191</w:t>
      </w:r>
      <w:r w:rsidRPr="005B57EC">
        <w:fldChar w:fldCharType="end"/>
      </w:r>
      <w:r>
        <w:t>.</w:t>
      </w:r>
      <w:r>
        <w:tab/>
        <w:t xml:space="preserve"> C 33.00. veidnes nolūkos informācija aptver visus riska darījumus ar “Vispārējām valdībām”, kā minēts šīs īstenošanas regulas V pielikuma 42. punkta b) apakšpunktā.</w:t>
      </w:r>
    </w:p>
    <w:p w14:paraId="6DDF43E1" w14:textId="777647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192</w:t>
      </w:r>
      <w:r w:rsidRPr="005B57EC">
        <w:fldChar w:fldCharType="end"/>
      </w:r>
      <w:r>
        <w:t>.</w:t>
      </w:r>
      <w:r>
        <w:tab/>
        <w:t xml:space="preserve"> Ja riska darījumiem ar “Vispārējām valdībām” piemēro pašu kapitāla prasības saskaņā ar Regulas (ES) Nr. 575/2013 Trešās daļas II sadaļu, riska darījumi ar “Vispārējām valdībām” saskaņā ar minētās regulas 112. un 147. pantu ir ietverti dažādās riska darījumu kategorijās, kā precizēts norādēs par C 07.00., C 08.01. un C 08.02. veidnes aizpildīšanu. </w:t>
      </w:r>
    </w:p>
    <w:p w14:paraId="293BF385" w14:textId="0FB1F10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193</w:t>
      </w:r>
      <w:r w:rsidRPr="005B57EC">
        <w:fldChar w:fldCharType="end"/>
      </w:r>
      <w:r>
        <w:t>.</w:t>
      </w:r>
      <w:r>
        <w:tab/>
        <w:t xml:space="preserve"> Šīs īstenošanas regulas V pielikuma Trešajā daļā ietvertās 2. tabulu (Standartizētā pieeja) un 3. tabulu (IRB pieeja) ņem vērā, lai riska darījumu kategorijas, kas izmantotas, lai saskaņā ar Regulas (ES) Nr. 575/2013 aprēķinātu kapitāla prasības, attiecinātu uz darījuma partnera sektoru “Vispārējās valdības”. </w:t>
      </w:r>
    </w:p>
    <w:p w14:paraId="7BF9F4A1" w14:textId="3878F16A"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194</w:t>
      </w:r>
      <w:r w:rsidRPr="005B57EC">
        <w:fldChar w:fldCharType="end"/>
      </w:r>
      <w:r>
        <w:t xml:space="preserve">. Informāciju sniedz par apkopoto riska darījumu kopsummu (proti, visu to valstu summu, kurās bankai ir riska darījumi ar valsti) un par katru valsti, pamatojoties uz darījuma partnera rezidences vietu un atsaucoties uz tiešo aizņēmēju. </w:t>
      </w:r>
    </w:p>
    <w:p w14:paraId="3F2AB0FC" w14:textId="12D22EC0"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195</w:t>
      </w:r>
      <w:r w:rsidRPr="005B57EC">
        <w:fldChar w:fldCharType="end"/>
      </w:r>
      <w:r>
        <w:t>.</w:t>
      </w:r>
      <w:r>
        <w:tab/>
        <w:t xml:space="preserve"> Riska darījumus iedala riska darījumu kategorijās vai jurisdikcijās, neņemot vērā kredītriska mazināšanas metodes un jo īpaši aizstāšanas ietekmi. Tomēr, aprēķinot riska darījumu vērtības un riska darījumu riska svērtās vērtības attiecībā uz katru riska darījumu kategoriju un katru jurisdikciju, ietver riska mazināšanas metožu, tostarp aizstāšanas ietekmes, sastopamību. </w:t>
      </w:r>
    </w:p>
    <w:p w14:paraId="63D48DFC" w14:textId="24583AE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196</w:t>
      </w:r>
      <w:r w:rsidRPr="005B57EC">
        <w:fldChar w:fldCharType="end"/>
      </w:r>
      <w:r>
        <w:t>.</w:t>
      </w:r>
      <w:r>
        <w:tab/>
        <w:t xml:space="preserve"> Uzrādot informāciju par riska darījumiem ar “Vispārējām valdībām” dalījumā pa tiešā darījuma partnera rezidences vietas jurisdikcijām, kas nav pārskatu sniedzošās iestādes vietējā jurisdikcija, piemēro šīs īstenošanas regulas 6. panta 3. punkta sliekšņus.</w:t>
      </w:r>
    </w:p>
    <w:p w14:paraId="6C57DF9A"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5" w:name="_Toc367202009"/>
      <w:bookmarkStart w:id="6" w:name="_Toc473561057"/>
      <w:bookmarkStart w:id="7" w:name="_Toc151714524"/>
      <w:r>
        <w:rPr>
          <w:rFonts w:ascii="Times New Roman" w:hAnsi="Times New Roman"/>
          <w:sz w:val="24"/>
          <w:u w:val="none"/>
        </w:rPr>
        <w:lastRenderedPageBreak/>
        <w:t>7.2.</w:t>
      </w:r>
      <w:r>
        <w:rPr>
          <w:rFonts w:ascii="Times New Roman" w:hAnsi="Times New Roman"/>
          <w:sz w:val="24"/>
          <w:u w:val="none"/>
        </w:rPr>
        <w:tab/>
      </w:r>
      <w:r>
        <w:rPr>
          <w:rFonts w:ascii="Times New Roman" w:hAnsi="Times New Roman"/>
          <w:sz w:val="24"/>
        </w:rPr>
        <w:t>Riska darījumu ar “Vispārējām valdībām” veidnes tvērums</w:t>
      </w:r>
      <w:bookmarkEnd w:id="5"/>
      <w:bookmarkEnd w:id="6"/>
      <w:bookmarkEnd w:id="7"/>
    </w:p>
    <w:p w14:paraId="0229F5BC" w14:textId="67D90191"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197</w:t>
      </w:r>
      <w:r w:rsidRPr="005B57EC">
        <w:fldChar w:fldCharType="end"/>
      </w:r>
      <w:r>
        <w:t>.</w:t>
      </w:r>
      <w:r>
        <w:tab/>
        <w:t xml:space="preserve"> GOV veidnes tvērumā ir bilances, ārpusbilances un atvasināto instrumentu tiešie riska darījumi ar “Vispārējām valdībām” banku portfelī un tirdzniecības portfelī. Turklāt tiek pieprasīts arī izziņas postenis par netiešiem riska darījumiem kredītu atvasināto instrumentu veidā, kurus pārdod vispārējās valdības riska darījumos.</w:t>
      </w:r>
    </w:p>
    <w:p w14:paraId="1EC4D83C" w14:textId="376B0B1B"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198</w:t>
      </w:r>
      <w:r w:rsidRPr="005B57EC">
        <w:fldChar w:fldCharType="end"/>
      </w:r>
      <w:r>
        <w:t>.</w:t>
      </w:r>
      <w:r>
        <w:tab/>
        <w:t xml:space="preserve"> Riska darījums ir tiešs riska darījums, ja tiešais darījumu partneris ir “vispārējā valdība”, kā minēts šīs īstenošanas regulas V pielikuma 42. punkta b) apakšpunktā. </w:t>
      </w:r>
    </w:p>
    <w:p w14:paraId="00A82C5A" w14:textId="7F0E5E44" w:rsidR="00BD16F2" w:rsidRPr="002A677E" w:rsidRDefault="00BD16F2" w:rsidP="00BD16F2">
      <w:pPr>
        <w:pStyle w:val="InstructionsText2"/>
        <w:numPr>
          <w:ilvl w:val="0"/>
          <w:numId w:val="0"/>
        </w:numPr>
        <w:ind w:left="993"/>
      </w:pPr>
      <w:r w:rsidRPr="005B57EC">
        <w:fldChar w:fldCharType="begin"/>
      </w:r>
      <w:r w:rsidRPr="002A677E">
        <w:instrText xml:space="preserve"> seq paragraphs </w:instrText>
      </w:r>
      <w:r w:rsidRPr="005B57EC">
        <w:fldChar w:fldCharType="separate"/>
      </w:r>
      <w:r w:rsidRPr="002A677E">
        <w:t>199</w:t>
      </w:r>
      <w:r w:rsidRPr="005B57EC">
        <w:fldChar w:fldCharType="end"/>
      </w:r>
      <w:r>
        <w:t>.</w:t>
      </w:r>
      <w:r>
        <w:tab/>
        <w:t xml:space="preserve"> Veidne ir sadalīta divās daļās. Pirmās pamatā ir riska darījumu sadalījums pa riska veidiem, regulatīvajām pieejām un riska darījumu kategorijām, savukārt otrās pamatā ir sadalījums pēc atlikušā termiņa.</w:t>
      </w:r>
    </w:p>
    <w:p w14:paraId="4EBA25CD" w14:textId="77777777" w:rsidR="00BD16F2" w:rsidRPr="002A677E" w:rsidRDefault="00BD16F2" w:rsidP="00BD16F2">
      <w:pPr>
        <w:pStyle w:val="Instructionsberschrift2"/>
        <w:numPr>
          <w:ilvl w:val="0"/>
          <w:numId w:val="0"/>
        </w:numPr>
        <w:rPr>
          <w:rFonts w:ascii="Times New Roman" w:hAnsi="Times New Roman" w:cs="Times New Roman"/>
          <w:sz w:val="24"/>
        </w:rPr>
      </w:pPr>
      <w:bookmarkStart w:id="8" w:name="_Toc473561058"/>
      <w:bookmarkStart w:id="9" w:name="_Toc151714525"/>
      <w:r>
        <w:rPr>
          <w:rFonts w:ascii="Times New Roman" w:hAnsi="Times New Roman"/>
          <w:sz w:val="24"/>
          <w:u w:val="none"/>
        </w:rPr>
        <w:t>7.3.</w:t>
      </w:r>
      <w:r>
        <w:rPr>
          <w:rFonts w:ascii="Times New Roman" w:hAnsi="Times New Roman"/>
          <w:sz w:val="24"/>
          <w:u w:val="none"/>
        </w:rPr>
        <w:tab/>
      </w:r>
      <w:r>
        <w:rPr>
          <w:rFonts w:ascii="Times New Roman" w:hAnsi="Times New Roman"/>
          <w:sz w:val="24"/>
        </w:rPr>
        <w:t>Norādes par konkrētām pozīcijām</w:t>
      </w:r>
      <w:bookmarkEnd w:id="8"/>
      <w:bookmarkEnd w:id="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D16F2" w:rsidRPr="002A677E" w14:paraId="3E45D987" w14:textId="77777777" w:rsidTr="00E07FE9">
        <w:tc>
          <w:tcPr>
            <w:tcW w:w="1188" w:type="dxa"/>
            <w:shd w:val="pct25" w:color="auto" w:fill="auto"/>
          </w:tcPr>
          <w:p w14:paraId="564910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Slejas</w:t>
            </w:r>
          </w:p>
          <w:p w14:paraId="4C109A2E" w14:textId="77777777" w:rsidR="00BD16F2" w:rsidRPr="002A677E" w:rsidRDefault="00BD16F2" w:rsidP="00E07FE9">
            <w:pPr>
              <w:spacing w:before="0" w:after="0"/>
              <w:ind w:left="33"/>
              <w:rPr>
                <w:rFonts w:ascii="Times New Roman" w:hAnsi="Times New Roman"/>
                <w:bCs/>
                <w:sz w:val="24"/>
                <w:lang w:eastAsia="de-DE"/>
              </w:rPr>
            </w:pPr>
          </w:p>
        </w:tc>
        <w:tc>
          <w:tcPr>
            <w:tcW w:w="8640" w:type="dxa"/>
            <w:shd w:val="pct25" w:color="auto" w:fill="auto"/>
          </w:tcPr>
          <w:p w14:paraId="33F7A37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Norādes</w:t>
            </w:r>
          </w:p>
        </w:tc>
      </w:tr>
      <w:tr w:rsidR="00BD16F2" w:rsidRPr="002A677E" w14:paraId="3DC0F33D" w14:textId="77777777" w:rsidTr="00E07FE9">
        <w:tc>
          <w:tcPr>
            <w:tcW w:w="1188" w:type="dxa"/>
            <w:tcBorders>
              <w:bottom w:val="single" w:sz="4" w:space="0" w:color="auto"/>
            </w:tcBorders>
          </w:tcPr>
          <w:p w14:paraId="18B6E1B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14:paraId="3AFE02D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TIEŠIE RISKA DARĪJUMI </w:t>
            </w:r>
          </w:p>
        </w:tc>
      </w:tr>
      <w:tr w:rsidR="00BD16F2" w:rsidRPr="002A677E" w14:paraId="1885F66F" w14:textId="77777777" w:rsidTr="00E07FE9">
        <w:tc>
          <w:tcPr>
            <w:tcW w:w="1188" w:type="dxa"/>
          </w:tcPr>
          <w:p w14:paraId="2E4036EA" w14:textId="5759F9DD"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r w:rsidR="00A51CF1">
              <w:rPr>
                <w:rFonts w:ascii="Times New Roman" w:hAnsi="Times New Roman"/>
                <w:sz w:val="24"/>
              </w:rPr>
              <w:t>.</w:t>
            </w:r>
            <w:r>
              <w:rPr>
                <w:rFonts w:ascii="Times New Roman" w:hAnsi="Times New Roman"/>
                <w:sz w:val="24"/>
              </w:rPr>
              <w:t>–0140</w:t>
            </w:r>
            <w:r w:rsidR="00A51CF1">
              <w:rPr>
                <w:rFonts w:ascii="Times New Roman" w:hAnsi="Times New Roman"/>
                <w:sz w:val="24"/>
              </w:rPr>
              <w:t>.</w:t>
            </w:r>
          </w:p>
        </w:tc>
        <w:tc>
          <w:tcPr>
            <w:tcW w:w="8640" w:type="dxa"/>
          </w:tcPr>
          <w:p w14:paraId="70877AF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BILANCES RISKA DARĪJUMI</w:t>
            </w:r>
          </w:p>
        </w:tc>
      </w:tr>
      <w:tr w:rsidR="00BD16F2" w:rsidRPr="002A677E" w14:paraId="413E33AD" w14:textId="77777777" w:rsidTr="00E07FE9">
        <w:tc>
          <w:tcPr>
            <w:tcW w:w="1188" w:type="dxa"/>
          </w:tcPr>
          <w:p w14:paraId="664BAE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640" w:type="dxa"/>
          </w:tcPr>
          <w:p w14:paraId="00745A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Neatvasinātu finanšu aktīvu kopējā bruto uzskaites vērtība </w:t>
            </w:r>
          </w:p>
          <w:p w14:paraId="0AB51D7D" w14:textId="77777777" w:rsidR="00BD16F2" w:rsidRPr="002A677E" w:rsidRDefault="00BD16F2" w:rsidP="00E07FE9">
            <w:pPr>
              <w:spacing w:before="0" w:after="0"/>
              <w:ind w:left="33"/>
              <w:rPr>
                <w:rFonts w:ascii="Times New Roman" w:hAnsi="Times New Roman"/>
                <w:bCs/>
                <w:sz w:val="24"/>
                <w:lang w:eastAsia="de-DE"/>
              </w:rPr>
            </w:pPr>
          </w:p>
          <w:p w14:paraId="6138F8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Neatvasinātu finanšu aktīvu, kas ir riska darījumi ar vispārējām valdībām, apkopotā bruto uzskaites vērtība, kā noteikts saskaņā ar šīs īstenošanas regulas V pielikuma Pirmās daļas 34. punktu, attiecībā uz visiem uzskaites portfeļiem, kuriem piemēro SFPS vai VPGP, kuru pamatā ir Padomes Direktīva 86/635/EEK, un kuri definēti šīs īstenošanas regulas V pielikuma Pirmās daļas 15.–22. punktā un uzskaitīti 0030.–0120. slejā. </w:t>
            </w:r>
          </w:p>
          <w:p w14:paraId="619EBBBB" w14:textId="77777777" w:rsidR="00BD16F2" w:rsidRPr="002A677E" w:rsidRDefault="00BD16F2" w:rsidP="00E07FE9">
            <w:pPr>
              <w:spacing w:before="0" w:after="0"/>
              <w:ind w:left="33"/>
              <w:rPr>
                <w:rFonts w:ascii="Times New Roman" w:hAnsi="Times New Roman"/>
                <w:bCs/>
                <w:sz w:val="24"/>
                <w:lang w:eastAsia="de-DE"/>
              </w:rPr>
            </w:pPr>
          </w:p>
          <w:p w14:paraId="2194E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Piesardzīgas vērtēšanas korekcijas nesamazina tirdzniecības un </w:t>
            </w:r>
            <w:proofErr w:type="spellStart"/>
            <w:r>
              <w:rPr>
                <w:rFonts w:ascii="Times New Roman" w:hAnsi="Times New Roman"/>
                <w:sz w:val="24"/>
              </w:rPr>
              <w:t>netirdzniecības</w:t>
            </w:r>
            <w:proofErr w:type="spellEnd"/>
            <w:r>
              <w:rPr>
                <w:rFonts w:ascii="Times New Roman" w:hAnsi="Times New Roman"/>
                <w:sz w:val="24"/>
              </w:rPr>
              <w:t xml:space="preserve"> riska darījumu, kas novērtēti pēc patiesās vērtības, bruto uzskaites vērtību.</w:t>
            </w:r>
          </w:p>
          <w:p w14:paraId="685C8A9A" w14:textId="77777777" w:rsidR="00BD16F2" w:rsidRPr="002A677E" w:rsidRDefault="00BD16F2" w:rsidP="00E07FE9">
            <w:pPr>
              <w:spacing w:before="0" w:after="0"/>
              <w:rPr>
                <w:rFonts w:ascii="Times New Roman" w:hAnsi="Times New Roman"/>
                <w:bCs/>
                <w:sz w:val="24"/>
                <w:lang w:eastAsia="de-DE"/>
              </w:rPr>
            </w:pPr>
          </w:p>
        </w:tc>
      </w:tr>
      <w:tr w:rsidR="00BD16F2" w:rsidRPr="002A677E" w14:paraId="2044EE26" w14:textId="77777777" w:rsidTr="00E07FE9">
        <w:tc>
          <w:tcPr>
            <w:tcW w:w="1188" w:type="dxa"/>
          </w:tcPr>
          <w:p w14:paraId="0A5145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w:t>
            </w:r>
          </w:p>
        </w:tc>
        <w:tc>
          <w:tcPr>
            <w:tcW w:w="8640" w:type="dxa"/>
          </w:tcPr>
          <w:p w14:paraId="6AED785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Neatvasinātu finanšu aktīvu kopējā uzskaites vērtība (atskaitot īsās pozīcijas)</w:t>
            </w:r>
          </w:p>
          <w:p w14:paraId="332DA3A7" w14:textId="77777777" w:rsidR="00BD16F2" w:rsidRPr="002A677E" w:rsidRDefault="00BD16F2" w:rsidP="00E07FE9">
            <w:pPr>
              <w:spacing w:before="0" w:after="0"/>
              <w:ind w:left="33"/>
              <w:rPr>
                <w:rFonts w:ascii="Times New Roman" w:hAnsi="Times New Roman"/>
                <w:bCs/>
                <w:sz w:val="24"/>
                <w:lang w:eastAsia="de-DE"/>
              </w:rPr>
            </w:pPr>
          </w:p>
          <w:p w14:paraId="78EC0A9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Neatvasinātu finanšu aktīvu, kas ir riska darījumi ar vispārējām valdībām, apkopotā uzskaites vērtība, kā minēts šīs īstenošanas regulas V pielikuma Pirmās daļas 27. punktā, attiecībā uz visiem uzskaites portfeļiem, kuriem piemēro SFPS vai VPGP, kuru pamatā ir Padomes Direktīva 86/635/EEK, un kuri definēti šīs īstenošanas regulas V pielikuma Pirmās daļas 15.—22. punktā un uzskaitīti 0030.–0120. slejā, atskaitot īsās pozīcijas.</w:t>
            </w:r>
          </w:p>
          <w:p w14:paraId="12603E25" w14:textId="77777777" w:rsidR="00BD16F2" w:rsidRPr="002A677E" w:rsidRDefault="00BD16F2" w:rsidP="00E07FE9">
            <w:pPr>
              <w:spacing w:before="0" w:after="0"/>
              <w:ind w:left="33"/>
              <w:rPr>
                <w:rFonts w:ascii="Times New Roman" w:hAnsi="Times New Roman"/>
                <w:bCs/>
                <w:sz w:val="24"/>
                <w:lang w:eastAsia="de-DE"/>
              </w:rPr>
            </w:pPr>
          </w:p>
          <w:p w14:paraId="113CD6E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Ja iestādei ir īsā pozīcija uz to pašu atlikušo termiņu un to pašu tiešo darījuma partneri, kas </w:t>
            </w:r>
            <w:proofErr w:type="spellStart"/>
            <w:r>
              <w:rPr>
                <w:rFonts w:ascii="Times New Roman" w:hAnsi="Times New Roman"/>
                <w:sz w:val="24"/>
              </w:rPr>
              <w:t>denominēta</w:t>
            </w:r>
            <w:proofErr w:type="spellEnd"/>
            <w:r>
              <w:rPr>
                <w:rFonts w:ascii="Times New Roman" w:hAnsi="Times New Roman"/>
                <w:sz w:val="24"/>
              </w:rPr>
              <w:t xml:space="preserve"> tajā pašā valūtā, īsās pozīcijas uzskaites vērtībai veic savstarpējo prasījumu ieskaitu ar tiešās pozīcijas uzskaites vērtību. Minēto neto summu uzskata par nulli, ja tā ir negatīva. Ja iestādei ir īsā pozīcija bez sakrītošas tiešas pozīcijas, par īsās pozīcijas vērtību uzskata nulli šīs slejas nolūkā. </w:t>
            </w:r>
          </w:p>
          <w:p w14:paraId="660D1E01"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9C0277B" w14:textId="77777777" w:rsidTr="00E07FE9">
        <w:tc>
          <w:tcPr>
            <w:tcW w:w="1188" w:type="dxa"/>
          </w:tcPr>
          <w:p w14:paraId="0F70DCD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0030.–0120.</w:t>
            </w:r>
          </w:p>
        </w:tc>
        <w:tc>
          <w:tcPr>
            <w:tcW w:w="8640" w:type="dxa"/>
          </w:tcPr>
          <w:p w14:paraId="77D588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NEATVASINĀTI FINANŠU AKTĪVI PA UZSKAITES PORTFEĻIEM</w:t>
            </w:r>
          </w:p>
          <w:p w14:paraId="55D3901C" w14:textId="77777777" w:rsidR="00BD16F2" w:rsidRPr="002A677E" w:rsidRDefault="00BD16F2" w:rsidP="00E07FE9">
            <w:pPr>
              <w:spacing w:before="0" w:after="0"/>
              <w:ind w:left="33"/>
              <w:rPr>
                <w:rFonts w:ascii="Times New Roman" w:hAnsi="Times New Roman"/>
                <w:bCs/>
                <w:sz w:val="24"/>
                <w:lang w:eastAsia="de-DE"/>
              </w:rPr>
            </w:pPr>
          </w:p>
          <w:p w14:paraId="304C586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Neatvasinātu finanšu aktīvu (kā definēts šīs tabulas iepriekšējā rindā), kas ir riska darījumi ar vispārējām valdībām, apkopotā uzskaites vērtība dalījumā pa uzskaites portfeļiem atbilstīgi piemērojamajam grāmatvedības regulējumam.</w:t>
            </w:r>
          </w:p>
          <w:p w14:paraId="7BE8B6F7"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4CB956EC" w14:textId="77777777" w:rsidTr="00E07FE9">
        <w:tc>
          <w:tcPr>
            <w:tcW w:w="1188" w:type="dxa"/>
          </w:tcPr>
          <w:p w14:paraId="4BB756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640" w:type="dxa"/>
          </w:tcPr>
          <w:p w14:paraId="536B204E"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Tirdzniecībai turēti finanšu aktīvi</w:t>
            </w:r>
          </w:p>
          <w:p w14:paraId="4FC3362A" w14:textId="77777777" w:rsidR="00BD16F2" w:rsidRPr="002A677E" w:rsidRDefault="00BD16F2" w:rsidP="00E07FE9">
            <w:pPr>
              <w:spacing w:before="0" w:after="0"/>
              <w:ind w:left="33"/>
              <w:rPr>
                <w:rFonts w:ascii="Times New Roman" w:hAnsi="Times New Roman"/>
                <w:bCs/>
                <w:sz w:val="24"/>
                <w:lang w:eastAsia="de-DE"/>
              </w:rPr>
            </w:pPr>
          </w:p>
          <w:p w14:paraId="0F01BD5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 SFPS 8. punkta a) apakšpunkta ii) punkts; 9. SFPS A papildinājums</w:t>
            </w:r>
          </w:p>
          <w:p w14:paraId="50C911B6"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CBFCB6F" w14:textId="77777777" w:rsidTr="00E07FE9">
        <w:tc>
          <w:tcPr>
            <w:tcW w:w="1188" w:type="dxa"/>
          </w:tcPr>
          <w:p w14:paraId="7D48737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640" w:type="dxa"/>
          </w:tcPr>
          <w:p w14:paraId="5F82DDB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Tirdzniecības finanšu aktīvi</w:t>
            </w:r>
          </w:p>
          <w:p w14:paraId="3A7FCF81" w14:textId="77777777" w:rsidR="00BD16F2" w:rsidRPr="002A677E" w:rsidRDefault="00BD16F2" w:rsidP="00E07FE9">
            <w:pPr>
              <w:spacing w:before="0" w:after="0"/>
              <w:ind w:left="33"/>
              <w:rPr>
                <w:rFonts w:ascii="Times New Roman" w:hAnsi="Times New Roman"/>
                <w:bCs/>
                <w:sz w:val="24"/>
                <w:lang w:eastAsia="de-DE"/>
              </w:rPr>
            </w:pPr>
          </w:p>
          <w:p w14:paraId="5448598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Padomes Direktīvas 86/635/EEK 32. un 33. pants, šīs īstenošanas regulas V pielikuma 1. daļas 16. punkts; Direktīvas 2013/34/ES 8. panta 1. punkta a) apakšpunkts.</w:t>
            </w:r>
          </w:p>
          <w:p w14:paraId="769FB628" w14:textId="77777777" w:rsidR="00BD16F2" w:rsidRPr="002A677E" w:rsidRDefault="00BD16F2" w:rsidP="00E07FE9">
            <w:pPr>
              <w:spacing w:before="0" w:after="0"/>
              <w:ind w:left="33"/>
              <w:rPr>
                <w:rFonts w:ascii="Times New Roman" w:hAnsi="Times New Roman"/>
                <w:bCs/>
                <w:sz w:val="24"/>
                <w:lang w:eastAsia="de-DE"/>
              </w:rPr>
            </w:pPr>
          </w:p>
          <w:p w14:paraId="681C111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17C99E04" w14:textId="77777777" w:rsidR="00BD16F2" w:rsidRPr="002A677E" w:rsidDel="00FB1EBF" w:rsidRDefault="00BD16F2" w:rsidP="00E07FE9">
            <w:pPr>
              <w:spacing w:before="0" w:after="0"/>
              <w:ind w:left="33"/>
              <w:rPr>
                <w:rFonts w:ascii="Times New Roman" w:hAnsi="Times New Roman"/>
                <w:bCs/>
                <w:sz w:val="24"/>
                <w:lang w:eastAsia="de-DE"/>
              </w:rPr>
            </w:pPr>
          </w:p>
        </w:tc>
      </w:tr>
      <w:tr w:rsidR="00BD16F2" w:rsidRPr="002A677E" w14:paraId="22CC2036" w14:textId="77777777" w:rsidTr="00E07FE9">
        <w:tc>
          <w:tcPr>
            <w:tcW w:w="1188" w:type="dxa"/>
          </w:tcPr>
          <w:p w14:paraId="54EC1BD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0050.</w:t>
            </w:r>
          </w:p>
        </w:tc>
        <w:tc>
          <w:tcPr>
            <w:tcW w:w="8640" w:type="dxa"/>
          </w:tcPr>
          <w:p w14:paraId="00F501FE" w14:textId="77777777" w:rsidR="00BD16F2" w:rsidRPr="002A677E" w:rsidRDefault="00BD16F2" w:rsidP="00E07FE9">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finanšu aktīvi, kas obligāti novērtējami patiesajā vērtībā ar atspoguļojumu peļņas vai zaudējumu aprēķinā</w:t>
            </w:r>
          </w:p>
          <w:p w14:paraId="525A1C8D" w14:textId="77777777" w:rsidR="00BD16F2" w:rsidRPr="002A677E" w:rsidRDefault="00BD16F2" w:rsidP="00E07FE9">
            <w:pPr>
              <w:spacing w:before="0" w:after="0"/>
              <w:ind w:left="33"/>
              <w:rPr>
                <w:rFonts w:ascii="Times New Roman" w:hAnsi="Times New Roman"/>
                <w:bCs/>
                <w:sz w:val="24"/>
                <w:lang w:eastAsia="de-DE"/>
              </w:rPr>
            </w:pPr>
          </w:p>
          <w:p w14:paraId="66063E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 SFPS 8. punkta a) apakšpunkta ii) punkts; 9. SFPS 4.1.4. punkts</w:t>
            </w:r>
          </w:p>
          <w:p w14:paraId="189EE53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0ABA4B2" w14:textId="77777777" w:rsidTr="00E07FE9">
        <w:tc>
          <w:tcPr>
            <w:tcW w:w="1188" w:type="dxa"/>
          </w:tcPr>
          <w:p w14:paraId="0BFC780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640" w:type="dxa"/>
          </w:tcPr>
          <w:p w14:paraId="6F96930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Finanšu aktīvi, kas novērtēti patiesajā vērtībā ar atspoguļojumu peļņas vai zaudējumu aprēķinā</w:t>
            </w:r>
          </w:p>
          <w:p w14:paraId="7E92E9CC" w14:textId="77777777" w:rsidR="00BD16F2" w:rsidRPr="002A677E" w:rsidRDefault="00BD16F2" w:rsidP="00E07FE9">
            <w:pPr>
              <w:spacing w:before="0" w:after="0"/>
              <w:ind w:left="33"/>
              <w:rPr>
                <w:rFonts w:ascii="Times New Roman" w:hAnsi="Times New Roman"/>
                <w:bCs/>
                <w:sz w:val="24"/>
                <w:lang w:eastAsia="de-DE"/>
              </w:rPr>
            </w:pPr>
          </w:p>
          <w:p w14:paraId="6520464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 SFPS 8. punkta a) apakšpunkta i) punkts; 9. SFPS 4.1.5. punkts un Direktīvas 2013/34/ES 8. panta 1. punkta a) apakšpunkts un 8. panta 6. punkts.</w:t>
            </w:r>
          </w:p>
          <w:p w14:paraId="2235AF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BF23D09" w14:textId="77777777" w:rsidTr="00E07FE9">
        <w:tc>
          <w:tcPr>
            <w:tcW w:w="1188" w:type="dxa"/>
          </w:tcPr>
          <w:p w14:paraId="53D9E29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640" w:type="dxa"/>
          </w:tcPr>
          <w:p w14:paraId="68D73903" w14:textId="77777777" w:rsidR="00BD16F2" w:rsidRPr="002A677E" w:rsidRDefault="00BD16F2" w:rsidP="00E07FE9">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 kas novērtēti patiesajā vērtībā ar atspoguļojumu peļņas vai zaudējumu aprēķinā</w:t>
            </w:r>
          </w:p>
          <w:p w14:paraId="23B31231" w14:textId="77777777" w:rsidR="00BD16F2" w:rsidRPr="002A677E" w:rsidRDefault="00BD16F2" w:rsidP="00E07FE9">
            <w:pPr>
              <w:spacing w:before="0" w:after="0"/>
              <w:ind w:left="33"/>
              <w:rPr>
                <w:rFonts w:ascii="Times New Roman" w:hAnsi="Times New Roman"/>
                <w:bCs/>
                <w:sz w:val="24"/>
                <w:lang w:eastAsia="de-DE"/>
              </w:rPr>
            </w:pPr>
          </w:p>
          <w:p w14:paraId="27CD9D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Padomes Direktīvas 86/635/EEK 36. panta 2. punkts. Direktīvas 2013/34/ES 8. panta 1. punkta a) apakšpunkts.</w:t>
            </w:r>
          </w:p>
          <w:p w14:paraId="160F8905" w14:textId="77777777" w:rsidR="00BD16F2" w:rsidRPr="002A677E" w:rsidRDefault="00BD16F2" w:rsidP="00E07FE9">
            <w:pPr>
              <w:spacing w:before="0" w:after="0"/>
              <w:ind w:left="33"/>
              <w:rPr>
                <w:rFonts w:ascii="Times New Roman" w:hAnsi="Times New Roman"/>
                <w:bCs/>
                <w:sz w:val="24"/>
                <w:lang w:eastAsia="de-DE"/>
              </w:rPr>
            </w:pPr>
          </w:p>
          <w:p w14:paraId="6D0831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6E56331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3B60CBD" w14:textId="77777777" w:rsidTr="00E07FE9">
        <w:tc>
          <w:tcPr>
            <w:tcW w:w="1188" w:type="dxa"/>
          </w:tcPr>
          <w:p w14:paraId="171C7A1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640" w:type="dxa"/>
          </w:tcPr>
          <w:p w14:paraId="3A843C3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Finanšu aktīvi patiesajā vērtībā ar atspoguļojumu citos visaptverošajos ienākumos</w:t>
            </w:r>
          </w:p>
          <w:p w14:paraId="7E05DEFE" w14:textId="77777777" w:rsidR="00BD16F2" w:rsidRPr="002A677E" w:rsidRDefault="00BD16F2" w:rsidP="00E07FE9">
            <w:pPr>
              <w:spacing w:before="0" w:after="0"/>
              <w:ind w:left="33"/>
              <w:rPr>
                <w:rFonts w:ascii="Times New Roman" w:hAnsi="Times New Roman"/>
                <w:bCs/>
                <w:sz w:val="24"/>
                <w:lang w:eastAsia="de-DE"/>
              </w:rPr>
            </w:pPr>
          </w:p>
          <w:p w14:paraId="4248A32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7. SFPS 8. punkta d) apakšpunkts; 9. SFPS 4.1.2.A punkts</w:t>
            </w:r>
          </w:p>
          <w:p w14:paraId="77A7996E" w14:textId="77777777" w:rsidR="00BD16F2" w:rsidRPr="002A677E" w:rsidRDefault="00BD16F2" w:rsidP="00E07FE9">
            <w:pPr>
              <w:spacing w:before="0" w:after="0"/>
              <w:ind w:left="33"/>
              <w:rPr>
                <w:rFonts w:ascii="Times New Roman" w:hAnsi="Times New Roman"/>
                <w:b/>
                <w:bCs/>
                <w:sz w:val="24"/>
                <w:lang w:eastAsia="de-DE"/>
              </w:rPr>
            </w:pPr>
          </w:p>
        </w:tc>
      </w:tr>
      <w:tr w:rsidR="00BD16F2" w:rsidRPr="002A677E" w14:paraId="3D4CCA12" w14:textId="77777777" w:rsidTr="00E07FE9">
        <w:tc>
          <w:tcPr>
            <w:tcW w:w="1188" w:type="dxa"/>
          </w:tcPr>
          <w:p w14:paraId="2A13B1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640" w:type="dxa"/>
          </w:tcPr>
          <w:p w14:paraId="508FA160" w14:textId="77777777" w:rsidR="00BD16F2" w:rsidRPr="002A677E" w:rsidRDefault="00BD16F2" w:rsidP="00E07FE9">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 kas novērtēti patiesajā vērtībā caur pašu kapitālu</w:t>
            </w:r>
          </w:p>
          <w:p w14:paraId="312EC554" w14:textId="77777777" w:rsidR="00BD16F2" w:rsidRPr="002A677E" w:rsidRDefault="00BD16F2" w:rsidP="00E07FE9">
            <w:pPr>
              <w:spacing w:before="0" w:after="0"/>
              <w:ind w:left="33"/>
              <w:rPr>
                <w:rFonts w:ascii="Times New Roman" w:hAnsi="Times New Roman"/>
                <w:bCs/>
                <w:sz w:val="24"/>
                <w:lang w:eastAsia="de-DE"/>
              </w:rPr>
            </w:pPr>
          </w:p>
          <w:p w14:paraId="6A54FF1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Direktīvas 2013/34/ES 8. panta 1. punkta a) apakšpunkts un 8. panta 8. punkts</w:t>
            </w:r>
          </w:p>
          <w:p w14:paraId="59CB959C" w14:textId="77777777" w:rsidR="00BD16F2" w:rsidRPr="002A677E" w:rsidRDefault="00BD16F2" w:rsidP="00E07FE9">
            <w:pPr>
              <w:spacing w:before="0" w:after="0"/>
              <w:ind w:left="33"/>
              <w:rPr>
                <w:rFonts w:ascii="Times New Roman" w:hAnsi="Times New Roman"/>
                <w:bCs/>
                <w:sz w:val="24"/>
                <w:lang w:eastAsia="de-DE"/>
              </w:rPr>
            </w:pPr>
          </w:p>
          <w:p w14:paraId="723763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51F4F44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2F74C49" w14:textId="77777777" w:rsidTr="00E07FE9">
        <w:tc>
          <w:tcPr>
            <w:tcW w:w="1188" w:type="dxa"/>
          </w:tcPr>
          <w:p w14:paraId="45F0F2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0100.</w:t>
            </w:r>
          </w:p>
        </w:tc>
        <w:tc>
          <w:tcPr>
            <w:tcW w:w="8640" w:type="dxa"/>
          </w:tcPr>
          <w:p w14:paraId="479F694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Amortizētajās izmaksās novērtētie finanšu aktīvi</w:t>
            </w:r>
          </w:p>
          <w:p w14:paraId="4996BB95" w14:textId="77777777" w:rsidR="00BD16F2" w:rsidRPr="002A677E" w:rsidRDefault="00BD16F2" w:rsidP="00E07FE9">
            <w:pPr>
              <w:spacing w:before="0" w:after="0"/>
              <w:ind w:left="33"/>
              <w:rPr>
                <w:rFonts w:ascii="Times New Roman" w:hAnsi="Times New Roman"/>
                <w:bCs/>
                <w:sz w:val="24"/>
                <w:lang w:eastAsia="de-DE"/>
              </w:rPr>
            </w:pPr>
          </w:p>
          <w:p w14:paraId="36A72775"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lastRenderedPageBreak/>
              <w:t>7. SFPS 8. punkta f) apakšpunkts; 9. SFPS 4.1.2. punkts; Šīs īstenošanas regulas V pielikuma 1. daļas 15. punkts</w:t>
            </w:r>
          </w:p>
          <w:p w14:paraId="45A195A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390405B" w14:textId="77777777" w:rsidTr="00E07FE9">
        <w:tc>
          <w:tcPr>
            <w:tcW w:w="1188" w:type="dxa"/>
          </w:tcPr>
          <w:p w14:paraId="443668D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0110.</w:t>
            </w:r>
          </w:p>
        </w:tc>
        <w:tc>
          <w:tcPr>
            <w:tcW w:w="8640" w:type="dxa"/>
          </w:tcPr>
          <w:p w14:paraId="766084D3" w14:textId="77777777" w:rsidR="00BD16F2" w:rsidRPr="002A677E" w:rsidRDefault="00BD16F2" w:rsidP="00E07FE9">
            <w:pPr>
              <w:spacing w:before="0" w:after="0"/>
              <w:ind w:left="33"/>
              <w:rPr>
                <w:rFonts w:ascii="Times New Roman" w:hAnsi="Times New Roman"/>
                <w:b/>
                <w:bCs/>
                <w:sz w:val="24"/>
                <w:u w:val="single"/>
              </w:rPr>
            </w:pP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 kas novērtēti pēc izmaksu metodes</w:t>
            </w:r>
          </w:p>
          <w:p w14:paraId="6FD47D7F" w14:textId="77777777" w:rsidR="00BD16F2" w:rsidRPr="002A677E" w:rsidRDefault="00BD16F2" w:rsidP="00E07FE9">
            <w:pPr>
              <w:spacing w:before="0" w:after="0"/>
              <w:ind w:left="33"/>
              <w:rPr>
                <w:rFonts w:ascii="Times New Roman" w:hAnsi="Times New Roman"/>
                <w:bCs/>
                <w:sz w:val="24"/>
                <w:lang w:eastAsia="de-DE"/>
              </w:rPr>
            </w:pPr>
          </w:p>
          <w:p w14:paraId="45DF723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Padomes Direktīvas 86/635/EEK 35. pants. Direktīvas 2013/34/ES 6. panta 1. punkta i) punkts un 8. panta 2. punkts Šīs īstenošanas regulas V pielikuma 1. daļas 16. punkts.</w:t>
            </w:r>
          </w:p>
          <w:p w14:paraId="282E66CD" w14:textId="77777777" w:rsidR="00BD16F2" w:rsidRPr="002A677E" w:rsidRDefault="00BD16F2" w:rsidP="00E07FE9">
            <w:pPr>
              <w:spacing w:before="0" w:after="0"/>
              <w:ind w:left="33"/>
              <w:rPr>
                <w:rFonts w:ascii="Times New Roman" w:hAnsi="Times New Roman"/>
                <w:bCs/>
                <w:sz w:val="24"/>
                <w:lang w:eastAsia="de-DE"/>
              </w:rPr>
            </w:pPr>
          </w:p>
          <w:p w14:paraId="172A9B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58A5969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948604" w14:textId="77777777" w:rsidTr="00E07FE9">
        <w:tc>
          <w:tcPr>
            <w:tcW w:w="1188" w:type="dxa"/>
          </w:tcPr>
          <w:p w14:paraId="3001C0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640" w:type="dxa"/>
          </w:tcPr>
          <w:p w14:paraId="4E4E0E80"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Citi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 finanšu aktīvi</w:t>
            </w:r>
          </w:p>
          <w:p w14:paraId="238F2DC7" w14:textId="77777777" w:rsidR="00BD16F2" w:rsidRPr="002A677E" w:rsidRDefault="00BD16F2" w:rsidP="00E07FE9">
            <w:pPr>
              <w:spacing w:before="0" w:after="0"/>
              <w:ind w:left="33"/>
              <w:rPr>
                <w:rFonts w:ascii="Times New Roman" w:hAnsi="Times New Roman"/>
                <w:bCs/>
                <w:sz w:val="24"/>
                <w:lang w:eastAsia="de-DE"/>
              </w:rPr>
            </w:pPr>
          </w:p>
          <w:p w14:paraId="46DBE6A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Padomes Direktīvas 86/635/EEK 37. pants. Direktīvas 2013/34/ES 12. panta 7. punkts; Šīs īstenošanas regulas V pielikuma 1. daļas 16. punkts.</w:t>
            </w:r>
          </w:p>
          <w:p w14:paraId="7D2BCFA8" w14:textId="77777777" w:rsidR="00BD16F2" w:rsidRPr="002A677E" w:rsidRDefault="00BD16F2" w:rsidP="00E07FE9">
            <w:pPr>
              <w:spacing w:before="0" w:after="0"/>
              <w:ind w:left="33"/>
              <w:rPr>
                <w:rFonts w:ascii="Times New Roman" w:hAnsi="Times New Roman"/>
                <w:bCs/>
                <w:sz w:val="24"/>
                <w:lang w:eastAsia="de-DE"/>
              </w:rPr>
            </w:pPr>
          </w:p>
          <w:p w14:paraId="14CA551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Iestādes uzrāda tikai saskaņā ar valsts vispārpieņemtajiem grāmatvedības principiem.</w:t>
            </w:r>
          </w:p>
          <w:p w14:paraId="312E62E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7C8E3AA" w14:textId="77777777" w:rsidTr="00E07FE9">
        <w:tc>
          <w:tcPr>
            <w:tcW w:w="1188" w:type="dxa"/>
          </w:tcPr>
          <w:p w14:paraId="6BE622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640" w:type="dxa"/>
          </w:tcPr>
          <w:p w14:paraId="76C04A1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Īsās pozīcijas</w:t>
            </w:r>
          </w:p>
          <w:p w14:paraId="49E7DA3B" w14:textId="77777777" w:rsidR="00BD16F2" w:rsidRPr="002A677E" w:rsidRDefault="00BD16F2" w:rsidP="00E07FE9">
            <w:pPr>
              <w:spacing w:before="0" w:after="0"/>
              <w:ind w:left="33"/>
              <w:rPr>
                <w:rFonts w:ascii="Times New Roman" w:hAnsi="Times New Roman"/>
                <w:bCs/>
                <w:sz w:val="24"/>
                <w:lang w:eastAsia="de-DE"/>
              </w:rPr>
            </w:pPr>
          </w:p>
          <w:p w14:paraId="5EABDCF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Īso pozīciju uzskaites vērtība, kā definēts 9. SFPS BA7. punkta b) punktā, ja tiešais darījuma partneris ir vispārējā valdība, kā definēts šā pielikuma 155.–160. punktā.</w:t>
            </w:r>
          </w:p>
          <w:p w14:paraId="024950F8" w14:textId="77777777" w:rsidR="00BD16F2" w:rsidRPr="002A677E" w:rsidRDefault="00BD16F2" w:rsidP="00E07FE9">
            <w:pPr>
              <w:spacing w:before="0" w:after="0"/>
              <w:ind w:left="33"/>
              <w:rPr>
                <w:rFonts w:ascii="Times New Roman" w:hAnsi="Times New Roman"/>
                <w:bCs/>
                <w:sz w:val="24"/>
                <w:lang w:eastAsia="de-DE"/>
              </w:rPr>
            </w:pPr>
          </w:p>
          <w:p w14:paraId="51B3EE0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Īsās pozīcijas rodas, ja iestāde pārdod vērtspapīrus, kuri iegūti caur pirkšanas ar </w:t>
            </w:r>
            <w:proofErr w:type="spellStart"/>
            <w:r>
              <w:rPr>
                <w:rFonts w:ascii="Times New Roman" w:hAnsi="Times New Roman"/>
                <w:sz w:val="24"/>
              </w:rPr>
              <w:t>atpārdošanu</w:t>
            </w:r>
            <w:proofErr w:type="spellEnd"/>
            <w:r>
              <w:rPr>
                <w:rFonts w:ascii="Times New Roman" w:hAnsi="Times New Roman"/>
                <w:sz w:val="24"/>
              </w:rPr>
              <w:t xml:space="preserve"> aizdevumu vai aizņemti vērtspapīru aizdevuma darījumā.</w:t>
            </w:r>
          </w:p>
          <w:p w14:paraId="7EBF0AEF" w14:textId="77777777" w:rsidR="00BD16F2" w:rsidRPr="002A677E" w:rsidRDefault="00BD16F2" w:rsidP="00E07FE9">
            <w:pPr>
              <w:spacing w:before="0" w:after="0"/>
              <w:ind w:left="33"/>
              <w:rPr>
                <w:rFonts w:ascii="Times New Roman" w:hAnsi="Times New Roman"/>
                <w:bCs/>
                <w:sz w:val="24"/>
                <w:lang w:eastAsia="de-DE"/>
              </w:rPr>
            </w:pPr>
          </w:p>
          <w:p w14:paraId="021370D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Uzskaites vērtība ir īso pozīciju patiesā vērtība.</w:t>
            </w:r>
          </w:p>
          <w:p w14:paraId="3EDD491E" w14:textId="77777777" w:rsidR="00BD16F2" w:rsidRPr="002A677E" w:rsidRDefault="00BD16F2" w:rsidP="00E07FE9">
            <w:pPr>
              <w:spacing w:before="0" w:after="0"/>
              <w:ind w:left="33"/>
              <w:rPr>
                <w:rFonts w:ascii="Times New Roman" w:hAnsi="Times New Roman"/>
                <w:bCs/>
                <w:sz w:val="24"/>
                <w:lang w:eastAsia="de-DE"/>
              </w:rPr>
            </w:pPr>
          </w:p>
          <w:p w14:paraId="4A4AC94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Īsās pozīcijas uzrāda pa atlikušā termiņa grupām, kā uzskaitīts 0170.–0230. rindā, un pēc tiešajiem darījumu partneriem. </w:t>
            </w:r>
          </w:p>
          <w:p w14:paraId="3218C7A4" w14:textId="77777777" w:rsidR="00BD16F2" w:rsidRPr="002A677E" w:rsidRDefault="00BD16F2" w:rsidP="00E07FE9">
            <w:pPr>
              <w:spacing w:before="0" w:after="0"/>
              <w:ind w:left="33"/>
              <w:rPr>
                <w:rFonts w:ascii="Times New Roman" w:hAnsi="Times New Roman"/>
                <w:bCs/>
                <w:sz w:val="24"/>
                <w:lang w:eastAsia="de-DE"/>
              </w:rPr>
            </w:pPr>
          </w:p>
          <w:p w14:paraId="7BAFBB6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Īsajām pozīcijām, kas uzrādītas šajā slejā, var veikt savstarpējo ieskaitu ar to pašu atlikušo termiņu un tiešajiem darījumu partneriem un tajā pašā valūtā, kas uzrādīta 0030. līdz 0120. slejā, lai iegūtu neto pozīciju, kas ir uzrādīta 0020. slejā.</w:t>
            </w:r>
          </w:p>
          <w:p w14:paraId="1FB5AD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10B3391" w14:textId="77777777" w:rsidTr="00E07FE9">
        <w:tc>
          <w:tcPr>
            <w:tcW w:w="1188" w:type="dxa"/>
          </w:tcPr>
          <w:p w14:paraId="10D2B58C" w14:textId="77777777" w:rsidR="00BD16F2" w:rsidRPr="002A677E" w:rsidDel="00E97A51" w:rsidRDefault="00BD16F2" w:rsidP="00E07FE9">
            <w:pPr>
              <w:spacing w:before="0" w:after="0"/>
              <w:ind w:left="33"/>
              <w:rPr>
                <w:rFonts w:ascii="Times New Roman" w:hAnsi="Times New Roman"/>
                <w:bCs/>
                <w:sz w:val="24"/>
              </w:rPr>
            </w:pPr>
            <w:r>
              <w:rPr>
                <w:rFonts w:ascii="Times New Roman" w:hAnsi="Times New Roman"/>
                <w:sz w:val="24"/>
              </w:rPr>
              <w:t>0140.</w:t>
            </w:r>
          </w:p>
        </w:tc>
        <w:tc>
          <w:tcPr>
            <w:tcW w:w="8640" w:type="dxa"/>
          </w:tcPr>
          <w:p w14:paraId="7E8B659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No kā: īsās pozīcijas no pirkšanas ar </w:t>
            </w:r>
            <w:proofErr w:type="spellStart"/>
            <w:r>
              <w:rPr>
                <w:rFonts w:ascii="Times New Roman" w:hAnsi="Times New Roman"/>
                <w:b/>
                <w:sz w:val="24"/>
                <w:u w:val="single"/>
              </w:rPr>
              <w:t>atpārdošanu</w:t>
            </w:r>
            <w:proofErr w:type="spellEnd"/>
            <w:r>
              <w:rPr>
                <w:rFonts w:ascii="Times New Roman" w:hAnsi="Times New Roman"/>
                <w:b/>
                <w:sz w:val="24"/>
                <w:u w:val="single"/>
              </w:rPr>
              <w:t xml:space="preserve"> aizdevumiem, kas klasificēti kā tirdzniecības nolūkā turēti vai kā tirdzniecības finanšu aktīvi</w:t>
            </w:r>
          </w:p>
          <w:p w14:paraId="44C558BA" w14:textId="77777777" w:rsidR="00BD16F2" w:rsidRPr="002A677E" w:rsidRDefault="00BD16F2" w:rsidP="00E07FE9">
            <w:pPr>
              <w:spacing w:before="0" w:after="0"/>
              <w:ind w:left="33"/>
              <w:rPr>
                <w:rFonts w:ascii="Times New Roman" w:hAnsi="Times New Roman"/>
                <w:bCs/>
                <w:sz w:val="24"/>
                <w:lang w:eastAsia="de-DE"/>
              </w:rPr>
            </w:pPr>
          </w:p>
          <w:p w14:paraId="61E9AF9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Īso pozīciju uzskaites vērtība, kā definēts 9. SFPS BA7. punkta b) apakšpunktā, kuras rodas, ja iestāde pārdod vērtspapīrus, kas iegūti caur pirkšanas ar </w:t>
            </w:r>
            <w:proofErr w:type="spellStart"/>
            <w:r>
              <w:rPr>
                <w:rFonts w:ascii="Times New Roman" w:hAnsi="Times New Roman"/>
                <w:sz w:val="24"/>
              </w:rPr>
              <w:t>atpārdošanu</w:t>
            </w:r>
            <w:proofErr w:type="spellEnd"/>
            <w:r>
              <w:rPr>
                <w:rFonts w:ascii="Times New Roman" w:hAnsi="Times New Roman"/>
                <w:sz w:val="24"/>
              </w:rPr>
              <w:t xml:space="preserve"> aizdevumiem, kuros minēto vērtspapīru tiešais darījuma partneris ir vispārējā valdība, un kuras ietvertas tirdzniecības nolūkā turētu vai tirdzniecības finanšu aktīvu uzskaites portfeļos (0030. vai 0040. sleja).</w:t>
            </w:r>
          </w:p>
          <w:p w14:paraId="5D02DDEB" w14:textId="77777777" w:rsidR="00BD16F2" w:rsidRPr="002A677E" w:rsidRDefault="00BD16F2" w:rsidP="00E07FE9">
            <w:pPr>
              <w:spacing w:before="0" w:after="0"/>
              <w:ind w:left="33"/>
              <w:rPr>
                <w:rFonts w:ascii="Times New Roman" w:hAnsi="Times New Roman"/>
                <w:b/>
                <w:bCs/>
                <w:sz w:val="24"/>
                <w:u w:val="single"/>
                <w:lang w:eastAsia="de-DE"/>
              </w:rPr>
            </w:pPr>
          </w:p>
          <w:p w14:paraId="52086FF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Īsās pozīcijas, kas rodas, ja pārdotie vērtspapīri ir bijuši aizņemti vērtspapīru aizdevuma darījumā, neiekļauj šajā slejā. </w:t>
            </w:r>
          </w:p>
          <w:p w14:paraId="28BB35C9" w14:textId="77777777" w:rsidR="00BD16F2" w:rsidRPr="002A677E" w:rsidDel="00E97A51" w:rsidRDefault="00BD16F2" w:rsidP="00E07FE9">
            <w:pPr>
              <w:spacing w:before="0" w:after="0"/>
              <w:ind w:left="33"/>
              <w:rPr>
                <w:rFonts w:ascii="Times New Roman" w:hAnsi="Times New Roman"/>
                <w:b/>
                <w:bCs/>
                <w:sz w:val="24"/>
                <w:u w:val="single"/>
                <w:lang w:eastAsia="de-DE"/>
              </w:rPr>
            </w:pPr>
          </w:p>
        </w:tc>
      </w:tr>
      <w:tr w:rsidR="00BD16F2" w:rsidRPr="002A677E" w:rsidDel="004A25FD" w14:paraId="116E41A1" w14:textId="77777777" w:rsidTr="00E07FE9">
        <w:tc>
          <w:tcPr>
            <w:tcW w:w="1188" w:type="dxa"/>
          </w:tcPr>
          <w:p w14:paraId="15C60976"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0150.</w:t>
            </w:r>
          </w:p>
        </w:tc>
        <w:tc>
          <w:tcPr>
            <w:tcW w:w="8640" w:type="dxa"/>
          </w:tcPr>
          <w:p w14:paraId="6965A7CA"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Uzkrātais vērtības samazinājums</w:t>
            </w:r>
          </w:p>
          <w:p w14:paraId="7BE2EBDC" w14:textId="77777777" w:rsidR="00BD16F2" w:rsidRPr="002A677E" w:rsidRDefault="00BD16F2" w:rsidP="00E07FE9">
            <w:pPr>
              <w:spacing w:before="0" w:after="0"/>
              <w:ind w:left="33"/>
              <w:rPr>
                <w:rFonts w:ascii="Times New Roman" w:hAnsi="Times New Roman"/>
                <w:b/>
                <w:bCs/>
                <w:sz w:val="24"/>
                <w:u w:val="single"/>
                <w:lang w:eastAsia="de-DE"/>
              </w:rPr>
            </w:pPr>
          </w:p>
          <w:p w14:paraId="4B7F645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Apkopotais, uzkrātais vērtības samazinājums saistībā ar neatvasinātiem finanšu aktīviem, kas uzrādīti 0080.–0120. slejā (šīs īstenošanas regulas V pielikuma Otrās daļas 70. un 71. punkts).</w:t>
            </w:r>
          </w:p>
          <w:p w14:paraId="7138219C"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207DBEB5" w14:textId="77777777" w:rsidTr="00E07FE9">
        <w:tc>
          <w:tcPr>
            <w:tcW w:w="1188" w:type="dxa"/>
          </w:tcPr>
          <w:p w14:paraId="4DD87CF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0160.</w:t>
            </w:r>
          </w:p>
        </w:tc>
        <w:tc>
          <w:tcPr>
            <w:tcW w:w="8640" w:type="dxa"/>
          </w:tcPr>
          <w:p w14:paraId="053E70B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Uzkrātais vērtības samazinājums – t. sk.: no finanšu aktīviem, kas novērtēti patiesajā vērtībā ar atspoguļojumu citos visaptverošajos ienākumos, vai no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neatvasinātiem finanšu aktīviem, kuri novērtēti patiesajā vērtībā caur pašu kapitālu</w:t>
            </w:r>
          </w:p>
          <w:p w14:paraId="4776C850" w14:textId="77777777" w:rsidR="00BD16F2" w:rsidRPr="002A677E" w:rsidRDefault="00BD16F2" w:rsidP="00E07FE9">
            <w:pPr>
              <w:spacing w:before="0" w:after="0"/>
              <w:ind w:left="33"/>
              <w:rPr>
                <w:rFonts w:ascii="Times New Roman" w:hAnsi="Times New Roman"/>
                <w:b/>
                <w:bCs/>
                <w:sz w:val="24"/>
                <w:u w:val="single"/>
                <w:lang w:eastAsia="de-DE"/>
              </w:rPr>
            </w:pPr>
          </w:p>
          <w:p w14:paraId="32EF88D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Apkopotais uzkrātais vērtības samazinājums saistībā ar neatvasinātiem finanšu aktīviem, kas uzrādīti 0080. un 0090. slejā. </w:t>
            </w:r>
          </w:p>
          <w:p w14:paraId="2A628464"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rsidDel="004A25FD" w14:paraId="37982893" w14:textId="77777777" w:rsidTr="00E07FE9">
        <w:tc>
          <w:tcPr>
            <w:tcW w:w="1188" w:type="dxa"/>
          </w:tcPr>
          <w:p w14:paraId="1309D915" w14:textId="77777777" w:rsidR="00BD16F2" w:rsidRPr="002A677E" w:rsidDel="004A25FD" w:rsidRDefault="00BD16F2" w:rsidP="00E07FE9">
            <w:pPr>
              <w:spacing w:before="0" w:after="0"/>
              <w:ind w:left="33"/>
              <w:rPr>
                <w:rFonts w:ascii="Times New Roman" w:hAnsi="Times New Roman"/>
                <w:bCs/>
                <w:sz w:val="24"/>
              </w:rPr>
            </w:pPr>
            <w:r>
              <w:rPr>
                <w:rFonts w:ascii="Times New Roman" w:hAnsi="Times New Roman"/>
                <w:sz w:val="24"/>
              </w:rPr>
              <w:t>0170.</w:t>
            </w:r>
          </w:p>
        </w:tc>
        <w:tc>
          <w:tcPr>
            <w:tcW w:w="8640" w:type="dxa"/>
          </w:tcPr>
          <w:p w14:paraId="7BD9BE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w:t>
            </w:r>
          </w:p>
          <w:p w14:paraId="6B68D76A" w14:textId="77777777" w:rsidR="00BD16F2" w:rsidRPr="002A677E" w:rsidRDefault="00BD16F2" w:rsidP="00E07FE9">
            <w:pPr>
              <w:spacing w:before="0" w:after="0"/>
              <w:ind w:left="33"/>
              <w:rPr>
                <w:rFonts w:ascii="Times New Roman" w:hAnsi="Times New Roman"/>
                <w:b/>
                <w:bCs/>
                <w:sz w:val="24"/>
                <w:u w:val="single"/>
                <w:lang w:eastAsia="de-DE"/>
              </w:rPr>
            </w:pPr>
          </w:p>
          <w:p w14:paraId="301CF1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0050., 0060., 0070., 0080. un 0090. slejā (šīs īstenošanas regulas V pielikuma Otrās daļas 69. punkts).</w:t>
            </w:r>
          </w:p>
          <w:p w14:paraId="61669612" w14:textId="77777777" w:rsidR="00BD16F2" w:rsidRPr="002A677E" w:rsidDel="004A25FD" w:rsidRDefault="00BD16F2" w:rsidP="00E07FE9">
            <w:pPr>
              <w:spacing w:before="0" w:after="0"/>
              <w:ind w:left="33"/>
              <w:rPr>
                <w:rFonts w:ascii="Times New Roman" w:hAnsi="Times New Roman"/>
                <w:bCs/>
                <w:sz w:val="24"/>
                <w:lang w:eastAsia="de-DE"/>
              </w:rPr>
            </w:pPr>
          </w:p>
        </w:tc>
      </w:tr>
      <w:tr w:rsidR="00BD16F2" w:rsidRPr="002A677E" w14:paraId="0273A3BB" w14:textId="77777777" w:rsidTr="00E07FE9">
        <w:tc>
          <w:tcPr>
            <w:tcW w:w="1188" w:type="dxa"/>
          </w:tcPr>
          <w:p w14:paraId="635968C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0180.</w:t>
            </w:r>
          </w:p>
        </w:tc>
        <w:tc>
          <w:tcPr>
            <w:tcW w:w="8640" w:type="dxa"/>
          </w:tcPr>
          <w:p w14:paraId="78160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 t. sk.: no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finanšu aktīviem, kas obligāti novērtējami patiesajā vērtībā ar atspoguļojumu peļņas vai zaudējumu aprēķinā, no finanšu aktīviem, kuri novērtēti patiesajā vērtībā ar atspoguļojumu peļņas vai zaudējumu aprēķinā, vai no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finanšu aktīviem, kas novērtēti patiesajā vērtībā ar atspoguļojumu peļņas vai zaudējumu aprēķinā</w:t>
            </w:r>
          </w:p>
          <w:p w14:paraId="7F567935" w14:textId="77777777" w:rsidR="00BD16F2" w:rsidRPr="002A677E" w:rsidRDefault="00BD16F2" w:rsidP="00E07FE9">
            <w:pPr>
              <w:spacing w:before="0" w:after="0"/>
              <w:ind w:left="33"/>
              <w:rPr>
                <w:rFonts w:ascii="Times New Roman" w:hAnsi="Times New Roman"/>
                <w:bCs/>
                <w:sz w:val="24"/>
                <w:lang w:eastAsia="de-DE"/>
              </w:rPr>
            </w:pPr>
          </w:p>
          <w:p w14:paraId="3374D8A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0050., 0060. un 0070. slejā.</w:t>
            </w:r>
          </w:p>
          <w:p w14:paraId="24A9000C"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 xml:space="preserve"> </w:t>
            </w:r>
          </w:p>
        </w:tc>
      </w:tr>
      <w:tr w:rsidR="00BD16F2" w:rsidRPr="002A677E" w14:paraId="500AF04F" w14:textId="77777777" w:rsidTr="00E07FE9">
        <w:tc>
          <w:tcPr>
            <w:tcW w:w="1188" w:type="dxa"/>
          </w:tcPr>
          <w:p w14:paraId="295CE8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0190.</w:t>
            </w:r>
          </w:p>
        </w:tc>
        <w:tc>
          <w:tcPr>
            <w:tcW w:w="8640" w:type="dxa"/>
          </w:tcPr>
          <w:p w14:paraId="6C4F0B8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 t. sk.: no finanšu aktīviem, kas novērtēti patiesajā vērtībā ar atspoguļojumu citos visaptverošajos ienākumos, vai no </w:t>
            </w:r>
            <w:proofErr w:type="spellStart"/>
            <w:r>
              <w:rPr>
                <w:rFonts w:ascii="Times New Roman" w:hAnsi="Times New Roman"/>
                <w:b/>
                <w:sz w:val="24"/>
                <w:u w:val="single"/>
              </w:rPr>
              <w:t>netirdzniecības</w:t>
            </w:r>
            <w:proofErr w:type="spellEnd"/>
            <w:r>
              <w:rPr>
                <w:rFonts w:ascii="Times New Roman" w:hAnsi="Times New Roman"/>
                <w:b/>
                <w:sz w:val="24"/>
                <w:u w:val="single"/>
              </w:rPr>
              <w:t xml:space="preserve"> neatvasinātiem finanšu aktīviem, kuri novērtēti patiesajā vērtībā caur pašu kapitālu</w:t>
            </w:r>
          </w:p>
          <w:p w14:paraId="2F7A12E9" w14:textId="77777777" w:rsidR="00BD16F2" w:rsidRPr="002A677E" w:rsidRDefault="00BD16F2" w:rsidP="00E07FE9">
            <w:pPr>
              <w:spacing w:before="0" w:after="0"/>
              <w:ind w:left="33"/>
              <w:rPr>
                <w:rFonts w:ascii="Times New Roman" w:hAnsi="Times New Roman"/>
                <w:bCs/>
                <w:sz w:val="24"/>
                <w:lang w:eastAsia="de-DE"/>
              </w:rPr>
            </w:pPr>
          </w:p>
          <w:p w14:paraId="7934389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Apkopotās patiesās vērtības uzkrātās negatīvās izmaiņas kredītriska rezultātā saistībā ar pozīcijām, par kurām informācija sniegta 0080. un 0090. slejā.</w:t>
            </w:r>
          </w:p>
          <w:p w14:paraId="636C627B"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162555E" w14:textId="77777777" w:rsidTr="00E07FE9">
        <w:tc>
          <w:tcPr>
            <w:tcW w:w="1188" w:type="dxa"/>
          </w:tcPr>
          <w:p w14:paraId="4EB1E88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0200.–0230.</w:t>
            </w:r>
          </w:p>
        </w:tc>
        <w:tc>
          <w:tcPr>
            <w:tcW w:w="8640" w:type="dxa"/>
          </w:tcPr>
          <w:p w14:paraId="1A3371F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ATVASINĀTIE INSTRUMENTI</w:t>
            </w:r>
          </w:p>
          <w:p w14:paraId="42A7FD87" w14:textId="77777777" w:rsidR="00BD16F2" w:rsidRPr="002A677E" w:rsidRDefault="00BD16F2" w:rsidP="00E07FE9">
            <w:pPr>
              <w:spacing w:before="0" w:after="0"/>
              <w:ind w:left="33"/>
              <w:rPr>
                <w:rFonts w:ascii="Times New Roman" w:hAnsi="Times New Roman"/>
                <w:b/>
                <w:bCs/>
                <w:sz w:val="24"/>
                <w:u w:val="single"/>
                <w:lang w:eastAsia="de-DE"/>
              </w:rPr>
            </w:pPr>
          </w:p>
          <w:p w14:paraId="41B5F3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Tiešās atvasināto instrumentu pozīcijas uzrāda 0200.–0230. slejā.</w:t>
            </w:r>
          </w:p>
          <w:p w14:paraId="7C5E29D7" w14:textId="77777777" w:rsidR="00BD16F2" w:rsidRPr="002A677E" w:rsidRDefault="00BD16F2" w:rsidP="00E07FE9">
            <w:pPr>
              <w:spacing w:before="0" w:after="0"/>
              <w:ind w:left="33"/>
              <w:rPr>
                <w:rFonts w:ascii="Times New Roman" w:hAnsi="Times New Roman"/>
                <w:b/>
                <w:bCs/>
                <w:sz w:val="24"/>
                <w:u w:val="single"/>
                <w:lang w:eastAsia="de-DE"/>
              </w:rPr>
            </w:pPr>
          </w:p>
          <w:p w14:paraId="437823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tādu atvasināto instrumentu uzrādīšanu, kam piemēro gan darījuma partnera kredītriska, gan tirgus riska kapitāla prasības, skatīt norādes par rindu sadalījumu.</w:t>
            </w:r>
          </w:p>
          <w:p w14:paraId="73006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4164F01" w14:textId="77777777" w:rsidTr="00E07FE9">
        <w:tc>
          <w:tcPr>
            <w:tcW w:w="1188" w:type="dxa"/>
          </w:tcPr>
          <w:p w14:paraId="6471E17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0200.–0210.</w:t>
            </w:r>
          </w:p>
        </w:tc>
        <w:tc>
          <w:tcPr>
            <w:tcW w:w="8640" w:type="dxa"/>
          </w:tcPr>
          <w:p w14:paraId="7FE3AF34"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w:t>
            </w:r>
          </w:p>
          <w:p w14:paraId="5CC54C55" w14:textId="77777777" w:rsidR="00BD16F2" w:rsidRPr="002A677E" w:rsidRDefault="00BD16F2" w:rsidP="00E07FE9">
            <w:pPr>
              <w:spacing w:before="0" w:after="0"/>
              <w:ind w:left="33"/>
              <w:rPr>
                <w:rFonts w:ascii="Times New Roman" w:hAnsi="Times New Roman"/>
                <w:bCs/>
                <w:sz w:val="24"/>
                <w:lang w:eastAsia="de-DE"/>
              </w:rPr>
            </w:pPr>
          </w:p>
          <w:p w14:paraId="180E4F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Visi atvasinātie instrumenti, kuru darījuma partneris ir vispārējā valdība un kuru patiesā vērtība iestādei pārskata sniegšanas datumā ir pozitīva, neatkarīgi no tā, vai minētos instrumentus izmanto atbilstīgās riska ierobežošanas attiecībās, tur tirdzniecības nolūkā vai iekļauj tirdzniecības portfelī, kam piemēro SFPS vai VPGP, kuru pamatā ir Padomes Direktīva 86/635/EEK. </w:t>
            </w:r>
          </w:p>
          <w:p w14:paraId="7800DD5E" w14:textId="77777777" w:rsidR="00BD16F2" w:rsidRPr="002A677E" w:rsidRDefault="00BD16F2" w:rsidP="00E07FE9">
            <w:pPr>
              <w:spacing w:before="0" w:after="0"/>
              <w:ind w:left="33"/>
              <w:rPr>
                <w:rFonts w:ascii="Times New Roman" w:hAnsi="Times New Roman"/>
                <w:bCs/>
                <w:sz w:val="24"/>
                <w:lang w:eastAsia="de-DE"/>
              </w:rPr>
            </w:pPr>
          </w:p>
          <w:p w14:paraId="543965C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Šeit uzrāda ekonomikas riska ierobežošanas nolūkā turētus atvasinātos instrumentus, ja tie ir iekļauti tirdzniecībā vai tiek turēti tirdzniecības uzskaites portfeļos (šīs īstenošanas regulas V pielikuma Otrās daļas 120., 124., 125. un 137.–140. punkts).</w:t>
            </w:r>
          </w:p>
          <w:p w14:paraId="3903065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03987C2" w14:textId="77777777" w:rsidTr="00E07FE9">
        <w:tc>
          <w:tcPr>
            <w:tcW w:w="1188" w:type="dxa"/>
          </w:tcPr>
          <w:p w14:paraId="26E1C3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0200.</w:t>
            </w:r>
          </w:p>
        </w:tc>
        <w:tc>
          <w:tcPr>
            <w:tcW w:w="8640" w:type="dxa"/>
          </w:tcPr>
          <w:p w14:paraId="3E1D07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Atvasinātie instrumenti ar pozitīvu patieso vērtību: Uzskaites vērtība </w:t>
            </w:r>
          </w:p>
          <w:p w14:paraId="7AA6A4A5" w14:textId="77777777" w:rsidR="00BD16F2" w:rsidRPr="002A677E" w:rsidRDefault="00BD16F2" w:rsidP="00E07FE9">
            <w:pPr>
              <w:spacing w:before="0" w:after="0"/>
              <w:ind w:left="33"/>
              <w:rPr>
                <w:rFonts w:ascii="Times New Roman" w:hAnsi="Times New Roman"/>
                <w:bCs/>
                <w:sz w:val="24"/>
                <w:lang w:eastAsia="de-DE"/>
              </w:rPr>
            </w:pPr>
          </w:p>
          <w:p w14:paraId="6607483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Uzskaites vērtība atvasinātajiem instrumentiem, kurus pārskata sniegšanas atsauces datumā uzskaita kā finanšu aktīvus. </w:t>
            </w:r>
          </w:p>
          <w:p w14:paraId="406A9D55" w14:textId="77777777" w:rsidR="00BD16F2" w:rsidRPr="002A677E" w:rsidRDefault="00BD16F2" w:rsidP="00E07FE9">
            <w:pPr>
              <w:spacing w:before="0" w:after="0"/>
              <w:ind w:left="33"/>
              <w:rPr>
                <w:rFonts w:ascii="Times New Roman" w:hAnsi="Times New Roman"/>
                <w:bCs/>
                <w:sz w:val="24"/>
                <w:lang w:eastAsia="de-DE"/>
              </w:rPr>
            </w:pPr>
          </w:p>
          <w:p w14:paraId="55228B9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Saskaņā ar VPGP, kuru pamatā ir Padomes Direktīva 86/635/EEK, šajā slejā uzrādāmie atvasinātie instrumenti ietver atvasinātos instrumentus, kas novērtēti iegādes vērtībā vai zemāko izmaksu vai tirgus vērtībā un ietverti tirdzniecības portfelī vai noteikti kā riska ierobežošanas instrumenti. </w:t>
            </w:r>
          </w:p>
          <w:p w14:paraId="2950EA4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4EEFF86" w14:textId="77777777" w:rsidTr="00E07FE9">
        <w:tc>
          <w:tcPr>
            <w:tcW w:w="1188" w:type="dxa"/>
          </w:tcPr>
          <w:p w14:paraId="5A19D3A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0210.</w:t>
            </w:r>
          </w:p>
        </w:tc>
        <w:tc>
          <w:tcPr>
            <w:tcW w:w="8640" w:type="dxa"/>
          </w:tcPr>
          <w:p w14:paraId="2BD96D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 Nosacītā summa</w:t>
            </w:r>
          </w:p>
          <w:p w14:paraId="4F50A484" w14:textId="77777777" w:rsidR="00BD16F2" w:rsidRPr="002A677E" w:rsidRDefault="00BD16F2" w:rsidP="00E07FE9">
            <w:pPr>
              <w:spacing w:before="0" w:after="0"/>
              <w:ind w:left="33"/>
              <w:rPr>
                <w:rFonts w:ascii="Times New Roman" w:hAnsi="Times New Roman"/>
                <w:bCs/>
                <w:sz w:val="24"/>
                <w:lang w:eastAsia="de-DE"/>
              </w:rPr>
            </w:pPr>
          </w:p>
          <w:p w14:paraId="63C437A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Saskaņā ar SFPS un VPGP, kuru pamatā ir Padomes Direktīva 86/635/EEK, – nosacītā summa, kas definēta šīs īstenošanas regulas V pielikuma Otrās daļas 133.–135. punktā, visiem atvasināto instrumentu līgumiem, kuri pārskata sniegšanas atsauces datumā ir noslēgti, bet kuros vēl nav veikts norēķins, un kuros darījuma partneris ir vispārējā valdība, kā definēts šā pielikuma 191.–196. punktā, un atvasinātā instrumenta patiesā vērtība atsauces datumā iestādei ir pozitīva.</w:t>
            </w:r>
          </w:p>
          <w:p w14:paraId="79985B2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ED8172B" w14:textId="77777777" w:rsidTr="00E07FE9">
        <w:tc>
          <w:tcPr>
            <w:tcW w:w="1188" w:type="dxa"/>
          </w:tcPr>
          <w:p w14:paraId="3FCDB5C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0220.–0230.</w:t>
            </w:r>
          </w:p>
        </w:tc>
        <w:tc>
          <w:tcPr>
            <w:tcW w:w="8640" w:type="dxa"/>
          </w:tcPr>
          <w:p w14:paraId="51C3AE6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Atvasinātie instrumenti ar negatīvu patieso vērtību</w:t>
            </w:r>
          </w:p>
          <w:p w14:paraId="5B063261" w14:textId="77777777" w:rsidR="00BD16F2" w:rsidRPr="002A677E" w:rsidDel="00501397" w:rsidRDefault="00BD16F2" w:rsidP="00E07FE9">
            <w:pPr>
              <w:spacing w:before="0" w:after="0"/>
              <w:ind w:left="33"/>
              <w:rPr>
                <w:rFonts w:ascii="Times New Roman" w:hAnsi="Times New Roman"/>
                <w:bCs/>
                <w:sz w:val="24"/>
                <w:lang w:eastAsia="de-DE"/>
              </w:rPr>
            </w:pPr>
          </w:p>
          <w:p w14:paraId="17C79D5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Visi atvasinātie instrumenti, kuru darījuma partneris ir vispārējā valdība un kuru patiesā vērtība iestādei pārskata sniegšanas atsauces datumā ir negatīva, neatkarīgi no tā, vai minētos instrumentus izmanto atbilstīgās riska ierobežošanas attiecībās, vai tur tirdzniecības nolūkā vai iekļauj tirdzniecības portfelī, kam piemēro SFPS vai VPGP, kuru pamatā ir Padomes Direktīva 86/635/EEK. </w:t>
            </w:r>
          </w:p>
          <w:p w14:paraId="5FEBCDDF" w14:textId="77777777" w:rsidR="00BD16F2" w:rsidRPr="002A677E" w:rsidRDefault="00BD16F2" w:rsidP="00E07FE9">
            <w:pPr>
              <w:spacing w:before="0" w:after="0"/>
              <w:ind w:left="33"/>
              <w:rPr>
                <w:rFonts w:ascii="Times New Roman" w:hAnsi="Times New Roman"/>
                <w:bCs/>
                <w:sz w:val="24"/>
                <w:lang w:eastAsia="de-DE"/>
              </w:rPr>
            </w:pPr>
          </w:p>
          <w:p w14:paraId="7445D7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Šeit uzrāda ekonomikas riska ierobežošanas nolūkā turētus atvasinātos instrumentus, ja tie ir iekļauti tirdzniecībā vai tiek turēti tirdzniecības uzskaites portfeļos (šīs īstenošanas regulas V pielikuma Otrās daļas 120., 124., 125. un 137.–140. punkts).</w:t>
            </w:r>
          </w:p>
          <w:p w14:paraId="367698FE"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ADAA22F" w14:textId="77777777" w:rsidTr="00E07FE9">
        <w:tc>
          <w:tcPr>
            <w:tcW w:w="1188" w:type="dxa"/>
          </w:tcPr>
          <w:p w14:paraId="42FDD71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0220.</w:t>
            </w:r>
          </w:p>
        </w:tc>
        <w:tc>
          <w:tcPr>
            <w:tcW w:w="8640" w:type="dxa"/>
          </w:tcPr>
          <w:p w14:paraId="1F315A9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Atvasinātie instrumenti ar negatīvu patieso vērtību: Uzskaites vērtība </w:t>
            </w:r>
          </w:p>
          <w:p w14:paraId="436DD090" w14:textId="77777777" w:rsidR="00BD16F2" w:rsidRPr="002A677E" w:rsidRDefault="00BD16F2" w:rsidP="00E07FE9">
            <w:pPr>
              <w:spacing w:before="0" w:after="0"/>
              <w:ind w:left="33"/>
              <w:rPr>
                <w:rFonts w:ascii="Times New Roman" w:hAnsi="Times New Roman"/>
                <w:bCs/>
                <w:sz w:val="24"/>
                <w:lang w:eastAsia="de-DE"/>
              </w:rPr>
            </w:pPr>
          </w:p>
          <w:p w14:paraId="66E6FF8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Uzskaites vērtība atvasinātajiem instrumentiem, kurus pārskata sniegšanas atsauces datumā uzskaita kā finanšu saistības. </w:t>
            </w:r>
          </w:p>
          <w:p w14:paraId="46E4AD83" w14:textId="77777777" w:rsidR="00BD16F2" w:rsidRPr="002A677E" w:rsidRDefault="00BD16F2" w:rsidP="00E07FE9">
            <w:pPr>
              <w:spacing w:before="0" w:after="0"/>
              <w:ind w:left="33"/>
              <w:rPr>
                <w:rFonts w:ascii="Times New Roman" w:hAnsi="Times New Roman"/>
                <w:bCs/>
                <w:sz w:val="24"/>
                <w:lang w:eastAsia="de-DE"/>
              </w:rPr>
            </w:pPr>
          </w:p>
          <w:p w14:paraId="4DE15687"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Saskaņā ar VPGP, kuru pamatā ir Padomes Direktīva 86/635/EEK, šajā slejā uzrādāmie atvasinātie instrumenti ietver atvasinātos instrumentus, kas novērtēti iegādes vērtībā vai zemāko izmaksu vai tirgus vērtībā un ietverti tirdzniecības portfelī vai noteikti kā riska ierobežošanas instrumenti. </w:t>
            </w:r>
          </w:p>
          <w:p w14:paraId="58C14E0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D9D4E1E" w14:textId="77777777" w:rsidTr="00E07FE9">
        <w:tc>
          <w:tcPr>
            <w:tcW w:w="1188" w:type="dxa"/>
          </w:tcPr>
          <w:p w14:paraId="008C97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0230.</w:t>
            </w:r>
          </w:p>
        </w:tc>
        <w:tc>
          <w:tcPr>
            <w:tcW w:w="8640" w:type="dxa"/>
          </w:tcPr>
          <w:p w14:paraId="2C9A0CD6" w14:textId="77777777" w:rsidR="00BD16F2" w:rsidRPr="002A677E" w:rsidRDefault="00BD16F2" w:rsidP="00E07FE9">
            <w:pPr>
              <w:spacing w:before="0" w:after="0"/>
              <w:rPr>
                <w:rFonts w:ascii="Times New Roman" w:hAnsi="Times New Roman"/>
                <w:b/>
                <w:bCs/>
                <w:sz w:val="24"/>
                <w:u w:val="single"/>
              </w:rPr>
            </w:pPr>
            <w:r>
              <w:rPr>
                <w:rFonts w:ascii="Times New Roman" w:hAnsi="Times New Roman"/>
                <w:b/>
                <w:sz w:val="24"/>
                <w:u w:val="single"/>
              </w:rPr>
              <w:t>Atvasinātie instrumenti ar negatīvu patieso vērtību: Nosacītā summa</w:t>
            </w:r>
          </w:p>
          <w:p w14:paraId="2CEB3839" w14:textId="77777777" w:rsidR="00BD16F2" w:rsidRPr="002A677E" w:rsidRDefault="00BD16F2" w:rsidP="00E07FE9">
            <w:pPr>
              <w:spacing w:before="0" w:after="0"/>
              <w:ind w:left="33"/>
              <w:rPr>
                <w:rFonts w:ascii="Times New Roman" w:hAnsi="Times New Roman"/>
                <w:b/>
                <w:bCs/>
                <w:sz w:val="24"/>
                <w:u w:val="single"/>
                <w:lang w:eastAsia="de-DE"/>
              </w:rPr>
            </w:pPr>
          </w:p>
          <w:p w14:paraId="56D8B6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Saskaņā ar SFPS un VPGP, kuru pamatā ir Padomes Direktīva 86/635/EEK, – nosacītā summa, kas definēta šīs īstenošanas regulas V pielikuma Otrās daļas 133.–135. punktā, </w:t>
            </w:r>
            <w:r>
              <w:rPr>
                <w:rFonts w:ascii="Times New Roman" w:hAnsi="Times New Roman"/>
                <w:sz w:val="24"/>
              </w:rPr>
              <w:lastRenderedPageBreak/>
              <w:t>visiem atvasināto instrumentu līgumiem, kuri atsauces datumā ir noslēgti, bet kuros vēl nav veikts norēķins, un kuros darījuma partneris ir vispārējā valdība, kā definēts šā pielikuma 191.–196. punktā, un atvasinātā instrumenta patiesā vērtība atsauces datumā iestādei ir negatīva.</w:t>
            </w:r>
          </w:p>
          <w:p w14:paraId="52EA326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3D6F0C0B" w14:textId="77777777" w:rsidTr="00E07FE9">
        <w:tc>
          <w:tcPr>
            <w:tcW w:w="1188" w:type="dxa"/>
          </w:tcPr>
          <w:p w14:paraId="16CAE2E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0240.–0260.</w:t>
            </w:r>
          </w:p>
        </w:tc>
        <w:tc>
          <w:tcPr>
            <w:tcW w:w="8640" w:type="dxa"/>
          </w:tcPr>
          <w:p w14:paraId="006F006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ĀRPUSBILANCES RISKA DARĪJUMI</w:t>
            </w:r>
          </w:p>
        </w:tc>
      </w:tr>
      <w:tr w:rsidR="00BD16F2" w:rsidRPr="002A677E" w14:paraId="3F090DAF" w14:textId="77777777" w:rsidTr="00E07FE9">
        <w:tc>
          <w:tcPr>
            <w:tcW w:w="1188" w:type="dxa"/>
          </w:tcPr>
          <w:p w14:paraId="682DC44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0240</w:t>
            </w:r>
          </w:p>
        </w:tc>
        <w:tc>
          <w:tcPr>
            <w:tcW w:w="8640" w:type="dxa"/>
          </w:tcPr>
          <w:p w14:paraId="3ED0E67D"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Nominālā summa</w:t>
            </w:r>
          </w:p>
          <w:p w14:paraId="6F271071" w14:textId="77777777" w:rsidR="00BD16F2" w:rsidRPr="002A677E" w:rsidRDefault="00BD16F2" w:rsidP="00E07FE9">
            <w:pPr>
              <w:spacing w:before="0" w:after="0"/>
              <w:ind w:left="33"/>
              <w:rPr>
                <w:rFonts w:ascii="Times New Roman" w:hAnsi="Times New Roman"/>
                <w:bCs/>
                <w:sz w:val="24"/>
                <w:lang w:eastAsia="de-DE"/>
              </w:rPr>
            </w:pPr>
          </w:p>
          <w:p w14:paraId="48AEA06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Ja ārpusbilances posteņa tiešais darījuma partneris ir vispārējā valdība, kā definēts šā pielikuma 155.–160. punktā, – nominālā vērtība saistībām un finanšu garantijām, kuras neuzskata par atvasinātajiem instrumentiem saskaņā ar SFPS vai VPGP, kuru pamatā ir Padomes Direktīva 86/635/EEK (šīs īstenošanas regulas V pielikuma Otrās daļas 102.–119. punkts).</w:t>
            </w:r>
          </w:p>
          <w:p w14:paraId="6E4BA7A4" w14:textId="77777777" w:rsidR="00BD16F2" w:rsidRPr="002A677E" w:rsidRDefault="00BD16F2" w:rsidP="00E07FE9">
            <w:pPr>
              <w:spacing w:before="0" w:after="0"/>
              <w:ind w:left="33"/>
              <w:rPr>
                <w:rFonts w:ascii="Times New Roman" w:hAnsi="Times New Roman"/>
                <w:bCs/>
                <w:sz w:val="24"/>
                <w:lang w:eastAsia="de-DE"/>
              </w:rPr>
            </w:pPr>
          </w:p>
          <w:p w14:paraId="676B28D3" w14:textId="77777777" w:rsidR="00BD16F2" w:rsidRPr="002A677E" w:rsidDel="00501397" w:rsidRDefault="00BD16F2" w:rsidP="00E07FE9">
            <w:pPr>
              <w:spacing w:before="0" w:after="0"/>
              <w:ind w:left="33"/>
              <w:rPr>
                <w:rFonts w:ascii="Times New Roman" w:hAnsi="Times New Roman"/>
                <w:b/>
                <w:bCs/>
                <w:sz w:val="24"/>
                <w:u w:val="single"/>
              </w:rPr>
            </w:pPr>
            <w:r>
              <w:rPr>
                <w:rFonts w:ascii="Times New Roman" w:hAnsi="Times New Roman"/>
                <w:sz w:val="24"/>
              </w:rPr>
              <w:t xml:space="preserve">Saskaņā ar šīs īstenošanas regulas V pielikuma Otrās daļas 43. un 44. punktu vispārējā valdība ir tiešais darījuma partneris: a) sniegtā finanšu garantijā, ja tā ir garantētā parāda instrumenta tiešais darījuma partneris, un b) sniegtās aizdevumu un citās apņemšanās, ja tā ir darījuma partneris, kura kredītrisku uzņemas pārskatu sniedzošā iestāde. </w:t>
            </w:r>
          </w:p>
          <w:p w14:paraId="150A166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326667D" w14:textId="77777777" w:rsidTr="00E07FE9">
        <w:tc>
          <w:tcPr>
            <w:tcW w:w="1188" w:type="dxa"/>
          </w:tcPr>
          <w:p w14:paraId="595EBDE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0250.</w:t>
            </w:r>
          </w:p>
        </w:tc>
        <w:tc>
          <w:tcPr>
            <w:tcW w:w="8640" w:type="dxa"/>
          </w:tcPr>
          <w:p w14:paraId="22A72945"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Uzkrājumi</w:t>
            </w:r>
          </w:p>
          <w:p w14:paraId="01E70F51" w14:textId="77777777" w:rsidR="00BD16F2" w:rsidRPr="002A677E" w:rsidRDefault="00BD16F2" w:rsidP="00E07FE9">
            <w:pPr>
              <w:spacing w:before="0" w:after="0"/>
              <w:ind w:left="33"/>
              <w:rPr>
                <w:rFonts w:ascii="Times New Roman" w:hAnsi="Times New Roman"/>
                <w:bCs/>
                <w:sz w:val="24"/>
                <w:lang w:eastAsia="de-DE"/>
              </w:rPr>
            </w:pPr>
          </w:p>
          <w:p w14:paraId="1843425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Padomes Direktīvas 86/635/EEK 4. panta “Saistības”, 6. punkta c) apakšpunkts un “Ārpusbilances posteņi”, 27. panta 11. punkts, 28. panta 8. punkts un 33. pants; 9. SFPF 4.2.1. punkta c) apakšpunkta ii) punkts, d) apakšpunkta ii) punkts, 9.5.5.20. punkts, 37. SGS, 4. SFPS, šīs īstenošanas regulas V pielikuma 2.11. daļa.</w:t>
            </w:r>
          </w:p>
          <w:p w14:paraId="6754A1A7" w14:textId="77777777" w:rsidR="00BD16F2" w:rsidRPr="002A677E" w:rsidRDefault="00BD16F2" w:rsidP="00E07FE9">
            <w:pPr>
              <w:spacing w:before="0" w:after="0"/>
              <w:ind w:left="33"/>
              <w:rPr>
                <w:rFonts w:ascii="Times New Roman" w:hAnsi="Times New Roman"/>
                <w:bCs/>
                <w:sz w:val="24"/>
                <w:lang w:eastAsia="de-DE"/>
              </w:rPr>
            </w:pPr>
          </w:p>
          <w:p w14:paraId="34CA6E4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Uzkrājumi no visiem ārpusbilances riska darījumiem neatkarīgi no tā, kā tie tiek novērtēti, izņemot tos, kas saskaņā ar 9. SFPS novērtēti patiesajā vērtībā ar atspoguļojumu peļņas un zaudējumu aprēķinā.</w:t>
            </w:r>
          </w:p>
          <w:p w14:paraId="54F5F8EE" w14:textId="77777777" w:rsidR="00BD16F2" w:rsidRPr="002A677E" w:rsidRDefault="00BD16F2" w:rsidP="00E07FE9">
            <w:pPr>
              <w:spacing w:before="0" w:after="0"/>
              <w:ind w:left="33"/>
              <w:rPr>
                <w:rFonts w:ascii="Times New Roman" w:hAnsi="Times New Roman"/>
                <w:bCs/>
                <w:sz w:val="24"/>
                <w:lang w:eastAsia="de-DE"/>
              </w:rPr>
            </w:pPr>
          </w:p>
          <w:p w14:paraId="7B5B99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Saskaņā ar SFPS sniegtas aizdevumu apņemšanās vērtības samazinājumu uzrāda 150. slejā, ja iestāde nevar atsevišķi identificēt paredzamos </w:t>
            </w:r>
            <w:proofErr w:type="spellStart"/>
            <w:r>
              <w:rPr>
                <w:rFonts w:ascii="Times New Roman" w:hAnsi="Times New Roman"/>
                <w:sz w:val="24"/>
              </w:rPr>
              <w:t>kredītzaudējumus</w:t>
            </w:r>
            <w:proofErr w:type="spellEnd"/>
            <w:r>
              <w:rPr>
                <w:rFonts w:ascii="Times New Roman" w:hAnsi="Times New Roman"/>
                <w:sz w:val="24"/>
              </w:rPr>
              <w:t xml:space="preserve"> saistībā ar parāda instrumenta izmantoto un neizmantoto summu. Ja kombinētie paredzamie </w:t>
            </w:r>
            <w:proofErr w:type="spellStart"/>
            <w:r>
              <w:rPr>
                <w:rFonts w:ascii="Times New Roman" w:hAnsi="Times New Roman"/>
                <w:sz w:val="24"/>
              </w:rPr>
              <w:t>kredītzaudējumi</w:t>
            </w:r>
            <w:proofErr w:type="spellEnd"/>
            <w:r>
              <w:rPr>
                <w:rFonts w:ascii="Times New Roman" w:hAnsi="Times New Roman"/>
                <w:sz w:val="24"/>
              </w:rPr>
              <w:t xml:space="preserve"> par minēto finanšu instrumentu pārsniedz instrumenta aizdevumu komponenta bruto uzskaites vērtību, paredzamo </w:t>
            </w:r>
            <w:proofErr w:type="spellStart"/>
            <w:r>
              <w:rPr>
                <w:rFonts w:ascii="Times New Roman" w:hAnsi="Times New Roman"/>
                <w:sz w:val="24"/>
              </w:rPr>
              <w:t>kredītzaudējumu</w:t>
            </w:r>
            <w:proofErr w:type="spellEnd"/>
            <w:r>
              <w:rPr>
                <w:rFonts w:ascii="Times New Roman" w:hAnsi="Times New Roman"/>
                <w:sz w:val="24"/>
              </w:rPr>
              <w:t xml:space="preserve"> atlikumu uzrāda kā uzkrājumus 0250. slejā.</w:t>
            </w:r>
          </w:p>
          <w:p w14:paraId="041ACC90"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A83ECAE" w14:textId="77777777" w:rsidTr="00E07FE9">
        <w:tc>
          <w:tcPr>
            <w:tcW w:w="1188" w:type="dxa"/>
          </w:tcPr>
          <w:p w14:paraId="4336896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0260.</w:t>
            </w:r>
          </w:p>
        </w:tc>
        <w:tc>
          <w:tcPr>
            <w:tcW w:w="8640" w:type="dxa"/>
          </w:tcPr>
          <w:p w14:paraId="1E41EC8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Patiesās vērtības uzkrātās negatīvās izmaiņas kredītriska rezultātā </w:t>
            </w:r>
          </w:p>
          <w:p w14:paraId="621C45D8" w14:textId="77777777" w:rsidR="00BD16F2" w:rsidRPr="002A677E" w:rsidRDefault="00BD16F2" w:rsidP="00E07FE9">
            <w:pPr>
              <w:spacing w:before="0" w:after="0"/>
              <w:ind w:left="33"/>
              <w:rPr>
                <w:rFonts w:ascii="Times New Roman" w:hAnsi="Times New Roman"/>
                <w:b/>
                <w:bCs/>
                <w:sz w:val="24"/>
                <w:u w:val="single"/>
                <w:lang w:eastAsia="de-DE"/>
              </w:rPr>
            </w:pPr>
          </w:p>
          <w:p w14:paraId="71B055E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ārpusbilances posteņiem, kas saskaņā ar 9. SFPS novērtēti patiesajā vērtībā ar atspoguļojumu peļņas vai zaudējumu aprēķinā – patiesās vērtības uzkrātās negatīvās izmaiņas kredītriska rezultātā (šīs īstenošanas regulas V pielikuma Otrās daļas 110. punkts).</w:t>
            </w:r>
          </w:p>
          <w:p w14:paraId="14DC17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BD16F2" w:rsidRPr="002A677E" w14:paraId="4127DE12"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121BC3F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E391A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Ārpusbilances postenis: kredītu atvasinātie instrumenti, kas pārdoti vispārējo valdību riska darījumos</w:t>
            </w:r>
          </w:p>
          <w:p w14:paraId="7FCC5FD3" w14:textId="77777777" w:rsidR="00BD16F2" w:rsidRPr="002A677E" w:rsidRDefault="00BD16F2" w:rsidP="00E07FE9">
            <w:pPr>
              <w:spacing w:before="0" w:after="0"/>
              <w:ind w:left="33"/>
              <w:rPr>
                <w:rFonts w:ascii="Times New Roman" w:hAnsi="Times New Roman"/>
                <w:b/>
                <w:bCs/>
                <w:sz w:val="24"/>
                <w:u w:val="single"/>
                <w:lang w:eastAsia="de-DE"/>
              </w:rPr>
            </w:pPr>
          </w:p>
          <w:p w14:paraId="5E8529A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Ir jāuzrāda kredītu atvasinātie instrumenti, kas neatbilst tādu finanšu garantiju definīcijai saskaņā ar V pielikuma Otrās daļas 58. punktu, kuras pārskatu sniedzošā iestāde ir </w:t>
            </w:r>
            <w:r>
              <w:rPr>
                <w:rFonts w:ascii="Times New Roman" w:hAnsi="Times New Roman"/>
                <w:sz w:val="24"/>
              </w:rPr>
              <w:lastRenderedPageBreak/>
              <w:t>parakstījusi ar darījumu partneriem, kas nav vispārējās valdības, un kuru atsauces riska darījums ir vispārējā valdība.</w:t>
            </w:r>
          </w:p>
          <w:p w14:paraId="359B92DB" w14:textId="77777777" w:rsidR="00BD16F2" w:rsidRPr="002A677E" w:rsidRDefault="00BD16F2" w:rsidP="00E07FE9">
            <w:pPr>
              <w:spacing w:before="0" w:after="0"/>
              <w:ind w:left="33"/>
              <w:rPr>
                <w:rFonts w:ascii="Times New Roman" w:hAnsi="Times New Roman"/>
                <w:bCs/>
                <w:sz w:val="24"/>
                <w:lang w:eastAsia="de-DE"/>
              </w:rPr>
            </w:pPr>
          </w:p>
          <w:p w14:paraId="2C5DB55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Minētās slejas neuzrāda par riska darījumiem, kas sadalīti pa riska veidiem, regulatīvajām pieejām un riska darījumu kategorijām (0020.–0160. rinda).</w:t>
            </w:r>
          </w:p>
          <w:p w14:paraId="2201FBD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7CC37A20"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317F2664"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099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Atvasinātie instrumenti ar pozitīvu patieso vērtību: uzskaites vērtība</w:t>
            </w:r>
          </w:p>
          <w:p w14:paraId="2A418988" w14:textId="77777777" w:rsidR="00BD16F2" w:rsidRPr="002A677E" w:rsidRDefault="00BD16F2" w:rsidP="00E07FE9">
            <w:pPr>
              <w:spacing w:before="0" w:after="0"/>
              <w:ind w:left="33"/>
              <w:rPr>
                <w:rFonts w:ascii="Times New Roman" w:hAnsi="Times New Roman"/>
                <w:b/>
                <w:bCs/>
                <w:sz w:val="24"/>
                <w:u w:val="single"/>
                <w:lang w:eastAsia="de-DE"/>
              </w:rPr>
            </w:pPr>
          </w:p>
          <w:p w14:paraId="2F45DF2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Apkopotā uzskaites vērtība kredītu atvasinātajiem instrumentiem, kuri pārdoti uzrādītos riska darījumos ar vispārējo valdību un kuru patiesā vērtība iestādei pārskata sniegšanas datumā ir pozitīva, neņemot vērā piesardzīgas vērtēšanas korekcijas.</w:t>
            </w:r>
          </w:p>
          <w:p w14:paraId="268DBBB9" w14:textId="77777777" w:rsidR="00BD16F2" w:rsidRPr="002A677E" w:rsidRDefault="00BD16F2" w:rsidP="00E07FE9">
            <w:pPr>
              <w:spacing w:before="0" w:after="0"/>
              <w:ind w:left="33"/>
              <w:rPr>
                <w:rFonts w:ascii="Times New Roman" w:hAnsi="Times New Roman"/>
                <w:bCs/>
                <w:sz w:val="24"/>
                <w:lang w:eastAsia="de-DE"/>
              </w:rPr>
            </w:pPr>
          </w:p>
          <w:p w14:paraId="26676DA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atvasinātajiem instrumentiem, kam piemēro SFPS, šajā slejā uzrādāmā summa ir to atvasināto instrumentu uzskaites vērtība, kas pārskata sniegšanas datumā ir finanšu aktīvi.</w:t>
            </w:r>
          </w:p>
          <w:p w14:paraId="68E6FB35" w14:textId="77777777" w:rsidR="00BD16F2" w:rsidRPr="002A677E" w:rsidRDefault="00BD16F2" w:rsidP="00E07FE9">
            <w:pPr>
              <w:spacing w:before="0" w:after="0"/>
              <w:ind w:left="33"/>
              <w:rPr>
                <w:rFonts w:ascii="Times New Roman" w:hAnsi="Times New Roman"/>
                <w:bCs/>
                <w:sz w:val="24"/>
                <w:lang w:eastAsia="de-DE"/>
              </w:rPr>
            </w:pPr>
          </w:p>
          <w:p w14:paraId="0040020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atvasinātajiem instrumentiem, kam piemēro VPGP, kuru pamatā ir Padomes Direktīva 86/635/EEK, šajā slejā uzrādāmā summa ir tādu atvasināto instrumentu patiesā vērtība, kuru patiesā vērība pārskata atsauces datumā ir pozitīva neatkarīgi no tā, kā tos uzskaita.</w:t>
            </w:r>
          </w:p>
          <w:p w14:paraId="329AEEAF"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24EE2BDC"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23121F2"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1F038B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Atvasinātie instrumenti ar negatīvu patieso vērtību: uzskaites vērtība</w:t>
            </w:r>
          </w:p>
          <w:p w14:paraId="57BCFC21" w14:textId="77777777" w:rsidR="00BD16F2" w:rsidRPr="002A677E" w:rsidRDefault="00BD16F2" w:rsidP="00E07FE9">
            <w:pPr>
              <w:spacing w:before="0" w:after="0"/>
              <w:ind w:left="33"/>
              <w:rPr>
                <w:rFonts w:ascii="Times New Roman" w:hAnsi="Times New Roman"/>
                <w:b/>
                <w:bCs/>
                <w:sz w:val="24"/>
                <w:u w:val="single"/>
                <w:lang w:eastAsia="de-DE"/>
              </w:rPr>
            </w:pPr>
          </w:p>
          <w:p w14:paraId="08215F8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Apkopotā uzskaites vērtība kredītu atvasinātajiem instrumentiem, kuri pārdoti uzrādītos riska darījumos ar vispārējo valdību un kuru patiesā vērtība iestādei pārskata sniegšanas datumā ir negatīva, neņemot vērā piesardzīgas vērtēšanas korekcijas.</w:t>
            </w:r>
          </w:p>
          <w:p w14:paraId="035B445F" w14:textId="77777777" w:rsidR="00BD16F2" w:rsidRPr="002A677E" w:rsidRDefault="00BD16F2" w:rsidP="00E07FE9">
            <w:pPr>
              <w:spacing w:before="0" w:after="0"/>
              <w:ind w:left="33"/>
              <w:rPr>
                <w:rFonts w:ascii="Times New Roman" w:hAnsi="Times New Roman"/>
                <w:bCs/>
                <w:sz w:val="24"/>
                <w:lang w:eastAsia="de-DE"/>
              </w:rPr>
            </w:pPr>
          </w:p>
          <w:p w14:paraId="5F5AA11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Attiecībā uz atvasinātajiem instrumentiem, kam piemēro SFPS, šajā slejā uzrādāmā summa ir to atvasināto instrumentu uzskaites vērtība, kas pārskata sniegšanas datumā ir finanšu saistības. </w:t>
            </w:r>
          </w:p>
          <w:p w14:paraId="32E1D7A0" w14:textId="77777777" w:rsidR="00BD16F2" w:rsidRPr="002A677E" w:rsidRDefault="00BD16F2" w:rsidP="00E07FE9">
            <w:pPr>
              <w:spacing w:before="0" w:after="0"/>
              <w:ind w:left="33"/>
              <w:rPr>
                <w:rFonts w:ascii="Times New Roman" w:hAnsi="Times New Roman"/>
                <w:bCs/>
                <w:sz w:val="24"/>
                <w:lang w:eastAsia="de-DE"/>
              </w:rPr>
            </w:pPr>
          </w:p>
          <w:p w14:paraId="1D19F5C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Attiecībā uz atvasinātajiem instrumentiem, kam piemēro VPGP, kuru pamatā ir Padomes Direktīva 86/635/EEK, šajā slejā uzrādāmā summa ir tādu atvasināto instrumentu patiesā vērtība, kuru patiesā vērība pārskata atsauces datumā ir negatīva neatkarīgi no tā, kā tos uzskaita.</w:t>
            </w:r>
            <w:r>
              <w:rPr>
                <w:rFonts w:ascii="Times New Roman" w:hAnsi="Times New Roman"/>
                <w:b/>
                <w:sz w:val="24"/>
                <w:u w:val="single"/>
              </w:rPr>
              <w:t xml:space="preserve"> </w:t>
            </w:r>
          </w:p>
          <w:p w14:paraId="07F6DFA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65CC9729"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601560E0" w14:textId="77777777" w:rsidR="00BD16F2" w:rsidRPr="002A677E" w:rsidDel="008D1680" w:rsidRDefault="00BD16F2" w:rsidP="00E07FE9">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3255EE"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Riska darījuma vērtība</w:t>
            </w:r>
          </w:p>
          <w:p w14:paraId="39175C29" w14:textId="77777777" w:rsidR="00BD16F2" w:rsidRPr="002A677E" w:rsidRDefault="00BD16F2" w:rsidP="00E07FE9">
            <w:pPr>
              <w:spacing w:before="0" w:after="0"/>
              <w:ind w:left="33"/>
              <w:rPr>
                <w:rFonts w:ascii="Times New Roman" w:hAnsi="Times New Roman"/>
                <w:b/>
                <w:bCs/>
                <w:sz w:val="24"/>
                <w:u w:val="single"/>
                <w:lang w:eastAsia="de-DE"/>
              </w:rPr>
            </w:pPr>
          </w:p>
          <w:p w14:paraId="50375C6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darījuma vērtība riska darījumiem, kam piemēro kredītriska regulējumu.</w:t>
            </w:r>
          </w:p>
          <w:p w14:paraId="76E178AB" w14:textId="77777777" w:rsidR="00BD16F2" w:rsidRPr="002A677E" w:rsidRDefault="00BD16F2" w:rsidP="00E07FE9">
            <w:pPr>
              <w:spacing w:before="0" w:after="0"/>
              <w:ind w:left="33"/>
              <w:rPr>
                <w:rFonts w:ascii="Times New Roman" w:hAnsi="Times New Roman"/>
                <w:bCs/>
                <w:sz w:val="24"/>
                <w:lang w:eastAsia="de-DE"/>
              </w:rPr>
            </w:pPr>
          </w:p>
          <w:p w14:paraId="42DF255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riska darījumiem, kam piemēro standartizēto pieeju (</w:t>
            </w:r>
            <w:r>
              <w:rPr>
                <w:rFonts w:ascii="Times New Roman" w:hAnsi="Times New Roman"/>
                <w:i/>
                <w:iCs/>
                <w:sz w:val="24"/>
              </w:rPr>
              <w:t>SA</w:t>
            </w:r>
            <w:r>
              <w:rPr>
                <w:rFonts w:ascii="Times New Roman" w:hAnsi="Times New Roman"/>
                <w:sz w:val="24"/>
              </w:rPr>
              <w:t>): Sk. Regulas (ES) Nr. 575/2013 111. pantu. Attiecībā uz riska darījumiem, kam piemēro IRB pieeju: sk. 166. pantu un Regulas (ES) Nr. 575/2013 230. panta 1. punkta otro daļu.</w:t>
            </w:r>
          </w:p>
          <w:p w14:paraId="05A95AB3" w14:textId="77777777" w:rsidR="00BD16F2" w:rsidRPr="002A677E" w:rsidRDefault="00BD16F2" w:rsidP="00E07FE9">
            <w:pPr>
              <w:spacing w:before="0" w:after="0"/>
              <w:ind w:left="33"/>
              <w:rPr>
                <w:rFonts w:ascii="Times New Roman" w:hAnsi="Times New Roman"/>
                <w:bCs/>
                <w:sz w:val="24"/>
                <w:lang w:eastAsia="de-DE"/>
              </w:rPr>
            </w:pPr>
          </w:p>
          <w:p w14:paraId="4D09267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tādu atvasināto instrumentu uzrādīšanu, kam piemēro gan darījuma partnera kredītriska, gan tirgus riska kapitāla prasības, skatīt norādes par rindu sadalījumu.</w:t>
            </w:r>
          </w:p>
          <w:p w14:paraId="7314BDB3" w14:textId="77777777" w:rsidR="00BD16F2" w:rsidRPr="002A677E" w:rsidRDefault="00BD16F2" w:rsidP="00E07FE9">
            <w:pPr>
              <w:spacing w:before="0" w:after="0"/>
              <w:ind w:left="33"/>
              <w:rPr>
                <w:rFonts w:ascii="Times New Roman" w:hAnsi="Times New Roman"/>
                <w:bCs/>
                <w:sz w:val="24"/>
                <w:lang w:eastAsia="de-DE"/>
              </w:rPr>
            </w:pPr>
          </w:p>
          <w:p w14:paraId="7DBE778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0270. un 0280. slejā uzrādītie riska darījumi nav ņemami vērā šīs slejas nolūkā, jo vērtība šajā slejā ir balstīta tikai uz tiešajiem riska darījumiem. </w:t>
            </w:r>
          </w:p>
          <w:p w14:paraId="0EFB9D42"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1A4C273" w14:textId="77777777" w:rsidTr="00E07FE9">
        <w:tc>
          <w:tcPr>
            <w:tcW w:w="1188" w:type="dxa"/>
            <w:tcBorders>
              <w:top w:val="single" w:sz="4" w:space="0" w:color="auto"/>
              <w:left w:val="single" w:sz="4" w:space="0" w:color="auto"/>
              <w:bottom w:val="single" w:sz="4" w:space="0" w:color="auto"/>
              <w:right w:val="single" w:sz="4" w:space="0" w:color="auto"/>
            </w:tcBorders>
            <w:shd w:val="clear" w:color="auto" w:fill="auto"/>
          </w:tcPr>
          <w:p w14:paraId="74CFE3D9"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664E18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Riska darījumu riska svērtā vērtība </w:t>
            </w:r>
          </w:p>
          <w:p w14:paraId="472C24CC" w14:textId="77777777" w:rsidR="00BD16F2" w:rsidRPr="002A677E" w:rsidRDefault="00BD16F2" w:rsidP="00E07FE9">
            <w:pPr>
              <w:spacing w:before="0" w:after="0"/>
              <w:ind w:left="33"/>
              <w:rPr>
                <w:rFonts w:ascii="Times New Roman" w:hAnsi="Times New Roman"/>
                <w:b/>
                <w:bCs/>
                <w:sz w:val="24"/>
                <w:u w:val="single"/>
                <w:lang w:eastAsia="de-DE"/>
              </w:rPr>
            </w:pPr>
          </w:p>
          <w:p w14:paraId="038C878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Riska darījumu riska svērtā vērtība tiem riska darījumiem, kam piemēro kredītriska regulējumu. </w:t>
            </w:r>
          </w:p>
          <w:p w14:paraId="4137B1E3" w14:textId="77777777" w:rsidR="00BD16F2" w:rsidRPr="002A677E" w:rsidRDefault="00BD16F2" w:rsidP="00E07FE9">
            <w:pPr>
              <w:spacing w:before="0" w:after="0"/>
              <w:ind w:left="33"/>
              <w:rPr>
                <w:rFonts w:ascii="Times New Roman" w:hAnsi="Times New Roman"/>
                <w:bCs/>
                <w:sz w:val="24"/>
                <w:lang w:eastAsia="de-DE"/>
              </w:rPr>
            </w:pPr>
          </w:p>
          <w:p w14:paraId="10B030A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Attiecībā uz riska darījumiem, kam piemēro standartizēto pieeju (</w:t>
            </w:r>
            <w:r>
              <w:rPr>
                <w:rFonts w:ascii="Times New Roman" w:hAnsi="Times New Roman"/>
                <w:i/>
                <w:iCs/>
                <w:sz w:val="24"/>
              </w:rPr>
              <w:t>SA</w:t>
            </w:r>
            <w:r>
              <w:rPr>
                <w:rFonts w:ascii="Times New Roman" w:hAnsi="Times New Roman"/>
                <w:sz w:val="24"/>
              </w:rPr>
              <w:t>): sk. Regulas (ES) Nr. 575/2013 113. panta 1. līdz 5. punktu. Attiecībā uz riska darījumiem, kam piemēro IRB pieeju: sk. Regulas (ES) Nr. 575/2013 153. panta 1. un 3. punktu.</w:t>
            </w:r>
          </w:p>
          <w:p w14:paraId="524637D3" w14:textId="77777777" w:rsidR="00BD16F2" w:rsidRPr="002A677E" w:rsidRDefault="00BD16F2" w:rsidP="00E07FE9">
            <w:pPr>
              <w:spacing w:before="0" w:after="0"/>
              <w:ind w:left="33"/>
              <w:rPr>
                <w:rFonts w:ascii="Times New Roman" w:hAnsi="Times New Roman"/>
                <w:bCs/>
                <w:sz w:val="24"/>
                <w:lang w:eastAsia="de-DE"/>
              </w:rPr>
            </w:pPr>
          </w:p>
          <w:p w14:paraId="6AD8815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Lai uzrādītu tiešos riska darījumus, uz kuriem attiecas Regulas (ES) Nr. 575/2013 271. panta darbības joma un kam piemēro gan darījuma partnera kredītriska, gan tirgus riska kapitāla prasības, sk. norādes par rindu sadalījumu.</w:t>
            </w:r>
          </w:p>
          <w:p w14:paraId="0EE74286" w14:textId="77777777" w:rsidR="00BD16F2" w:rsidRPr="002A677E" w:rsidRDefault="00BD16F2" w:rsidP="00E07FE9">
            <w:pPr>
              <w:spacing w:before="0" w:after="0"/>
              <w:ind w:left="33"/>
              <w:rPr>
                <w:rFonts w:ascii="Times New Roman" w:hAnsi="Times New Roman"/>
                <w:bCs/>
                <w:sz w:val="24"/>
                <w:lang w:eastAsia="de-DE"/>
              </w:rPr>
            </w:pPr>
          </w:p>
          <w:p w14:paraId="58EFC6A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sz w:val="24"/>
              </w:rPr>
              <w:t xml:space="preserve">un 0280. slejā uzrādītos riska darījumus neņem vērā šīs slejas nolūkā, jo vērtība šajā slejā ir balstīta tikai uz tiešajiem riska darījumiem. </w:t>
            </w:r>
          </w:p>
        </w:tc>
      </w:tr>
    </w:tbl>
    <w:p w14:paraId="28C457B9" w14:textId="77777777" w:rsidR="00BD16F2" w:rsidRPr="002A677E" w:rsidRDefault="00BD16F2" w:rsidP="00BD16F2">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D16F2" w:rsidRPr="002A677E" w14:paraId="5EC8FE92" w14:textId="77777777" w:rsidTr="00E07FE9">
        <w:tc>
          <w:tcPr>
            <w:tcW w:w="1188" w:type="dxa"/>
            <w:shd w:val="clear" w:color="auto" w:fill="CCCCCC"/>
          </w:tcPr>
          <w:p w14:paraId="0F66128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Rindas</w:t>
            </w:r>
          </w:p>
        </w:tc>
        <w:tc>
          <w:tcPr>
            <w:tcW w:w="8701" w:type="dxa"/>
            <w:shd w:val="clear" w:color="auto" w:fill="CCCCCC"/>
          </w:tcPr>
          <w:p w14:paraId="59E26EF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Norādes</w:t>
            </w:r>
          </w:p>
        </w:tc>
      </w:tr>
      <w:tr w:rsidR="00BD16F2" w:rsidRPr="002A677E" w14:paraId="78A169A5" w14:textId="77777777" w:rsidTr="00E07FE9">
        <w:tc>
          <w:tcPr>
            <w:tcW w:w="9889" w:type="dxa"/>
            <w:gridSpan w:val="2"/>
          </w:tcPr>
          <w:p w14:paraId="5FDB059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RISKA DARĪJUMU SADALĪJUMS PA REGULATĪVAJĀM PIEEJĀM</w:t>
            </w:r>
          </w:p>
          <w:p w14:paraId="7072A143"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23D6E82" w14:textId="77777777" w:rsidTr="00E07FE9">
        <w:tc>
          <w:tcPr>
            <w:tcW w:w="1188" w:type="dxa"/>
            <w:shd w:val="clear" w:color="auto" w:fill="auto"/>
          </w:tcPr>
          <w:p w14:paraId="635EC4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14:paraId="45AF8DB6"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Riska darījumi kopā</w:t>
            </w:r>
          </w:p>
          <w:p w14:paraId="7ADC5847" w14:textId="77777777" w:rsidR="00BD16F2" w:rsidRPr="002A677E" w:rsidRDefault="00BD16F2" w:rsidP="00E07FE9">
            <w:pPr>
              <w:spacing w:before="0" w:after="0"/>
              <w:ind w:left="33"/>
              <w:rPr>
                <w:rFonts w:ascii="Times New Roman" w:hAnsi="Times New Roman"/>
                <w:b/>
                <w:bCs/>
                <w:sz w:val="24"/>
                <w:u w:val="single"/>
                <w:lang w:eastAsia="de-DE"/>
              </w:rPr>
            </w:pPr>
          </w:p>
          <w:p w14:paraId="7233A1D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Apkopotie riska darījumi ar vispārējām valdībām, kā definēts šā pielikuma 191.–196. punktā.</w:t>
            </w:r>
          </w:p>
          <w:p w14:paraId="41D48D4C"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5468D2EA" w14:textId="77777777" w:rsidTr="00E07FE9">
        <w:tc>
          <w:tcPr>
            <w:tcW w:w="1188" w:type="dxa"/>
          </w:tcPr>
          <w:p w14:paraId="59C5392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0020.–0155.</w:t>
            </w:r>
          </w:p>
        </w:tc>
        <w:tc>
          <w:tcPr>
            <w:tcW w:w="8701" w:type="dxa"/>
          </w:tcPr>
          <w:p w14:paraId="7E2E9BC1" w14:textId="77777777" w:rsidR="00BD16F2" w:rsidRPr="002A677E" w:rsidRDefault="00BD16F2" w:rsidP="00E07FE9">
            <w:pPr>
              <w:spacing w:before="0" w:after="0"/>
              <w:ind w:left="33"/>
              <w:rPr>
                <w:rFonts w:ascii="Times New Roman" w:hAnsi="Times New Roman"/>
                <w:bCs/>
                <w:sz w:val="24"/>
              </w:rPr>
            </w:pPr>
            <w:r>
              <w:rPr>
                <w:rFonts w:ascii="Times New Roman" w:hAnsi="Times New Roman"/>
                <w:b/>
                <w:sz w:val="24"/>
                <w:u w:val="single"/>
              </w:rPr>
              <w:t>Riska darījumi, kam piemēro kredītriska regulējumu</w:t>
            </w:r>
          </w:p>
          <w:p w14:paraId="5D1A2E5A" w14:textId="77777777" w:rsidR="00BD16F2" w:rsidRPr="002A677E" w:rsidRDefault="00BD16F2" w:rsidP="00E07FE9">
            <w:pPr>
              <w:spacing w:before="0" w:after="0"/>
              <w:ind w:left="33"/>
              <w:rPr>
                <w:rFonts w:ascii="Times New Roman" w:hAnsi="Times New Roman"/>
                <w:bCs/>
                <w:sz w:val="24"/>
                <w:lang w:eastAsia="de-DE"/>
              </w:rPr>
            </w:pPr>
          </w:p>
          <w:p w14:paraId="50711A9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Tādi apkopotie riska darījumi ar vispārējām valdībām, kam piemēro riska svērumu saskaņā ar Regulas (ES) Nr. 575/2013 Trešās daļas II sadaļu. Riska darījumi, kam piemēro kredītriska regulējumu, ietver tādus riska darījumus no </w:t>
            </w:r>
            <w:proofErr w:type="spellStart"/>
            <w:r>
              <w:rPr>
                <w:rFonts w:ascii="Times New Roman" w:hAnsi="Times New Roman"/>
                <w:sz w:val="24"/>
              </w:rPr>
              <w:t>netirdzniecības</w:t>
            </w:r>
            <w:proofErr w:type="spellEnd"/>
            <w:r>
              <w:rPr>
                <w:rFonts w:ascii="Times New Roman" w:hAnsi="Times New Roman"/>
                <w:sz w:val="24"/>
              </w:rPr>
              <w:t xml:space="preserve"> portfeļa, kam piemēro kapitāla prasības attiecībā uz darījuma partnera kredītrisku. </w:t>
            </w:r>
          </w:p>
          <w:p w14:paraId="1E171D21" w14:textId="77777777" w:rsidR="00BD16F2" w:rsidRPr="002A677E" w:rsidRDefault="00BD16F2" w:rsidP="00E07FE9">
            <w:pPr>
              <w:spacing w:before="0" w:after="0"/>
              <w:ind w:left="33"/>
              <w:rPr>
                <w:rFonts w:ascii="Times New Roman" w:hAnsi="Times New Roman"/>
                <w:bCs/>
                <w:sz w:val="24"/>
                <w:lang w:eastAsia="de-DE"/>
              </w:rPr>
            </w:pPr>
          </w:p>
          <w:p w14:paraId="77C54CE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Tiešie riska darījumi, uz kuriem attiecas Regulas (ES) Nr. 575/2013 271. panta darbības joma un kam piemēro gan darījuma partnera kredītriska, gan tirgus riska kapitāla prasības, uzrāda gan kredītriskam veltītajās rindās (0020.–0155.), gan tirgus riskam veltītajās rindās (0160. rinda): riska darījumus, kas izriet no darījuma partnera kredītriska, uzrāda kredītriska rindās, savukārt riska darījumus, kuri izriet no šo tirgus riska, uzrāda tirgus riska rindā.</w:t>
            </w:r>
          </w:p>
          <w:p w14:paraId="6723686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3F4D72F" w14:textId="77777777" w:rsidTr="00E07FE9">
        <w:tc>
          <w:tcPr>
            <w:tcW w:w="1188" w:type="dxa"/>
          </w:tcPr>
          <w:p w14:paraId="54704E3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0030.</w:t>
            </w:r>
          </w:p>
        </w:tc>
        <w:tc>
          <w:tcPr>
            <w:tcW w:w="8701" w:type="dxa"/>
          </w:tcPr>
          <w:p w14:paraId="7376AEA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Standartizētā pieeja</w:t>
            </w:r>
          </w:p>
          <w:p w14:paraId="2B177930" w14:textId="77777777" w:rsidR="00BD16F2" w:rsidRPr="002A677E" w:rsidRDefault="00BD16F2" w:rsidP="00E07FE9">
            <w:pPr>
              <w:spacing w:before="0" w:after="0"/>
              <w:ind w:left="33"/>
              <w:rPr>
                <w:rFonts w:ascii="Times New Roman" w:hAnsi="Times New Roman"/>
                <w:bCs/>
                <w:sz w:val="24"/>
                <w:lang w:eastAsia="de-DE"/>
              </w:rPr>
            </w:pPr>
          </w:p>
          <w:p w14:paraId="3E9100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Riska darījumi ar vispārējām valdībām, kam piemēro riska svērumu saskaņā ar Regulas (ES) Nr. 575/2013 Trešās daļas II sadaļas 2. nodaļu, tostarp tādi riska darījumi no </w:t>
            </w:r>
            <w:proofErr w:type="spellStart"/>
            <w:r>
              <w:rPr>
                <w:rFonts w:ascii="Times New Roman" w:hAnsi="Times New Roman"/>
                <w:sz w:val="24"/>
              </w:rPr>
              <w:t>netirdzniecības</w:t>
            </w:r>
            <w:proofErr w:type="spellEnd"/>
            <w:r>
              <w:rPr>
                <w:rFonts w:ascii="Times New Roman" w:hAnsi="Times New Roman"/>
                <w:sz w:val="24"/>
              </w:rPr>
              <w:t xml:space="preserve"> portfeļa, kuru riska svērums saskaņā ar minēto nodaļu attiecas uz darījuma partnera risku.</w:t>
            </w:r>
          </w:p>
          <w:p w14:paraId="5BCFF4F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42D2A5D" w14:textId="77777777" w:rsidTr="00E07FE9">
        <w:tc>
          <w:tcPr>
            <w:tcW w:w="1188" w:type="dxa"/>
          </w:tcPr>
          <w:p w14:paraId="72EFF5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0040.</w:t>
            </w:r>
          </w:p>
        </w:tc>
        <w:tc>
          <w:tcPr>
            <w:tcW w:w="8701" w:type="dxa"/>
          </w:tcPr>
          <w:p w14:paraId="7AB5772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Centrālās valdības</w:t>
            </w:r>
          </w:p>
          <w:p w14:paraId="1EA86670" w14:textId="77777777" w:rsidR="00BD16F2" w:rsidRPr="002A677E" w:rsidRDefault="00BD16F2" w:rsidP="00E07FE9">
            <w:pPr>
              <w:spacing w:before="0" w:after="0"/>
              <w:ind w:left="33"/>
              <w:rPr>
                <w:rFonts w:ascii="Times New Roman" w:hAnsi="Times New Roman"/>
                <w:bCs/>
                <w:sz w:val="24"/>
                <w:lang w:eastAsia="de-DE"/>
              </w:rPr>
            </w:pPr>
          </w:p>
          <w:p w14:paraId="3D6E9FB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Riska darījumi ar vispārējām valdībām, kas ir centrālās valdības. Šie riska darījumi saskaņā ar Regulas (ES) Nr. 575/2013 112. un 114. pantu tiek iedalīti pie riska kategorijas “Centrālās valdības vai centrālās bankas”, kā precizēts norādēs par C 07.00 </w:t>
            </w:r>
            <w:r>
              <w:rPr>
                <w:rFonts w:ascii="Times New Roman" w:hAnsi="Times New Roman"/>
                <w:sz w:val="24"/>
              </w:rPr>
              <w:lastRenderedPageBreak/>
              <w:t>veidni, izņemot precizējumus par riska darījumu ar vispārējām valdībām pārdalīšanu uz citām riska darījumu kategorijām tādēļ, ka piemērotas kredītriska mazināšanas metodes ar aizstāšanas ietekmi uz riska darījumu (tos nepiemēro).</w:t>
            </w:r>
          </w:p>
          <w:p w14:paraId="57F319A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61B3D5FC" w14:textId="77777777" w:rsidTr="00E07FE9">
        <w:tc>
          <w:tcPr>
            <w:tcW w:w="1188" w:type="dxa"/>
          </w:tcPr>
          <w:p w14:paraId="73BEF8D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0050.</w:t>
            </w:r>
          </w:p>
        </w:tc>
        <w:tc>
          <w:tcPr>
            <w:tcW w:w="8701" w:type="dxa"/>
          </w:tcPr>
          <w:p w14:paraId="005C4B43"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w:t>
            </w:r>
          </w:p>
          <w:p w14:paraId="6FBFFB04" w14:textId="77777777" w:rsidR="00BD16F2" w:rsidRPr="002A677E" w:rsidRDefault="00BD16F2" w:rsidP="00E07FE9">
            <w:pPr>
              <w:spacing w:before="0" w:after="0"/>
              <w:ind w:left="33"/>
              <w:rPr>
                <w:rFonts w:ascii="Times New Roman" w:hAnsi="Times New Roman"/>
                <w:bCs/>
                <w:sz w:val="24"/>
                <w:lang w:eastAsia="de-DE"/>
              </w:rPr>
            </w:pPr>
          </w:p>
          <w:p w14:paraId="330DB2B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vispārējām valdībām, kas ir reģionālās pašvaldības vai vietējās pašpārvaldes. Šie riska darījumi saskaņā ar Regulas (ES) Nr. 575/2013 112. un 115. pantu tiek iedalīti pie riska kategorijas “Reģionālās pašvaldības vai vietējās pašpārvaldes”,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2F8D7AFC"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EDA648E" w14:textId="77777777" w:rsidTr="00E07FE9">
        <w:tc>
          <w:tcPr>
            <w:tcW w:w="1188" w:type="dxa"/>
          </w:tcPr>
          <w:p w14:paraId="4B25067A"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0060.</w:t>
            </w:r>
          </w:p>
        </w:tc>
        <w:tc>
          <w:tcPr>
            <w:tcW w:w="8701" w:type="dxa"/>
          </w:tcPr>
          <w:p w14:paraId="66765FAB"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Publiskā sektora struktūras</w:t>
            </w:r>
          </w:p>
          <w:p w14:paraId="66410BCB" w14:textId="77777777" w:rsidR="00BD16F2" w:rsidRPr="002A677E" w:rsidRDefault="00BD16F2" w:rsidP="00E07FE9">
            <w:pPr>
              <w:spacing w:before="0" w:after="0"/>
              <w:ind w:left="33"/>
              <w:rPr>
                <w:rFonts w:ascii="Times New Roman" w:hAnsi="Times New Roman"/>
                <w:bCs/>
                <w:sz w:val="24"/>
                <w:lang w:eastAsia="de-DE"/>
              </w:rPr>
            </w:pPr>
          </w:p>
          <w:p w14:paraId="686E616E"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Šie riska darījumi saskaņā ar Regulas (ES) Nr. 575/2013 112. un 116. pantu tiek iedalīti pie riska kategorijas “Publiskā sektora struktūras”,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6D9CAE5F"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5BEA94BC" w14:textId="77777777" w:rsidTr="00E07FE9">
        <w:tc>
          <w:tcPr>
            <w:tcW w:w="1188" w:type="dxa"/>
          </w:tcPr>
          <w:p w14:paraId="0B5060C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0070.</w:t>
            </w:r>
          </w:p>
        </w:tc>
        <w:tc>
          <w:tcPr>
            <w:tcW w:w="8701" w:type="dxa"/>
          </w:tcPr>
          <w:p w14:paraId="259C4BF7"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Starptautiskas organizācijas</w:t>
            </w:r>
          </w:p>
          <w:p w14:paraId="781B0EA1" w14:textId="77777777" w:rsidR="00BD16F2" w:rsidRPr="002A677E" w:rsidRDefault="00BD16F2" w:rsidP="00E07FE9">
            <w:pPr>
              <w:spacing w:before="0" w:after="0"/>
              <w:ind w:left="33"/>
              <w:rPr>
                <w:rFonts w:ascii="Times New Roman" w:hAnsi="Times New Roman"/>
                <w:bCs/>
                <w:sz w:val="24"/>
                <w:lang w:eastAsia="de-DE"/>
              </w:rPr>
            </w:pPr>
          </w:p>
          <w:p w14:paraId="410D36C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vispārējām valdībām, kas ir starptautiskās organizācijas. Šie riska darījumi saskaņā ar Regulas (ES) Nr. 575/2013 112. un 118. pantu tiek iedalīti pie riska kategorijas “Starptautiskās organizācijas”,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32FAD5D8"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0865678B" w14:textId="77777777" w:rsidTr="00E07FE9">
        <w:tc>
          <w:tcPr>
            <w:tcW w:w="1188" w:type="dxa"/>
          </w:tcPr>
          <w:p w14:paraId="5158E54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0075.</w:t>
            </w:r>
          </w:p>
        </w:tc>
        <w:tc>
          <w:tcPr>
            <w:tcW w:w="8701" w:type="dxa"/>
          </w:tcPr>
          <w:p w14:paraId="5A60039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Citi vispārējās valdības riska darījumi, kam piemēro standartizēto pieeju</w:t>
            </w:r>
          </w:p>
          <w:p w14:paraId="3075D5C7" w14:textId="77777777" w:rsidR="00BD16F2" w:rsidRPr="002A677E" w:rsidRDefault="00BD16F2" w:rsidP="00E07FE9">
            <w:pPr>
              <w:spacing w:before="0" w:after="0"/>
              <w:ind w:left="33"/>
              <w:rPr>
                <w:rFonts w:ascii="Times New Roman" w:hAnsi="Times New Roman"/>
                <w:bCs/>
                <w:sz w:val="24"/>
                <w:lang w:eastAsia="de-DE"/>
              </w:rPr>
            </w:pPr>
          </w:p>
          <w:p w14:paraId="3396EFB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Vispārējās valdības riska darījumi, kas nav iekļauti iepriekš 0040.–0070. rindā un kas ir iedalīti SP riska darījumu kategorijā saskaņā ar Regulas (ES) Nr. 575/2013 112. pantu, lai aprēķinātu pašu kapitāla prasības.</w:t>
            </w:r>
          </w:p>
          <w:p w14:paraId="4075F5D9"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B53F043" w14:textId="77777777" w:rsidTr="00E07FE9">
        <w:tc>
          <w:tcPr>
            <w:tcW w:w="1188" w:type="dxa"/>
          </w:tcPr>
          <w:p w14:paraId="3541ED9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0080.</w:t>
            </w:r>
          </w:p>
        </w:tc>
        <w:tc>
          <w:tcPr>
            <w:tcW w:w="8701" w:type="dxa"/>
          </w:tcPr>
          <w:p w14:paraId="3D441571"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IRB pieeja</w:t>
            </w:r>
          </w:p>
          <w:p w14:paraId="77F75F3F" w14:textId="77777777" w:rsidR="00BD16F2" w:rsidRPr="002A677E" w:rsidRDefault="00BD16F2" w:rsidP="00E07FE9">
            <w:pPr>
              <w:spacing w:before="0" w:after="0"/>
              <w:ind w:left="33"/>
              <w:rPr>
                <w:rFonts w:ascii="Times New Roman" w:hAnsi="Times New Roman"/>
                <w:bCs/>
                <w:sz w:val="24"/>
                <w:lang w:eastAsia="de-DE"/>
              </w:rPr>
            </w:pPr>
          </w:p>
          <w:p w14:paraId="680DF3DD"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Riska darījumi ar vispārējām valdībām, kam piemēro riska svērumu saskaņā ar Regulas (ES) Nr. 575/2013 Trešās daļas II sadaļas 3. nodaļu, tostarp tādi riska darījumi no </w:t>
            </w:r>
            <w:proofErr w:type="spellStart"/>
            <w:r>
              <w:rPr>
                <w:rFonts w:ascii="Times New Roman" w:hAnsi="Times New Roman"/>
                <w:sz w:val="24"/>
              </w:rPr>
              <w:t>netirdzniecības</w:t>
            </w:r>
            <w:proofErr w:type="spellEnd"/>
            <w:r>
              <w:rPr>
                <w:rFonts w:ascii="Times New Roman" w:hAnsi="Times New Roman"/>
                <w:sz w:val="24"/>
              </w:rPr>
              <w:t xml:space="preserve"> portfeļa, kuru riska svērums saskaņā ar minēto nodaļu attiecas uz darījuma partnera risku.</w:t>
            </w:r>
          </w:p>
          <w:p w14:paraId="7A514869"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181223B8" w14:textId="77777777" w:rsidTr="00E07FE9">
        <w:tc>
          <w:tcPr>
            <w:tcW w:w="1188" w:type="dxa"/>
          </w:tcPr>
          <w:p w14:paraId="7E350796"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0090.</w:t>
            </w:r>
          </w:p>
        </w:tc>
        <w:tc>
          <w:tcPr>
            <w:tcW w:w="8701" w:type="dxa"/>
          </w:tcPr>
          <w:p w14:paraId="5371101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Centrālās valdības</w:t>
            </w:r>
          </w:p>
          <w:p w14:paraId="3383DD83" w14:textId="77777777" w:rsidR="00BD16F2" w:rsidRPr="002A677E" w:rsidRDefault="00BD16F2" w:rsidP="00E07FE9">
            <w:pPr>
              <w:spacing w:before="0" w:after="0"/>
              <w:ind w:left="33"/>
              <w:rPr>
                <w:rFonts w:ascii="Times New Roman" w:hAnsi="Times New Roman"/>
                <w:bCs/>
                <w:sz w:val="24"/>
                <w:lang w:eastAsia="de-DE"/>
              </w:rPr>
            </w:pPr>
          </w:p>
          <w:p w14:paraId="64D5AE2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Riska darījumi ar vispārējām valdībām, kas ir centrālās valdības un saskaņā ar Regulas (ES) Nr. 575/2013 147. panta 3. punkta a) apakšpunktu ir iedalītas pie riska kategorijas “Centrālās valdības vai centrālās bankas”, kā precizēts norādēs par C 08.01. un C 08.02. </w:t>
            </w:r>
            <w:r>
              <w:rPr>
                <w:rFonts w:ascii="Times New Roman" w:hAnsi="Times New Roman"/>
                <w:sz w:val="24"/>
              </w:rPr>
              <w:lastRenderedPageBreak/>
              <w:t>veidni, izņemot precizējumus par riska darījumu ar vispārējām valdībām pārdalīšanu uz citām riska darījumu kategorijām tādēļ, ka piemērotas kredītriska mazināšanas metodes ar aizstāšanas ietekmi uz riska darījumu (tos nepiemēro).</w:t>
            </w:r>
          </w:p>
          <w:p w14:paraId="7487C80A"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EAF83A7" w14:textId="77777777" w:rsidTr="00E07FE9">
        <w:tc>
          <w:tcPr>
            <w:tcW w:w="1188" w:type="dxa"/>
          </w:tcPr>
          <w:p w14:paraId="0AF0F588"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0100.</w:t>
            </w:r>
          </w:p>
        </w:tc>
        <w:tc>
          <w:tcPr>
            <w:tcW w:w="8701" w:type="dxa"/>
          </w:tcPr>
          <w:p w14:paraId="590811E9"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Reģionālās pašvaldības vai vietējās pašpārvaldes [Centrālās valdības un centrālās bankas]</w:t>
            </w:r>
          </w:p>
          <w:p w14:paraId="25A3F7A1" w14:textId="77777777" w:rsidR="00BD16F2" w:rsidRPr="002A677E" w:rsidRDefault="00BD16F2" w:rsidP="00E07FE9">
            <w:pPr>
              <w:spacing w:before="0" w:after="0"/>
              <w:ind w:left="33"/>
              <w:rPr>
                <w:rFonts w:ascii="Times New Roman" w:hAnsi="Times New Roman"/>
                <w:bCs/>
                <w:sz w:val="24"/>
                <w:lang w:eastAsia="de-DE"/>
              </w:rPr>
            </w:pPr>
          </w:p>
          <w:p w14:paraId="1E5FA91E" w14:textId="0BE4C425"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vispārējām valdībām, kas ir reģionālās pašvaldības vai vietējās pašpārvaldes un saskaņā ar Regulas (ES) Nr. 575/2013 147. panta 3.a 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56E79E4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7C485D34" w14:textId="77777777" w:rsidTr="00E07FE9">
        <w:tc>
          <w:tcPr>
            <w:tcW w:w="1188" w:type="dxa"/>
          </w:tcPr>
          <w:p w14:paraId="7E5A553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0110.</w:t>
            </w:r>
          </w:p>
        </w:tc>
        <w:tc>
          <w:tcPr>
            <w:tcW w:w="8701" w:type="dxa"/>
          </w:tcPr>
          <w:p w14:paraId="6A830321" w14:textId="624574DD"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Reģionālās pašvaldības vai vietējās pašpārvaldes </w:t>
            </w:r>
          </w:p>
          <w:p w14:paraId="3F1BEA05" w14:textId="77777777" w:rsidR="00BD16F2" w:rsidRPr="002A677E" w:rsidRDefault="00BD16F2" w:rsidP="00E07FE9">
            <w:pPr>
              <w:spacing w:before="0" w:after="0"/>
              <w:ind w:left="33"/>
              <w:rPr>
                <w:rFonts w:ascii="Times New Roman" w:hAnsi="Times New Roman"/>
                <w:bCs/>
                <w:sz w:val="24"/>
                <w:lang w:eastAsia="de-DE"/>
              </w:rPr>
            </w:pPr>
          </w:p>
          <w:p w14:paraId="2CEDA446" w14:textId="14C13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reģionālajām pašvaldībām vai vietējām pašpārvaldēm, kas ir iedalīti riska darījumu kategorijā “Reģionālās pašvaldības vai vietējās pašpārvaldes” saskaņā ar Regulas (ES) Nr. 575/2013 147. panta 2. punkta a1) apakšpunkta i) punktu,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33C3DED5"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A29152B" w14:textId="77777777" w:rsidTr="00E07FE9">
        <w:tc>
          <w:tcPr>
            <w:tcW w:w="1188" w:type="dxa"/>
          </w:tcPr>
          <w:p w14:paraId="7F2C8D32"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0120.</w:t>
            </w:r>
          </w:p>
        </w:tc>
        <w:tc>
          <w:tcPr>
            <w:tcW w:w="8701" w:type="dxa"/>
          </w:tcPr>
          <w:p w14:paraId="6B31BA5C"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Publiskā sektora struktūras [Centrālās valdības un centrālās bankas]</w:t>
            </w:r>
          </w:p>
          <w:p w14:paraId="6DC75DB8" w14:textId="77777777" w:rsidR="00BD16F2" w:rsidRPr="002A677E" w:rsidRDefault="00BD16F2" w:rsidP="00E07FE9">
            <w:pPr>
              <w:spacing w:before="0" w:after="0"/>
              <w:ind w:left="33"/>
              <w:rPr>
                <w:rFonts w:ascii="Times New Roman" w:hAnsi="Times New Roman"/>
                <w:bCs/>
                <w:sz w:val="24"/>
                <w:lang w:eastAsia="de-DE"/>
              </w:rPr>
            </w:pPr>
          </w:p>
          <w:p w14:paraId="14635741" w14:textId="2A2CB536"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vispārējām valdībām, kas ir publiskā sektora struktūras atbilstīgi Regulas (ES) Nr. 575/2013 4. panta 8. punktam un saskaņā ar minētās regulas 147. panta 3.a 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42171262"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3E3401D5" w14:textId="77777777" w:rsidTr="00E07FE9">
        <w:tc>
          <w:tcPr>
            <w:tcW w:w="1188" w:type="dxa"/>
          </w:tcPr>
          <w:p w14:paraId="651DC4B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0130.</w:t>
            </w:r>
          </w:p>
        </w:tc>
        <w:tc>
          <w:tcPr>
            <w:tcW w:w="8701" w:type="dxa"/>
          </w:tcPr>
          <w:p w14:paraId="4211C115" w14:textId="1030AFC3"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 xml:space="preserve">Publiskā sektora struktūras </w:t>
            </w:r>
          </w:p>
          <w:p w14:paraId="3E291979" w14:textId="77777777" w:rsidR="00BD16F2" w:rsidRPr="002A677E" w:rsidRDefault="00BD16F2" w:rsidP="00E07FE9">
            <w:pPr>
              <w:spacing w:before="0" w:after="0"/>
              <w:ind w:left="33"/>
              <w:rPr>
                <w:rFonts w:ascii="Times New Roman" w:hAnsi="Times New Roman"/>
                <w:bCs/>
                <w:sz w:val="24"/>
                <w:lang w:eastAsia="de-DE"/>
              </w:rPr>
            </w:pPr>
          </w:p>
          <w:p w14:paraId="49C2FE70" w14:textId="0264C9F0"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darījumi ar publiskā sektora struktūrām, kas ir publiskā sektora struktūras atbilstīgi Regulas (ES) Nr. 575/2013 4. panta 8. punktam un saskaņā ar minētās regulas 147. panta 2. punkta a1) apakšpunkta ii) punktu ir iedalītas riska kategorijā “Publiskā sektora struktūras”,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58A7F377"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288128A9" w14:textId="77777777" w:rsidTr="00E07FE9">
        <w:tc>
          <w:tcPr>
            <w:tcW w:w="1188" w:type="dxa"/>
          </w:tcPr>
          <w:p w14:paraId="6C372DE8" w14:textId="77777777" w:rsidR="00BD16F2" w:rsidRPr="002A677E" w:rsidDel="00C211CB" w:rsidRDefault="00BD16F2" w:rsidP="00E07FE9">
            <w:pPr>
              <w:spacing w:before="0" w:after="0"/>
              <w:ind w:left="33"/>
              <w:rPr>
                <w:rFonts w:ascii="Times New Roman" w:hAnsi="Times New Roman"/>
                <w:bCs/>
                <w:sz w:val="24"/>
              </w:rPr>
            </w:pPr>
            <w:r>
              <w:rPr>
                <w:rFonts w:ascii="Times New Roman" w:hAnsi="Times New Roman"/>
                <w:sz w:val="24"/>
              </w:rPr>
              <w:t>0140.</w:t>
            </w:r>
          </w:p>
        </w:tc>
        <w:tc>
          <w:tcPr>
            <w:tcW w:w="8701" w:type="dxa"/>
          </w:tcPr>
          <w:p w14:paraId="1BE8FBD8"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Starptautiskās organizācijas [Centrālās valdības un centrālās bankas]</w:t>
            </w:r>
          </w:p>
          <w:p w14:paraId="541249EF" w14:textId="77777777" w:rsidR="00BD16F2" w:rsidRPr="002A677E" w:rsidRDefault="00BD16F2" w:rsidP="00E07FE9">
            <w:pPr>
              <w:spacing w:before="0" w:after="0"/>
              <w:ind w:left="33"/>
              <w:rPr>
                <w:rFonts w:ascii="Times New Roman" w:hAnsi="Times New Roman"/>
                <w:bCs/>
                <w:sz w:val="24"/>
                <w:lang w:eastAsia="de-DE"/>
              </w:rPr>
            </w:pPr>
          </w:p>
          <w:p w14:paraId="5CAB4611"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 xml:space="preserve">Riska darījumi ar vispārējām valdībām, kas ir starptautiskas organizācijas un saskaņā ar Regulas (ES) Nr. 575/2013 147. panta 3. punkta c) apakšpunktu ir iedalītas pie riska kategorijas “Centrālās valdības vai centrālās bankas”, kā precizēts norādēs par C 08.01. </w:t>
            </w:r>
            <w:r>
              <w:rPr>
                <w:rFonts w:ascii="Times New Roman" w:hAnsi="Times New Roman"/>
                <w:sz w:val="24"/>
              </w:rPr>
              <w:lastRenderedPageBreak/>
              <w:t>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31ABD7C3"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4923F409" w14:textId="77777777" w:rsidTr="00E07FE9">
        <w:tc>
          <w:tcPr>
            <w:tcW w:w="1188" w:type="dxa"/>
          </w:tcPr>
          <w:p w14:paraId="7E01A68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lastRenderedPageBreak/>
              <w:t>0155.</w:t>
            </w:r>
          </w:p>
        </w:tc>
        <w:tc>
          <w:tcPr>
            <w:tcW w:w="8701" w:type="dxa"/>
          </w:tcPr>
          <w:p w14:paraId="205F29D2"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Citi vispārējās valdības riska darījumi, kam piemēro IRB pieeju</w:t>
            </w:r>
          </w:p>
          <w:p w14:paraId="7DD4128F" w14:textId="77777777" w:rsidR="00BD16F2" w:rsidRPr="002A677E" w:rsidRDefault="00BD16F2" w:rsidP="00E07FE9">
            <w:pPr>
              <w:spacing w:before="0" w:after="0"/>
              <w:ind w:left="33"/>
              <w:rPr>
                <w:rFonts w:ascii="Times New Roman" w:hAnsi="Times New Roman"/>
                <w:bCs/>
                <w:sz w:val="24"/>
                <w:lang w:eastAsia="de-DE"/>
              </w:rPr>
            </w:pPr>
          </w:p>
          <w:p w14:paraId="4BD8FDC5"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Vispārējās valdības riska darījumi, kas nav iekļauti iepriekš 0090.–0140. rindā un kas ir iedalīti IRB riska darījumu kategorijā saskaņā ar Regulas (ES) Nr. 575/2013 147. pantu, lai aprēķinātu pašu kapitāla prasības.</w:t>
            </w:r>
          </w:p>
          <w:p w14:paraId="5E8C584A" w14:textId="77777777" w:rsidR="00BD16F2" w:rsidRPr="002A677E" w:rsidRDefault="00BD16F2" w:rsidP="00E07FE9">
            <w:pPr>
              <w:spacing w:before="0" w:after="0"/>
              <w:ind w:left="33"/>
              <w:rPr>
                <w:rFonts w:ascii="Times New Roman" w:hAnsi="Times New Roman"/>
                <w:b/>
                <w:bCs/>
                <w:sz w:val="24"/>
                <w:u w:val="single"/>
                <w:lang w:eastAsia="de-DE"/>
              </w:rPr>
            </w:pPr>
          </w:p>
        </w:tc>
      </w:tr>
      <w:tr w:rsidR="00BD16F2" w:rsidRPr="002A677E" w14:paraId="131E9AE8" w14:textId="77777777" w:rsidTr="00E07FE9">
        <w:tc>
          <w:tcPr>
            <w:tcW w:w="1188" w:type="dxa"/>
          </w:tcPr>
          <w:p w14:paraId="0355DF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0160.</w:t>
            </w:r>
          </w:p>
        </w:tc>
        <w:tc>
          <w:tcPr>
            <w:tcW w:w="8701" w:type="dxa"/>
          </w:tcPr>
          <w:p w14:paraId="1066509F" w14:textId="77777777" w:rsidR="00BD16F2" w:rsidRPr="002A677E" w:rsidRDefault="00BD16F2" w:rsidP="00E07FE9">
            <w:pPr>
              <w:spacing w:before="0" w:after="0"/>
              <w:ind w:left="33"/>
              <w:rPr>
                <w:rFonts w:ascii="Times New Roman" w:hAnsi="Times New Roman"/>
                <w:b/>
                <w:bCs/>
                <w:sz w:val="24"/>
                <w:u w:val="single"/>
              </w:rPr>
            </w:pPr>
            <w:r>
              <w:rPr>
                <w:rFonts w:ascii="Times New Roman" w:hAnsi="Times New Roman"/>
                <w:b/>
                <w:sz w:val="24"/>
                <w:u w:val="single"/>
              </w:rPr>
              <w:t>Riska darījumi, kas pakļauti tirgus riskam</w:t>
            </w:r>
          </w:p>
          <w:p w14:paraId="402F9DD5" w14:textId="77777777" w:rsidR="00BD16F2" w:rsidRPr="002A677E" w:rsidRDefault="00BD16F2" w:rsidP="00E07FE9">
            <w:pPr>
              <w:spacing w:before="0" w:after="0"/>
              <w:ind w:left="33"/>
              <w:rPr>
                <w:rFonts w:ascii="Times New Roman" w:hAnsi="Times New Roman"/>
                <w:bCs/>
                <w:sz w:val="24"/>
                <w:lang w:eastAsia="de-DE"/>
              </w:rPr>
            </w:pPr>
          </w:p>
          <w:p w14:paraId="7DC6C573"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Šī rinda attiecas uz pozīcijām, kurām ir aprēķināta viena no turpmāk minētajām Regulas (ES) Nr. 575/2013 Trešās daļas IV sadaļas pašu kapitāla prasībām.</w:t>
            </w:r>
          </w:p>
          <w:p w14:paraId="4D91BB25" w14:textId="77777777" w:rsidR="00BD16F2" w:rsidRPr="002A677E" w:rsidRDefault="00BD16F2" w:rsidP="00BD16F2">
            <w:pPr>
              <w:pStyle w:val="ListParagraph"/>
              <w:numPr>
                <w:ilvl w:val="0"/>
                <w:numId w:val="19"/>
              </w:numPr>
              <w:contextualSpacing w:val="0"/>
              <w:rPr>
                <w:rFonts w:ascii="Times New Roman" w:hAnsi="Times New Roman"/>
                <w:bCs/>
                <w:sz w:val="24"/>
              </w:rPr>
            </w:pPr>
            <w:r>
              <w:rPr>
                <w:rFonts w:ascii="Times New Roman" w:hAnsi="Times New Roman"/>
                <w:sz w:val="24"/>
              </w:rPr>
              <w:t>Pašu kapitāla prasības kredīta vērtības korekcijas riskam atbilstoši Regulas (ES) Nr. 575/2013 326. pantam.</w:t>
            </w:r>
          </w:p>
          <w:p w14:paraId="6AC569B5" w14:textId="6FA3AEB0" w:rsidR="00BD16F2" w:rsidRPr="000059B8" w:rsidRDefault="00BD16F2" w:rsidP="00BD16F2">
            <w:pPr>
              <w:pStyle w:val="ListParagraph"/>
              <w:numPr>
                <w:ilvl w:val="0"/>
                <w:numId w:val="19"/>
              </w:numPr>
              <w:contextualSpacing w:val="0"/>
            </w:pPr>
            <w:r>
              <w:rPr>
                <w:rFonts w:ascii="Times New Roman" w:hAnsi="Times New Roman"/>
                <w:sz w:val="24"/>
              </w:rPr>
              <w:t>Pašu kapitāla prasības attiecībā uz specifisko vai vispārējo risku saskaņā ar minētās regulas Trešās daļas IV sadaļas 5. nodaļu.</w:t>
            </w:r>
          </w:p>
          <w:p w14:paraId="32753AD8" w14:textId="77777777" w:rsidR="00BD16F2" w:rsidRPr="008735B6" w:rsidRDefault="00BD16F2" w:rsidP="00BD16F2">
            <w:pPr>
              <w:pStyle w:val="ListParagraph"/>
              <w:numPr>
                <w:ilvl w:val="0"/>
                <w:numId w:val="19"/>
              </w:numPr>
              <w:contextualSpacing w:val="0"/>
            </w:pPr>
            <w:r>
              <w:rPr>
                <w:rFonts w:ascii="Times New Roman" w:hAnsi="Times New Roman"/>
                <w:sz w:val="24"/>
              </w:rPr>
              <w:t xml:space="preserve">Pašu kapitāla prasības kredītriska starpības riskam vai saistību neizpildes riskam saskaņā ar minētās regulas Trešās daļas IV sadaļas 1.a nodaļu. </w:t>
            </w:r>
          </w:p>
          <w:p w14:paraId="565F2E22" w14:textId="77777777" w:rsidR="00BD16F2" w:rsidRPr="002A677E" w:rsidRDefault="00BD16F2" w:rsidP="00BD16F2">
            <w:pPr>
              <w:pStyle w:val="ListParagraph"/>
              <w:numPr>
                <w:ilvl w:val="0"/>
                <w:numId w:val="19"/>
              </w:numPr>
              <w:contextualSpacing w:val="0"/>
            </w:pPr>
            <w:r>
              <w:rPr>
                <w:rFonts w:ascii="Times New Roman" w:hAnsi="Times New Roman"/>
                <w:sz w:val="24"/>
              </w:rPr>
              <w:t>Pašu kapitāla prasības, kas aprēķinātas saskaņā ar minētās regulas Trešās daļas IV sadaļas 1.a nodaļu, ja pozīciju ietekmē vispārējās riska faktoru kategorijas kredītriska starpības riska faktori vai tā ir iekļauta iestādes iekšējā saistību nepildīšanas riska modelī.</w:t>
            </w:r>
          </w:p>
          <w:p w14:paraId="1C79BB00"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Tiešie riska darījumi, uz kuriem attiecas Regulas (ES) Nr. 575/2013 271. panta darbības joma un kam piemēro gan darījuma partnera kredītriska, gan tirgus riska kapitāla prasības, uzrāda gan kredītriskam veltītajās rindās (0020.–0155.), gan tirgus riskam veltītajās rindās (0160. rinda): riska darījumu, kas izriet no darījuma partnera kredītriska, uzrāda kredītriska rindās, savukārt riska darījumu, kurš izriet no tirgus riska, uzrāda tirgus riska rindās.</w:t>
            </w:r>
          </w:p>
          <w:p w14:paraId="0507B104" w14:textId="77777777" w:rsidR="00BD16F2" w:rsidRPr="002A677E" w:rsidRDefault="00BD16F2" w:rsidP="00E07FE9">
            <w:pPr>
              <w:spacing w:before="0" w:after="0"/>
              <w:ind w:left="33"/>
              <w:rPr>
                <w:rFonts w:ascii="Times New Roman" w:hAnsi="Times New Roman"/>
                <w:bCs/>
                <w:sz w:val="24"/>
                <w:lang w:eastAsia="de-DE"/>
              </w:rPr>
            </w:pPr>
          </w:p>
        </w:tc>
      </w:tr>
      <w:tr w:rsidR="00BD16F2" w:rsidRPr="002A677E" w14:paraId="02CFB1FE" w14:textId="77777777" w:rsidTr="00E07FE9">
        <w:tc>
          <w:tcPr>
            <w:tcW w:w="1188" w:type="dxa"/>
          </w:tcPr>
          <w:p w14:paraId="18296F74"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0170.–0230.</w:t>
            </w:r>
          </w:p>
        </w:tc>
        <w:tc>
          <w:tcPr>
            <w:tcW w:w="8701" w:type="dxa"/>
          </w:tcPr>
          <w:p w14:paraId="08A57F53" w14:textId="77777777" w:rsidR="00BD16F2" w:rsidRPr="002A677E" w:rsidRDefault="00BD16F2" w:rsidP="00E07FE9">
            <w:pPr>
              <w:spacing w:before="0" w:after="0"/>
              <w:ind w:left="33"/>
              <w:rPr>
                <w:rFonts w:ascii="Times New Roman" w:hAnsi="Times New Roman"/>
                <w:b/>
                <w:bCs/>
                <w:sz w:val="24"/>
              </w:rPr>
            </w:pPr>
            <w:r>
              <w:rPr>
                <w:rFonts w:ascii="Times New Roman" w:hAnsi="Times New Roman"/>
                <w:b/>
                <w:sz w:val="24"/>
              </w:rPr>
              <w:t>RISKA DARĪJUMU SADALĪJUMS PĒC ATLIKUŠĀ TERMIŅA</w:t>
            </w:r>
          </w:p>
          <w:p w14:paraId="50123FE2" w14:textId="77777777" w:rsidR="00BD16F2" w:rsidRPr="002A677E" w:rsidRDefault="00BD16F2" w:rsidP="00E07FE9">
            <w:pPr>
              <w:spacing w:before="0" w:after="0"/>
              <w:ind w:left="33"/>
              <w:rPr>
                <w:rFonts w:ascii="Times New Roman" w:hAnsi="Times New Roman"/>
                <w:bCs/>
                <w:sz w:val="24"/>
                <w:lang w:eastAsia="de-DE"/>
              </w:rPr>
            </w:pPr>
          </w:p>
          <w:p w14:paraId="6729ABCC"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Atlikušo termiņu aprēķina kā dienas starp līgumā noteikto termiņa datumu un pārskata sniegšanas atsauces datumu visām pozīcijām.</w:t>
            </w:r>
          </w:p>
          <w:p w14:paraId="44B0A420" w14:textId="77777777" w:rsidR="00BD16F2" w:rsidRPr="002A677E" w:rsidRDefault="00BD16F2" w:rsidP="00E07FE9">
            <w:pPr>
              <w:spacing w:before="0" w:after="0"/>
              <w:ind w:left="33"/>
              <w:rPr>
                <w:rFonts w:ascii="Times New Roman" w:hAnsi="Times New Roman"/>
                <w:bCs/>
                <w:sz w:val="24"/>
                <w:lang w:eastAsia="de-DE"/>
              </w:rPr>
            </w:pPr>
          </w:p>
          <w:p w14:paraId="4795327F"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darījumus ar vispārējām valdībām sadala pa atlikušajiem termiņiem un iedala grupās šādi:</w:t>
            </w:r>
          </w:p>
          <w:p w14:paraId="41BF07EE" w14:textId="77777777" w:rsidR="00BD16F2" w:rsidRPr="002A677E" w:rsidRDefault="00BD16F2" w:rsidP="00E07FE9">
            <w:pPr>
              <w:spacing w:before="0" w:after="0"/>
              <w:ind w:left="33"/>
              <w:rPr>
                <w:rFonts w:ascii="Times New Roman" w:hAnsi="Times New Roman"/>
                <w:bCs/>
                <w:sz w:val="24"/>
                <w:lang w:eastAsia="de-DE"/>
              </w:rPr>
            </w:pPr>
          </w:p>
          <w:p w14:paraId="58A00E7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[ 0 - 3M [</w:t>
            </w:r>
            <w:r>
              <w:rPr>
                <w:rFonts w:ascii="Times New Roman" w:hAnsi="Times New Roman"/>
                <w:sz w:val="24"/>
              </w:rPr>
              <w:t xml:space="preserve"> : Mazāk nekā 90 dienas;</w:t>
            </w:r>
          </w:p>
          <w:p w14:paraId="0F58301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[ 3M - 1G [</w:t>
            </w:r>
            <w:r>
              <w:rPr>
                <w:rFonts w:ascii="Times New Roman" w:hAnsi="Times New Roman"/>
                <w:sz w:val="24"/>
              </w:rPr>
              <w:t xml:space="preserve"> : 90 dienas vai vairāk un mazāk nekā 365 dienas;</w:t>
            </w:r>
          </w:p>
          <w:p w14:paraId="4538DC89"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[ 1G – 2G [</w:t>
            </w:r>
            <w:r>
              <w:rPr>
                <w:rFonts w:ascii="Times New Roman" w:hAnsi="Times New Roman"/>
                <w:sz w:val="24"/>
              </w:rPr>
              <w:t xml:space="preserve"> : 365 dienas vai vairāk un mazāk nekā 730 dienas;</w:t>
            </w:r>
          </w:p>
          <w:p w14:paraId="31713DE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[ 2G – 3G [</w:t>
            </w:r>
            <w:r>
              <w:rPr>
                <w:rFonts w:ascii="Times New Roman" w:hAnsi="Times New Roman"/>
                <w:sz w:val="24"/>
              </w:rPr>
              <w:t xml:space="preserve"> : 730 dienas vai vairāk un mazāk nekā 1 095 dienas;</w:t>
            </w:r>
          </w:p>
          <w:p w14:paraId="605F868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[ 3G – 5G [</w:t>
            </w:r>
            <w:r>
              <w:rPr>
                <w:rFonts w:ascii="Times New Roman" w:hAnsi="Times New Roman"/>
                <w:sz w:val="24"/>
              </w:rPr>
              <w:t xml:space="preserve"> : 1 095 dienas vai vairāk un mazāk nekā 1 825 dienas;</w:t>
            </w:r>
          </w:p>
          <w:p w14:paraId="4BB7CB52"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[ 5G – 10G [</w:t>
            </w:r>
            <w:r>
              <w:rPr>
                <w:rFonts w:ascii="Times New Roman" w:hAnsi="Times New Roman"/>
                <w:sz w:val="24"/>
              </w:rPr>
              <w:t xml:space="preserve"> : 1 825 dienas vai vairāk un mazāk nekā 3 650 dienas;</w:t>
            </w:r>
          </w:p>
          <w:p w14:paraId="64FFD510" w14:textId="77777777" w:rsidR="00BD16F2" w:rsidRPr="002A677E" w:rsidRDefault="00BD16F2" w:rsidP="00E07FE9">
            <w:pPr>
              <w:spacing w:before="0" w:after="0"/>
              <w:ind w:left="808" w:hanging="360"/>
              <w:rPr>
                <w:rFonts w:ascii="Times New Roman" w:hAnsi="Times New Roman"/>
                <w:bCs/>
                <w:sz w:val="24"/>
              </w:rPr>
            </w:pPr>
            <w:r>
              <w:rPr>
                <w:rFonts w:ascii="Symbol" w:hAnsi="Symbol"/>
                <w:sz w:val="24"/>
              </w:rPr>
              <w:t></w:t>
            </w:r>
            <w:r>
              <w:rPr>
                <w:rFonts w:ascii="Symbol" w:hAnsi="Symbol"/>
                <w:sz w:val="24"/>
              </w:rPr>
              <w:tab/>
            </w:r>
            <w:r>
              <w:rPr>
                <w:rFonts w:ascii="Times New Roman" w:hAnsi="Times New Roman"/>
                <w:b/>
                <w:sz w:val="24"/>
              </w:rPr>
              <w:t>[ 10G – vairāk</w:t>
            </w:r>
            <w:r>
              <w:rPr>
                <w:rFonts w:ascii="Times New Roman" w:hAnsi="Times New Roman"/>
                <w:sz w:val="24"/>
              </w:rPr>
              <w:t xml:space="preserve"> : 3650 dienas vai vairāk.</w:t>
            </w:r>
          </w:p>
          <w:p w14:paraId="459DC391" w14:textId="77777777" w:rsidR="00BD16F2" w:rsidRPr="002A677E" w:rsidRDefault="00BD16F2" w:rsidP="00E07FE9">
            <w:pPr>
              <w:spacing w:before="0" w:after="0"/>
              <w:ind w:left="808" w:hanging="360"/>
              <w:rPr>
                <w:rFonts w:ascii="Times New Roman" w:hAnsi="Times New Roman"/>
                <w:bCs/>
                <w:sz w:val="24"/>
                <w:lang w:eastAsia="de-DE"/>
              </w:rPr>
            </w:pPr>
          </w:p>
          <w:p w14:paraId="50647C13" w14:textId="77777777" w:rsidR="00BD16F2" w:rsidRPr="002A677E" w:rsidRDefault="00BD16F2" w:rsidP="00E07FE9">
            <w:pPr>
              <w:spacing w:before="0" w:after="0"/>
              <w:rPr>
                <w:rFonts w:ascii="Times New Roman" w:hAnsi="Times New Roman"/>
                <w:bCs/>
                <w:sz w:val="24"/>
              </w:rPr>
            </w:pPr>
            <w:r>
              <w:rPr>
                <w:rFonts w:ascii="Times New Roman" w:hAnsi="Times New Roman"/>
                <w:sz w:val="24"/>
              </w:rPr>
              <w:lastRenderedPageBreak/>
              <w:t>Ja saskaņā ar līgumu termiņa datums ir agrāk nekā pārskata atsauces datums (t.i., starpība starp pārskata atsauces datumu un termiņa datumu ir negatīva vērtība), riska darījumu iedala grupā [0 – 3M].</w:t>
            </w:r>
          </w:p>
          <w:p w14:paraId="39F8BC0B" w14:textId="77777777" w:rsidR="00BD16F2" w:rsidRPr="002A677E" w:rsidRDefault="00BD16F2" w:rsidP="00E07FE9">
            <w:pPr>
              <w:spacing w:before="0" w:after="0"/>
              <w:rPr>
                <w:rFonts w:ascii="Times New Roman" w:hAnsi="Times New Roman"/>
                <w:bCs/>
                <w:sz w:val="24"/>
                <w:lang w:eastAsia="de-DE"/>
              </w:rPr>
            </w:pPr>
          </w:p>
          <w:p w14:paraId="1652D55B" w14:textId="77777777" w:rsidR="00BD16F2" w:rsidRPr="002A677E" w:rsidRDefault="00BD16F2" w:rsidP="00E07FE9">
            <w:pPr>
              <w:spacing w:before="0" w:after="0"/>
              <w:ind w:left="33"/>
              <w:rPr>
                <w:rFonts w:ascii="Times New Roman" w:hAnsi="Times New Roman"/>
                <w:bCs/>
                <w:sz w:val="24"/>
              </w:rPr>
            </w:pPr>
            <w:r>
              <w:rPr>
                <w:rFonts w:ascii="Times New Roman" w:hAnsi="Times New Roman"/>
                <w:sz w:val="24"/>
              </w:rPr>
              <w:t>Riska darījumus bez atlikušā termiņa iedala atlikušā termiņa grupā, balstoties uz to paziņošanas termiņu vai citām līgumiskajām norādēm par termiņu. Ja nav ne iepriekš noteikta paziņošanas termiņa, ne līgumiskās norādes par termiņu, riska darījumus iedala atlikušā termiņa grupā [10G – vairāk].</w:t>
            </w:r>
          </w:p>
        </w:tc>
      </w:tr>
    </w:tbl>
    <w:p w14:paraId="74EC1E02" w14:textId="77777777" w:rsidR="00BD16F2" w:rsidRPr="002A677E" w:rsidRDefault="00BD16F2" w:rsidP="00BD16F2">
      <w:pPr>
        <w:spacing w:after="0"/>
        <w:rPr>
          <w:rStyle w:val="InstructionsTabelleText"/>
          <w:rFonts w:ascii="Times New Roman" w:hAnsi="Times New Roman"/>
          <w:sz w:val="24"/>
        </w:rPr>
      </w:pPr>
    </w:p>
    <w:p w14:paraId="2EAB6BA9" w14:textId="77777777" w:rsidR="00BD16F2" w:rsidRDefault="00BD16F2"/>
    <w:p w14:paraId="2871FFE7" w14:textId="77777777" w:rsidR="00BD16F2" w:rsidRDefault="00BD16F2"/>
    <w:sectPr w:rsidR="00BD16F2">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6E845" w14:textId="77777777" w:rsidR="001F2635" w:rsidRDefault="001F2635" w:rsidP="00BD16F2">
      <w:pPr>
        <w:spacing w:before="0" w:after="0"/>
      </w:pPr>
      <w:r>
        <w:separator/>
      </w:r>
    </w:p>
  </w:endnote>
  <w:endnote w:type="continuationSeparator" w:id="0">
    <w:p w14:paraId="35C91E6F" w14:textId="77777777" w:rsidR="001F2635" w:rsidRDefault="001F2635" w:rsidP="00BD16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66B83" w14:textId="77777777" w:rsidR="001F2635" w:rsidRDefault="001F2635" w:rsidP="00BD16F2">
      <w:pPr>
        <w:spacing w:before="0" w:after="0"/>
      </w:pPr>
      <w:r>
        <w:separator/>
      </w:r>
    </w:p>
  </w:footnote>
  <w:footnote w:type="continuationSeparator" w:id="0">
    <w:p w14:paraId="7789D56B" w14:textId="77777777" w:rsidR="001F2635" w:rsidRDefault="001F2635" w:rsidP="00BD16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A95A" w14:textId="6AF3BF07" w:rsidR="00BD16F2" w:rsidRDefault="00BD16F2">
    <w:pPr>
      <w:pStyle w:val="Header"/>
    </w:pPr>
    <w:r>
      <w:rPr>
        <w:noProof/>
      </w:rPr>
      <mc:AlternateContent>
        <mc:Choice Requires="wps">
          <w:drawing>
            <wp:anchor distT="0" distB="0" distL="0" distR="0" simplePos="0" relativeHeight="251659264" behindDoc="0" locked="0" layoutInCell="1" allowOverlap="1" wp14:anchorId="23F45FF0" wp14:editId="4B2C6ABA">
              <wp:simplePos x="635" y="635"/>
              <wp:positionH relativeFrom="page">
                <wp:align>left</wp:align>
              </wp:positionH>
              <wp:positionV relativeFrom="page">
                <wp:align>top</wp:align>
              </wp:positionV>
              <wp:extent cx="443865" cy="443865"/>
              <wp:effectExtent l="0" t="0" r="3175" b="4445"/>
              <wp:wrapNone/>
              <wp:docPr id="443840396"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3F45FF0" id="_x0000_t202" coordsize="21600,21600" o:spt="202" path="m,l,21600r21600,l21600,xe">
              <v:stroke joinstyle="miter"/>
              <v:path gradientshapeok="t" o:connecttype="rect"/>
            </v:shapetype>
            <v:shape id="Text Box 2" o:spid="_x0000_s1026" type="#_x0000_t202" alt="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7C787B2" w14:textId="1CAD9F84"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B9F67" w14:textId="6AACFABF" w:rsidR="00BD16F2" w:rsidRDefault="00BD16F2">
    <w:pPr>
      <w:pStyle w:val="Header"/>
    </w:pPr>
    <w:r>
      <w:rPr>
        <w:noProof/>
      </w:rPr>
      <mc:AlternateContent>
        <mc:Choice Requires="wps">
          <w:drawing>
            <wp:anchor distT="0" distB="0" distL="0" distR="0" simplePos="0" relativeHeight="251660288" behindDoc="0" locked="0" layoutInCell="1" allowOverlap="1" wp14:anchorId="091C5592" wp14:editId="3DFB3BCB">
              <wp:simplePos x="914400" y="447675"/>
              <wp:positionH relativeFrom="page">
                <wp:align>left</wp:align>
              </wp:positionH>
              <wp:positionV relativeFrom="page">
                <wp:align>top</wp:align>
              </wp:positionV>
              <wp:extent cx="443865" cy="443865"/>
              <wp:effectExtent l="0" t="0" r="3175" b="4445"/>
              <wp:wrapNone/>
              <wp:docPr id="1766617029"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91C5592" id="_x0000_t202" coordsize="21600,21600" o:spt="202" path="m,l,21600r21600,l21600,xe">
              <v:stroke joinstyle="miter"/>
              <v:path gradientshapeok="t" o:connecttype="rect"/>
            </v:shapetype>
            <v:shape id="Text Box 3" o:spid="_x0000_s1027" type="#_x0000_t202" alt="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5CE23C26" w14:textId="6E2A5638"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FBAF6" w14:textId="6E2DFCB8" w:rsidR="00BD16F2" w:rsidRDefault="00BD16F2">
    <w:pPr>
      <w:pStyle w:val="Header"/>
    </w:pPr>
    <w:r>
      <w:rPr>
        <w:noProof/>
      </w:rPr>
      <mc:AlternateContent>
        <mc:Choice Requires="wps">
          <w:drawing>
            <wp:anchor distT="0" distB="0" distL="0" distR="0" simplePos="0" relativeHeight="251658240" behindDoc="0" locked="0" layoutInCell="1" allowOverlap="1" wp14:anchorId="75451B99" wp14:editId="1844A30B">
              <wp:simplePos x="635" y="635"/>
              <wp:positionH relativeFrom="page">
                <wp:align>left</wp:align>
              </wp:positionH>
              <wp:positionV relativeFrom="page">
                <wp:align>top</wp:align>
              </wp:positionV>
              <wp:extent cx="443865" cy="443865"/>
              <wp:effectExtent l="0" t="0" r="3175" b="4445"/>
              <wp:wrapNone/>
              <wp:docPr id="318204340"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5451B99" id="_x0000_t202" coordsize="21600,21600" o:spt="202" path="m,l,21600r21600,l21600,xe">
              <v:stroke joinstyle="miter"/>
              <v:path gradientshapeok="t" o:connecttype="rect"/>
            </v:shapetype>
            <v:shape id="Text Box 1" o:spid="_x0000_s1028" type="#_x0000_t202" alt="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1E3F1759" w14:textId="756F627B" w:rsidR="00BD16F2" w:rsidRPr="00BD16F2" w:rsidRDefault="00BD16F2" w:rsidP="00BD16F2">
                    <w:pPr>
                      <w:spacing w:after="0"/>
                      <w:rPr>
                        <w:rFonts w:ascii="Calibri" w:eastAsia="Calibri" w:hAnsi="Calibri" w:cs="Calibri"/>
                        <w:noProof/>
                        <w:color w:val="000000"/>
                        <w:sz w:val="24"/>
                      </w:rPr>
                    </w:pPr>
                    <w:r>
                      <w:rPr>
                        <w:rFonts w:ascii="Calibri" w:hAnsi="Calibri"/>
                        <w:color w:val="000000"/>
                        <w:sz w:val="24"/>
                      </w:rPr>
                      <w:t>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6"/>
  </w:num>
  <w:num w:numId="4" w16cid:durableId="487287975">
    <w:abstractNumId w:val="13"/>
  </w:num>
  <w:num w:numId="5" w16cid:durableId="1754350949">
    <w:abstractNumId w:val="21"/>
  </w:num>
  <w:num w:numId="6" w16cid:durableId="1507597667">
    <w:abstractNumId w:val="11"/>
  </w:num>
  <w:num w:numId="7" w16cid:durableId="139271283">
    <w:abstractNumId w:val="25"/>
  </w:num>
  <w:num w:numId="8" w16cid:durableId="763764270">
    <w:abstractNumId w:val="5"/>
  </w:num>
  <w:num w:numId="9" w16cid:durableId="1561986968">
    <w:abstractNumId w:val="19"/>
  </w:num>
  <w:num w:numId="10" w16cid:durableId="1349260748">
    <w:abstractNumId w:val="9"/>
  </w:num>
  <w:num w:numId="11" w16cid:durableId="1097991330">
    <w:abstractNumId w:val="15"/>
  </w:num>
  <w:num w:numId="12" w16cid:durableId="858469680">
    <w:abstractNumId w:val="6"/>
  </w:num>
  <w:num w:numId="13" w16cid:durableId="1485394352">
    <w:abstractNumId w:val="20"/>
  </w:num>
  <w:num w:numId="14" w16cid:durableId="881021889">
    <w:abstractNumId w:val="17"/>
  </w:num>
  <w:num w:numId="15" w16cid:durableId="1923681300">
    <w:abstractNumId w:val="8"/>
  </w:num>
  <w:num w:numId="16" w16cid:durableId="211188018">
    <w:abstractNumId w:val="14"/>
  </w:num>
  <w:num w:numId="17" w16cid:durableId="1615165847">
    <w:abstractNumId w:val="22"/>
  </w:num>
  <w:num w:numId="18" w16cid:durableId="429467310">
    <w:abstractNumId w:val="4"/>
  </w:num>
  <w:num w:numId="19" w16cid:durableId="1418819944">
    <w:abstractNumId w:val="27"/>
  </w:num>
  <w:num w:numId="20" w16cid:durableId="1079792157">
    <w:abstractNumId w:val="12"/>
  </w:num>
  <w:num w:numId="21" w16cid:durableId="1333265662">
    <w:abstractNumId w:val="2"/>
  </w:num>
  <w:num w:numId="22" w16cid:durableId="737484550">
    <w:abstractNumId w:val="10"/>
  </w:num>
  <w:num w:numId="23" w16cid:durableId="309210531">
    <w:abstractNumId w:val="24"/>
  </w:num>
  <w:num w:numId="24" w16cid:durableId="166527561">
    <w:abstractNumId w:val="1"/>
  </w:num>
  <w:num w:numId="25" w16cid:durableId="1544101633">
    <w:abstractNumId w:val="23"/>
  </w:num>
  <w:num w:numId="26" w16cid:durableId="44380249">
    <w:abstractNumId w:val="16"/>
  </w:num>
  <w:num w:numId="27" w16cid:durableId="1838038624">
    <w:abstractNumId w:val="0"/>
  </w:num>
  <w:num w:numId="28" w16cid:durableId="185626552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BD16F2"/>
    <w:rsid w:val="00017443"/>
    <w:rsid w:val="00023C1E"/>
    <w:rsid w:val="001F2635"/>
    <w:rsid w:val="004B23ED"/>
    <w:rsid w:val="004E7B6F"/>
    <w:rsid w:val="00631623"/>
    <w:rsid w:val="00701E4C"/>
    <w:rsid w:val="00816CE5"/>
    <w:rsid w:val="00855551"/>
    <w:rsid w:val="00A51CF1"/>
    <w:rsid w:val="00A6002C"/>
    <w:rsid w:val="00B71F25"/>
    <w:rsid w:val="00BD16F2"/>
    <w:rsid w:val="00E96819"/>
    <w:rsid w:val="00EC5F08"/>
    <w:rsid w:val="00ED4C8C"/>
    <w:rsid w:val="00EE5719"/>
    <w:rsid w:val="00EE75F2"/>
    <w:rsid w:val="00EF07A1"/>
    <w:rsid w:val="00F10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F0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6F2"/>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BD16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BD16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BD16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BD16F2"/>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BD16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BD16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BD16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BD16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BD16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BD16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BD16F2"/>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BD16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BD16F2"/>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BD16F2"/>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BD16F2"/>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BD16F2"/>
    <w:rPr>
      <w:rFonts w:eastAsiaTheme="majorEastAsia" w:cstheme="majorBidi"/>
      <w:color w:val="595959" w:themeColor="text1" w:themeTint="A6"/>
    </w:rPr>
  </w:style>
  <w:style w:type="character" w:customStyle="1" w:styleId="Heading8Char">
    <w:name w:val="Heading 8 Char"/>
    <w:basedOn w:val="DefaultParagraphFont"/>
    <w:link w:val="Heading8"/>
    <w:semiHidden/>
    <w:rsid w:val="00BD16F2"/>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BD16F2"/>
    <w:rPr>
      <w:rFonts w:eastAsiaTheme="majorEastAsia" w:cstheme="majorBidi"/>
      <w:color w:val="272727" w:themeColor="text1" w:themeTint="D8"/>
    </w:rPr>
  </w:style>
  <w:style w:type="paragraph" w:styleId="Title">
    <w:name w:val="Title"/>
    <w:basedOn w:val="Normal"/>
    <w:next w:val="Normal"/>
    <w:link w:val="TitleChar"/>
    <w:qFormat/>
    <w:rsid w:val="00BD16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D16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16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16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16F2"/>
    <w:pPr>
      <w:spacing w:before="160"/>
      <w:jc w:val="center"/>
    </w:pPr>
    <w:rPr>
      <w:i/>
      <w:iCs/>
      <w:color w:val="404040" w:themeColor="text1" w:themeTint="BF"/>
    </w:rPr>
  </w:style>
  <w:style w:type="character" w:customStyle="1" w:styleId="QuoteChar">
    <w:name w:val="Quote Char"/>
    <w:basedOn w:val="DefaultParagraphFont"/>
    <w:link w:val="Quote"/>
    <w:uiPriority w:val="29"/>
    <w:rsid w:val="00BD16F2"/>
    <w:rPr>
      <w:i/>
      <w:iCs/>
      <w:color w:val="404040" w:themeColor="text1" w:themeTint="BF"/>
    </w:rPr>
  </w:style>
  <w:style w:type="paragraph" w:styleId="ListParagraph">
    <w:name w:val="List Paragraph"/>
    <w:basedOn w:val="Normal"/>
    <w:link w:val="ListParagraphChar"/>
    <w:uiPriority w:val="34"/>
    <w:qFormat/>
    <w:rsid w:val="00BD16F2"/>
    <w:pPr>
      <w:ind w:left="720"/>
      <w:contextualSpacing/>
    </w:pPr>
  </w:style>
  <w:style w:type="character" w:styleId="IntenseEmphasis">
    <w:name w:val="Intense Emphasis"/>
    <w:basedOn w:val="DefaultParagraphFont"/>
    <w:uiPriority w:val="21"/>
    <w:qFormat/>
    <w:rsid w:val="00BD16F2"/>
    <w:rPr>
      <w:i/>
      <w:iCs/>
      <w:color w:val="0F4761" w:themeColor="accent1" w:themeShade="BF"/>
    </w:rPr>
  </w:style>
  <w:style w:type="paragraph" w:styleId="IntenseQuote">
    <w:name w:val="Intense Quote"/>
    <w:basedOn w:val="Normal"/>
    <w:next w:val="Normal"/>
    <w:link w:val="IntenseQuoteChar"/>
    <w:uiPriority w:val="30"/>
    <w:qFormat/>
    <w:rsid w:val="00BD16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16F2"/>
    <w:rPr>
      <w:i/>
      <w:iCs/>
      <w:color w:val="0F4761" w:themeColor="accent1" w:themeShade="BF"/>
    </w:rPr>
  </w:style>
  <w:style w:type="character" w:styleId="IntenseReference">
    <w:name w:val="Intense Reference"/>
    <w:basedOn w:val="DefaultParagraphFont"/>
    <w:uiPriority w:val="32"/>
    <w:qFormat/>
    <w:rsid w:val="00BD16F2"/>
    <w:rPr>
      <w:b/>
      <w:bCs/>
      <w:smallCaps/>
      <w:color w:val="0F4761" w:themeColor="accent1" w:themeShade="BF"/>
      <w:spacing w:val="5"/>
    </w:rPr>
  </w:style>
  <w:style w:type="paragraph" w:styleId="TableofFigures">
    <w:name w:val="table of figures"/>
    <w:basedOn w:val="Normal"/>
    <w:next w:val="Normal"/>
    <w:qFormat/>
    <w:rsid w:val="00BD16F2"/>
    <w:pPr>
      <w:ind w:left="440" w:hanging="440"/>
    </w:pPr>
  </w:style>
  <w:style w:type="paragraph" w:customStyle="1" w:styleId="Aufzhlungszeichen1">
    <w:name w:val="Aufzählungszeichen1"/>
    <w:basedOn w:val="Normal"/>
    <w:uiPriority w:val="1"/>
    <w:qFormat/>
    <w:rsid w:val="00BD16F2"/>
    <w:pPr>
      <w:numPr>
        <w:numId w:val="1"/>
      </w:numPr>
      <w:spacing w:line="240" w:lineRule="exact"/>
    </w:pPr>
  </w:style>
  <w:style w:type="paragraph" w:customStyle="1" w:styleId="Aufzhlungszeichen2">
    <w:name w:val="Aufzählungszeichen2"/>
    <w:basedOn w:val="Normal"/>
    <w:uiPriority w:val="1"/>
    <w:qFormat/>
    <w:rsid w:val="00BD16F2"/>
    <w:pPr>
      <w:numPr>
        <w:numId w:val="2"/>
      </w:numPr>
      <w:spacing w:line="240" w:lineRule="exact"/>
    </w:pPr>
  </w:style>
  <w:style w:type="paragraph" w:customStyle="1" w:styleId="Aufzhlungszeichen3">
    <w:name w:val="Aufzählungszeichen3"/>
    <w:basedOn w:val="Normal"/>
    <w:uiPriority w:val="1"/>
    <w:qFormat/>
    <w:rsid w:val="00BD16F2"/>
    <w:pPr>
      <w:numPr>
        <w:numId w:val="3"/>
      </w:numPr>
      <w:spacing w:line="240" w:lineRule="exact"/>
    </w:pPr>
  </w:style>
  <w:style w:type="paragraph" w:customStyle="1" w:styleId="Aufzhlungszeichen4">
    <w:name w:val="Aufzählungszeichen4"/>
    <w:basedOn w:val="Normal"/>
    <w:uiPriority w:val="1"/>
    <w:qFormat/>
    <w:rsid w:val="00BD16F2"/>
    <w:pPr>
      <w:numPr>
        <w:numId w:val="4"/>
      </w:numPr>
      <w:spacing w:line="240" w:lineRule="exact"/>
    </w:pPr>
  </w:style>
  <w:style w:type="paragraph" w:styleId="FootnoteText">
    <w:name w:val="footnote text"/>
    <w:basedOn w:val="Normal"/>
    <w:link w:val="FootnoteTextChar"/>
    <w:qFormat/>
    <w:rsid w:val="00BD16F2"/>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BD16F2"/>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BD16F2"/>
    <w:rPr>
      <w:rFonts w:ascii="Arial" w:hAnsi="Arial" w:cs="Times New Roman"/>
      <w:kern w:val="0"/>
      <w:position w:val="4"/>
      <w:sz w:val="12"/>
      <w:szCs w:val="12"/>
      <w:vertAlign w:val="baseline"/>
    </w:rPr>
  </w:style>
  <w:style w:type="paragraph" w:styleId="Footer">
    <w:name w:val="footer"/>
    <w:basedOn w:val="Normal"/>
    <w:link w:val="FooterChar"/>
    <w:uiPriority w:val="99"/>
    <w:rsid w:val="00BD16F2"/>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BD16F2"/>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BD16F2"/>
    <w:pPr>
      <w:numPr>
        <w:numId w:val="7"/>
      </w:numPr>
      <w:spacing w:line="312" w:lineRule="auto"/>
    </w:pPr>
  </w:style>
  <w:style w:type="paragraph" w:customStyle="1" w:styleId="GliederungmitNummerierung">
    <w:name w:val="Gliederung mit Nummerierung"/>
    <w:basedOn w:val="Normal"/>
    <w:uiPriority w:val="1"/>
    <w:qFormat/>
    <w:rsid w:val="00BD16F2"/>
    <w:pPr>
      <w:numPr>
        <w:numId w:val="8"/>
      </w:numPr>
      <w:spacing w:line="312" w:lineRule="auto"/>
    </w:pPr>
  </w:style>
  <w:style w:type="paragraph" w:customStyle="1" w:styleId="HngEinrckung1">
    <w:name w:val="Häng. Einrückung1"/>
    <w:basedOn w:val="Normal"/>
    <w:uiPriority w:val="1"/>
    <w:qFormat/>
    <w:rsid w:val="00BD16F2"/>
    <w:pPr>
      <w:spacing w:line="312" w:lineRule="auto"/>
      <w:ind w:left="567" w:hanging="567"/>
    </w:pPr>
  </w:style>
  <w:style w:type="paragraph" w:customStyle="1" w:styleId="HngEinrckung2">
    <w:name w:val="Häng. Einrückung2"/>
    <w:basedOn w:val="Normal"/>
    <w:uiPriority w:val="1"/>
    <w:qFormat/>
    <w:rsid w:val="00BD16F2"/>
    <w:pPr>
      <w:spacing w:line="312" w:lineRule="auto"/>
      <w:ind w:left="1134" w:hanging="567"/>
    </w:pPr>
  </w:style>
  <w:style w:type="paragraph" w:customStyle="1" w:styleId="HngEinrckung3">
    <w:name w:val="Häng. Einrückung3"/>
    <w:basedOn w:val="Normal"/>
    <w:uiPriority w:val="1"/>
    <w:qFormat/>
    <w:rsid w:val="00BD16F2"/>
    <w:pPr>
      <w:spacing w:line="312" w:lineRule="auto"/>
      <w:ind w:left="1701" w:hanging="567"/>
    </w:pPr>
  </w:style>
  <w:style w:type="character" w:styleId="Hyperlink">
    <w:name w:val="Hyperlink"/>
    <w:uiPriority w:val="99"/>
    <w:rsid w:val="00BD16F2"/>
    <w:rPr>
      <w:rFonts w:cs="Times New Roman"/>
      <w:color w:val="0000FF"/>
      <w:u w:val="single"/>
    </w:rPr>
  </w:style>
  <w:style w:type="paragraph" w:styleId="Header">
    <w:name w:val="header"/>
    <w:basedOn w:val="Normal"/>
    <w:link w:val="HeaderChar"/>
    <w:uiPriority w:val="99"/>
    <w:rsid w:val="00BD16F2"/>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BD16F2"/>
    <w:rPr>
      <w:rFonts w:ascii="Arial" w:eastAsia="Arial" w:hAnsi="Arial" w:cs="Times New Roman"/>
      <w:kern w:val="0"/>
      <w:sz w:val="20"/>
      <w:szCs w:val="20"/>
      <w:lang w:val="lv-LV" w:eastAsia="de-DE"/>
      <w14:ligatures w14:val="none"/>
    </w:rPr>
  </w:style>
  <w:style w:type="paragraph" w:customStyle="1" w:styleId="Marginalspalte">
    <w:name w:val="Marginalspalte"/>
    <w:basedOn w:val="Normal"/>
    <w:uiPriority w:val="1"/>
    <w:qFormat/>
    <w:rsid w:val="00BD16F2"/>
    <w:pPr>
      <w:framePr w:w="851" w:h="851" w:hSpace="284" w:wrap="around" w:vAnchor="text" w:hAnchor="page" w:y="1"/>
    </w:pPr>
    <w:rPr>
      <w:i/>
      <w:szCs w:val="22"/>
    </w:rPr>
  </w:style>
  <w:style w:type="paragraph" w:customStyle="1" w:styleId="Nummerierungsart1">
    <w:name w:val="Nummerierungsart1"/>
    <w:basedOn w:val="Normal"/>
    <w:uiPriority w:val="1"/>
    <w:qFormat/>
    <w:rsid w:val="00BD16F2"/>
    <w:pPr>
      <w:numPr>
        <w:numId w:val="9"/>
      </w:numPr>
    </w:pPr>
  </w:style>
  <w:style w:type="paragraph" w:customStyle="1" w:styleId="Nummerierungsart2">
    <w:name w:val="Nummerierungsart2"/>
    <w:basedOn w:val="Normal"/>
    <w:uiPriority w:val="1"/>
    <w:qFormat/>
    <w:rsid w:val="00BD16F2"/>
    <w:pPr>
      <w:numPr>
        <w:numId w:val="10"/>
      </w:numPr>
    </w:pPr>
  </w:style>
  <w:style w:type="paragraph" w:customStyle="1" w:styleId="Nummerierungsart3">
    <w:name w:val="Nummerierungsart3"/>
    <w:basedOn w:val="Normal"/>
    <w:uiPriority w:val="1"/>
    <w:qFormat/>
    <w:rsid w:val="00BD16F2"/>
    <w:pPr>
      <w:numPr>
        <w:numId w:val="11"/>
      </w:numPr>
    </w:pPr>
  </w:style>
  <w:style w:type="paragraph" w:customStyle="1" w:styleId="Nummerierungsart4">
    <w:name w:val="Nummerierungsart4"/>
    <w:basedOn w:val="Normal"/>
    <w:uiPriority w:val="1"/>
    <w:qFormat/>
    <w:rsid w:val="00BD16F2"/>
    <w:pPr>
      <w:numPr>
        <w:numId w:val="12"/>
      </w:numPr>
    </w:pPr>
  </w:style>
  <w:style w:type="character" w:styleId="PageNumber">
    <w:name w:val="page number"/>
    <w:uiPriority w:val="99"/>
    <w:rsid w:val="00BD16F2"/>
    <w:rPr>
      <w:rFonts w:ascii="Arial" w:hAnsi="Arial" w:cs="Times New Roman"/>
      <w:sz w:val="22"/>
    </w:rPr>
  </w:style>
  <w:style w:type="character" w:customStyle="1" w:styleId="Heading3Char1">
    <w:name w:val="Heading 3 Char1"/>
    <w:aliases w:val="Title 2 Char1"/>
    <w:uiPriority w:val="99"/>
    <w:locked/>
    <w:rsid w:val="00BD16F2"/>
    <w:rPr>
      <w:rFonts w:ascii="Arial" w:hAnsi="Arial" w:cs="Times New Roman"/>
      <w:b/>
      <w:sz w:val="20"/>
      <w:szCs w:val="20"/>
      <w:lang w:eastAsia="de-DE"/>
    </w:rPr>
  </w:style>
  <w:style w:type="paragraph" w:styleId="TOC1">
    <w:name w:val="toc 1"/>
    <w:basedOn w:val="Normal"/>
    <w:next w:val="Normal"/>
    <w:autoRedefine/>
    <w:uiPriority w:val="39"/>
    <w:qFormat/>
    <w:rsid w:val="00BD16F2"/>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D16F2"/>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BD16F2"/>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BD16F2"/>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BD16F2"/>
    <w:pPr>
      <w:tabs>
        <w:tab w:val="left" w:pos="2058"/>
        <w:tab w:val="right" w:leader="dot" w:pos="9071"/>
      </w:tabs>
      <w:ind w:left="1134" w:hanging="1134"/>
    </w:pPr>
    <w:rPr>
      <w:noProof/>
      <w:sz w:val="16"/>
    </w:rPr>
  </w:style>
  <w:style w:type="paragraph" w:styleId="TOC7">
    <w:name w:val="toc 7"/>
    <w:basedOn w:val="Normal"/>
    <w:next w:val="Normal"/>
    <w:autoRedefine/>
    <w:uiPriority w:val="39"/>
    <w:rsid w:val="00BD16F2"/>
    <w:pPr>
      <w:tabs>
        <w:tab w:val="right" w:leader="dot" w:pos="9071"/>
      </w:tabs>
      <w:ind w:left="1134" w:hanging="1134"/>
    </w:pPr>
    <w:rPr>
      <w:sz w:val="16"/>
    </w:rPr>
  </w:style>
  <w:style w:type="paragraph" w:styleId="TOC8">
    <w:name w:val="toc 8"/>
    <w:basedOn w:val="Normal"/>
    <w:next w:val="Normal"/>
    <w:autoRedefine/>
    <w:uiPriority w:val="39"/>
    <w:rsid w:val="00BD16F2"/>
    <w:pPr>
      <w:tabs>
        <w:tab w:val="left" w:pos="2758"/>
        <w:tab w:val="right" w:leader="dot" w:pos="9071"/>
      </w:tabs>
      <w:ind w:left="1361" w:hanging="1361"/>
    </w:pPr>
    <w:rPr>
      <w:noProof/>
      <w:sz w:val="16"/>
    </w:rPr>
  </w:style>
  <w:style w:type="paragraph" w:styleId="TOC9">
    <w:name w:val="toc 9"/>
    <w:basedOn w:val="Normal"/>
    <w:next w:val="Normal"/>
    <w:autoRedefine/>
    <w:uiPriority w:val="39"/>
    <w:rsid w:val="00BD16F2"/>
    <w:pPr>
      <w:tabs>
        <w:tab w:val="right" w:leader="dot" w:pos="9071"/>
      </w:tabs>
      <w:ind w:left="1361" w:hanging="1361"/>
    </w:pPr>
    <w:rPr>
      <w:sz w:val="16"/>
    </w:rPr>
  </w:style>
  <w:style w:type="paragraph" w:styleId="TOCHeading">
    <w:name w:val="TOC Heading"/>
    <w:basedOn w:val="Heading1"/>
    <w:next w:val="Normal"/>
    <w:uiPriority w:val="39"/>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BD16F2"/>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BD16F2"/>
    <w:rPr>
      <w:rFonts w:ascii="Arial" w:eastAsia="Arial" w:hAnsi="Arial" w:cs="Times New Roman"/>
      <w:kern w:val="0"/>
      <w:sz w:val="20"/>
      <w:szCs w:val="20"/>
      <w:lang w:val="lv-LV" w:eastAsia="de-DE"/>
      <w14:ligatures w14:val="none"/>
    </w:rPr>
  </w:style>
  <w:style w:type="character" w:styleId="EndnoteReference">
    <w:name w:val="endnote reference"/>
    <w:uiPriority w:val="1"/>
    <w:rsid w:val="00BD16F2"/>
    <w:rPr>
      <w:rFonts w:ascii="Arial" w:hAnsi="Arial" w:cs="Times New Roman"/>
      <w:color w:val="auto"/>
      <w:position w:val="4"/>
      <w:sz w:val="12"/>
      <w:vertAlign w:val="baseline"/>
    </w:rPr>
  </w:style>
  <w:style w:type="paragraph" w:customStyle="1" w:styleId="Ballontekst">
    <w:name w:val="Ballontekst"/>
    <w:basedOn w:val="Normal"/>
    <w:uiPriority w:val="99"/>
    <w:semiHidden/>
    <w:rsid w:val="00BD16F2"/>
    <w:rPr>
      <w:rFonts w:ascii="Tahoma" w:hAnsi="Tahoma" w:cs="Tahoma"/>
      <w:sz w:val="16"/>
      <w:szCs w:val="16"/>
    </w:rPr>
  </w:style>
  <w:style w:type="character" w:styleId="CommentReference">
    <w:name w:val="annotation reference"/>
    <w:uiPriority w:val="99"/>
    <w:rsid w:val="00BD16F2"/>
    <w:rPr>
      <w:rFonts w:cs="Times New Roman"/>
      <w:sz w:val="16"/>
      <w:szCs w:val="16"/>
    </w:rPr>
  </w:style>
  <w:style w:type="paragraph" w:styleId="CommentText">
    <w:name w:val="annotation text"/>
    <w:basedOn w:val="Normal"/>
    <w:link w:val="CommentTextChar"/>
    <w:uiPriority w:val="99"/>
    <w:rsid w:val="00BD16F2"/>
    <w:rPr>
      <w:rFonts w:eastAsia="Arial"/>
      <w:szCs w:val="20"/>
      <w:lang w:eastAsia="x-none"/>
    </w:rPr>
  </w:style>
  <w:style w:type="character" w:customStyle="1" w:styleId="CommentTextChar">
    <w:name w:val="Comment Text Char"/>
    <w:basedOn w:val="DefaultParagraphFont"/>
    <w:link w:val="CommentText"/>
    <w:uiPriority w:val="99"/>
    <w:rsid w:val="00BD16F2"/>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BD16F2"/>
    <w:rPr>
      <w:b/>
      <w:bCs/>
    </w:rPr>
  </w:style>
  <w:style w:type="character" w:styleId="FollowedHyperlink">
    <w:name w:val="FollowedHyperlink"/>
    <w:uiPriority w:val="99"/>
    <w:rsid w:val="00BD16F2"/>
    <w:rPr>
      <w:rFonts w:cs="Times New Roman"/>
      <w:color w:val="606420"/>
      <w:u w:val="single"/>
    </w:rPr>
  </w:style>
  <w:style w:type="paragraph" w:styleId="BalloonText">
    <w:name w:val="Balloon Text"/>
    <w:basedOn w:val="Normal"/>
    <w:link w:val="BalloonTextChar"/>
    <w:uiPriority w:val="99"/>
    <w:rsid w:val="00BD16F2"/>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BD16F2"/>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BD16F2"/>
    <w:rPr>
      <w:b/>
      <w:bCs/>
    </w:rPr>
  </w:style>
  <w:style w:type="character" w:customStyle="1" w:styleId="CommentSubjectChar">
    <w:name w:val="Comment Subject Char"/>
    <w:basedOn w:val="CommentTextChar"/>
    <w:link w:val="CommentSubject"/>
    <w:uiPriority w:val="99"/>
    <w:rsid w:val="00BD16F2"/>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BD16F2"/>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BD16F2"/>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BD16F2"/>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BD16F2"/>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BD16F2"/>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BD16F2"/>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BD16F2"/>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BD16F2"/>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BD16F2"/>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BD16F2"/>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BD16F2"/>
    <w:rPr>
      <w:rFonts w:ascii="Verdana" w:hAnsi="Verdana" w:cs="Times New Roman"/>
      <w:b/>
      <w:bCs/>
      <w:sz w:val="20"/>
      <w:u w:val="single"/>
    </w:rPr>
  </w:style>
  <w:style w:type="character" w:customStyle="1" w:styleId="InstructionsTabelleText">
    <w:name w:val="Instructions Tabelle Text"/>
    <w:rsid w:val="00BD16F2"/>
    <w:rPr>
      <w:rFonts w:ascii="Verdana" w:hAnsi="Verdana" w:cs="Times New Roman"/>
      <w:sz w:val="20"/>
    </w:rPr>
  </w:style>
  <w:style w:type="character" w:customStyle="1" w:styleId="FormatvorlageInstructionsTabelleText">
    <w:name w:val="Formatvorlage Instructions Tabelle Text"/>
    <w:uiPriority w:val="99"/>
    <w:qFormat/>
    <w:rsid w:val="00BD16F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BD16F2"/>
    <w:pPr>
      <w:ind w:left="0" w:firstLine="0"/>
    </w:pPr>
    <w:rPr>
      <w:szCs w:val="20"/>
    </w:rPr>
  </w:style>
  <w:style w:type="paragraph" w:customStyle="1" w:styleId="Texte2">
    <w:name w:val="Texte 2"/>
    <w:basedOn w:val="Normal"/>
    <w:uiPriority w:val="99"/>
    <w:rsid w:val="00BD16F2"/>
    <w:pPr>
      <w:spacing w:after="0"/>
      <w:ind w:left="567"/>
    </w:pPr>
    <w:rPr>
      <w:sz w:val="22"/>
      <w:szCs w:val="20"/>
      <w:lang w:eastAsia="fr-FR"/>
    </w:rPr>
  </w:style>
  <w:style w:type="paragraph" w:customStyle="1" w:styleId="Prrafodelista1">
    <w:name w:val="Párrafo de lista1"/>
    <w:basedOn w:val="Normal"/>
    <w:uiPriority w:val="99"/>
    <w:rsid w:val="00BD16F2"/>
    <w:pPr>
      <w:ind w:left="720"/>
    </w:pPr>
  </w:style>
  <w:style w:type="paragraph" w:customStyle="1" w:styleId="Prrafodelista2">
    <w:name w:val="Párrafo de lista2"/>
    <w:basedOn w:val="Normal"/>
    <w:uiPriority w:val="99"/>
    <w:rsid w:val="00BD16F2"/>
    <w:pPr>
      <w:ind w:left="708"/>
    </w:pPr>
  </w:style>
  <w:style w:type="paragraph" w:styleId="PlainText">
    <w:name w:val="Plain Text"/>
    <w:basedOn w:val="Normal"/>
    <w:link w:val="PlainTextChar"/>
    <w:uiPriority w:val="99"/>
    <w:rsid w:val="00BD16F2"/>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BD16F2"/>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BD16F2"/>
    <w:pPr>
      <w:ind w:left="708"/>
    </w:pPr>
  </w:style>
  <w:style w:type="character" w:customStyle="1" w:styleId="InstructionsTextChar">
    <w:name w:val="Instructions Text Char"/>
    <w:link w:val="InstructionsText"/>
    <w:locked/>
    <w:rsid w:val="00BD16F2"/>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BD16F2"/>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BD16F2"/>
    <w:rPr>
      <w:rFonts w:cs="Times New Roman"/>
      <w:color w:val="808080"/>
    </w:rPr>
  </w:style>
  <w:style w:type="paragraph" w:customStyle="1" w:styleId="InstructionsText2">
    <w:name w:val="Instructions Text 2"/>
    <w:basedOn w:val="InstructionsText"/>
    <w:qFormat/>
    <w:rsid w:val="00BD16F2"/>
    <w:pPr>
      <w:numPr>
        <w:numId w:val="15"/>
      </w:numPr>
      <w:spacing w:after="240"/>
    </w:pPr>
  </w:style>
  <w:style w:type="character" w:customStyle="1" w:styleId="Instructionsberschrift3Char">
    <w:name w:val="Instructions Überschrift 3 Char"/>
    <w:locked/>
    <w:rsid w:val="00BD16F2"/>
    <w:rPr>
      <w:rFonts w:ascii="Verdana" w:hAnsi="Verdana" w:cs="Arial"/>
      <w:b/>
      <w:bCs/>
      <w:sz w:val="26"/>
      <w:szCs w:val="26"/>
      <w:u w:val="single"/>
      <w:lang w:val="lv-LV" w:eastAsia="en-US" w:bidi="ar-SA"/>
    </w:rPr>
  </w:style>
  <w:style w:type="paragraph" w:customStyle="1" w:styleId="CM4">
    <w:name w:val="CM4"/>
    <w:basedOn w:val="Normal"/>
    <w:next w:val="Normal"/>
    <w:uiPriority w:val="99"/>
    <w:rsid w:val="00BD16F2"/>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BD16F2"/>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BD16F2"/>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BD16F2"/>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BD16F2"/>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BD16F2"/>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BD16F2"/>
    <w:rPr>
      <w:rFonts w:cs="Times New Roman"/>
      <w:sz w:val="24"/>
      <w:szCs w:val="24"/>
      <w:lang w:eastAsia="de-DE"/>
    </w:rPr>
  </w:style>
  <w:style w:type="paragraph" w:customStyle="1" w:styleId="NumPar1">
    <w:name w:val="NumPar 1"/>
    <w:basedOn w:val="Normal"/>
    <w:next w:val="Normal"/>
    <w:link w:val="NumPar1Char"/>
    <w:uiPriority w:val="99"/>
    <w:rsid w:val="00BD16F2"/>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BD16F2"/>
    <w:rPr>
      <w:rFonts w:cs="Times New Roman"/>
      <w:sz w:val="24"/>
      <w:szCs w:val="24"/>
    </w:rPr>
  </w:style>
  <w:style w:type="paragraph" w:customStyle="1" w:styleId="Point1letter">
    <w:name w:val="Point 1 (letter)"/>
    <w:basedOn w:val="Normal"/>
    <w:link w:val="Point1letterChar"/>
    <w:uiPriority w:val="99"/>
    <w:rsid w:val="00BD16F2"/>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BD16F2"/>
    <w:pPr>
      <w:numPr>
        <w:numId w:val="6"/>
      </w:numPr>
    </w:pPr>
  </w:style>
  <w:style w:type="numbering" w:customStyle="1" w:styleId="Formatvorlage3">
    <w:name w:val="Formatvorlage3"/>
    <w:uiPriority w:val="99"/>
    <w:rsid w:val="00BD16F2"/>
    <w:pPr>
      <w:numPr>
        <w:numId w:val="16"/>
      </w:numPr>
    </w:pPr>
  </w:style>
  <w:style w:type="numbering" w:customStyle="1" w:styleId="Formatvorlage1">
    <w:name w:val="Formatvorlage1"/>
    <w:uiPriority w:val="99"/>
    <w:rsid w:val="00BD16F2"/>
    <w:pPr>
      <w:numPr>
        <w:numId w:val="5"/>
      </w:numPr>
    </w:pPr>
  </w:style>
  <w:style w:type="numbering" w:customStyle="1" w:styleId="Formatvorlage4">
    <w:name w:val="Formatvorlage4"/>
    <w:uiPriority w:val="99"/>
    <w:rsid w:val="00BD16F2"/>
    <w:pPr>
      <w:numPr>
        <w:numId w:val="17"/>
      </w:numPr>
    </w:pPr>
  </w:style>
  <w:style w:type="paragraph" w:customStyle="1" w:styleId="ListParagraph1">
    <w:name w:val="List Paragraph1"/>
    <w:basedOn w:val="Normal"/>
    <w:uiPriority w:val="99"/>
    <w:qFormat/>
    <w:rsid w:val="00BD16F2"/>
    <w:pPr>
      <w:ind w:left="708"/>
    </w:pPr>
  </w:style>
  <w:style w:type="paragraph" w:customStyle="1" w:styleId="Anfhrungszeichen1">
    <w:name w:val="Anführungszeichen1"/>
    <w:basedOn w:val="Normal"/>
    <w:next w:val="Normal"/>
    <w:link w:val="AnfhrungszeichenZchn"/>
    <w:uiPriority w:val="29"/>
    <w:semiHidden/>
    <w:rsid w:val="00BD16F2"/>
    <w:rPr>
      <w:i/>
      <w:iCs/>
      <w:color w:val="000000"/>
    </w:rPr>
  </w:style>
  <w:style w:type="character" w:customStyle="1" w:styleId="AnfhrungszeichenZchn">
    <w:name w:val="Anführungszeichen Zchn"/>
    <w:link w:val="Anfhrungszeichen1"/>
    <w:uiPriority w:val="29"/>
    <w:semiHidden/>
    <w:rsid w:val="00BD16F2"/>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BD16F2"/>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BD16F2"/>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BD16F2"/>
    <w:pPr>
      <w:ind w:left="708"/>
    </w:pPr>
  </w:style>
  <w:style w:type="character" w:customStyle="1" w:styleId="Platzhaltertext1">
    <w:name w:val="Platzhaltertext1"/>
    <w:uiPriority w:val="99"/>
    <w:semiHidden/>
    <w:rsid w:val="00BD16F2"/>
    <w:rPr>
      <w:color w:val="808080"/>
    </w:rPr>
  </w:style>
  <w:style w:type="paragraph" w:customStyle="1" w:styleId="Default">
    <w:name w:val="Default"/>
    <w:rsid w:val="00BD16F2"/>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BD16F2"/>
    <w:rPr>
      <w:rFonts w:ascii="EU Albertina" w:hAnsi="EU Albertina" w:cs="Times New Roman"/>
      <w:color w:val="auto"/>
    </w:rPr>
  </w:style>
  <w:style w:type="paragraph" w:customStyle="1" w:styleId="CM3">
    <w:name w:val="CM3"/>
    <w:basedOn w:val="Default"/>
    <w:next w:val="Default"/>
    <w:uiPriority w:val="99"/>
    <w:rsid w:val="00BD16F2"/>
    <w:rPr>
      <w:rFonts w:ascii="EU Albertina" w:hAnsi="EU Albertina" w:cs="Times New Roman"/>
      <w:color w:val="auto"/>
    </w:rPr>
  </w:style>
  <w:style w:type="paragraph" w:styleId="NormalWeb">
    <w:name w:val="Normal (Web)"/>
    <w:basedOn w:val="Normal"/>
    <w:uiPriority w:val="99"/>
    <w:unhideWhenUsed/>
    <w:rsid w:val="00BD16F2"/>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BD16F2"/>
    <w:rPr>
      <w:i/>
      <w:iCs/>
    </w:rPr>
  </w:style>
  <w:style w:type="paragraph" w:customStyle="1" w:styleId="TableMainHeading">
    <w:name w:val="TableMainHeading"/>
    <w:basedOn w:val="Normal"/>
    <w:next w:val="Normal"/>
    <w:uiPriority w:val="99"/>
    <w:rsid w:val="00BD16F2"/>
    <w:pPr>
      <w:jc w:val="left"/>
    </w:pPr>
    <w:rPr>
      <w:rFonts w:ascii="Segoe UI" w:hAnsi="Segoe UI"/>
      <w:sz w:val="22"/>
      <w:szCs w:val="20"/>
    </w:rPr>
  </w:style>
  <w:style w:type="paragraph" w:customStyle="1" w:styleId="body">
    <w:name w:val="body"/>
    <w:qFormat/>
    <w:rsid w:val="00BD16F2"/>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BD16F2"/>
    <w:pPr>
      <w:spacing w:before="480"/>
    </w:pPr>
    <w:rPr>
      <w:rFonts w:ascii="Times New Roman" w:hAnsi="Times New Roman"/>
      <w:sz w:val="24"/>
    </w:rPr>
  </w:style>
  <w:style w:type="paragraph" w:customStyle="1" w:styleId="Fait">
    <w:name w:val="Fait à"/>
    <w:basedOn w:val="Normal"/>
    <w:next w:val="Normal"/>
    <w:rsid w:val="00BD16F2"/>
    <w:pPr>
      <w:keepNext/>
      <w:spacing w:after="0"/>
    </w:pPr>
    <w:rPr>
      <w:rFonts w:ascii="Times New Roman" w:hAnsi="Times New Roman"/>
      <w:sz w:val="24"/>
    </w:rPr>
  </w:style>
  <w:style w:type="paragraph" w:customStyle="1" w:styleId="Numberedtilelevel1">
    <w:name w:val="Numbered tile level 1"/>
    <w:basedOn w:val="Titlelevel1"/>
    <w:qFormat/>
    <w:rsid w:val="00BD16F2"/>
    <w:pPr>
      <w:numPr>
        <w:numId w:val="25"/>
      </w:numPr>
    </w:pPr>
  </w:style>
  <w:style w:type="paragraph" w:customStyle="1" w:styleId="Numberedtitlelevel2">
    <w:name w:val="Numbered title level 2"/>
    <w:basedOn w:val="Titlelevel2"/>
    <w:next w:val="body"/>
    <w:qFormat/>
    <w:rsid w:val="00BD16F2"/>
    <w:pPr>
      <w:numPr>
        <w:ilvl w:val="1"/>
        <w:numId w:val="25"/>
      </w:numPr>
    </w:pPr>
  </w:style>
  <w:style w:type="paragraph" w:customStyle="1" w:styleId="Titlelevel2">
    <w:name w:val="Title level 2"/>
    <w:qFormat/>
    <w:rsid w:val="00BD16F2"/>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BD16F2"/>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BD16F2"/>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BD16F2"/>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BD16F2"/>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BD16F2"/>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BD16F2"/>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BD16F2"/>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BD16F2"/>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BD16F2"/>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BD16F2"/>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BD16F2"/>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BD16F2"/>
    <w:pPr>
      <w:numPr>
        <w:numId w:val="21"/>
      </w:numPr>
    </w:pPr>
    <w:rPr>
      <w:szCs w:val="22"/>
    </w:rPr>
  </w:style>
  <w:style w:type="paragraph" w:customStyle="1" w:styleId="bullet2">
    <w:name w:val="bullet 2"/>
    <w:basedOn w:val="body"/>
    <w:qFormat/>
    <w:rsid w:val="00BD16F2"/>
    <w:pPr>
      <w:numPr>
        <w:numId w:val="20"/>
      </w:numPr>
    </w:pPr>
    <w:rPr>
      <w:szCs w:val="22"/>
    </w:rPr>
  </w:style>
  <w:style w:type="paragraph" w:customStyle="1" w:styleId="Numberedtitlelevel3">
    <w:name w:val="Numbered title level 3"/>
    <w:basedOn w:val="Titlelevel3"/>
    <w:next w:val="body"/>
    <w:qFormat/>
    <w:rsid w:val="00BD16F2"/>
    <w:pPr>
      <w:numPr>
        <w:ilvl w:val="2"/>
        <w:numId w:val="25"/>
      </w:numPr>
    </w:pPr>
  </w:style>
  <w:style w:type="table" w:styleId="LightShading">
    <w:name w:val="Light Shading"/>
    <w:basedOn w:val="TableNormal"/>
    <w:uiPriority w:val="60"/>
    <w:rsid w:val="00BD16F2"/>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BD16F2"/>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BD16F2"/>
  </w:style>
  <w:style w:type="paragraph" w:customStyle="1" w:styleId="Numberedtitlelevel4">
    <w:name w:val="Numbered title level 4"/>
    <w:basedOn w:val="Titlelevel4"/>
    <w:qFormat/>
    <w:rsid w:val="00BD16F2"/>
    <w:pPr>
      <w:numPr>
        <w:numId w:val="22"/>
      </w:numPr>
    </w:pPr>
  </w:style>
  <w:style w:type="character" w:styleId="BookTitle">
    <w:name w:val="Book Title"/>
    <w:basedOn w:val="DefaultParagraphFont"/>
    <w:uiPriority w:val="33"/>
    <w:qFormat/>
    <w:rsid w:val="00BD16F2"/>
    <w:rPr>
      <w:b/>
      <w:bCs/>
      <w:smallCaps/>
      <w:spacing w:val="5"/>
    </w:rPr>
  </w:style>
  <w:style w:type="character" w:customStyle="1" w:styleId="Highlighttext">
    <w:name w:val="Highlight text"/>
    <w:basedOn w:val="DefaultParagraphFont"/>
    <w:uiPriority w:val="1"/>
    <w:semiHidden/>
    <w:qFormat/>
    <w:rsid w:val="00BD16F2"/>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BD16F2"/>
    <w:rPr>
      <w:bCs/>
      <w:lang w:eastAsia="en-GB"/>
    </w:rPr>
  </w:style>
  <w:style w:type="paragraph" w:styleId="ListBullet">
    <w:name w:val="List Bullet"/>
    <w:basedOn w:val="Normal"/>
    <w:semiHidden/>
    <w:qFormat/>
    <w:rsid w:val="00BD16F2"/>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BD16F2"/>
    <w:pPr>
      <w:numPr>
        <w:numId w:val="26"/>
      </w:numPr>
    </w:pPr>
  </w:style>
  <w:style w:type="character" w:customStyle="1" w:styleId="Marker">
    <w:name w:val="Marker"/>
    <w:rsid w:val="00BD16F2"/>
    <w:rPr>
      <w:color w:val="0000FF"/>
      <w:shd w:val="clear" w:color="auto" w:fill="auto"/>
    </w:rPr>
  </w:style>
  <w:style w:type="character" w:customStyle="1" w:styleId="Marker2">
    <w:name w:val="Marker2"/>
    <w:rsid w:val="00BD16F2"/>
    <w:rPr>
      <w:color w:val="FF0000"/>
      <w:shd w:val="clear" w:color="auto" w:fill="auto"/>
    </w:rPr>
  </w:style>
  <w:style w:type="paragraph" w:customStyle="1" w:styleId="Annexetitre">
    <w:name w:val="Annexe titre"/>
    <w:basedOn w:val="Normal"/>
    <w:next w:val="Normal"/>
    <w:rsid w:val="00BD16F2"/>
    <w:pPr>
      <w:jc w:val="center"/>
    </w:pPr>
    <w:rPr>
      <w:rFonts w:ascii="Times New Roman" w:hAnsi="Times New Roman"/>
      <w:b/>
      <w:sz w:val="24"/>
      <w:u w:val="single"/>
    </w:rPr>
  </w:style>
  <w:style w:type="paragraph" w:customStyle="1" w:styleId="Considrant">
    <w:name w:val="Considérant"/>
    <w:basedOn w:val="Normal"/>
    <w:rsid w:val="00BD16F2"/>
    <w:pPr>
      <w:numPr>
        <w:numId w:val="28"/>
      </w:numPr>
    </w:pPr>
    <w:rPr>
      <w:rFonts w:ascii="Times New Roman" w:hAnsi="Times New Roman"/>
      <w:sz w:val="24"/>
    </w:rPr>
  </w:style>
  <w:style w:type="paragraph" w:customStyle="1" w:styleId="Datedadoption">
    <w:name w:val="Date d'adoption"/>
    <w:basedOn w:val="Normal"/>
    <w:next w:val="Titreobjet"/>
    <w:rsid w:val="00BD16F2"/>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BD16F2"/>
    <w:pPr>
      <w:keepNext/>
    </w:pPr>
    <w:rPr>
      <w:rFonts w:ascii="Times New Roman" w:hAnsi="Times New Roman"/>
      <w:sz w:val="24"/>
    </w:rPr>
  </w:style>
  <w:style w:type="paragraph" w:customStyle="1" w:styleId="Institutionquisigne">
    <w:name w:val="Institution qui signe"/>
    <w:basedOn w:val="Normal"/>
    <w:next w:val="Personnequisigne"/>
    <w:rsid w:val="00BD16F2"/>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BD16F2"/>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BD16F2"/>
    <w:pPr>
      <w:spacing w:before="360" w:after="360"/>
      <w:jc w:val="center"/>
    </w:pPr>
    <w:rPr>
      <w:rFonts w:ascii="Times New Roman" w:hAnsi="Times New Roman"/>
      <w:b/>
      <w:sz w:val="24"/>
    </w:rPr>
  </w:style>
  <w:style w:type="paragraph" w:customStyle="1" w:styleId="Typedudocument">
    <w:name w:val="Type du document"/>
    <w:basedOn w:val="Normal"/>
    <w:next w:val="Titreobjet"/>
    <w:rsid w:val="00BD16F2"/>
    <w:pPr>
      <w:spacing w:before="360" w:after="0"/>
      <w:jc w:val="center"/>
    </w:pPr>
    <w:rPr>
      <w:rFonts w:ascii="Times New Roman" w:hAnsi="Times New Roman"/>
      <w:b/>
      <w:sz w:val="24"/>
    </w:rPr>
  </w:style>
  <w:style w:type="paragraph" w:customStyle="1" w:styleId="Pagedecouverture">
    <w:name w:val="Page de couverture"/>
    <w:basedOn w:val="Normal"/>
    <w:next w:val="Normal"/>
    <w:rsid w:val="00BD16F2"/>
    <w:rPr>
      <w:rFonts w:ascii="Times New Roman" w:hAnsi="Times New Roman"/>
      <w:sz w:val="24"/>
    </w:rPr>
  </w:style>
  <w:style w:type="paragraph" w:customStyle="1" w:styleId="Institutionquiagit">
    <w:name w:val="Institution qui agit"/>
    <w:basedOn w:val="Normal"/>
    <w:next w:val="Normal"/>
    <w:rsid w:val="00BD16F2"/>
    <w:pPr>
      <w:keepNext/>
      <w:spacing w:before="600"/>
    </w:pPr>
    <w:rPr>
      <w:rFonts w:ascii="Times New Roman" w:hAnsi="Times New Roman"/>
      <w:sz w:val="24"/>
    </w:rPr>
  </w:style>
  <w:style w:type="paragraph" w:styleId="Caption">
    <w:name w:val="caption"/>
    <w:basedOn w:val="Normal"/>
    <w:next w:val="Normal"/>
    <w:uiPriority w:val="35"/>
    <w:unhideWhenUsed/>
    <w:qFormat/>
    <w:rsid w:val="00BD16F2"/>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BD16F2"/>
    <w:pPr>
      <w:spacing w:before="60"/>
    </w:pPr>
    <w:rPr>
      <w:rFonts w:ascii="Segoe UI" w:hAnsi="Segoe UI"/>
      <w:sz w:val="15"/>
      <w:szCs w:val="20"/>
    </w:rPr>
  </w:style>
  <w:style w:type="paragraph" w:customStyle="1" w:styleId="CM11">
    <w:name w:val="CM1+1"/>
    <w:basedOn w:val="Default"/>
    <w:next w:val="Default"/>
    <w:uiPriority w:val="99"/>
    <w:rsid w:val="00BD16F2"/>
    <w:rPr>
      <w:rFonts w:ascii="EUAlbertina" w:eastAsiaTheme="minorEastAsia" w:hAnsi="EUAlbertina" w:cstheme="minorBidi"/>
      <w:color w:val="auto"/>
      <w:lang w:eastAsia="en-US"/>
    </w:rPr>
  </w:style>
  <w:style w:type="paragraph" w:customStyle="1" w:styleId="CM31">
    <w:name w:val="CM3+1"/>
    <w:basedOn w:val="Default"/>
    <w:next w:val="Default"/>
    <w:uiPriority w:val="99"/>
    <w:rsid w:val="00BD16F2"/>
    <w:rPr>
      <w:rFonts w:ascii="EUAlbertina" w:eastAsiaTheme="minorEastAsia" w:hAnsi="EUAlbertina" w:cstheme="minorBidi"/>
      <w:color w:val="auto"/>
      <w:lang w:eastAsia="en-US"/>
    </w:rPr>
  </w:style>
  <w:style w:type="paragraph" w:customStyle="1" w:styleId="CM13">
    <w:name w:val="CM1+3"/>
    <w:basedOn w:val="Default"/>
    <w:next w:val="Default"/>
    <w:uiPriority w:val="99"/>
    <w:rsid w:val="00BD16F2"/>
    <w:rPr>
      <w:rFonts w:ascii="EUAlbertina" w:eastAsiaTheme="minorEastAsia" w:hAnsi="EUAlbertina" w:cstheme="minorBidi"/>
      <w:color w:val="auto"/>
      <w:lang w:eastAsia="en-US"/>
    </w:rPr>
  </w:style>
  <w:style w:type="paragraph" w:customStyle="1" w:styleId="CM33">
    <w:name w:val="CM3+3"/>
    <w:basedOn w:val="Default"/>
    <w:next w:val="Default"/>
    <w:uiPriority w:val="99"/>
    <w:rsid w:val="00BD16F2"/>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BD16F2"/>
  </w:style>
  <w:style w:type="character" w:customStyle="1" w:styleId="UnresolvedMention1">
    <w:name w:val="Unresolved Mention1"/>
    <w:basedOn w:val="DefaultParagraphFont"/>
    <w:uiPriority w:val="99"/>
    <w:semiHidden/>
    <w:unhideWhenUsed/>
    <w:rsid w:val="00BD16F2"/>
    <w:rPr>
      <w:color w:val="605E5C"/>
      <w:shd w:val="clear" w:color="auto" w:fill="E1DFDD"/>
    </w:rPr>
  </w:style>
  <w:style w:type="character" w:styleId="Mention">
    <w:name w:val="Mention"/>
    <w:basedOn w:val="DefaultParagraphFont"/>
    <w:uiPriority w:val="99"/>
    <w:unhideWhenUsed/>
    <w:rsid w:val="00BD16F2"/>
    <w:rPr>
      <w:color w:val="2B579A"/>
      <w:shd w:val="clear" w:color="auto" w:fill="E1DFDD"/>
    </w:rPr>
  </w:style>
  <w:style w:type="paragraph" w:customStyle="1" w:styleId="pf0">
    <w:name w:val="pf0"/>
    <w:basedOn w:val="Normal"/>
    <w:rsid w:val="00BD16F2"/>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BD16F2"/>
  </w:style>
  <w:style w:type="character" w:customStyle="1" w:styleId="cf01">
    <w:name w:val="cf01"/>
    <w:basedOn w:val="DefaultParagraphFont"/>
    <w:rsid w:val="00BD16F2"/>
    <w:rPr>
      <w:rFonts w:ascii="Segoe UI" w:hAnsi="Segoe UI" w:cs="Segoe UI" w:hint="default"/>
      <w:sz w:val="18"/>
      <w:szCs w:val="18"/>
    </w:rPr>
  </w:style>
  <w:style w:type="paragraph" w:styleId="BodyText">
    <w:name w:val="Body Text"/>
    <w:basedOn w:val="Normal"/>
    <w:link w:val="BodyTextChar"/>
    <w:rsid w:val="00BD16F2"/>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BD16F2"/>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BD16F2"/>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BD16F2"/>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BD16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1A4160-CF31-437D-94DE-C373A010375A}"/>
</file>

<file path=customXml/itemProps2.xml><?xml version="1.0" encoding="utf-8"?>
<ds:datastoreItem xmlns:ds="http://schemas.openxmlformats.org/officeDocument/2006/customXml" ds:itemID="{6952D216-D3C6-4AB8-A370-6C6BC6A81648}">
  <ds:schemaRefs>
    <ds:schemaRef ds:uri="http://schemas.microsoft.com/sharepoint/v3/contenttype/forms"/>
  </ds:schemaRefs>
</ds:datastoreItem>
</file>

<file path=customXml/itemProps3.xml><?xml version="1.0" encoding="utf-8"?>
<ds:datastoreItem xmlns:ds="http://schemas.openxmlformats.org/officeDocument/2006/customXml" ds:itemID="{348B2F47-92F4-48EA-B739-CC0AC0544475}">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4153</Words>
  <Characters>26377</Characters>
  <Application>Microsoft Office Word</Application>
  <DocSecurity>0</DocSecurity>
  <Lines>659</Lines>
  <Paragraphs>275</Paragraphs>
  <ScaleCrop>false</ScaleCrop>
  <Company/>
  <LinksUpToDate>false</LinksUpToDate>
  <CharactersWithSpaces>30255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2025-01-27T12:24:00Z</dcterms:created>
  <dcterms:modified xsi:type="dcterms:W3CDTF">2025-01-27T12:24:00Z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2025-01-27T12:24:13Z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c127b223-5bdc-482e-8ccc-b6f39a89be2f</vt:lpwstr>
  </property>
  <property fmtid="{D5CDD505-2E9C-101B-9397-08002B2CF9AE}" pid="9" name="MSIP_Label_6bd9ddd1-4d20-43f6-abfa-fc3c07406f94_ContentBits">
    <vt:lpwstr>0</vt:lpwstr>
  </property>
</Properties>
</file>