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sz w:val="24"/>
          <w:szCs w:val="22"/>
          <w:rFonts w:ascii="Times New Roman" w:hAnsi="Times New Roman"/>
        </w:rPr>
      </w:pPr>
      <w:r>
        <w:rPr>
          <w:sz w:val="24"/>
          <w:rFonts w:ascii="Times New Roman" w:hAnsi="Times New Roman"/>
        </w:rPr>
        <w:t xml:space="preserve">LV</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II PIELIKUMS</w:t>
      </w:r>
    </w:p>
    <w:p w14:paraId="57A833DE" w14:textId="77777777" w:rsidR="00C4175A" w:rsidRPr="00037E7B" w:rsidRDefault="00C4175A" w:rsidP="00C4175A">
      <w:pPr>
        <w:jc w:val="center"/>
        <w:rPr>
          <w:sz w:val="24"/>
          <w:rFonts w:ascii="Times New Roman" w:hAnsi="Times New Roman"/>
        </w:rPr>
      </w:pPr>
      <w:r>
        <w:rPr>
          <w:sz w:val="24"/>
          <w:rFonts w:ascii="Times New Roman" w:hAnsi="Times New Roman"/>
        </w:rPr>
        <w:t xml:space="preserve">“II PIELIKUMS</w:t>
      </w:r>
    </w:p>
    <w:p w14:paraId="6ADAC0C2" w14:textId="77777777" w:rsidR="00C4175A" w:rsidRPr="00037E7B" w:rsidRDefault="00C4175A" w:rsidP="00C4175A">
      <w:pPr>
        <w:jc w:val="center"/>
        <w:rPr>
          <w:b/>
          <w:sz w:val="24"/>
          <w:rFonts w:ascii="Times New Roman" w:hAnsi="Times New Roman"/>
        </w:rPr>
      </w:pPr>
      <w:r>
        <w:rPr>
          <w:b/>
          <w:sz w:val="24"/>
          <w:rFonts w:ascii="Times New Roman" w:hAnsi="Times New Roman"/>
        </w:rPr>
        <w:t xml:space="preserve">NORĀDES PĀRSKATU SNIEGŠANAI PAR PAŠU KAPITĀLU UN PAŠU KAPITĀLA PRASĪBĀM</w:t>
      </w:r>
    </w:p>
    <w:p w14:paraId="6521CF01" w14:textId="77777777" w:rsidR="00C4175A" w:rsidRDefault="00C4175A" w:rsidP="00C4175A"/>
    <w:p w14:paraId="5D0F555E" w14:textId="77777777" w:rsidR="00C4175A" w:rsidRDefault="00C4175A" w:rsidP="00C4175A">
      <w:pPr>
        <w:spacing w:before="0" w:after="0"/>
        <w:jc w:val="left"/>
        <w:rPr>
          <w:rStyle w:val="InstructionsTabelleText"/>
          <w:b/>
          <w:bCs/>
          <w:sz w:val="24"/>
          <w:u w:val="single"/>
          <w:rFonts w:ascii="Times New Roman" w:hAnsi="Times New Roman"/>
        </w:rPr>
      </w:pPr>
      <w:r>
        <w:rPr>
          <w:rStyle w:val="InstructionsTabelleText"/>
          <w:b/>
          <w:sz w:val="24"/>
          <w:u w:val="single"/>
          <w:rFonts w:ascii="Times New Roman" w:hAnsi="Times New Roman"/>
        </w:rPr>
        <w:t xml:space="preserve">II DAĻA.</w:t>
      </w:r>
      <w:r>
        <w:rPr>
          <w:rStyle w:val="InstructionsTabelleText"/>
          <w:b/>
          <w:sz w:val="24"/>
          <w:u w:val="single"/>
          <w:rFonts w:ascii="Times New Roman" w:hAnsi="Times New Roman"/>
        </w:rPr>
        <w:t xml:space="preserve"> </w:t>
      </w:r>
      <w:r>
        <w:rPr>
          <w:rStyle w:val="InstructionsTabelleText"/>
          <w:b/>
          <w:sz w:val="24"/>
          <w:u w:val="single"/>
          <w:rFonts w:ascii="Times New Roman" w:hAnsi="Times New Roman"/>
        </w:rPr>
        <w:t xml:space="preserve">NORĀDĪJUMI SAISTĪBĀ AR VEIDNI</w:t>
      </w:r>
    </w:p>
    <w:p w14:paraId="304AE897" w14:textId="77777777" w:rsidR="00C4175A"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 </w:t>
      </w:r>
    </w:p>
    <w:p w14:paraId="44C9C2D8" w14:textId="77777777" w:rsidR="00C4175A" w:rsidRPr="00736637" w:rsidRDefault="00C4175A" w:rsidP="00C4175A">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r>
        <w:rPr>
          <w:sz w:val="24"/>
          <w:rFonts w:ascii="Times New Roman" w:hAnsi="Times New Roman"/>
        </w:rPr>
        <w:t xml:space="preserve">C 13.01. Kredītrisks — vērtspapīrošana (CR SEC)</w:t>
      </w:r>
    </w:p>
    <w:p w14:paraId="26EBF6BF"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0" w:name="_Toc522019828"/>
      <w:bookmarkStart w:id="1" w:name="_Toc151714434"/>
      <w:r>
        <w:rPr>
          <w:sz w:val="24"/>
          <w:u w:val="none"/>
          <w:rFonts w:ascii="Times New Roman" w:hAnsi="Times New Roman"/>
        </w:rPr>
        <w:t xml:space="preserve">3.7.1.</w:t>
      </w:r>
      <w:r>
        <w:rPr>
          <w:sz w:val="24"/>
          <w:u w:val="none"/>
          <w:rFonts w:ascii="Times New Roman" w:hAnsi="Times New Roman"/>
        </w:rPr>
        <w:tab/>
      </w:r>
      <w:r>
        <w:rPr>
          <w:sz w:val="24"/>
          <w:rFonts w:ascii="Times New Roman" w:hAnsi="Times New Roman"/>
        </w:rPr>
        <w:t xml:space="preserve">Vispārīgas piezīmes</w:t>
      </w:r>
      <w:bookmarkEnd w:id="0"/>
      <w:bookmarkEnd w:id="1"/>
    </w:p>
    <w:p w14:paraId="4565BDE6" w14:textId="44E484C9"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106</w:t>
      </w:r>
      <w:r>
        <w:fldChar w:fldCharType="end"/>
      </w:r>
      <w:r>
        <w:t xml:space="preserve">.</w:t>
      </w:r>
      <w:r>
        <w:t xml:space="preserve"> </w:t>
      </w:r>
      <w:r>
        <w:t xml:space="preserve">Ja iestāde darbojas kā iniciators, šajā veidnē ir nepieciešams sniegt informāciju par visiem vērtspapīrošanas darījumiem, attiecībā uz kuriem ir atzīta būtiska riska pārvešana.</w:t>
      </w:r>
      <w:r>
        <w:t xml:space="preserve"> </w:t>
      </w:r>
      <w:r>
        <w:t xml:space="preserve">Ja iestāde rīkojas kā ieguldītājs, uzrāda visus riska darījumus.</w:t>
      </w:r>
      <w:r>
        <w:t xml:space="preserve"> </w:t>
      </w:r>
    </w:p>
    <w:p w14:paraId="6B330974" w14:textId="0CFABC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107</w:t>
      </w:r>
      <w:r>
        <w:fldChar w:fldCharType="end"/>
      </w:r>
      <w:r>
        <w:t xml:space="preserve">.</w:t>
      </w:r>
      <w:r>
        <w:tab/>
      </w:r>
      <w:r>
        <w:t xml:space="preserve"> </w:t>
      </w:r>
      <w:r>
        <w:t xml:space="preserve">Uzrādāmā informācija ir atkarīga no iestādes lomas vērtspapīrošanas procesā.</w:t>
      </w:r>
      <w:r>
        <w:t xml:space="preserve"> </w:t>
      </w:r>
      <w:r>
        <w:t xml:space="preserve">Iniciatoriem, sponsoriem un ieguldītājiem piemēro īpašus pārskatu sniegšanas posteņus.</w:t>
      </w:r>
    </w:p>
    <w:p w14:paraId="1FFE8C5F" w14:textId="0A242D56"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108</w:t>
      </w:r>
      <w:r>
        <w:fldChar w:fldCharType="end"/>
      </w:r>
      <w:r>
        <w:t xml:space="preserve">.</w:t>
      </w:r>
      <w:r>
        <w:t xml:space="preserve"> </w:t>
      </w:r>
      <w:r>
        <w:t xml:space="preserve">Šajā veidnē apkopo informāciju gan par tradicionālajiem, gan par sintētiskajiem vērtspapīrošanas darījumiem, kas tiek glabāti banku portfelī.</w:t>
      </w:r>
      <w:r>
        <w:t xml:space="preserve"> </w:t>
      </w:r>
    </w:p>
    <w:p w14:paraId="035BDB47"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 w:name="_Toc522019829"/>
      <w:bookmarkStart w:id="3" w:name="_Toc151714435"/>
      <w:r>
        <w:rPr>
          <w:sz w:val="24"/>
          <w:u w:val="none"/>
          <w:rFonts w:ascii="Times New Roman" w:hAnsi="Times New Roman"/>
        </w:rPr>
        <w:t xml:space="preserve">3.7.2.</w:t>
      </w:r>
      <w:r>
        <w:rPr>
          <w:sz w:val="24"/>
          <w:u w:val="none"/>
          <w:rFonts w:ascii="Times New Roman" w:hAnsi="Times New Roman"/>
        </w:rPr>
        <w:tab/>
      </w:r>
      <w:r>
        <w:rPr>
          <w:sz w:val="24"/>
          <w:rFonts w:ascii="Times New Roman" w:hAnsi="Times New Roman"/>
        </w:rPr>
        <w:t xml:space="preserve">Norādījumi par konkrētām pozīcijām</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Slejas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436" w:type="dxa"/>
          </w:tcPr>
          <w:p w14:paraId="43CDF3AA"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KOPĒJĀ INICIĒTO VĒRTSPAPĪROŠANAS RISKA DARĪJUMU VĒRTĪBA</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Iniciatoriestādes pārskata sniegšanas datumā uzrāda visu vērtspapīrošanas darījumā iniciēto pašreizējo vērtspapīrošanas riska darījumu neatmaksāto summu neatkarīgi no tā, kas ir pozīciju turētājs.</w:t>
            </w:r>
            <w:r>
              <w:rPr>
                <w:sz w:val="24"/>
                <w:rFonts w:ascii="Times New Roman" w:hAnsi="Times New Roman"/>
              </w:rPr>
              <w:t xml:space="preserve"> </w:t>
            </w:r>
            <w:r>
              <w:rPr>
                <w:sz w:val="24"/>
                <w:rFonts w:ascii="Times New Roman" w:hAnsi="Times New Roman"/>
              </w:rPr>
              <w:t xml:space="preserve">Līdz ar to uzrāda gan bilances vērtspapīrošanas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vērtspapīrošanas darījumos.</w:t>
            </w:r>
            <w:r>
              <w:rPr>
                <w:sz w:val="24"/>
                <w:rFonts w:ascii="Times New Roman" w:hAnsi="Times New Roman"/>
              </w:rPr>
              <w:t xml:space="preserve">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Tradicionālās vērtspapīrošanas gadījumā, ja iniciators netur nekādas pozīcijas, tad iniciatoram minētā vērtspapīrošana nav jāņem vērā, sniedzot pārskatu šajā veidnē.</w:t>
            </w:r>
            <w:r>
              <w:rPr>
                <w:sz w:val="24"/>
                <w:rFonts w:ascii="Times New Roman" w:hAnsi="Times New Roman"/>
              </w:rPr>
              <w:t xml:space="preserve"> </w:t>
            </w:r>
            <w:r>
              <w:rPr>
                <w:sz w:val="24"/>
                <w:rFonts w:ascii="Times New Roman" w:hAnsi="Times New Roman"/>
              </w:rPr>
              <w:t xml:space="preserve">Šajā nolūkā iniciatora turētās vērtspapīrošanas pozīcijas ietver priekšlaicīgas amortizācijas noteikumus, kā noteikts Regulas (ES) Nr. 575/2013 242. panta 16) punktā, atjaunojamu riska darījumu vērtspapīrošanā.</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0020.–0040.</w:t>
            </w:r>
          </w:p>
        </w:tc>
        <w:tc>
          <w:tcPr>
            <w:tcW w:w="7436" w:type="dxa"/>
          </w:tcPr>
          <w:p w14:paraId="26D0FB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SINTĒTISKĀ VĒRTSPAPĪROŠANA:</w:t>
            </w:r>
            <w:r>
              <w:rPr>
                <w:b/>
                <w:sz w:val="24"/>
                <w:u w:val="single"/>
                <w:rFonts w:ascii="Times New Roman" w:hAnsi="Times New Roman"/>
              </w:rPr>
              <w:t xml:space="preserve"> </w:t>
            </w:r>
            <w:r>
              <w:rPr>
                <w:b/>
                <w:sz w:val="24"/>
                <w:u w:val="single"/>
                <w:rFonts w:ascii="Times New Roman" w:hAnsi="Times New Roman"/>
              </w:rPr>
              <w:t xml:space="preserve">VĒRTSPAPĪROTU RISKA DARĪJUMU KREDĪTAIZSARDZĪBA</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Regulas (ES) Nr. 575/2013 251. un 252. pants.</w:t>
            </w:r>
            <w:r>
              <w:rPr>
                <w:sz w:val="24"/>
                <w:rFonts w:ascii="Times New Roman" w:hAnsi="Times New Roman"/>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Termiņu nesakritību neņem vērā vērtspapīrošanas shēmā iesaistīto kredītriska mazināšanas metožu koriģētajā vērtībā.</w:t>
            </w:r>
            <w:r>
              <w:rPr>
                <w:sz w:val="24"/>
                <w:rFonts w:ascii="Times New Roman" w:hAnsi="Times New Roman"/>
              </w:rPr>
              <w:t xml:space="preserv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436" w:type="dxa"/>
          </w:tcPr>
          <w:p w14:paraId="60CF4FFE" w14:textId="77777777" w:rsidR="00933ADA" w:rsidRPr="002A677E" w:rsidRDefault="00933ADA" w:rsidP="00822842">
            <w:pPr>
              <w:spacing w:before="0" w:after="0"/>
              <w:jc w:val="left"/>
              <w:rPr>
                <w:b/>
                <w:strike/>
                <w:sz w:val="24"/>
                <w:u w:val="single"/>
                <w:rFonts w:ascii="Times New Roman" w:hAnsi="Times New Roman"/>
              </w:rPr>
            </w:pPr>
            <w:r>
              <w:rPr>
                <w:b/>
                <w:sz w:val="24"/>
                <w:u w:val="single"/>
                <w:rFonts w:ascii="Times New Roman" w:hAnsi="Times New Roman"/>
              </w:rPr>
              <w:t xml:space="preserve">(-) FONDĒTĀ KREDĪTAIZSARDZĪBA (C</w:t>
            </w:r>
            <w:r>
              <w:rPr>
                <w:b/>
                <w:sz w:val="24"/>
                <w:u w:val="single"/>
                <w:vertAlign w:val="subscript"/>
                <w:rFonts w:ascii="Times New Roman" w:hAnsi="Times New Roman"/>
              </w:rPr>
              <w:t xml:space="preserve">VA</w:t>
            </w:r>
            <w:r>
              <w:rPr>
                <w:b/>
                <w:sz w:val="24"/>
                <w:u w:val="single"/>
                <w:rFonts w:ascii="Times New Roman" w:hAnsi="Times New Roman"/>
              </w:rPr>
              <w:t xml:space="preserve">)</w:t>
            </w:r>
            <w:r>
              <w:rPr>
                <w:b/>
                <w:sz w:val="24"/>
                <w:u w:val="single"/>
                <w:rFonts w:ascii="Times New Roman" w:hAnsi="Times New Roman"/>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223. panta 2. punktā ir noteikta detalizēta procedūra attiecībā uz to, kā aprēķināt nodrošinājuma vērtību, kurai piemērota svārstīguma korekcija (C</w:t>
            </w:r>
            <w:r>
              <w:rPr>
                <w:sz w:val="24"/>
                <w:vertAlign w:val="subscript"/>
                <w:rFonts w:ascii="Times New Roman" w:hAnsi="Times New Roman"/>
              </w:rPr>
              <w:t xml:space="preserve">V</w:t>
            </w:r>
            <w:r>
              <w:rPr>
                <w:sz w:val="24"/>
                <w:rFonts w:ascii="Times New Roman" w:hAnsi="Times New Roman"/>
              </w:rPr>
              <w:t xml:space="preserve">) un kuru uzrāda šajā slejā.</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436" w:type="dxa"/>
          </w:tcPr>
          <w:p w14:paraId="17051CB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IZEJOŠĀS NAUDAS PLŪSMAS KOPĀ:</w:t>
            </w:r>
            <w:r>
              <w:rPr>
                <w:b/>
                <w:sz w:val="24"/>
                <w:u w:val="single"/>
                <w:rFonts w:ascii="Times New Roman" w:hAnsi="Times New Roman"/>
              </w:rPr>
              <w:t xml:space="preserve"> </w:t>
            </w:r>
            <w:r>
              <w:rPr>
                <w:b/>
                <w:sz w:val="24"/>
                <w:u w:val="single"/>
                <w:rFonts w:ascii="Times New Roman" w:hAnsi="Times New Roman"/>
              </w:rPr>
              <w:t xml:space="preserve">NEFONDĒTĀS KREDĪTAIZSARDZĪBAS KORIĢĒTĀS VĒRTĪBAS (G*)</w:t>
            </w:r>
            <w:r>
              <w:rPr>
                <w:b/>
                <w:sz w:val="24"/>
                <w:u w:val="single"/>
                <w:rFonts w:ascii="Times New Roman" w:hAnsi="Times New Roman"/>
              </w:rPr>
              <w:t xml:space="preserve">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Ņemot vērā vispārējo noteikumu par “ienākošajām naudas plūsmām” un “izejošajām naudas plūsmām”, šajā slejā uzrādītās summas norāda kā “ienākošās naudas plūsmas” attiecīgajā kredītriska veidnē (CR SA vai CR IRB) un riska darījumu kategorijā, kurai pārskatu sniedzošā sabiedrība iedala aizsardzības devēju (t. i., trešo personu, uz kuru ar nefondēto kredītaizsardzību tiek pārvests laidiens).</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233. panta 3. punktā ir noteikta procedūra attiecībā uz to, kā aprēķināt “ārvalstu valūtas risku” – kredītaizsardzības nominālvērtību, kurai piemērota korekcija (G*).</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436" w:type="dxa"/>
          </w:tcPr>
          <w:p w14:paraId="01A64F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SAGLABĀTĀS VAI ATPIRKTĀS KREDĪTAIZSARDZĪBAS NOSACĪTĀ SUMMA</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Visus laidienus, kas ir saglabāti vai atpirkti, piemēram, paturētas pirmās kārtas zaudējumu pozīcijas, uzrāda to nominālajā summā.</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Aprēķinot saglabātās vai atpirktās kredītaizsardzības summu, neņem vērā uzraudzības iestādes diskontu ietekmi uz kredītaizsardzību.</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436" w:type="dxa"/>
          </w:tcPr>
          <w:p w14:paraId="3061323C"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VĒRTSPAPĪROŠANAS POZĪCIJAS:</w:t>
            </w:r>
            <w:r>
              <w:rPr>
                <w:b/>
                <w:sz w:val="24"/>
                <w:u w:val="single"/>
                <w:rFonts w:ascii="Times New Roman" w:hAnsi="Times New Roman"/>
              </w:rPr>
              <w:t xml:space="preserve"> </w:t>
            </w:r>
            <w:r>
              <w:rPr>
                <w:b/>
                <w:sz w:val="24"/>
                <w:u w:val="single"/>
                <w:rFonts w:ascii="Times New Roman" w:hAnsi="Times New Roman"/>
              </w:rPr>
              <w:t xml:space="preserve">SĀKOTNĒJĀ RISKA DARĪJUMU VĒRTĪBA PIRMS KOREKCIJAS PAKĀPĒM</w:t>
            </w:r>
            <w:r>
              <w:rPr>
                <w:b/>
                <w:sz w:val="24"/>
                <w:u w:val="single"/>
                <w:rFonts w:ascii="Times New Roman" w:hAnsi="Times New Roman"/>
              </w:rPr>
              <w:t xml:space="preserve">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slejā ietver pārskatu sniedzošās iestādes turēto vērtspapīrošanas pozīciju riska darījumu vērtības, kas aprēķinātas saskaņā ar Regulas (ES) Nr. 575/2013 248. panta 1. un 2. punktu, nepiemērojot kredīta korekcijas pakāpes, ieskaitot vērtības korekcijas un uzkrājumus, un visas neatmaksājamās pirkuma cenu atlaides vērtspapīrotajiem riska darījumiem, kā minēts Regulas (ES) Nr. 575/2013 248. panta 1. punkta d) apakšpunktā, un ieskaitot vērtības korekcijas un uzkrājumus vērtspapīrošanas pozīcijai.</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Savstarpējo prasījumu ieskaits ir būtisks tikai attiecībā uz vienai un tai pašai SSPE sniegtiem vairākiem atvasināto instrumentu līgumiem, uz kuriem attiecas atbilstošs savstarpējo prasījumu ieskaita līgums.</w:t>
            </w:r>
            <w:r>
              <w:rPr>
                <w:sz w:val="24"/>
                <w:rFonts w:ascii="Times New Roman" w:hAnsi="Times New Roman"/>
              </w:rPr>
              <w:t xml:space="preserve">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Sintētiskās vērtspapīrošanas gadījumā pozīcijas, ko iniciators tur bilances posteņu un/vai ieguldītāja līdzdalības daļas veidā, ir 0010.–0040. slejas apkopojuma rezultāts.</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436" w:type="dxa"/>
          </w:tcPr>
          <w:p w14:paraId="7D82E37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VĒRTĪBAS KOREKCIJAS UN UZKRĀJUMI</w:t>
            </w:r>
            <w:r>
              <w:rPr>
                <w:b/>
                <w:sz w:val="24"/>
                <w:u w:val="single"/>
                <w:rFonts w:ascii="Times New Roman" w:hAnsi="Times New Roman"/>
              </w:rPr>
              <w:t xml:space="preserve">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248. pants.</w:t>
            </w:r>
            <w:r>
              <w:rPr>
                <w:sz w:val="24"/>
                <w:rFonts w:ascii="Times New Roman" w:hAnsi="Times New Roman"/>
              </w:rPr>
              <w:t xml:space="preserve"> </w:t>
            </w:r>
            <w:r>
              <w:rPr>
                <w:sz w:val="24"/>
                <w:rFonts w:ascii="Times New Roman" w:hAnsi="Times New Roman"/>
              </w:rPr>
              <w:t xml:space="preserve">Vērtības korekcijas un uzkrājumi, kas jānorāda šajā slejā, attiecas tikai uz vērtspapīrošanas pozīcijām.</w:t>
            </w:r>
            <w:r>
              <w:rPr>
                <w:sz w:val="24"/>
                <w:rFonts w:ascii="Times New Roman" w:hAnsi="Times New Roman"/>
              </w:rPr>
              <w:t xml:space="preserve"> </w:t>
            </w:r>
            <w:r>
              <w:rPr>
                <w:sz w:val="24"/>
                <w:rFonts w:ascii="Times New Roman" w:hAnsi="Times New Roman"/>
              </w:rPr>
              <w:t xml:space="preserve">Vērtspapīrošanas riska darījumu vērtības korekcijas neņem vērā.</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w:t>
            </w:r>
          </w:p>
        </w:tc>
        <w:tc>
          <w:tcPr>
            <w:tcW w:w="7436" w:type="dxa"/>
          </w:tcPr>
          <w:p w14:paraId="2F67DB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VĒRTĪBA BEZ VĒRTĪBAS KOREKCIJĀM UN UZKRĀJUMIEM</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slejā ietver vērtspapīrošanas pozīciju riska darījumu vērtības, kas aprēķinātas saskaņā ar Regulas (ES) Nr. 575/2013 248. panta 1. un 2. punktu, bez vērtības korekcijām un uzkrājumiem, nepiemērojot korekcijas pakāpes un ieskaitot visas neatmaksājamās pirkuma cenu atlaides vērtspapīrotajiem riska darījumiem, kā minēts Regulas (ES) Nr. 575/2013 248. panta 1. punkta d) apakšpunktā, un bez vērtības korekcijām un uzkrājumiem vērtspapīrošanas pozīcijai.</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0080.–0110.</w:t>
            </w:r>
          </w:p>
        </w:tc>
        <w:tc>
          <w:tcPr>
            <w:tcW w:w="7436" w:type="dxa"/>
          </w:tcPr>
          <w:p w14:paraId="22E58F4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KREDĪTRISKA MAZINĀŠANAS (KRM) METODES AR AIZSTĀŠANAS IETEKMI UZ RISKA DARĪJUMU</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Regulas (ES) Nr. 575/2013 Trešās daļas II sadaļas 4. nodaļas 4. panta 1. punkta 57) apakšpunkts un 249. pants.</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Iestādes šajās slejās uzrāda informāciju par kredītriska mazināšanas metodēm, kas samazina riska darījuma vai riska darījumu kredītrisku, aizstājot riska darījumus (kā turpmāk norādīts attiecībā uz ienākošajām un izejošajām naudas plūsmām).</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 xml:space="preserve">Nodrošinājumam, kas ietekmē riska darījuma vērtību (piemēram, ja to izmanto kredītriska mazināšanas metodēs ar aizstāšanas ietekmi uz riska darījumu), nosaka maksimālo robežvērtību riska darījuma vērtības apmērā.</w:t>
            </w:r>
          </w:p>
          <w:p w14:paraId="3EDD5442" w14:textId="77777777" w:rsidR="00933ADA" w:rsidRPr="002A677E" w:rsidRDefault="00933ADA" w:rsidP="00822842">
            <w:pPr>
              <w:pStyle w:val="InstructionsText"/>
            </w:pPr>
            <w:r>
              <w:t xml:space="preserve">Šeit uzrādāmie posteņi:</w:t>
            </w:r>
          </w:p>
          <w:p w14:paraId="4BF643C3"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nodrošinājums, kas iekļauts saskaņā ar Regulas (ES) Nr. 575/2013 222. pantu (finanšu nodrošinājuma vienkāršo metodi);</w:t>
            </w:r>
          </w:p>
          <w:p w14:paraId="41927D3C" w14:textId="77777777" w:rsidR="00933ADA" w:rsidRPr="002A677E" w:rsidRDefault="00933ADA" w:rsidP="00933ADA">
            <w:pPr>
              <w:pStyle w:val="ListParagraph"/>
              <w:numPr>
                <w:ilvl w:val="0"/>
                <w:numId w:val="21"/>
              </w:numPr>
              <w:tabs>
                <w:tab w:val="num" w:pos="360"/>
              </w:tabs>
              <w:spacing w:before="0" w:after="0"/>
              <w:rPr>
                <w:sz w:val="24"/>
                <w:rFonts w:ascii="Times New Roman" w:hAnsi="Times New Roman"/>
              </w:rPr>
            </w:pPr>
            <w:r>
              <w:rPr>
                <w:sz w:val="24"/>
                <w:rFonts w:ascii="Times New Roman" w:hAnsi="Times New Roman"/>
              </w:rPr>
              <w:t xml:space="preserve">atbilstoša nefondētā kredītaizsardzība.</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436" w:type="dxa"/>
          </w:tcPr>
          <w:p w14:paraId="301D2B1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NEFONDĒTĀ KREDĪTAIZSARDZĪBA:</w:t>
            </w:r>
            <w:r>
              <w:rPr>
                <w:b/>
                <w:sz w:val="24"/>
                <w:u w:val="single"/>
                <w:rFonts w:ascii="Times New Roman" w:hAnsi="Times New Roman"/>
              </w:rPr>
              <w:t xml:space="preserve"> </w:t>
            </w:r>
            <w:r>
              <w:rPr>
                <w:b/>
                <w:sz w:val="24"/>
                <w:u w:val="single"/>
                <w:rFonts w:ascii="Times New Roman" w:hAnsi="Times New Roman"/>
              </w:rPr>
              <w:t xml:space="preserve">KORIĢĒTĀS VĒRTĪBAS (G</w:t>
            </w:r>
            <w:r>
              <w:rPr>
                <w:b/>
                <w:sz w:val="24"/>
                <w:u w:val="single"/>
                <w:vertAlign w:val="subscript"/>
                <w:rFonts w:ascii="Times New Roman" w:hAnsi="Times New Roman"/>
              </w:rPr>
              <w:t xml:space="preserve">A</w:t>
            </w:r>
            <w:r>
              <w:rPr>
                <w:b/>
                <w:sz w:val="24"/>
                <w:u w:val="single"/>
                <w:rFonts w:ascii="Times New Roman" w:hAnsi="Times New Roman"/>
              </w:rPr>
              <w:t xml:space="preserve">)</w:t>
            </w:r>
            <w:r>
              <w:rPr>
                <w:b/>
                <w:sz w:val="24"/>
                <w:u w:val="single"/>
                <w:rFonts w:ascii="Times New Roman" w:hAnsi="Times New Roman"/>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Nefondētā kredītaizsardzība, kā definēts Regulas (ES) 575/2013 4. panta 1. punkta 59) apakšpunktā, 234. līdz 236. pantā.</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436" w:type="dxa"/>
          </w:tcPr>
          <w:p w14:paraId="54AA8BC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 FONDĒTĀ KREDĪTAIZSARDZĪBA</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Fondētā kredītaizsardzība, kā definēts Regulas (ES) Nr. 575/2013 4. panta 1. punkta 58) apakšpunktā, kā noteikts minētās regulas 249. panta 2. punkta pirmajā daļā un kā reglamentēts minētās regulas 195., 197. un 200. pantā.</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Ar kredītrisku saistītās parādzīmes un bilances posteņu savstarpējo prasījumu ieskaitu, kā minēts Regulas (ES) Nr. 575/2013 218. un 219. pantā, pielīdzina naudas nodrošinājumam.</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0100.–0110.</w:t>
            </w:r>
          </w:p>
        </w:tc>
        <w:tc>
          <w:tcPr>
            <w:tcW w:w="7436" w:type="dxa"/>
          </w:tcPr>
          <w:p w14:paraId="6E367B9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RISKA DARĪJUMA AIZSTĀŠANA SAISTĪBĀ AR KRM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Uzrāda vienās un tajās pašās riska darījumu kategorijās — un attiecīgā gadījumā parādnieku kategorijās — ienākošās un izejošās naudas plūsmas.</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436" w:type="dxa"/>
          </w:tcPr>
          <w:p w14:paraId="27758A2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IZEJOŠĀS NAUDAS PLŪSMAS KOPĀ:</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222. panta 3. punkts, 235. panta 1. un 2. punkts un 236. pants.</w:t>
            </w:r>
            <w:r>
              <w:rPr>
                <w:sz w:val="24"/>
                <w:rFonts w:ascii="Times New Roman" w:hAnsi="Times New Roman"/>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Izejošās naudas plūsmas atbilst “Riska darījuma vērtības bez vērtības korekcijām un uzkrājumiem” segtajai daļai, ko atskaita no parādnieka riska darījumu kategorijas — un attiecīgā gadījumā no riska svēruma vai parādnieka kategorijas —, un pēc tam iedala aizsardzības devēja riska darījumu kategorijā — un attiecīgā gadījumā riska svērumā vai parādnieka kategorijā.</w:t>
            </w:r>
            <w:r>
              <w:rPr>
                <w:sz w:val="24"/>
                <w:rFonts w:ascii="Times New Roman" w:hAnsi="Times New Roman"/>
              </w:rPr>
              <w:t xml:space="preserv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Minēto summu uzskata par aizsardzības devēja riska darījumu kategorijā — un attiecīgā gadījumā riska svērumos vai parādnieku kategorijās — ienākošo naudas plūsmu.</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IENĀKOŠĀS PLŪSMAS KOPĀ</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Ja izmanto finanšu nodrošinājuma vienkāršo metodi, vērtspapīrošanas pozīcijas, kas ir parāda vērtspapīri un ko izmanto kā atbilstošu finanšu nodrošinājumu saskaņā ar Regulas (ES) Nr. 575/2013 197. panta 1. punktu, šajā slejā uzrāda kā ienākošās naudas plūsmas.</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NETO RISKA DARĪJUMA VĒRTĪBA PĒC KRM AIZSTĀŠANAS IETEKMES, PIRMS KOREKCIJAS PAKĀPĒM</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sz w:val="24"/>
                <w:rFonts w:ascii="Times New Roman" w:hAnsi="Times New Roman"/>
              </w:rPr>
            </w:pPr>
            <w:r>
              <w:rPr>
                <w:rStyle w:val="FormatvorlageInstructionsTabelleText"/>
                <w:sz w:val="24"/>
                <w:rFonts w:ascii="Times New Roman" w:hAnsi="Times New Roman"/>
              </w:rPr>
              <w:t xml:space="preserve">Šajā slejā ietver attiecīgi riska svērumā un riska darījumu kategorijā iedalītos riska darījums pēc tam, kad ņemtas vērā ienākošās un izejošās naudas plūsmas saistībā ar “Kredītriska mazināšanas (KRM) metodēm ar aizstāšanas ietekmi uz riska darījumu”.</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sz w:val="24"/>
                <w:rFonts w:ascii="Times New Roman" w:hAnsi="Times New Roman"/>
              </w:rPr>
            </w:pPr>
            <w:r>
              <w:rPr>
                <w:rStyle w:val="InstructionsTabelleberschrift"/>
                <w:sz w:val="24"/>
                <w:rFonts w:ascii="Times New Roman" w:hAnsi="Times New Roman"/>
              </w:rPr>
              <w:t xml:space="preserve">(-) KREDĪTRISKA MAZINĀŠANAS METODES, KAS IETEKMĒ RISKA DARĪJUMU VĒRTĪBU:</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FONDĒTĀS KREDĪTAIZSARDZĪBAS FINANŠU NODROŠINĀJUMA PAPLAŠINĀTĀS METODES KORIĢĒTĀ VĒRTĪBA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Regulas (ES) Nr. 575/2013 223. līdz 228. pants.</w:t>
            </w:r>
            <w:r>
              <w:t xml:space="preserve"> </w:t>
            </w:r>
          </w:p>
          <w:p w14:paraId="169BAC4D" w14:textId="77777777" w:rsidR="00933ADA" w:rsidRPr="002A677E" w:rsidRDefault="00933ADA" w:rsidP="00822842">
            <w:pPr>
              <w:pStyle w:val="InstructionsText"/>
            </w:pPr>
            <w:r>
              <w:t xml:space="preserve">Tās ietver arī ar kredītrisku saistītās parādzīmes (Regulas (ES) Nr. 575/2013 218. pants).</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436" w:type="dxa"/>
          </w:tcPr>
          <w:p w14:paraId="2743058A"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PILNĪBĀ KORIĢĒTĀ RISKA DARĪJUMU VĒRTĪBA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pozīciju riska darījuma vērtība, kas aprēķināta saskaņā ar Regulas (ES) Nr. 575/2013 248. pantu, bet nepiemērojot minētās regulas 248. panta 1. punkta b) apakšpunktā noteiktās korekcijas pakāpes</w:t>
            </w:r>
            <w:r>
              <w:rPr>
                <w:sz w:val="24"/>
                <w:rFonts w:ascii="Times New Roman" w:hAnsi="Times New Roman"/>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0150.</w:t>
            </w:r>
          </w:p>
        </w:tc>
        <w:tc>
          <w:tcPr>
            <w:tcW w:w="7436" w:type="dxa"/>
          </w:tcPr>
          <w:p w14:paraId="3FAB429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KAM PIEMĒRO 0 % KREDĪTA KOREKCIJAS PAKĀPI</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248. panta 1. punkta b) apakšpunkts.</w:t>
            </w:r>
            <w:r>
              <w:rPr>
                <w:sz w:val="24"/>
                <w:rFonts w:ascii="Times New Roman" w:hAnsi="Times New Roman"/>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ziņā Regulas (ES) Nr. 575/2013 4. panta 1. punkta 56. apakšpunktā ir noteikta korekcijas pakāpe.</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Pārskatu sniegšanas nolūkā pilnībā koriģētās riska darījumu vērtības (E*) uzrāda par 0 % korekcijas pakāpi.</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0160.</w:t>
            </w:r>
          </w:p>
        </w:tc>
        <w:tc>
          <w:tcPr>
            <w:tcW w:w="7436" w:type="dxa"/>
          </w:tcPr>
          <w:p w14:paraId="413AA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NEATMAKSĀJAMA PIRKUMA CENAS ATLAIDE</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Saskaņā ar Regulas (ES) Nr. 575/2013 248. panta 1. punkta d) apakšpunktu iniciatoriestāde no tādas vērtspapīrošanas pozīcijas riska darījuma vērtības, kurai ir piemērots 1 250 % riska svērums, var atskaitīt jebkādas neatmaksājamas pirkuma cenas atlaides, kas saistītas ar šādiem pamatā esošiem riska darījumiem, ja šādas atlaides ir radījušas pašu kapitāla samazinājumu.</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0170.</w:t>
            </w:r>
          </w:p>
        </w:tc>
        <w:tc>
          <w:tcPr>
            <w:tcW w:w="7436" w:type="dxa"/>
          </w:tcPr>
          <w:p w14:paraId="77740A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SPECIFISKĀS KREDĪTRISKA KOREKCIJAS, KO PIEMĒRO PAMATĀ ESOŠAJIEM RISKA DARĪJUMIEM</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Saskaņā ar Regulas (ES) Nr. 575/2013 248. panta 1. punkta d) apakšpunktu iniciatoriestāde no tādas vērtspapīrošanas pozīcijas riska darījuma vērtības, kurai ir piemērots 1 250 % riska svērums vai kura ir atskaitīta no pirmā līmeņa pamata kapitāla, var atskaitīt specifiskās kredītriska korekcijas attiecībā uz pamatā esošiem riska darījumiem, kā noteikts saskaņā ar Regulas (ES) Nr. 575/2013 110. pantu.</w:t>
            </w:r>
            <w:r>
              <w:rPr>
                <w:sz w:val="24"/>
                <w:rFonts w:ascii="Times New Roman" w:hAnsi="Times New Roman"/>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0180.</w:t>
            </w:r>
          </w:p>
        </w:tc>
        <w:tc>
          <w:tcPr>
            <w:tcW w:w="7436" w:type="dxa"/>
          </w:tcPr>
          <w:p w14:paraId="344AF97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VĒRTĪBA</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pozīciju riska darījuma vērtība, kas aprēķināta saskaņā ar Komisijas Deleģētās regulas (ES) Nr. 575/2013 248. pantu.</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436" w:type="dxa"/>
          </w:tcPr>
          <w:p w14:paraId="669E588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RISKA DARĪJUMU VĒRTĪBA, KAS ATSKAITĪTA NO PAŠU KAPITĀLA</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Saskaņā ar Regulas (ES) Nr. 575/2013 244. panta 1. punkta b) apakšpunktu, 245. panta 1. punkta b) apakšpunktu un 253. panta 1. punktu, tādas vērtspapīrošanas pozīcijas gadījumā, kurai piemēro 1 250 % riska svērumu, iestādes var kā alternatīvu pozīcijas iekļaušanai riska darījumu riska svērto vērtību aprēķinos atskaitīt no pašu kapitāla šīs pozīcijas riska darījuma vērtību. </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436" w:type="dxa"/>
          </w:tcPr>
          <w:p w14:paraId="1A9A673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VĒRTĪBAS, KAM PIEMĒRO RISKA SVĒRUMUS</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Riska darījuma vērtība mīnus no pašu kapitāla atskaitītā riska darījuma vērtība.</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0210.</w:t>
            </w:r>
          </w:p>
        </w:tc>
        <w:tc>
          <w:tcPr>
            <w:tcW w:w="7436" w:type="dxa"/>
          </w:tcPr>
          <w:p w14:paraId="344D287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Vērtspapīrošanas IRB pieeja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254. panta 1. punkta a) apakšpunkts</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0220.–0260.</w:t>
            </w:r>
          </w:p>
        </w:tc>
        <w:tc>
          <w:tcPr>
            <w:tcW w:w="7436" w:type="dxa"/>
          </w:tcPr>
          <w:p w14:paraId="5817426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SADALĪJUMS PĒC RISKA SVĒRUMA LĪMEŅIEM</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SEC-IRBA riska darījumi, kas sadalīti pēc riska svēruma līmeņiem.</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0270.</w:t>
            </w:r>
          </w:p>
        </w:tc>
        <w:tc>
          <w:tcPr>
            <w:tcW w:w="7436" w:type="dxa"/>
          </w:tcPr>
          <w:p w14:paraId="543A13B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APRĒĶINĀTS SASKAŅĀ AR 255. PANTA 4. PUNKTU (NOPIRKTIE DEBITORU PARĀDI)</w:t>
            </w:r>
            <w:r>
              <w:rPr>
                <w:b/>
                <w:sz w:val="24"/>
                <w:u w:val="single"/>
                <w:rFonts w:ascii="Times New Roman" w:hAnsi="Times New Roman"/>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255. panta 4. punkts</w:t>
            </w:r>
          </w:p>
          <w:p w14:paraId="0456A57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0B15FF0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Šajā slejā riska darījumus ar privātpersonām vai MVU uzskata par nopirktiem privātpersonu vai MVU debitoru parādiem, un ar privātpersonām vai MVU nesaistītus riska darījumus uzskata par nopirktiem komercsabiedrību debitoru parādiem.</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0280.</w:t>
            </w:r>
          </w:p>
        </w:tc>
        <w:tc>
          <w:tcPr>
            <w:tcW w:w="7436" w:type="dxa"/>
          </w:tcPr>
          <w:p w14:paraId="5F444F6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Standartizētā vērtspapīrošanas pieeja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Regulas (ES) Nr. 575/2013 254. panta 1. punkta b) apakšpunkts.</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0290.–0340.</w:t>
            </w:r>
          </w:p>
        </w:tc>
        <w:tc>
          <w:tcPr>
            <w:tcW w:w="7436" w:type="dxa"/>
          </w:tcPr>
          <w:p w14:paraId="27C847E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SADALĪJUMS PĒC RISKA SVĒRUMA LĪMEŅIEM</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SEC-SA riska darījumi, kas sadalīti pēc riska pakāpju diapazoniem.</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Attiecībā uz RW 1 250 % (</w:t>
            </w:r>
            <w:r>
              <w:rPr>
                <w:sz w:val="24"/>
                <w:i/>
                <w:iCs/>
                <w:rFonts w:ascii="Times New Roman" w:hAnsi="Times New Roman"/>
              </w:rPr>
              <w:t xml:space="preserve">W</w:t>
            </w:r>
            <w:r>
              <w:rPr>
                <w:sz w:val="24"/>
                <w:rFonts w:ascii="Times New Roman" w:hAnsi="Times New Roman"/>
              </w:rPr>
              <w:t xml:space="preserve"> nav zināma) Regulas (ES) Nr. 575/2013 261. panta 2. punkta b) apakšpunkta ceturtajā daļā noteikts, ka, ja iestādei nav zināms kavējumu statuss vairāk nekā 5 % no pamatā esošajiem riska darījumiem portfelī, vērtspapīrošanas pozīcijas riska svērums ir 1 250 %.</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0350.</w:t>
            </w:r>
          </w:p>
        </w:tc>
        <w:tc>
          <w:tcPr>
            <w:tcW w:w="7436" w:type="dxa"/>
          </w:tcPr>
          <w:p w14:paraId="25BDDA47"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Uz ārējiem reitingiem balstītā vērtspapīrošanas pieeja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254. panta 1. punkta c) apakšpunkts.</w:t>
            </w:r>
            <w:r>
              <w:rPr>
                <w:sz w:val="24"/>
                <w:rFonts w:ascii="Times New Roman" w:hAnsi="Times New Roman"/>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0360.–0570.</w:t>
            </w:r>
          </w:p>
        </w:tc>
        <w:tc>
          <w:tcPr>
            <w:tcW w:w="7436" w:type="dxa"/>
          </w:tcPr>
          <w:p w14:paraId="7C1D69BB"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SADALĪJUMS PA KREDĪTKVALITĀTES PAKĀPĒM (ĪSTERMIŅA/ILGTERMIŅA KREDĪTA KVALITĀTES PAKĀPES)</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Regulas (ES) Nr. 575/2013 263. pants.</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SEC-ERBA vērtspapīrošanas pozīcijas ar iespējamo reitingu, kā minēts Regulas (ES) Nr. 575/2013 254. panta 2. punktā, uzrāda kā pozīcijas ar reitingu.</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Riska darījumu vērtības, kurām piemēro riska svērumus, iedala īstermiņa un ilgtermiņa un pēc kredītkvalitātes pakāpēm, kā noteikts Regulas (ES) Nr. 575/2013 263. panta 1. un 2. tabulā un 264. panta 3. un 4. tabulā.</w:t>
            </w:r>
            <w:r>
              <w:rPr>
                <w:sz w:val="24"/>
                <w:rFonts w:ascii="Times New Roman" w:hAnsi="Times New Roman"/>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0580.–0630.</w:t>
            </w:r>
          </w:p>
        </w:tc>
        <w:tc>
          <w:tcPr>
            <w:tcW w:w="7436" w:type="dxa"/>
          </w:tcPr>
          <w:p w14:paraId="14F9F73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SADALĪJUMS PĒC SEC-ERBA PIEMĒROŠANAS IEMESLIEM</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Attiecībā uz katru vērtspapīrošanas pozīciju iestādes 0580.–0620. slejā ņem vērā vienu no šādām iespējām.</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0580.</w:t>
            </w:r>
          </w:p>
        </w:tc>
        <w:tc>
          <w:tcPr>
            <w:tcW w:w="7436" w:type="dxa"/>
          </w:tcPr>
          <w:p w14:paraId="44812E51"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KREDĪTI AUTOMAŠĪNU IEGĀDEI, AUTOMAŠĪBU IZPIRKUMNOMAS LĪGUMI UN APRĪKOJUMA NOMA</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r>
              <w:rPr>
                <w:sz w:val="24"/>
                <w:rFonts w:ascii="Times New Roman" w:hAnsi="Times New Roman"/>
              </w:rPr>
              <w:t xml:space="preserve">Regulas (ES) Nr. 575/2013 254. panta 2. punkta c) apakšpunkts.</w:t>
            </w:r>
            <w:r>
              <w:rPr>
                <w:sz w:val="24"/>
                <w:rFonts w:ascii="Times New Roman" w:hAnsi="Times New Roman"/>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b/>
                <w:sz w:val="24"/>
                <w:u w:val="single"/>
                <w:rFonts w:ascii="Times New Roman" w:hAnsi="Times New Roman"/>
              </w:rPr>
            </w:pPr>
            <w:r>
              <w:rPr>
                <w:sz w:val="24"/>
                <w:rFonts w:ascii="Times New Roman" w:hAnsi="Times New Roman"/>
              </w:rPr>
              <w:t xml:space="preserve">Šajā slejā uzrāda visus aizdevumus automašīnu iegādei, automašīnu izpirkumnomas un iekārtu izpirkumnomas, pat ja tās atbilst Regulas (ES) Nr. 575/2013 254. panta 2. punkta a) vai b) apakšpunktam.</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0590.</w:t>
            </w:r>
          </w:p>
        </w:tc>
        <w:tc>
          <w:tcPr>
            <w:tcW w:w="7436" w:type="dxa"/>
          </w:tcPr>
          <w:p w14:paraId="05A7A8AD" w14:textId="77777777" w:rsidR="00933ADA" w:rsidRPr="00B44FD0" w:rsidRDefault="00933ADA" w:rsidP="00822842">
            <w:pPr>
              <w:spacing w:before="0" w:after="0"/>
              <w:rPr>
                <w:b/>
                <w:sz w:val="24"/>
                <w:u w:val="single"/>
                <w:rFonts w:ascii="Times New Roman" w:hAnsi="Times New Roman"/>
              </w:rPr>
            </w:pPr>
            <w:r>
              <w:rPr>
                <w:b/>
                <w:sz w:val="24"/>
                <w:u w:val="single"/>
                <w:rFonts w:ascii="Times New Roman" w:hAnsi="Times New Roman"/>
              </w:rPr>
              <w:t xml:space="preserve">SEC-ERBA IESPĒJA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sz w:val="24"/>
                <w:rFonts w:ascii="Times New Roman" w:hAnsi="Times New Roman"/>
              </w:rPr>
            </w:pPr>
            <w:r>
              <w:rPr>
                <w:sz w:val="24"/>
                <w:rFonts w:ascii="Times New Roman" w:hAnsi="Times New Roman"/>
              </w:rPr>
              <w:t xml:space="preserve">Regulas (ES) Nr. 575/2013 254. panta 3. punkts</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0600.</w:t>
            </w:r>
          </w:p>
        </w:tc>
        <w:tc>
          <w:tcPr>
            <w:tcW w:w="7436" w:type="dxa"/>
          </w:tcPr>
          <w:p w14:paraId="59D79D59"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POZĪCIJAS, KURĀM PIEMĒRO REGULAS (ES) Nr. 575/2013 254. PANTA 2. PUNKTA a) APAKŠPUNKTU</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Regulas (ES) Nr. 575/2013 254. panta 2. punkta a) apakšpunkts</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0610.</w:t>
            </w:r>
          </w:p>
        </w:tc>
        <w:tc>
          <w:tcPr>
            <w:tcW w:w="7436" w:type="dxa"/>
          </w:tcPr>
          <w:p w14:paraId="28D146AD"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POZĪCIJAS, KURĀM PIEMĒRO REGULAS (ES) Nr. 575/2013 254. PANTA 2. PUNKTA b) APAKŠPUNKTU</w:t>
            </w:r>
            <w:r>
              <w:rPr>
                <w:b/>
                <w:sz w:val="24"/>
                <w:u w:val="single"/>
                <w:rFonts w:ascii="Times New Roman" w:hAnsi="Times New Roman"/>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Regulas (ES) Nr. 575/2013 254. panta 2. punkta b) apakšpunkts.</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0620.</w:t>
            </w:r>
          </w:p>
        </w:tc>
        <w:tc>
          <w:tcPr>
            <w:tcW w:w="7436" w:type="dxa"/>
          </w:tcPr>
          <w:p w14:paraId="1F4F1B35" w14:textId="77777777" w:rsidR="00933ADA" w:rsidRPr="002A677E" w:rsidRDefault="00933ADA" w:rsidP="00822842">
            <w:pPr>
              <w:spacing w:before="0" w:after="0"/>
              <w:rPr>
                <w:b/>
                <w:bCs/>
                <w:sz w:val="24"/>
                <w:u w:val="single"/>
                <w:rFonts w:ascii="Times New Roman" w:hAnsi="Times New Roman"/>
              </w:rPr>
            </w:pPr>
            <w:r>
              <w:rPr>
                <w:b/>
                <w:sz w:val="24"/>
                <w:u w:val="single"/>
                <w:rFonts w:ascii="Times New Roman" w:hAnsi="Times New Roman"/>
              </w:rPr>
              <w:t xml:space="preserve">POZĪCIJAS, KURĀM PIEMĒRO REGULAS (ES) Nr. 575/2013 254. PANTA 4. PUNKTU VAI 258. PANTA 2. PUNKTU</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Vērtspapīrošanas pozīcijas, kurām piemēro SEC-ERBA, ja kompetentās iestādes ir liegušas piemērot SEC-IRBA vai SEC-SA saskaņā ar Regulas (ES) Nr. 575/2013 254. panta 4. punktu vai 258. panta 2. punktu.</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0630.</w:t>
            </w:r>
          </w:p>
        </w:tc>
        <w:tc>
          <w:tcPr>
            <w:tcW w:w="7436" w:type="dxa"/>
          </w:tcPr>
          <w:p w14:paraId="3D9A94B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IEVĒROJOT PIEEJU HIERARHIJU</w:t>
            </w:r>
            <w:r>
              <w:rPr>
                <w:b/>
                <w:sz w:val="24"/>
                <w:u w:val="single"/>
                <w:rFonts w:ascii="Times New Roman" w:hAnsi="Times New Roman"/>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Vērtspapīrošanas pozīcijas, kurām piemēro SEC-ERBA, ievērojot Regulas (ES) Nr. 575/2013 254. panta 1. punktā noteikto pieeju hierarhiju.</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0640.</w:t>
            </w:r>
          </w:p>
        </w:tc>
        <w:tc>
          <w:tcPr>
            <w:tcW w:w="7436" w:type="dxa"/>
          </w:tcPr>
          <w:p w14:paraId="3131F940"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IEKŠĒJĀ NOVĒRTĒJUMA PIEEJA</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 </w:t>
            </w:r>
            <w:bookmarkStart w:id="4" w:name="_Hlk73564575"/>
            <w:r>
              <w:rPr>
                <w:sz w:val="24"/>
                <w:rFonts w:ascii="Times New Roman" w:hAnsi="Times New Roman"/>
              </w:rPr>
              <w:t xml:space="preserve"> </w:t>
            </w:r>
            <w:bookmarkEnd w:id="4"/>
            <w:r>
              <w:rPr>
                <w:sz w:val="24"/>
                <w:rFonts w:ascii="Times New Roman" w:hAnsi="Times New Roman"/>
              </w:rPr>
              <w:t xml:space="preserve">Regulas (ES) Nr. 575/2013 254. panta 5. punkts par “Iekšējā novērtējuma pieeju” (INP) pozīcijām ABKV programmās.</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0650.–0690.</w:t>
            </w:r>
          </w:p>
        </w:tc>
        <w:tc>
          <w:tcPr>
            <w:tcW w:w="7436" w:type="dxa"/>
          </w:tcPr>
          <w:p w14:paraId="23BEC56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SADALĪJUMS PĒC RISKA SVĒRUMA LĪMEŅIEM</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Iekšējā novērtējuma pieejas riska darījumi, kas sadalīti pēc riska svēruma līmeņiem.</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0695.</w:t>
            </w:r>
          </w:p>
        </w:tc>
        <w:tc>
          <w:tcPr>
            <w:tcW w:w="7436" w:type="dxa"/>
          </w:tcPr>
          <w:p w14:paraId="3894845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ĪPAŠA PROCEDŪRA ATBILSTĪGAS INRD VĒRTSPAPĪROŠANAS AUGSTĀKAS PRIORITĀTES LAIDIENIEM</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269.a panta 3. punkts.</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0700.</w:t>
            </w:r>
          </w:p>
        </w:tc>
        <w:tc>
          <w:tcPr>
            <w:tcW w:w="7436" w:type="dxa"/>
          </w:tcPr>
          <w:p w14:paraId="4553490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CITS (</w:t>
            </w:r>
            <w:r>
              <w:rPr>
                <w:b/>
                <w:sz w:val="24"/>
                <w:u w:val="single"/>
                <w:i/>
                <w:iCs/>
                <w:rFonts w:ascii="Times New Roman" w:hAnsi="Times New Roman"/>
              </w:rPr>
              <w:t xml:space="preserve">RW</w:t>
            </w:r>
            <w:r>
              <w:rPr>
                <w:b/>
                <w:sz w:val="24"/>
                <w:u w:val="single"/>
                <w:rFonts w:ascii="Times New Roman" w:hAnsi="Times New Roman"/>
              </w:rPr>
              <w:t xml:space="preserve">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Ja nepiemēro nevienu no iepriekš minētajām pieejām, vērtspapīrošanas pozīcijām saskaņā ar Regulas (ES) Nr. 575/2013 254. panta 7. punktu piemēro 1 250 % riska svērumu.</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0710.–0860.</w:t>
            </w:r>
          </w:p>
        </w:tc>
        <w:tc>
          <w:tcPr>
            <w:tcW w:w="7436" w:type="dxa"/>
          </w:tcPr>
          <w:p w14:paraId="7A263DB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RISKA SVĒRTĀ VĒRTĪBA</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Kopējo riska darījuma riska svērto vērtību aprēķina saskaņā ar Regulas (ES) Nr. 575/2013 Trešās daļas II sadaļas 5. nodaļas 3. iedaļu — pirms korekcijām saistībā ar termiņu nesakritību vai uzticamības pārbaudes noteikumu pārkāpumiem, un izslēdzot jebkādu riska darījuma riska svērto vērtību, kas atbilst riska darījumiem, kuri ar izejošām naudas plūsmām pārdalīti citā veidnē.</w:t>
            </w:r>
            <w:r>
              <w:rPr>
                <w:sz w:val="24"/>
                <w:rFonts w:ascii="Times New Roman" w:hAnsi="Times New Roman"/>
              </w:rPr>
              <w:t xml:space="preserv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0840.</w:t>
            </w:r>
          </w:p>
        </w:tc>
        <w:tc>
          <w:tcPr>
            <w:tcW w:w="7436" w:type="dxa"/>
          </w:tcPr>
          <w:p w14:paraId="3DB9E79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INP:</w:t>
            </w:r>
            <w:r>
              <w:rPr>
                <w:b/>
                <w:sz w:val="24"/>
                <w:u w:val="single"/>
                <w:rFonts w:ascii="Times New Roman" w:hAnsi="Times New Roman"/>
              </w:rPr>
              <w:t xml:space="preserve"> </w:t>
            </w:r>
            <w:r>
              <w:rPr>
                <w:b/>
                <w:sz w:val="24"/>
                <w:u w:val="single"/>
                <w:rFonts w:ascii="Times New Roman" w:hAnsi="Times New Roman"/>
              </w:rPr>
              <w:t xml:space="preserve">VIDĒJAIS RISKA SVĒRUMS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Šajā slejā uzrāda vērtspapīrošanas pozīciju riska darījumu svērtos vidējos riska svērumus.</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0860.</w:t>
            </w:r>
          </w:p>
        </w:tc>
        <w:tc>
          <w:tcPr>
            <w:tcW w:w="7436" w:type="dxa"/>
          </w:tcPr>
          <w:p w14:paraId="7501B53E" w14:textId="77777777" w:rsidR="00933ADA" w:rsidRPr="002A677E" w:rsidRDefault="00933ADA" w:rsidP="00822842">
            <w:pPr>
              <w:spacing w:before="0" w:after="0"/>
              <w:rPr>
                <w:b/>
                <w:sz w:val="24"/>
                <w:u w:val="single"/>
                <w:rFonts w:ascii="Times New Roman" w:hAnsi="Times New Roman"/>
              </w:rPr>
            </w:pPr>
            <w:r>
              <w:rPr>
                <w:b/>
                <w:sz w:val="24"/>
                <w:u w:val="single"/>
                <w:i/>
                <w:iCs/>
                <w:rFonts w:ascii="Times New Roman" w:hAnsi="Times New Roman"/>
              </w:rPr>
              <w:t xml:space="preserve">RWEA</w:t>
            </w:r>
            <w:r>
              <w:rPr>
                <w:b/>
                <w:sz w:val="24"/>
                <w:u w:val="single"/>
                <w:rFonts w:ascii="Times New Roman" w:hAnsi="Times New Roman"/>
              </w:rPr>
              <w:t xml:space="preserve">, T. SK.:</w:t>
            </w:r>
            <w:r>
              <w:rPr>
                <w:b/>
                <w:sz w:val="24"/>
                <w:u w:val="single"/>
                <w:rFonts w:ascii="Times New Roman" w:hAnsi="Times New Roman"/>
              </w:rPr>
              <w:t xml:space="preserve"> </w:t>
            </w:r>
            <w:r>
              <w:rPr>
                <w:b/>
                <w:sz w:val="24"/>
                <w:u w:val="single"/>
                <w:rFonts w:ascii="Times New Roman" w:hAnsi="Times New Roman"/>
              </w:rPr>
              <w:t xml:space="preserve">SINTĒTISKĀ VĒRTSPAPĪROŠANA</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Attiecībā uz sintētisko vērtspapīrošanu ar termiņu nesakritību šajā slejā uzrādāmajā summā neņem vērā nekādu termiņu nesakritību.</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0870.</w:t>
            </w:r>
          </w:p>
        </w:tc>
        <w:tc>
          <w:tcPr>
            <w:tcW w:w="7436" w:type="dxa"/>
          </w:tcPr>
          <w:p w14:paraId="46E6563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RISKA SVĒRTĀS VĒRTĪBAS KOREKCIJAS TERMIŅU NESAKRITĪBAS DĒĻ</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Ja uzrādāmā vērtība ir vienāda ar nulli, iekļauj termiņu nesakritību sintētiskajā vērtspapīrošanā </w:t>
            </w:r>
            <w:r>
              <w:rPr>
                <w:sz w:val="24"/>
                <w:i/>
                <w:iCs/>
                <w:rFonts w:ascii="Times New Roman" w:hAnsi="Times New Roman"/>
              </w:rPr>
              <w:t xml:space="preserve">RW</w:t>
            </w:r>
            <w:r>
              <w:rPr>
                <w:sz w:val="24"/>
                <w:rFonts w:ascii="Times New Roman" w:hAnsi="Times New Roman"/>
              </w:rPr>
              <w:t xml:space="preserve">*- </w:t>
            </w:r>
            <w:r>
              <w:rPr>
                <w:sz w:val="24"/>
                <w:i/>
                <w:iCs/>
                <w:rFonts w:ascii="Times New Roman" w:hAnsi="Times New Roman"/>
              </w:rPr>
              <w:t xml:space="preserve">RW</w:t>
            </w:r>
            <w:r>
              <w:rPr>
                <w:sz w:val="24"/>
                <w:rFonts w:ascii="Times New Roman" w:hAnsi="Times New Roman"/>
              </w:rPr>
              <w:t xml:space="preserve">(SP), kā aprēķināts saskaņā ar Regulas (ES) Nr. 575/2013 252. pantu, izņemot tādu laidienu gadījumā, kam piemēro riska svērumu 1 250 %.</w:t>
            </w:r>
            <w:r>
              <w:rPr>
                <w:sz w:val="24"/>
                <w:rFonts w:ascii="Times New Roman" w:hAnsi="Times New Roman"/>
              </w:rPr>
              <w:t xml:space="preserve"> </w:t>
            </w:r>
            <w:r>
              <w:rPr>
                <w:sz w:val="24"/>
                <w:i/>
                <w:iCs/>
                <w:rFonts w:ascii="Times New Roman" w:hAnsi="Times New Roman"/>
              </w:rPr>
              <w:t xml:space="preserve">RW</w:t>
            </w:r>
            <w:r>
              <w:rPr>
                <w:sz w:val="24"/>
                <w:rFonts w:ascii="Times New Roman" w:hAnsi="Times New Roman"/>
              </w:rPr>
              <w:t xml:space="preserve">(SP) ietver ne tikai 0650. slejā uzrādītās riska darījumu riska svērtās vērtības, bet arī riska darījumu riska svērtās vērtības, kas atbilst riska darījumiem, kuri ar izejošām naudas plūsmām pārdalīti citās veidnēs.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0880.</w:t>
            </w:r>
          </w:p>
        </w:tc>
        <w:tc>
          <w:tcPr>
            <w:tcW w:w="7436" w:type="dxa"/>
          </w:tcPr>
          <w:p w14:paraId="5E846604" w14:textId="77777777" w:rsidR="00933ADA" w:rsidRPr="002A677E" w:rsidRDefault="00933ADA" w:rsidP="00822842">
            <w:pPr>
              <w:spacing w:before="0" w:after="0"/>
              <w:jc w:val="left"/>
              <w:rPr>
                <w:b/>
                <w:sz w:val="24"/>
                <w:u w:val="single"/>
                <w:rFonts w:ascii="Times New Roman" w:hAnsi="Times New Roman"/>
              </w:rPr>
            </w:pPr>
            <w:r>
              <w:rPr>
                <w:sz w:val="24"/>
                <w:b/>
                <w:u w:val="single"/>
                <w:rFonts w:ascii="Times New Roman" w:hAnsi="Times New Roman"/>
              </w:rPr>
              <w:t xml:space="preserve">VISPĀRĒJĀ IETEKME (KOREKCIJA) REGULAS (ES) 2017/2402 2. NODAĻAS PĀRKĀPUMA DĒĻ</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Saskaņā ar Regulas (ES) Nr. 575/2013 270.a pantu, ja iestāde nepilda noteiktas prasības, kompetentās iestādes piemēro samērīgu papildu riska svērumu ne mazāk kā 250 % apmērā (maksimālā vērtība 1 250 %), ko piemēro attiecīgajām vērtspapīrošanas pozīcijām saskaņā ar Regulas (ES) Nr. 575/2013 Trešās daļas II sadaļas 5. nodaļas 3. iedaļu.</w:t>
            </w:r>
            <w:r>
              <w:rPr>
                <w:sz w:val="24"/>
                <w:rFonts w:ascii="Times New Roman" w:hAnsi="Times New Roman"/>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0890.–0920.</w:t>
            </w:r>
          </w:p>
        </w:tc>
        <w:tc>
          <w:tcPr>
            <w:tcW w:w="7436" w:type="dxa"/>
          </w:tcPr>
          <w:p w14:paraId="1EAD793A"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KOPĒJĀ RISKA DARĪJUMU RISKA SVĒRTĀ VĒRTĪBA:</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Kopējā riska darījumu riska svērtā vērtība, kas aprēķināta saskaņā ar Regulas (ES) Nr. 575/2013 Trešās daļas II sadaļas 5. nodaļas 3. iedaļu.</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0890.</w:t>
            </w:r>
          </w:p>
        </w:tc>
        <w:tc>
          <w:tcPr>
            <w:tcW w:w="7436" w:type="dxa"/>
          </w:tcPr>
          <w:p w14:paraId="4F5151E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PIRMS MAKSIMĀLĀS ROBEŽVĒRTĪBAS</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sz w:val="24"/>
                <w:rFonts w:ascii="Times New Roman" w:eastAsia="Arial" w:hAnsi="Times New Roman"/>
              </w:rPr>
            </w:pPr>
            <w:r>
              <w:rPr>
                <w:sz w:val="24"/>
                <w:rFonts w:ascii="Times New Roman" w:hAnsi="Times New Roman"/>
              </w:rPr>
              <w:t xml:space="preserve">Kopējā riska darījumu riska svērtā vērtība, kas aprēķināta saskaņā ar Regulas (ES) Nr. 575/2013 Trešās daļas II sadaļas 5. nodaļas 3. iedaļu, pirms minētās regulas 267. un 268. pantā noteikto ierobežojumu piemērošanas vai atbilstīgas tradicionālās INRD vērtspapīrošanas gadījumā pirms Regulas (ES) Nr. 575/2013 269.a panta piemērošanas.</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0900.</w:t>
            </w:r>
          </w:p>
        </w:tc>
        <w:tc>
          <w:tcPr>
            <w:tcW w:w="7436" w:type="dxa"/>
          </w:tcPr>
          <w:p w14:paraId="7F13510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RISKA SVĒRUMA MAKSIMĀLO ROBEŽVĒRTĪBU</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Saskaņā ar Regulas (ES) Nr. 575/2013 267. pantu iestāde, kura visu laiku pārzina pamatā esošo riska darījumu sastāvu, augstākas prioritātes vērtspapīrošanas pozīcijai var piešķirt maksimālo riska svērumu, kas ir vienāds ar riska darījumu svērto vidējo riska svērumu, kurš būtu piemērojams pamatā esošajiem riska darījumiem, ja tie nebūtu vērtspapīroti.</w:t>
            </w:r>
            <w:r>
              <w:rPr>
                <w:sz w:val="24"/>
                <w:rFonts w:ascii="Times New Roman" w:hAnsi="Times New Roman"/>
              </w:rPr>
              <w:t xml:space="preserve"> </w:t>
            </w:r>
            <w:r>
              <w:rPr>
                <w:sz w:val="24"/>
                <w:rFonts w:ascii="Times New Roman" w:hAnsi="Times New Roman"/>
              </w:rPr>
              <w:t xml:space="preserve">Atbilstīgiem tradicionālās INRD vērtspapīrošanas darījumiem piemēro Regulas (ES) Nr. 575/2013 269.a pantu un jo īpaši tā 6. un 7. punktu.</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0910.</w:t>
            </w:r>
          </w:p>
        </w:tc>
        <w:tc>
          <w:tcPr>
            <w:tcW w:w="7436" w:type="dxa"/>
          </w:tcPr>
          <w:p w14:paraId="1EC56FD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KOPĒJO MAKSIMĀLO ROBEŽVĒRTĪBU</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Saskaņā ar Regulas (ES) Nr. 575/2013 268. pantu iniciatoriestāde, sponsoriestāde vai cita iestāde, kas izmanto SEC-IRBA, vai iniciatoriestāde vai sponsoriestāde, kas izmanto SEC-SA vai SEC-ERBA, tās turētai vērtspapīrošanas pozīcijai var piemērot maksimālo kapitāla prasību, kas ir vienāda ar kapitāla prasībām, ko aprēķinātu saskaņā ar Regulas (ES) Nr. 575/2013 Trešās daļas II sadaļas 2. vai 3. nodaļu attiecībā uz pamatā esošajiem riska darījumiem tā, it kā tie nebūtu vērtspapīroti.</w:t>
            </w:r>
            <w:r>
              <w:rPr>
                <w:sz w:val="24"/>
                <w:rFonts w:ascii="Times New Roman" w:hAnsi="Times New Roman"/>
              </w:rPr>
              <w:t xml:space="preserve"> </w:t>
            </w:r>
            <w:r>
              <w:rPr>
                <w:sz w:val="24"/>
                <w:rFonts w:ascii="Times New Roman" w:hAnsi="Times New Roman"/>
              </w:rPr>
              <w:t xml:space="preserve">Atbilstīgiem tradicionālās INRD vērtspapīrošanas darījumiem piemēro Regulas (ES) Nr. 575/2013 269.a pantu un jo īpaši tā 5. un 7. punktu.</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0920.</w:t>
            </w:r>
          </w:p>
        </w:tc>
        <w:tc>
          <w:tcPr>
            <w:tcW w:w="7436" w:type="dxa"/>
          </w:tcPr>
          <w:p w14:paraId="585B35D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KOPĒJĀ RISKA DARĪJUMU RISKA SVĒRTĀ VĒRTĪBA:</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Kopējā riska darījumu riska svērtā vērtība, kas aprēķināta saskaņā ar Regulas (ES) Nr. 575/2013 Trešās daļas II sadaļas 5. nodaļas 3. iedaļu, ņemot vērā kopējo riska pakāpi, kā noteikts minētās regulas 247. panta 6. punktā.</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0921.–0924.</w:t>
            </w:r>
          </w:p>
        </w:tc>
        <w:tc>
          <w:tcPr>
            <w:tcW w:w="7436" w:type="dxa"/>
          </w:tcPr>
          <w:p w14:paraId="2831B093"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PAŠU KAPITĀLA MINIMĀLĀS ROBEŽVĒRTĪBAS </w:t>
            </w:r>
            <w:r>
              <w:rPr>
                <w:b/>
                <w:sz w:val="24"/>
                <w:u w:val="single"/>
                <w:i/>
                <w:iCs/>
                <w:rFonts w:ascii="Times New Roman" w:hAnsi="Times New Roman"/>
              </w:rPr>
              <w:t xml:space="preserve">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b/>
                <w:sz w:val="24"/>
                <w:u w:val="single"/>
                <w:rFonts w:ascii="Times New Roman" w:hAnsi="Times New Roman"/>
              </w:rPr>
            </w:pPr>
            <w:r>
              <w:t xml:space="preserve">Iestādēm, kurām piemēro pašu kapitāla minimālo robežvērtību saskaņā ar Regulas (ES) Nr. 575/2013 92. panta 3. punktu, standartizētā kopējo riska darījumu vērtība (</w:t>
            </w:r>
            <w:r>
              <w:rPr>
                <w:i/>
                <w:iCs/>
              </w:rPr>
              <w:t xml:space="preserve">S-TREA</w:t>
            </w:r>
            <w:r>
              <w:t xml:space="preserve">), kas aprēķināta saskaņā ar 92. panta 5. punktu.</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0921.</w:t>
            </w:r>
          </w:p>
        </w:tc>
        <w:tc>
          <w:tcPr>
            <w:tcW w:w="7436" w:type="dxa"/>
          </w:tcPr>
          <w:p w14:paraId="10750F18"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PIRMS MAKSIMĀLĀS ROBEŽVĒRTĪBAS</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b/>
                <w:sz w:val="24"/>
                <w:u w:val="single"/>
                <w:rFonts w:ascii="Times New Roman" w:hAnsi="Times New Roman"/>
              </w:rPr>
            </w:pPr>
            <w:r>
              <w:rPr>
                <w:sz w:val="24"/>
                <w:i/>
                <w:iCs/>
                <w:rFonts w:ascii="Times New Roman" w:hAnsi="Times New Roman"/>
              </w:rPr>
              <w:t xml:space="preserve">S-TREA</w:t>
            </w:r>
            <w:r>
              <w:rPr>
                <w:sz w:val="24"/>
                <w:rFonts w:ascii="Times New Roman" w:hAnsi="Times New Roman"/>
              </w:rPr>
              <w:t xml:space="preserve"> pirms minētās regulas 267. un 268. pantā noteikto ierobežojumu piemērošanas vai atbilstīgu tradicionālo INRD vērtspapīrošanas darījumu gadījumā, pirms tiek piemērots Regulas (ES) Nr. 575/2013 269.a pants.</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0922.</w:t>
            </w:r>
          </w:p>
        </w:tc>
        <w:tc>
          <w:tcPr>
            <w:tcW w:w="7436" w:type="dxa"/>
          </w:tcPr>
          <w:p w14:paraId="1CBB5DA7"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RISKA SVĒRUMA MAKSIMĀLO ROBEŽVĒRTĪBU</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b/>
                <w:sz w:val="24"/>
                <w:u w:val="single"/>
                <w:rFonts w:ascii="Times New Roman" w:hAnsi="Times New Roman"/>
              </w:rPr>
            </w:pPr>
            <w:r>
              <w:rPr>
                <w:sz w:val="24"/>
                <w:i/>
                <w:iCs/>
                <w:rFonts w:ascii="Times New Roman" w:hAnsi="Times New Roman"/>
              </w:rPr>
              <w:t xml:space="preserve">S-TREA</w:t>
            </w:r>
            <w:r>
              <w:rPr>
                <w:sz w:val="24"/>
                <w:rFonts w:ascii="Times New Roman" w:hAnsi="Times New Roman"/>
              </w:rPr>
              <w:t xml:space="preserve"> samazinājums saistībā ar riska svēruma maksimālo robežvērtību saskaņā ar Regulas (ES) Nr. 575/2013 267. pantu un Regulas (ES) Nr. 575/2013 269.a pantu un jo īpaši tās 6. un 7. punktu.</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0923.</w:t>
            </w:r>
          </w:p>
        </w:tc>
        <w:tc>
          <w:tcPr>
            <w:tcW w:w="7436" w:type="dxa"/>
          </w:tcPr>
          <w:p w14:paraId="09C6FB1B"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KOPĒJO MAKSIMĀLO ROBEŽVĒRTĪBU</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b/>
                <w:sz w:val="24"/>
                <w:u w:val="single"/>
                <w:rFonts w:ascii="Times New Roman" w:hAnsi="Times New Roman"/>
              </w:rPr>
            </w:pPr>
            <w:r>
              <w:rPr>
                <w:sz w:val="24"/>
                <w:i/>
                <w:iCs/>
                <w:rFonts w:ascii="Times New Roman" w:hAnsi="Times New Roman"/>
              </w:rPr>
              <w:t xml:space="preserve">S-TREA</w:t>
            </w:r>
            <w:r>
              <w:rPr>
                <w:sz w:val="24"/>
                <w:rFonts w:ascii="Times New Roman" w:hAnsi="Times New Roman"/>
              </w:rPr>
              <w:t xml:space="preserve"> samazinājums saistībā ar kopējo maksimālo robežvērtību saskaņā ar Regulas (ES) Nr. 575/2013 268. pantu un Regulas (ES) Nr. 575/2013 269.a pantu un jo īpaši tās 5. un 7. punktu.</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0924.</w:t>
            </w:r>
          </w:p>
        </w:tc>
        <w:tc>
          <w:tcPr>
            <w:tcW w:w="7436" w:type="dxa"/>
          </w:tcPr>
          <w:p w14:paraId="298CFBF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PĒC MAKSIMĀLĀS ROBEŽVĒRTĪBAS</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b/>
                <w:sz w:val="24"/>
                <w:u w:val="single"/>
                <w:rFonts w:ascii="Times New Roman" w:hAnsi="Times New Roman"/>
              </w:rPr>
            </w:pPr>
            <w:r>
              <w:rPr>
                <w:sz w:val="24"/>
                <w:i/>
                <w:iCs/>
                <w:rFonts w:ascii="Times New Roman" w:hAnsi="Times New Roman"/>
              </w:rPr>
              <w:t xml:space="preserve">S-TREA</w:t>
            </w:r>
            <w:r>
              <w:rPr>
                <w:sz w:val="24"/>
                <w:rFonts w:ascii="Times New Roman" w:hAnsi="Times New Roman"/>
              </w:rPr>
              <w:t xml:space="preserve"> summa pēc kopējās maksimālās robežvērtības.</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0930.–0960.</w:t>
            </w:r>
          </w:p>
        </w:tc>
        <w:tc>
          <w:tcPr>
            <w:tcW w:w="7436" w:type="dxa"/>
          </w:tcPr>
          <w:p w14:paraId="3188E22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IZZIŅAS POSTEŅI</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0930</w:t>
            </w:r>
          </w:p>
        </w:tc>
        <w:tc>
          <w:tcPr>
            <w:tcW w:w="7436" w:type="dxa"/>
          </w:tcPr>
          <w:p w14:paraId="755BCAB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RISKA SVĒRTĀ VĒRTĪBA, KAS ATBILST IZEJOŠAJĀM PLŪSMĀM NO VĒRTSPAPĪROŠANAS DARĪJUMIEM UZ CITĀM RISKA DARĪJUMU KATEGORIJĀM</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Riska darījumu riska svērtā vērtība, kas izriet no riska darījumiem, kuri pārdalīti riska mazināšanas līdzekļu sniedzējam un tādēļ aprēķināti attiecīgajā veidnē un kuri ņemti vērā vērtspapīrošanas pozīciju maksimālās robežvērtības aprēķinā.</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0940.–0960.</w:t>
            </w:r>
          </w:p>
        </w:tc>
        <w:tc>
          <w:tcPr>
            <w:tcW w:w="7436" w:type="dxa"/>
          </w:tcPr>
          <w:p w14:paraId="0AC684DE" w14:textId="0851C7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PAŠU KAPITĀLA MINIMĀLĀ ROBEŽVĒRTĪBA;</w:t>
            </w:r>
            <w:r>
              <w:rPr>
                <w:b/>
                <w:sz w:val="24"/>
                <w:u w:val="single"/>
                <w:rFonts w:ascii="Times New Roman" w:hAnsi="Times New Roman"/>
              </w:rPr>
              <w:t xml:space="preserve"> </w:t>
            </w:r>
            <w:r>
              <w:rPr>
                <w:b/>
                <w:sz w:val="24"/>
                <w:u w:val="single"/>
                <w:i/>
                <w:iCs/>
                <w:rFonts w:ascii="Times New Roman" w:hAnsi="Times New Roman"/>
              </w:rPr>
              <w:t xml:space="preserve">RWEA</w:t>
            </w:r>
            <w:r>
              <w:rPr>
                <w:b/>
                <w:sz w:val="24"/>
                <w:u w:val="single"/>
                <w:rFonts w:ascii="Times New Roman" w:hAnsi="Times New Roman"/>
              </w:rPr>
              <w:t xml:space="preserve"> SAISTĪBĀ AR IETEKMI, KO RADA REGULAS NR. 575/2013 465. PANTA 7. PUNKTA PIEMĒROŠANA</w:t>
            </w:r>
          </w:p>
          <w:p w14:paraId="7CE3FACF"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Uzrāda starpību starp </w:t>
            </w:r>
            <w:r>
              <w:rPr>
                <w:sz w:val="24"/>
                <w:i/>
                <w:iCs/>
                <w:rFonts w:ascii="Times New Roman" w:hAnsi="Times New Roman"/>
              </w:rPr>
              <w:t xml:space="preserve">RWEA</w:t>
            </w:r>
            <w:r>
              <w:rPr>
                <w:sz w:val="24"/>
                <w:rFonts w:ascii="Times New Roman" w:hAnsi="Times New Roman"/>
              </w:rPr>
              <w:t xml:space="preserve"> summu, nepiemērojot pārejas noteikumus, un</w:t>
            </w:r>
            <w:r>
              <w:rPr>
                <w:sz w:val="24"/>
                <w:i/>
                <w:iCs/>
                <w:rFonts w:ascii="Times New Roman" w:hAnsi="Times New Roman"/>
              </w:rPr>
              <w:t xml:space="preserve"> RWEA</w:t>
            </w:r>
            <w:r>
              <w:rPr>
                <w:sz w:val="24"/>
                <w:rFonts w:ascii="Times New Roman" w:hAnsi="Times New Roman"/>
              </w:rPr>
              <w:t xml:space="preserve"> summu, piemērojot pārejas noteikumus, katrai no trim pieejām:</w:t>
            </w:r>
            <w:r>
              <w:rPr>
                <w:sz w:val="24"/>
                <w:rFonts w:ascii="Times New Roman" w:hAnsi="Times New Roman"/>
              </w:rPr>
              <w:t xml:space="preserve"> </w:t>
            </w:r>
            <w:r>
              <w:rPr>
                <w:sz w:val="24"/>
                <w:rFonts w:ascii="Times New Roman" w:hAnsi="Times New Roman"/>
              </w:rPr>
              <w:t xml:space="preserve">SEC-IRBA, iekšējā novērtējuma pieeja un īpaša procedūra kritērijiem atbilstošas INRD vērtspapīrošanas augstākās prioritātes laidieniem.</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109</w:t>
      </w:r>
      <w:r>
        <w:fldChar w:fldCharType="end"/>
      </w:r>
      <w:r>
        <w:t xml:space="preserve">.</w:t>
      </w:r>
      <w:r>
        <w:tab/>
      </w:r>
      <w:r>
        <w:t xml:space="preserve"> </w:t>
      </w:r>
      <w:r>
        <w:t xml:space="preserve">Veidne ir sadalīta trīs galvenajos rindu blokos, kuros apkopo datus par iniciētiem/sponsorētiem/saglabātiem vai nopirktiem riska darījumiem, sadalot tos pa iniciatoru, ieguldītāju un sponsoru kategorijām.</w:t>
      </w:r>
      <w:r>
        <w:t xml:space="preserve"> </w:t>
      </w:r>
      <w:r>
        <w:t xml:space="preserve">Par katru no tiem informācija ir sadalīta pa bilances un ārpusbilances posteņiem un atvasinātajiem instrumentiem, kā arī atkarībā no tā, vai piemēro diferencētu pieeju attiecībā uz kapitālu.</w:t>
      </w:r>
    </w:p>
    <w:p w14:paraId="7068E8C5" w14:textId="2E029D1E"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110</w:t>
      </w:r>
      <w:r>
        <w:fldChar w:fldCharType="end"/>
      </w:r>
      <w:r>
        <w:t xml:space="preserve">.</w:t>
      </w:r>
      <w:r>
        <w:t xml:space="preserve"> </w:t>
      </w:r>
      <w:r>
        <w:t xml:space="preserve">Pozīcijas, kurām piemēro SEC-ERBA metodi, un pozīcijas bez reitinga (riska darījumi pārskata sniegšanas datumā) arī ir sadalītas atkarībā no sākuma brīdī piemērotajām kredītkvalitātes pakāpēm (pēdējais rindu bloks).</w:t>
      </w:r>
      <w:r>
        <w:t xml:space="preserve"> </w:t>
      </w:r>
      <w:r>
        <w:t xml:space="preserve">Šo informāciju uzrāda iniciatori, sponsori, kā arī ieguldītāji.</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Rindas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889" w:type="dxa"/>
          </w:tcPr>
          <w:p w14:paraId="63EADC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KOPĒJĀ RISKA DARĪJUMU VĒRTĪBA</w:t>
            </w:r>
            <w:r>
              <w:rPr>
                <w:b/>
                <w:sz w:val="24"/>
                <w:u w:val="single"/>
                <w:rFonts w:ascii="Times New Roman" w:hAnsi="Times New Roman"/>
              </w:rPr>
              <w:t xml:space="preserv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Kopējie riska darījumi attiecas uz nenokārtotu vērtspapīrošanas darījumu un atkārtotas vērtspapīrošanas darījumu kopsummu.</w:t>
            </w:r>
            <w:r>
              <w:rPr>
                <w:sz w:val="24"/>
                <w:rFonts w:ascii="Times New Roman" w:hAnsi="Times New Roman"/>
              </w:rPr>
              <w:t xml:space="preserve"> </w:t>
            </w:r>
            <w:r>
              <w:rPr>
                <w:sz w:val="24"/>
                <w:rFonts w:ascii="Times New Roman" w:hAnsi="Times New Roman"/>
              </w:rPr>
              <w:t xml:space="preserve">Šajā rindā sniedz kopsavilkumu par informāciju, ko iniciatori, sponsori un ieguldītāji uzrādījuši turpmākajās rindās.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889" w:type="dxa"/>
          </w:tcPr>
          <w:p w14:paraId="3936DFD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POZĪCIJAS</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Tādu nenokārtoto vērtspapīrošanas pozīciju kopsumma, kā definēts Regulas (ES) Nr. 575/2013 4. panta 1. punkta 62) apakšpunktā, kas nav atkārtota vērtspapīrošana, kā definēts Regulas (ES) Nr. 575/2013 4. panta 1. punkta 63. apakšpunktā.</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889" w:type="dxa"/>
          </w:tcPr>
          <w:p w14:paraId="5873AAF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ATBILSTĪGA, LAI TAI PIEMĒROTU DIFERENCIĒTU PIEEJU ATTIECĪBĀ UZ KAPITĀLU</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Tādu vērtspapīrošanas pozīciju kopējā summa, kas atbilst Regulas (ES) Nr. 575/2013 243., 270. vai 494.c pantā minētajiem kritērijiem un kas tāpēc ir atbilstīgas, lai tām piemērotu diferencētu kapitāla režīmu.</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889" w:type="dxa"/>
          </w:tcPr>
          <w:p w14:paraId="3FC72FE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RISKA DARĪJUMI VPS ABKV UN TRADICIONĀLAJĀ VĒRTSPAPĪROŠANĀ, KAS NAV ABKV</w:t>
            </w:r>
          </w:p>
          <w:p w14:paraId="57865F4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 VPS vērtspapīrošanas pozīciju kopsumma, kas atbilst Regulas (ES) Nr. 575/2013 243. panta prasībām.</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0050.</w:t>
            </w:r>
          </w:p>
        </w:tc>
        <w:tc>
          <w:tcPr>
            <w:tcW w:w="7889" w:type="dxa"/>
          </w:tcPr>
          <w:p w14:paraId="1926625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MVU AUGSTĀKĀS PRIORITĀTES SINTĒTISKĀS VĒRTSPAPĪROŠANAS POZĪCIJAS, ATTIECĪBĀ UZ KURĀM PĀREJAS POSMĀ PIEMĒROTAS TIESĪBAS SAGLABĀT IEPRIEKŠ SPĒKĀ ESOŠOS NOSACĪJUMUS</w:t>
            </w:r>
            <w:r>
              <w:rPr>
                <w:b/>
                <w:sz w:val="24"/>
                <w:u w:val="single"/>
                <w:rFonts w:ascii="Times New Roman" w:hAnsi="Times New Roman"/>
              </w:rPr>
              <w:t xml:space="preserve">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Tādu MVU augstākās prioritātes sintētiskās vērtspapīrošanas pozīciju, attiecībā uz kurām piemērotas tiesības saglabāt iepriekš spēkā esošos nosacījumus, kopējā summa, kas atbilst Regulas (ES) Nr. 575/2013 494.c pantā izklāstītajiem nosacījumiem.</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889" w:type="dxa"/>
          </w:tcPr>
          <w:p w14:paraId="400EC6D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AUGSTĀKĀS PRIORITĀTES POZĪCIJAS VPS BILANCES VĒRTSPAPĪROŠANĀ</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To augstākās prioritātes pozīciju kopsumma VPS bilances vērtspapīrošanā, kas atbilst Regulas (ES) Nr. 575/2013 270. panta prasībām.</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 0120., 0170., 0240., 0290., 0360. un 0410.</w:t>
            </w:r>
          </w:p>
        </w:tc>
        <w:tc>
          <w:tcPr>
            <w:tcW w:w="7889" w:type="dxa"/>
          </w:tcPr>
          <w:p w14:paraId="294FC0D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NAV ATBILSTĪGA, LAI TAI PIEMĒROTU DIFERENCIĒTU PIEEJU ATTIECĪBĀ UZ KAPITĀLU</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254. panta 1., 4., 5. un 6. punkts, 259., 261., 263., 265., 266. un 269. pants.</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 vērtspapīrošanas pozīciju kopsumma, kuras nav atbilstīgas, lai tām piemērotu diferencētu pieeju attiecībā uz kapitālu.</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0070., 0190., 0310. un 0430.</w:t>
            </w:r>
          </w:p>
        </w:tc>
        <w:tc>
          <w:tcPr>
            <w:tcW w:w="7889" w:type="dxa"/>
          </w:tcPr>
          <w:p w14:paraId="2E57B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ATKĀRTOTAS VĒRTSPAPĪROŠANAS POZĪCIJAS</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Nenokārtotu atkārtotas vērtspapīrošanas pozīciju kopsumma, kā noteikts Regulas (ES) Nr. 575/2013 4. panta 1. punkta 64) apakšpunktā.</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889" w:type="dxa"/>
          </w:tcPr>
          <w:p w14:paraId="551C43E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INICIATORS:</w:t>
            </w:r>
            <w:r>
              <w:rPr>
                <w:b/>
                <w:sz w:val="24"/>
                <w:u w:val="single"/>
                <w:rFonts w:ascii="Times New Roman" w:hAnsi="Times New Roman"/>
              </w:rPr>
              <w:t xml:space="preserve"> </w:t>
            </w:r>
            <w:r>
              <w:rPr>
                <w:b/>
                <w:sz w:val="24"/>
                <w:u w:val="single"/>
                <w:rFonts w:ascii="Times New Roman" w:hAnsi="Times New Roman"/>
              </w:rPr>
              <w:t xml:space="preserve">KOPĒJĀ RISKA DARĪJUMU VĒRTĪBA</w:t>
            </w:r>
            <w:r>
              <w:rPr>
                <w:b/>
                <w:sz w:val="24"/>
                <w:u w:val="single"/>
                <w:rFonts w:ascii="Times New Roman" w:hAnsi="Times New Roman"/>
              </w:rPr>
              <w:t xml:space="preserv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rindā sniedz kopsavilkuma informāciju par to vērtspapīrošanas un atkārtotas vērspapīrošanas pozīciju bilances un ārpusbilances posteņiem un atvasinātajiem instrumentiem, attiecībā uz kurām iestādei ir iniciatora loma, kā noteikts Regulas (ES) Nr. 575/2013 4. panta 1. punkta 13) apakšpunktā.</w:t>
            </w:r>
          </w:p>
          <w:p w14:paraId="1D1522A3" w14:textId="77777777" w:rsidR="00933ADA" w:rsidRPr="002A677E" w:rsidRDefault="00933ADA" w:rsidP="00822842">
            <w:pPr>
              <w:autoSpaceDE w:val="0"/>
              <w:autoSpaceDN w:val="0"/>
              <w:adjustRightInd w:val="0"/>
              <w:spacing w:before="0" w:after="0"/>
              <w:rPr>
                <w:b/>
                <w:sz w:val="24"/>
                <w:u w:val="single"/>
                <w:rFonts w:ascii="Times New Roman" w:hAnsi="Times New Roman"/>
              </w:rPr>
            </w:pPr>
            <w:r>
              <w:rPr>
                <w:b/>
                <w:sz w:val="24"/>
                <w:u w:val="single"/>
                <w:rFonts w:ascii="Times New Roman" w:hAnsi="Times New Roman"/>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0090.–0136., 0210.–0250.. un 0330.–0370.</w:t>
            </w:r>
          </w:p>
        </w:tc>
        <w:tc>
          <w:tcPr>
            <w:tcW w:w="7889" w:type="dxa"/>
          </w:tcPr>
          <w:p w14:paraId="44A38D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POZĪCIJAS:</w:t>
            </w:r>
            <w:r>
              <w:rPr>
                <w:b/>
                <w:sz w:val="24"/>
                <w:u w:val="single"/>
                <w:rFonts w:ascii="Times New Roman" w:hAnsi="Times New Roman"/>
              </w:rPr>
              <w:t xml:space="preserve"> </w:t>
            </w:r>
            <w:r>
              <w:rPr>
                <w:b/>
                <w:sz w:val="24"/>
                <w:u w:val="single"/>
                <w:rFonts w:ascii="Times New Roman" w:hAnsi="Times New Roman"/>
              </w:rPr>
              <w:t xml:space="preserve">BILANCES POSTEŅI</w:t>
            </w:r>
            <w:r>
              <w:rPr>
                <w:b/>
                <w:sz w:val="24"/>
                <w:u w:val="single"/>
                <w:rFonts w:ascii="Times New Roman" w:hAnsi="Times New Roman"/>
              </w:rPr>
              <w:t xml:space="preserve">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Saskaņā ar Regulas (ES) 575/2013 248. panta 1. punkta a) apakšpunktu bilances vērtspapīrošanas pozīcijas riska darījuma vērtība ir tā uzskaites vērtība, kas paliek pēc tam, kad saskaņā ar Regulas (ES) 575/2013 110. pantu vērtspapīrošanas pozīcijai ir piemērotas attiecīgās specifiskās kredītriska korekcijas.</w:t>
            </w:r>
          </w:p>
          <w:p w14:paraId="04329A9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Bilances posteņus iedala tā, lai 0100. un 0120. rindā ietvertu informāciju par Regulas (ES) Nr. 575/2013 243. pantā minētā kapitāla diferencētā režīma piemērošanu un 0110. un 0130. rindā ietvertu informāciju par minētās regulas 242. panta 6) punktā minēto augstākas prioritātes vērtspapīrošanas pozīciju kopsummu.</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 0220. un 0340.</w:t>
            </w:r>
          </w:p>
        </w:tc>
        <w:tc>
          <w:tcPr>
            <w:tcW w:w="7889" w:type="dxa"/>
          </w:tcPr>
          <w:p w14:paraId="5DBE377A"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ATBILSTĪGA, LAI TAI PIEMĒROTU DIFERENCIĒTU PIEEJU ATTIECĪBĀ UZ KAPITĀLU</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Tādu vērtspapīrošanas pozīciju kopējā summa, kas atbilst Regulas (ES) Nr. 575/2013 243. pantā minētajiem kritērijiem un kas tāpēc ir atbilstīgas, lai tām piemērotu diferencētu kapitāla režīmu.</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 0131., 0134., 0160., 0180., 0230., 0251., 0254., 0280., 0300., 0350., 0371., 0374., 0400. un 0420.</w:t>
            </w:r>
          </w:p>
        </w:tc>
        <w:tc>
          <w:tcPr>
            <w:tcW w:w="7889" w:type="dxa"/>
          </w:tcPr>
          <w:p w14:paraId="0AA41DE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AUGSTĀKAS PRIORITĀTES RISKA DARĪJUMI</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Augstākas prioritātes vērtspapīrošanas pozīciju kopsumma, kā noteikts Regulas (EK) Nr. 575/2013 242. panta 6) punktā.</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 0241. un 0361.</w:t>
            </w:r>
          </w:p>
        </w:tc>
        <w:tc>
          <w:tcPr>
            <w:tcW w:w="7889" w:type="dxa"/>
          </w:tcPr>
          <w:p w14:paraId="72AD34E8" w14:textId="77777777" w:rsidR="00933ADA" w:rsidRPr="001235ED" w:rsidRDefault="00933ADA" w:rsidP="00822842">
            <w:pPr>
              <w:spacing w:before="0" w:after="0"/>
              <w:rPr>
                <w:b/>
                <w:sz w:val="24"/>
                <w:u w:val="single"/>
                <w:rFonts w:ascii="Times New Roman" w:hAnsi="Times New Roman"/>
              </w:rPr>
            </w:pPr>
            <w:r>
              <w:rPr>
                <w:b/>
                <w:sz w:val="24"/>
                <w:u w:val="single"/>
                <w:rFonts w:ascii="Times New Roman" w:hAnsi="Times New Roman"/>
              </w:rPr>
              <w:t xml:space="preserve">RISKA DARĪJUMI VĒRTSPAPĪROŠANĀ, KAS NAV INRD VĒRTSPAPĪROŠANA</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 kopējā riska darījumu vērtība, kas neatbilst Regulas (ES) Nr. 575/2013 269.a panta 1. punkta a) apakšpunkta nosacījumiem.</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0133., 0253. un 0373.</w:t>
            </w:r>
          </w:p>
        </w:tc>
        <w:tc>
          <w:tcPr>
            <w:tcW w:w="7889" w:type="dxa"/>
          </w:tcPr>
          <w:p w14:paraId="31FF072B" w14:textId="77777777" w:rsidR="00933ADA" w:rsidRPr="00CE797B" w:rsidRDefault="00933ADA" w:rsidP="00822842">
            <w:pPr>
              <w:spacing w:before="0" w:after="0"/>
              <w:rPr>
                <w:b/>
                <w:sz w:val="24"/>
                <w:u w:val="single"/>
                <w:rFonts w:ascii="Times New Roman" w:hAnsi="Times New Roman"/>
              </w:rPr>
            </w:pPr>
            <w:r>
              <w:rPr>
                <w:b/>
                <w:sz w:val="24"/>
                <w:u w:val="single"/>
                <w:rFonts w:ascii="Times New Roman" w:hAnsi="Times New Roman"/>
              </w:rPr>
              <w:t xml:space="preserve">RISKA DARĪJUMI INRD VĒRTSPAPĪROŠANĀ</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To kopējā riska darījumu vērtība, kas atbilst Regulas (ES) Nr. 575/2013 269.a panta 1. punkta a) apakšpunkta prasībām.</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0134., 0254. un 0374.</w:t>
            </w:r>
            <w:r>
              <w:rPr>
                <w:sz w:val="24"/>
                <w:rFonts w:ascii="Times New Roman" w:hAnsi="Times New Roman"/>
              </w:rPr>
              <w:t xml:space="preserve"> </w:t>
            </w:r>
          </w:p>
        </w:tc>
        <w:tc>
          <w:tcPr>
            <w:tcW w:w="7889" w:type="dxa"/>
          </w:tcPr>
          <w:p w14:paraId="279BB3C2"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AUGSTĀKAS PRIORITĀTES RISKA DARĪJUMI ATBILSTĪGĀ TRADICIONĀLAJĀ INRD VĒRTSPAPĪROŠANĀ</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To kopējā riska darījumu vērtība, kas atbilst Regulas (ES) Nr. 575/2013 269.a panta 1. punkta b) apakšpunkta nosacījumiem.</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0135., 0255. un 0375.</w:t>
            </w:r>
          </w:p>
        </w:tc>
        <w:tc>
          <w:tcPr>
            <w:tcW w:w="7889" w:type="dxa"/>
          </w:tcPr>
          <w:p w14:paraId="6ABE73B5"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AUGSTĀKAS PRIORITĀTES RISKA DARĪJUMI NEATBILSTĪGAJĀ TRADICIONĀLAJĀ INRD VĒRTSPAPĪROŠANĀ</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To kopējā riska darījumu vērtība, kas neatbilst Regulas (ES) Nr. 575/2013 269.a panta 1. punkta b) apakšpunkta nosacījumiem.</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0136., 0256. un 0376.</w:t>
            </w:r>
          </w:p>
        </w:tc>
        <w:tc>
          <w:tcPr>
            <w:tcW w:w="7889" w:type="dxa"/>
          </w:tcPr>
          <w:p w14:paraId="7B42526E"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RISKA DARĪJUMI, KAS NAV AUGSTĀKĀS PRIORITĀTES RISKA DARĪJUMI, ATBILSTĪGĀ TRADICIONĀLAJĀ INRD VĒRTSPAPĪROŠANĀ</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sz w:val="24"/>
                <w:rFonts w:ascii="Times New Roman" w:hAnsi="Times New Roman"/>
              </w:rPr>
            </w:pPr>
            <w:r>
              <w:rPr>
                <w:sz w:val="24"/>
                <w:rFonts w:ascii="Times New Roman" w:hAnsi="Times New Roman"/>
              </w:rPr>
              <w:t xml:space="preserve">Tādu riska darījumu kopējā summa, kuri atbilst Regulas (ES) Nr. 575/2013 269.a panta 1. punkta a) apakšpunkta nosacījumiem un kuri neatbilst Regulas (ES) Nr. 575/2013 269.a panta 1. punkta b) apakšpunktā izklāstītajiem nosacījumiem.</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0140.–0180., 0260.–0300. un 0380.–0420.</w:t>
            </w:r>
          </w:p>
        </w:tc>
        <w:tc>
          <w:tcPr>
            <w:tcW w:w="7889" w:type="dxa"/>
          </w:tcPr>
          <w:p w14:paraId="652BA236" w14:textId="77777777" w:rsidR="00933ADA" w:rsidRPr="002A677E" w:rsidRDefault="00933ADA" w:rsidP="00822842">
            <w:pPr>
              <w:spacing w:before="0" w:after="0"/>
              <w:rPr>
                <w:b/>
                <w:sz w:val="24"/>
                <w:u w:val="single"/>
                <w:rFonts w:ascii="Times New Roman" w:hAnsi="Times New Roman"/>
              </w:rPr>
            </w:pPr>
            <w:r>
              <w:rPr>
                <w:b/>
                <w:sz w:val="24"/>
                <w:u w:val="single"/>
                <w:rFonts w:ascii="Times New Roman" w:hAnsi="Times New Roman"/>
              </w:rPr>
              <w:t xml:space="preserve">VĒRTSPAPĪROŠANAS POZĪCIJAS:</w:t>
            </w:r>
            <w:r>
              <w:rPr>
                <w:b/>
                <w:sz w:val="24"/>
                <w:u w:val="single"/>
                <w:rFonts w:ascii="Times New Roman" w:hAnsi="Times New Roman"/>
              </w:rPr>
              <w:t xml:space="preserve"> </w:t>
            </w:r>
            <w:r>
              <w:rPr>
                <w:b/>
                <w:sz w:val="24"/>
                <w:u w:val="single"/>
                <w:rFonts w:ascii="Times New Roman" w:hAnsi="Times New Roman"/>
              </w:rPr>
              <w:t xml:space="preserve">ĀRPUSBILANCES POSTEŅI UN ATVASINĀTIE INSTRUMENTI</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Šajās rindās apkopo informāciju par ārpusbilances posteņiem un atvasināto instrumentu vērtspapīrošanas pozīcijām, kam vērtspapīrošanas ietvaros piemēro korekcijas pakāpi.</w:t>
            </w:r>
            <w:r>
              <w:rPr>
                <w:sz w:val="24"/>
                <w:rFonts w:ascii="Times New Roman" w:hAnsi="Times New Roman"/>
              </w:rPr>
              <w:t xml:space="preserve"> </w:t>
            </w:r>
            <w:r>
              <w:rPr>
                <w:sz w:val="24"/>
                <w:rFonts w:ascii="Times New Roman" w:hAnsi="Times New Roman"/>
              </w:rPr>
              <w:t xml:space="preserve">Ārpusbilances vērtspapīrošanas pozīcijas riska darījuma vērtība ir tās nominālvērtība – atskaitot minētās vērtspapīrošanas pozīcijas jebkādas specifiskās kredītriska korekcijas –, reizināta ar 100 % korekcijas pakāpi, ja vien nav norādīts citādi.</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Ārpusbilances vērtspapīrošanas pozīcijas, kas izriet no Regulas (ES) Nr. 575/2013 II pielikumā uzskaitītā atvasinātā instrumenta, nosaka saskaņā ar Regulas (ES) Nr. 575/2013 Trešās daļas II sadaļas 6. nodaļu.</w:t>
            </w:r>
            <w:r>
              <w:rPr>
                <w:sz w:val="24"/>
                <w:rFonts w:ascii="Times New Roman" w:hAnsi="Times New Roman"/>
              </w:rPr>
              <w:t xml:space="preserve"> </w:t>
            </w:r>
            <w:r>
              <w:rPr>
                <w:sz w:val="24"/>
                <w:rFonts w:ascii="Times New Roman" w:hAnsi="Times New Roman"/>
              </w:rPr>
              <w:t xml:space="preserve">Riska darījuma vērtību Regulas (ES) Nr. 575/2013 II pielikumā uzskaitīto atvasināto instrumentu darījuma partnera kredītriskam nosaka saskaņā ar Regulas (ES) Nr. 575/2013 Trešās daļas II sadaļas 6. nodaļu.</w:t>
            </w:r>
            <w:r>
              <w:rPr>
                <w:sz w:val="24"/>
                <w:rFonts w:ascii="Times New Roman" w:hAnsi="Times New Roman"/>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Likviditātes iespējām, kredītiespējām un parādus apkalpojošās sabiedrības naudas avansiem iestādes norāda neizmantoto summu.</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Procentu likmju un valūtas mijmaiņas darījumu gadījumā norāda riska darījuma vērtību (kas aprēķināta saskaņā ar Regulas (ES) Nr. 575/2013 248. panta 1. punktu).</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Ārpusbilances posteņus un atvasinātos instrumentus iedala tā, lai 0150. un 0170. rindā ietvertu informāciju par Regulas (ES) Nr. 575/2013 270. pantā minētā kapitāla diferencētā režīma piemērošanu un 0160. un 0180. rindā ietvertu informāciju par Regulas (ES) Nr. 575/2013 242. panta 6) punktā minēto augstākas prioritātes vērtspapīrošanas pozīciju kopsummu.</w:t>
            </w:r>
            <w:r>
              <w:rPr>
                <w:sz w:val="24"/>
                <w:rFonts w:ascii="Times New Roman" w:hAnsi="Times New Roman"/>
              </w:rPr>
              <w:t xml:space="preserve"> </w:t>
            </w:r>
            <w:r>
              <w:rPr>
                <w:sz w:val="24"/>
                <w:rFonts w:ascii="Times New Roman" w:hAnsi="Times New Roman"/>
              </w:rPr>
              <w:t xml:space="preserve">Piemēro tās pašas atsauces uz tiesību aktiem kā attiecībā uz 0100.–0130. rindu.</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 0270.un 0390.</w:t>
            </w:r>
          </w:p>
        </w:tc>
        <w:tc>
          <w:tcPr>
            <w:tcW w:w="7889" w:type="dxa"/>
          </w:tcPr>
          <w:p w14:paraId="29A6399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ATBILSTĪGA, LAI TAI PIEMĒROTU DIFERENCIĒTU PIEEJU ATTIECĪBĀ UZ KAPITĀLU</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Tādu vērtspapīrošanas pozīciju kopējā summa, kas atbilst Regulas (ES) Nr. 575/2013 243. pantā minētajiem kritērijiem vai tikai attiecībā uz iniciatoriem, 270. pantā vai 494.c pantā minētajiem kritērijiem un kas tāpēc ir atbilstīgas, lai tām piemērotu diferencētu kapitāla režīmu.</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0200.</w:t>
            </w:r>
          </w:p>
        </w:tc>
        <w:tc>
          <w:tcPr>
            <w:tcW w:w="7889" w:type="dxa"/>
          </w:tcPr>
          <w:p w14:paraId="6D6A0BD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IEGULDĪTĀJS:</w:t>
            </w:r>
            <w:r>
              <w:rPr>
                <w:b/>
                <w:sz w:val="24"/>
                <w:u w:val="single"/>
                <w:rFonts w:ascii="Times New Roman" w:hAnsi="Times New Roman"/>
              </w:rPr>
              <w:t xml:space="preserve"> </w:t>
            </w:r>
            <w:r>
              <w:rPr>
                <w:b/>
                <w:sz w:val="24"/>
                <w:u w:val="single"/>
                <w:rFonts w:ascii="Times New Roman" w:hAnsi="Times New Roman"/>
              </w:rPr>
              <w:t xml:space="preserve">KOPĒJĀ RISKA DARĪJUMU VĒRTĪBA</w:t>
            </w:r>
            <w:r>
              <w:rPr>
                <w:b/>
                <w:sz w:val="24"/>
                <w:u w:val="single"/>
                <w:rFonts w:ascii="Times New Roman" w:hAnsi="Times New Roman"/>
              </w:rPr>
              <w:t xml:space="preserv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sz w:val="24"/>
                <w:rFonts w:ascii="Times New Roman" w:hAnsi="Times New Roman"/>
              </w:rPr>
              <w:t xml:space="preserve">Šajā rindā sniedz kopsavilkuma informāciju par to vērtspapīrošanas un atkārtotas vērtspapīrošanas pozīciju bilances un ārpusbilances posteņiem un atvasinātajiem instrumentiem, attiecībā uz kurām iestādei ir ieguldītāja loma.</w:t>
            </w:r>
            <w:r>
              <w:rPr>
                <w:sz w:val="24"/>
                <w:rStyle w:val="FormatvorlageInstructionsTabelleText"/>
                <w:rFonts w:ascii="Times New Roman" w:hAnsi="Times New Roman"/>
              </w:rPr>
              <w:t xml:space="preserve">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sz w:val="24"/>
                <w:rFonts w:ascii="Times New Roman" w:hAnsi="Times New Roman"/>
              </w:rPr>
            </w:pPr>
            <w:r>
              <w:rPr>
                <w:rStyle w:val="FormatvorlageInstructionsTabelleText"/>
                <w:sz w:val="24"/>
                <w:rFonts w:ascii="Times New Roman" w:hAnsi="Times New Roman"/>
              </w:rPr>
              <w:t xml:space="preserve">Šīs veidnes nolūkos ieguldītājs ir jāsaprot kā iestāde, kas vērtspapīrošanas darījumā tur vērtspapīrošanas pozīciju un kas nav šā darījuma iniciators vai sponsors.</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0320.</w:t>
            </w:r>
          </w:p>
        </w:tc>
        <w:tc>
          <w:tcPr>
            <w:tcW w:w="7889" w:type="dxa"/>
          </w:tcPr>
          <w:p w14:paraId="390D840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SPONSORS:</w:t>
            </w:r>
            <w:r>
              <w:rPr>
                <w:b/>
                <w:sz w:val="24"/>
                <w:u w:val="single"/>
                <w:rFonts w:ascii="Times New Roman" w:hAnsi="Times New Roman"/>
              </w:rPr>
              <w:t xml:space="preserve"> </w:t>
            </w:r>
            <w:r>
              <w:rPr>
                <w:b/>
                <w:sz w:val="24"/>
                <w:u w:val="single"/>
                <w:rFonts w:ascii="Times New Roman" w:hAnsi="Times New Roman"/>
              </w:rPr>
              <w:t xml:space="preserve">KOPĒJĀ RISKA DARĪJUMU VĒRTĪBA</w:t>
            </w:r>
            <w:r>
              <w:rPr>
                <w:b/>
                <w:sz w:val="24"/>
                <w:u w:val="single"/>
                <w:rFonts w:ascii="Times New Roman" w:hAnsi="Times New Roman"/>
              </w:rPr>
              <w:t xml:space="preserv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rindā sniedz kopsavilkuma informāciju par to vērtspapīrošanas un atkārtotas vērtspapīrošanas pozīciju bilances un ārpusbilances posteņiem un atvasinātajiem instrumentiem, attiecībā uz kurām iestādei ir sponsora loma, kā noteikts Regulas (ES) Nr. 575/2013 4. panta 1. punkta 14) apakšpunktā.</w:t>
            </w:r>
            <w:r>
              <w:rPr>
                <w:sz w:val="24"/>
                <w:rFonts w:ascii="Times New Roman" w:hAnsi="Times New Roman"/>
              </w:rPr>
              <w:t xml:space="preserve"> </w:t>
            </w:r>
            <w:r>
              <w:rPr>
                <w:sz w:val="24"/>
                <w:rFonts w:ascii="Times New Roman" w:hAnsi="Times New Roman"/>
              </w:rPr>
              <w:t xml:space="preserve">Ja sponsors vērtspapīro arī savus pašu aktīvus, tas iniciatora rindās norāda informāciju par saviem pašu vērtspapīrotajiem aktīviem.</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0440.–0670.</w:t>
            </w:r>
          </w:p>
        </w:tc>
        <w:tc>
          <w:tcPr>
            <w:tcW w:w="7889" w:type="dxa"/>
          </w:tcPr>
          <w:p w14:paraId="0F8A1D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NENOKĀRTOTO POZĪCIJU SADALĪJUMS PA KKP SĀKUMA BRĪDĪ</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Šajās rindās apkopo informāciju par nenokārtotajām pozīcijām (pārskata datumā), kurām iniciēšanas datumā (sākuma brīdī) tika noteikta kredītkvalitātes pakāpe (kā noteikts Regulas (ES) Nr. 575/2013 263. panta 1. un 2. tabulā un 264. panta 3. un 4. tabulā).</w:t>
            </w:r>
            <w:r>
              <w:rPr>
                <w:sz w:val="24"/>
                <w:rFonts w:ascii="Times New Roman" w:hAnsi="Times New Roman"/>
              </w:rPr>
              <w:t xml:space="preserve"> </w:t>
            </w:r>
            <w:r>
              <w:rPr>
                <w:sz w:val="24"/>
                <w:rFonts w:ascii="Times New Roman" w:hAnsi="Times New Roman"/>
              </w:rPr>
              <w:t xml:space="preserve">Attiecībā uz vērtspapīrošanas pozīcijām, kurām piemēro INP, KKP ir tāda, kāda tad, kad pirmo reizi piešķirts INP reitings.</w:t>
            </w:r>
            <w:r>
              <w:rPr>
                <w:sz w:val="24"/>
                <w:rFonts w:ascii="Times New Roman" w:hAnsi="Times New Roman"/>
              </w:rPr>
              <w:t xml:space="preserve"> </w:t>
            </w:r>
            <w:r>
              <w:rPr>
                <w:sz w:val="24"/>
                <w:rFonts w:ascii="Times New Roman" w:hAnsi="Times New Roman"/>
              </w:rPr>
              <w:t xml:space="preserve">Ja šādas informācijas nav, uzrāda visagrāk pieejamos KKP ekvivalenta datus.</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Šīs rindas uzrāda tikai par 0180.-0210., 0280., 0350.-0640., 0700.-0720., 0740., 0760.-0830. un 0850. sleju.</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5" w:name="_Toc239157390"/>
      <w:bookmarkStart w:id="6" w:name="_Toc310415046"/>
      <w:bookmarkStart w:id="7" w:name="_Toc360188381"/>
      <w:bookmarkStart w:id="8" w:name="_Toc473560932"/>
      <w:bookmarkStart w:id="9" w:name="_Toc151714436"/>
      <w:r>
        <w:rPr>
          <w:sz w:val="24"/>
          <w:u w:val="none"/>
          <w:rFonts w:ascii="Times New Roman" w:hAnsi="Times New Roman"/>
        </w:rPr>
        <w:t xml:space="preserve">3.8.</w:t>
      </w:r>
      <w:r>
        <w:rPr>
          <w:sz w:val="24"/>
          <w:u w:val="none"/>
          <w:rFonts w:ascii="Times New Roman" w:hAnsi="Times New Roman"/>
        </w:rPr>
        <w:tab/>
      </w:r>
      <w:bookmarkEnd w:id="5"/>
      <w:r>
        <w:rPr>
          <w:sz w:val="24"/>
          <w:rFonts w:ascii="Times New Roman" w:hAnsi="Times New Roman"/>
        </w:rPr>
        <w:t xml:space="preserve">Detalizēta informācija par vērtspapīrošanu</w:t>
      </w:r>
      <w:bookmarkEnd w:id="6"/>
      <w:bookmarkEnd w:id="7"/>
      <w:r>
        <w:rPr>
          <w:sz w:val="24"/>
          <w:rFonts w:ascii="Times New Roman" w:hAnsi="Times New Roman"/>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0" w:name="_Toc310415047"/>
      <w:bookmarkStart w:id="11" w:name="_Toc360188382"/>
      <w:bookmarkStart w:id="12" w:name="_Toc473560933"/>
      <w:bookmarkStart w:id="13" w:name="_Toc151714437"/>
      <w:r>
        <w:rPr>
          <w:sz w:val="24"/>
          <w:u w:val="none"/>
          <w:rFonts w:ascii="Times New Roman" w:hAnsi="Times New Roman"/>
        </w:rPr>
        <w:t xml:space="preserve">3.8.1.</w:t>
      </w:r>
      <w:r>
        <w:rPr>
          <w:sz w:val="24"/>
          <w:u w:val="none"/>
          <w:rFonts w:ascii="Times New Roman" w:hAnsi="Times New Roman"/>
        </w:rPr>
        <w:tab/>
      </w:r>
      <w:r>
        <w:rPr>
          <w:sz w:val="24"/>
          <w:u w:val="none"/>
          <w:rFonts w:ascii="Times New Roman" w:hAnsi="Times New Roman"/>
        </w:rPr>
        <w:t xml:space="preserve">SEC DETAILS veidnes tvērums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111</w:t>
      </w:r>
      <w:r w:rsidRPr="00624117">
        <w:fldChar w:fldCharType="end"/>
      </w:r>
      <w:r>
        <w:t xml:space="preserve">.</w:t>
      </w:r>
      <w:r>
        <w:tab/>
      </w:r>
      <w:r>
        <w:t xml:space="preserve"> </w:t>
      </w:r>
      <w:r>
        <w:t xml:space="preserve">Šajās veidnēs apkopo informāciju par katru darījumu atsevišķi (salīdzinājumā ar apkopoto informāciju CR SEC, MKR SA SEC, MKR SA CTP, CA1 un CA2 veidnēs) attiecībā uz visiem vērtspapīrošanas darījumiem, kuros ir iesaistīta pārskatu sniedzošā iestāde.</w:t>
      </w:r>
      <w:r>
        <w:t xml:space="preserve"> </w:t>
      </w:r>
      <w:r>
        <w:t xml:space="preserve">Norāda katra vērtspapīrošanas darījuma galvenās iezīmes, piemēram, pamatā esošā portfeļa iezīmes un pašu kapitāla prasības.</w:t>
      </w:r>
      <w:r>
        <w:t xml:space="preserve"> </w:t>
      </w:r>
    </w:p>
    <w:p w14:paraId="447DAF6A" w14:textId="27D596A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112</w:t>
      </w:r>
      <w:r>
        <w:fldChar w:fldCharType="end"/>
      </w:r>
      <w:r>
        <w:t xml:space="preserve">.</w:t>
      </w:r>
      <w:r>
        <w:tab/>
      </w:r>
      <w:r>
        <w:t xml:space="preserve"> </w:t>
      </w:r>
      <w:r>
        <w:t xml:space="preserve">Šajā veidnē jāuzrāda:</w:t>
      </w:r>
    </w:p>
    <w:p w14:paraId="24BF3BDE" w14:textId="77777777" w:rsidR="00933ADA" w:rsidRPr="002A677E" w:rsidRDefault="00933ADA" w:rsidP="00933ADA">
      <w:pPr>
        <w:pStyle w:val="InstructionsText2"/>
        <w:numPr>
          <w:ilvl w:val="0"/>
          <w:numId w:val="0"/>
        </w:numPr>
        <w:ind w:left="993"/>
      </w:pPr>
      <w:r>
        <w:t xml:space="preserve">a.</w:t>
      </w:r>
      <w:r>
        <w:tab/>
      </w:r>
      <w:r>
        <w:t xml:space="preserve">pārskatu sniedzošās iestādes iniciēta/sponsorēta vērtspapīrošana, tostarp, ja iestādei vērtspapīrošanas darījumā nav nevienas pozīcijas.</w:t>
      </w:r>
      <w:r>
        <w:t xml:space="preserve"> </w:t>
      </w:r>
      <w:r>
        <w:t xml:space="preserve">Ja iestādēm ir vismaz viena pozīcija vērtspapīrošanas darījumā, neatkarīgi no tā, vai ir bijusi būtiska riska pārvešana vai nav, iestādes sniedz informāciju par visām to turētajām pozīcijām (vai nu bankas portfelī, vai arī tirdzniecības portfelī).</w:t>
      </w:r>
      <w:r>
        <w:t xml:space="preserve"> </w:t>
      </w:r>
      <w:r>
        <w:t xml:space="preserve">Minētās pozīcijas ietver tās pozīcijas, kas saglabātas saistībā ar Regulas (ES) 2017/2402 6. pantu un – ja piemēro minētās regulas 43. panta 6. punktu – Regulas (ES) Nr. 575/2013 405. pantu redakcijā, kas piemērojama 2018. gada 31. decembrī.</w:t>
      </w:r>
    </w:p>
    <w:p w14:paraId="57687CA1" w14:textId="77777777" w:rsidR="00933ADA" w:rsidRPr="002A677E" w:rsidRDefault="00933ADA" w:rsidP="00933ADA">
      <w:pPr>
        <w:pStyle w:val="InstructionsText2"/>
        <w:numPr>
          <w:ilvl w:val="0"/>
          <w:numId w:val="0"/>
        </w:numPr>
        <w:ind w:left="993"/>
      </w:pPr>
      <w:r>
        <w:t xml:space="preserve">b.</w:t>
      </w:r>
      <w:r>
        <w:tab/>
      </w:r>
      <w:r>
        <w:t xml:space="preserve">vērtspapīrošana, kuras galīgais bāzes aktīvs ir finanšu saistības, ko sākotnēji emitējusi pārskatu sniedzošā iestāde un (daļēji) iegādājusies vērtspapīrošanas sabiedrība.</w:t>
      </w:r>
      <w:r>
        <w:t xml:space="preserve"> </w:t>
      </w:r>
      <w:r>
        <w:t xml:space="preserve">Minētais bāzes aktīvs varētu būt, piemēram, segtās obligācijas vai citas saistības, un to kā tādu identificē 0160. slejā.</w:t>
      </w:r>
    </w:p>
    <w:p w14:paraId="5E82032E" w14:textId="77777777" w:rsidR="00933ADA" w:rsidRPr="002A677E" w:rsidRDefault="00933ADA" w:rsidP="00933ADA">
      <w:pPr>
        <w:pStyle w:val="InstructionsText2"/>
        <w:numPr>
          <w:ilvl w:val="0"/>
          <w:numId w:val="0"/>
        </w:numPr>
        <w:ind w:left="993"/>
      </w:pPr>
      <w:r>
        <w:t xml:space="preserve">c.</w:t>
      </w:r>
      <w:r>
        <w:tab/>
      </w:r>
      <w:r>
        <w:t xml:space="preserve">vērtspapīrošanā turētas pozīcijas gadījumos, kad pārskatu sniedzošā iestāde nav ne iniciators, ne ieguldītājs (t. i., ieguldītāji un sākotnējie aizdevēji).</w:t>
      </w:r>
    </w:p>
    <w:p w14:paraId="3CC0DB9F" w14:textId="77777777" w:rsidR="00933ADA" w:rsidRPr="002A677E" w:rsidRDefault="00933ADA" w:rsidP="00933ADA">
      <w:pPr>
        <w:pStyle w:val="InstructionsText2"/>
        <w:numPr>
          <w:ilvl w:val="0"/>
          <w:numId w:val="0"/>
        </w:numPr>
        <w:ind w:left="993"/>
      </w:pPr>
      <w:r>
        <w:t xml:space="preserve">C 14.01. veidni uzrāda tikai par tām vērtspapīrošanas pozīcijām, kurām piemēro vērtspapīrošanas regulējumu.</w:t>
      </w:r>
    </w:p>
    <w:p w14:paraId="4DB6296B" w14:textId="0215247C" w:rsidR="00933ADA" w:rsidRPr="002A677E" w:rsidRDefault="00933ADA" w:rsidP="005B58D3">
      <w:pPr>
        <w:pStyle w:val="InstructionsText2"/>
        <w:numPr>
          <w:ilvl w:val="0"/>
          <w:numId w:val="0"/>
        </w:numPr>
        <w:ind w:left="993"/>
      </w:pPr>
      <w:r>
        <w:fldChar w:fldCharType="begin" w:dirty="true"/>
      </w:r>
      <w:r>
        <w:instrText>seq paragraphs</w:instrText>
      </w:r>
      <w:r>
        <w:fldChar w:fldCharType="separate"/>
      </w:r>
      <w:r w:rsidRPr="002A677E">
        <w:t>113</w:t>
      </w:r>
      <w:r>
        <w:fldChar w:fldCharType="end"/>
      </w:r>
      <w:r>
        <w:t xml:space="preserve">.</w:t>
      </w:r>
      <w:r>
        <w:tab/>
      </w:r>
      <w:r>
        <w:t xml:space="preserve"> </w:t>
      </w:r>
      <w:r>
        <w:t xml:space="preserve">Šīs veidnes uzrāda konsolidētās grupas un atsevišķas iestādes</w:t>
      </w:r>
      <w:r w:rsidRPr="001235ED">
        <w:rPr>
          <w:rStyle w:val="FootnoteReference"/>
        </w:rPr>
        <w:footnoteReference w:id="2"/>
      </w:r>
      <w:r>
        <w:t xml:space="preserve">, kas atrodas vienā un tajā pašā valstī, kurā tām piemēro pašu kapitāla prasības, iestādes, kas ir daļa no grupas tajā pašā valstī, kurā tām piemēro pašu kapitāla prasības, atbrīvo no pienākuma uzrādīt šīs veidnes.</w:t>
      </w:r>
      <w:r>
        <w:t xml:space="preserve"> </w:t>
      </w:r>
      <w:r>
        <w:t xml:space="preserve">Ja vērtspapīrošanā ir iesaistītas vairākas vienas konsolidētās grupas sabiedrības, informāciju norāda par katru sabiedrību.</w:t>
      </w:r>
      <w:r>
        <w:t xml:space="preserve"> </w:t>
      </w:r>
    </w:p>
    <w:p w14:paraId="605FD2B9" w14:textId="05F11EB7"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114</w:t>
      </w:r>
      <w:r>
        <w:fldChar w:fldCharType="end"/>
      </w:r>
      <w:r>
        <w:t xml:space="preserve">.</w:t>
      </w:r>
      <w:r>
        <w:tab/>
      </w:r>
      <w:r>
        <w:t xml:space="preserve"> </w:t>
      </w:r>
      <w:r>
        <w:t xml:space="preserve">Tā kā Regulas (ES) 2017/2402 5. pantā ir noteikts, ka iestādēm, kas iegulda vērtspapīrošanas pozīcijās, ir jāiegūst daudz informācijas par šīm pozīcijām, lai ievērotu uzticamības pārbaudes prasības, veidnes pārskata tvērumā ierobežotā apmērā iekļauj arī ieguldītājus.</w:t>
      </w:r>
      <w:r>
        <w:t xml:space="preserve"> </w:t>
      </w:r>
      <w:r>
        <w:t xml:space="preserve">Konkrēti, tos uzrāda 0010.-0040.;</w:t>
      </w:r>
      <w:r>
        <w:t xml:space="preserve"> </w:t>
      </w:r>
      <w:r>
        <w:t xml:space="preserve">0070.–0110.;</w:t>
      </w:r>
      <w:r>
        <w:t xml:space="preserve"> </w:t>
      </w:r>
      <w:r>
        <w:t xml:space="preserve">0160.;</w:t>
      </w:r>
      <w:r>
        <w:t xml:space="preserve"> </w:t>
      </w:r>
      <w:r>
        <w:t xml:space="preserve">0181.;</w:t>
      </w:r>
      <w:r>
        <w:t xml:space="preserve"> </w:t>
      </w:r>
      <w:r>
        <w:t xml:space="preserve">0190.;</w:t>
      </w:r>
      <w:r>
        <w:t xml:space="preserve"> </w:t>
      </w:r>
      <w:r>
        <w:t xml:space="preserve">0223.;</w:t>
      </w:r>
      <w:r>
        <w:t xml:space="preserve"> </w:t>
      </w:r>
      <w:r>
        <w:t xml:space="preserve">0230.–0285.;</w:t>
      </w:r>
      <w:r>
        <w:t xml:space="preserve"> </w:t>
      </w:r>
      <w:r>
        <w:t xml:space="preserve">0290.–0300.;</w:t>
      </w:r>
      <w:r>
        <w:t xml:space="preserve"> </w:t>
      </w:r>
      <w:r>
        <w:t xml:space="preserve">0310.-0470. slejā.</w:t>
      </w:r>
    </w:p>
    <w:p w14:paraId="5723EFC7" w14:textId="7296A58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115</w:t>
      </w:r>
      <w:r>
        <w:fldChar w:fldCharType="end"/>
      </w:r>
      <w:r>
        <w:t xml:space="preserve">.</w:t>
      </w:r>
      <w:r>
        <w:tab/>
      </w:r>
      <w:r>
        <w:t xml:space="preserve"> </w:t>
      </w:r>
      <w:r>
        <w:t xml:space="preserve">Iestādes, kas ir sākotnējo aizdevēju lomā (nav arī iniciatoru vai sponsoru lomā tajā pašā vērtspapīrošanā), parasti sniedz pārskatu par veidni tādā pašā mērā kā ieguldītāji.</w:t>
      </w:r>
    </w:p>
    <w:p w14:paraId="18B286B4" w14:textId="77777777" w:rsidR="00933ADA" w:rsidRPr="002A677E" w:rsidRDefault="00933ADA" w:rsidP="00933ADA">
      <w:pPr>
        <w:pStyle w:val="Instructionsberschrift2"/>
        <w:numPr>
          <w:ilvl w:val="0"/>
          <w:numId w:val="0"/>
        </w:numPr>
        <w:rPr>
          <w:sz w:val="24"/>
          <w:u w:val="none"/>
          <w:rFonts w:ascii="Times New Roman" w:hAnsi="Times New Roman" w:cs="Times New Roman"/>
        </w:rPr>
      </w:pPr>
      <w:bookmarkStart w:id="17" w:name="_Toc522019892"/>
      <w:bookmarkStart w:id="18" w:name="_Toc151714438"/>
      <w:r>
        <w:rPr>
          <w:sz w:val="24"/>
          <w:u w:val="none"/>
          <w:rFonts w:ascii="Times New Roman" w:hAnsi="Times New Roman"/>
        </w:rPr>
        <w:t xml:space="preserve">3.8.2. SEC DETAILS veidnes sadalījums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116</w:t>
      </w:r>
      <w:r>
        <w:fldChar w:fldCharType="end"/>
      </w:r>
      <w:r>
        <w:t xml:space="preserve">.</w:t>
      </w:r>
      <w:r>
        <w:t xml:space="preserve"> </w:t>
      </w:r>
      <w:r>
        <w:t xml:space="preserve">SEC DETAILS sastāv no divām veidnēm.</w:t>
      </w:r>
      <w:r>
        <w:t xml:space="preserve"> </w:t>
      </w:r>
      <w:r>
        <w:t xml:space="preserve">SEC DETAILS sniedz vispārēju pārskatu par vērtspapīrošanas darījumiem.</w:t>
      </w:r>
      <w:r>
        <w:t xml:space="preserve"> </w:t>
      </w:r>
      <w:r>
        <w:t xml:space="preserve">SEC DETAILS 2 sniedz tādu vērtspapīrošanas pozīciju sadalījumu pa piemērotajām pieejām, kurām piemēro pašu kapitāla prasības saskaņā ar Regulas (ES) Nr. 575/2013 Trešās daļas II sadaļas 5. nodaļas 3. iedaļu.</w:t>
      </w:r>
      <w:r>
        <w:t xml:space="preserve"> </w:t>
      </w:r>
    </w:p>
    <w:p w14:paraId="07FC3F88" w14:textId="0E0D1BA2" w:rsidR="00933ADA" w:rsidRPr="002A677E" w:rsidRDefault="00933ADA" w:rsidP="00933ADA">
      <w:pPr>
        <w:pStyle w:val="InstructionsText2"/>
        <w:numPr>
          <w:ilvl w:val="0"/>
          <w:numId w:val="0"/>
        </w:numPr>
        <w:ind w:left="993"/>
      </w:pPr>
      <w:r>
        <w:fldChar w:fldCharType="begin" w:dirty="true"/>
      </w:r>
      <w:r>
        <w:instrText>seq paragraphs</w:instrText>
      </w:r>
      <w:r>
        <w:fldChar w:fldCharType="separate"/>
      </w:r>
      <w:r w:rsidRPr="002A677E">
        <w:t>117</w:t>
      </w:r>
      <w:r>
        <w:fldChar w:fldCharType="end"/>
      </w:r>
      <w:r>
        <w:t xml:space="preserve">.</w:t>
      </w:r>
      <w:r>
        <w:t xml:space="preserve"> </w:t>
      </w:r>
      <w:r>
        <w:t xml:space="preserve">Vērtspapīrošanas pozīcijas tirdzniecības portfelī uzrāda tikai 0010.-0020., 0420., 0430., 0431., 0432., 0440. un 0450.-0470. slejā.</w:t>
      </w:r>
      <w:r>
        <w:t xml:space="preserve"> </w:t>
      </w:r>
      <w:r>
        <w:t xml:space="preserve">Attiecībā uz 0420., 0430. un 0440. sleju iestādes ņem vērā riska svērumus, kas atbilst neto pozīcijas pašu kapitāla prasībai.</w:t>
      </w:r>
      <w:r>
        <w:t xml:space="preserve"> </w:t>
      </w:r>
    </w:p>
    <w:p w14:paraId="731DEBBE" w14:textId="77777777" w:rsidR="00933ADA" w:rsidRPr="002A677E" w:rsidRDefault="00933ADA" w:rsidP="00933ADA">
      <w:pPr>
        <w:pStyle w:val="Instructionsberschrift2"/>
        <w:numPr>
          <w:ilvl w:val="0"/>
          <w:numId w:val="0"/>
        </w:numPr>
        <w:ind w:left="357" w:hanging="357"/>
        <w:rPr>
          <w:sz w:val="24"/>
          <w:u w:val="none"/>
          <w:rFonts w:ascii="Times New Roman" w:hAnsi="Times New Roman" w:cs="Times New Roman"/>
        </w:rPr>
      </w:pPr>
      <w:bookmarkStart w:id="19" w:name="_Toc151714439"/>
      <w:r>
        <w:rPr>
          <w:sz w:val="24"/>
          <w:u w:val="none"/>
          <w:rFonts w:ascii="Times New Roman" w:hAnsi="Times New Roman"/>
        </w:rPr>
        <w:t xml:space="preserve">3.8.3. C 14.00. – Detalizēta informācija par vērtspapīrošanu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Slejas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1CFD181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IEKŠĒJAIS KODS</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Iekšējais (burtciparu) kods, ko iestāde izmanto, lai identificētu vērtspapīrošanu.</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Iekšējais kods ir saistīts ar vērtspapīrošanas darījuma identifikatoru.</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0A8D6381"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UNIKĀLAIS IDENTIFIKATORS</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sz w:val="24"/>
                <w:rFonts w:ascii="Times New Roman" w:hAnsi="Times New Roman"/>
              </w:rPr>
            </w:pPr>
            <w:r>
              <w:rPr>
                <w:sz w:val="24"/>
                <w:rFonts w:ascii="Times New Roman" w:hAnsi="Times New Roman"/>
              </w:rPr>
              <w:t xml:space="preserve">Vērtspapīrošanas darījumiem, kas emitēti 2019. gada 1. janvārī vai vēlāk, iestādes uzrāda unikālo identifikatoru, kas definēts Komisijas Deleģētās regulas (ES) 2020/1224 11. panta 1. punktā.</w:t>
            </w:r>
          </w:p>
          <w:p w14:paraId="2AED1FA3" w14:textId="34BC923C"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Unikālo identifikatoru uzrāda gan par iniciatora/sponsora, gan ieguldītāja pozīcijām, un nav paredzams, ka tas mainīsies atkarībā no uzrādīšanas līmeņa (konsolidētais līmenis salīdzinājumā ar apakšgrupām).</w:t>
            </w:r>
            <w:r>
              <w:rPr>
                <w:sz w:val="24"/>
                <w:rFonts w:ascii="Times New Roman" w:hAnsi="Times New Roman"/>
              </w:rPr>
              <w:t xml:space="preserve"> </w:t>
            </w:r>
            <w:r>
              <w:rPr>
                <w:sz w:val="24"/>
                <w:rFonts w:ascii="Times New Roman" w:hAnsi="Times New Roman"/>
              </w:rPr>
              <w:t xml:space="preserve">Saskaņā ar 11. panta 1. punkta a) apakšpunktu un 11. panta 2. punkta a) apakšpunktu </w:t>
            </w:r>
            <w:r>
              <w:rPr>
                <w:sz w:val="24"/>
                <w:i/>
                <w:iCs/>
                <w:rFonts w:ascii="Times New Roman" w:hAnsi="Times New Roman"/>
              </w:rPr>
              <w:t xml:space="preserve">LEI</w:t>
            </w:r>
            <w:r>
              <w:rPr>
                <w:sz w:val="24"/>
                <w:rFonts w:ascii="Times New Roman" w:hAnsi="Times New Roman"/>
              </w:rPr>
              <w:t xml:space="preserve"> (unikālā identifikatora pirmais postenis) ir stingri definēts kā tāds, kas atbilst “pārskata sniedzēja struktūrai”, kā definēts Regulas (ES) 2017/2402 7. panta 2. punktā.</w:t>
            </w:r>
            <w:r>
              <w:rPr>
                <w:sz w:val="24"/>
                <w:rFonts w:ascii="Times New Roman" w:hAnsi="Times New Roman"/>
              </w:rPr>
              <w:t xml:space="preserve"> </w:t>
            </w:r>
            <w:r>
              <w:rPr>
                <w:sz w:val="24"/>
                <w:rFonts w:ascii="Times New Roman" w:hAnsi="Times New Roman"/>
              </w:rPr>
              <w:t xml:space="preserve">Dažos gadījumos “pārskata sniedzēja struktūra”, ir iestāde, kas ziņo par </w:t>
            </w:r>
            <w:r>
              <w:rPr>
                <w:sz w:val="24"/>
                <w:i/>
                <w:iCs/>
                <w:rFonts w:ascii="Times New Roman" w:hAnsi="Times New Roman"/>
              </w:rPr>
              <w:t xml:space="preserve">COREP</w:t>
            </w:r>
            <w:r>
              <w:rPr>
                <w:sz w:val="24"/>
                <w:rFonts w:ascii="Times New Roman" w:hAnsi="Times New Roman"/>
              </w:rPr>
              <w:t xml:space="preserve"> veidnēm (piemēram, ja tā ir iniciatore vai sponsors), dažos gadījumos tā nav.</w:t>
            </w:r>
            <w:r>
              <w:rPr>
                <w:sz w:val="24"/>
                <w:rFonts w:ascii="Times New Roman" w:hAnsi="Times New Roman"/>
              </w:rPr>
              <w:t xml:space="preserve"> </w:t>
            </w:r>
            <w:r>
              <w:rPr>
                <w:sz w:val="24"/>
                <w:rFonts w:ascii="Times New Roman" w:hAnsi="Times New Roman"/>
              </w:rPr>
              <w:t xml:space="preserve">Saskaņā ar Komisijas Deleģētās regulas (ES) 2020/1224 11. panta 3. punktu pārskata sniedzēja struktūra nevar labot unikālo identifikatoru, kas nozīmē, ka to nevar labot, lai ziņotu </w:t>
            </w:r>
            <w:r>
              <w:rPr>
                <w:sz w:val="24"/>
                <w:i/>
                <w:iCs/>
                <w:rFonts w:ascii="Times New Roman" w:hAnsi="Times New Roman"/>
              </w:rPr>
              <w:t xml:space="preserve">COREP</w:t>
            </w:r>
            <w:r>
              <w:rPr>
                <w:sz w:val="24"/>
                <w:rFonts w:ascii="Times New Roman" w:hAnsi="Times New Roman"/>
              </w:rPr>
              <w:t xml:space="preserve"> veidnēs.</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1670684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IDENTIFIKATORS</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darījuma juridiskajai reģistrācijai izmantotais kods vai, ja tāda nav, nosaukums, ar kādu vērtspapīrošanas darījums ir zināms tirgū vai iestādē, ja vērtspapīrošana ir iekšēja vai privāta.</w:t>
            </w:r>
            <w:r>
              <w:rPr>
                <w:sz w:val="24"/>
                <w:rFonts w:ascii="Times New Roman" w:hAnsi="Times New Roman"/>
              </w:rPr>
              <w:t xml:space="preserv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Ja ir pieejams starptautiskais vērtspapīru identifikācijas kods (</w:t>
            </w:r>
            <w:r>
              <w:rPr>
                <w:sz w:val="24"/>
                <w:i/>
                <w:iCs/>
                <w:rFonts w:ascii="Times New Roman" w:hAnsi="Times New Roman"/>
              </w:rPr>
              <w:t xml:space="preserve">ISIN</w:t>
            </w:r>
            <w:r>
              <w:rPr>
                <w:sz w:val="24"/>
                <w:rFonts w:ascii="Times New Roman" w:hAnsi="Times New Roman"/>
              </w:rPr>
              <w:t xml:space="preserve">) (t. i., publiskiem darījumiem), šajā slejā uzrāda zīmes, kas ir kopīgas visiem vērtspapīrošanas laidieniem.</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0021.</w:t>
            </w:r>
          </w:p>
        </w:tc>
        <w:tc>
          <w:tcPr>
            <w:tcW w:w="7903" w:type="dxa"/>
          </w:tcPr>
          <w:p w14:paraId="2DF5396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GRUPAS IEKŠĒJĀ, PRIVĀTA VAI PUBLISKĀ VĒRTSPAPĪROŠANA?</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slejā norāda, vai vērtspapīrošana ir grupas iekšējā, privāta vai publiska vērtspapīrošana.</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norāda vienu no turpmāk minētajiem:</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privāti izvietoti vērtspapīri;</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grupas iekšējā vērtspapīrošana;</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publiski izvietoti vērtspapīri.</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0110.</w:t>
            </w:r>
          </w:p>
        </w:tc>
        <w:tc>
          <w:tcPr>
            <w:tcW w:w="7903" w:type="dxa"/>
            <w:shd w:val="clear" w:color="auto" w:fill="auto"/>
          </w:tcPr>
          <w:p w14:paraId="5E14DA2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IESTĀDES LOMA: (INICIATORS / SPONSORS / SĀKOTNĒJAIS AIZDEVĒJS / IEGULDĪTĀJS)</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norāda vienu no turpmāk minētajiem:</w:t>
            </w:r>
            <w:r>
              <w:rPr>
                <w:sz w:val="24"/>
                <w:rFonts w:ascii="Times New Roman" w:hAnsi="Times New Roman"/>
              </w:rPr>
              <w:t xml:space="preserve"> </w:t>
            </w:r>
          </w:p>
          <w:p w14:paraId="42CB975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iniciators;</w:t>
            </w:r>
          </w:p>
          <w:p w14:paraId="177ACBA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sponsors;</w:t>
            </w:r>
          </w:p>
          <w:p w14:paraId="5CE3FC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ieguldītājs;</w:t>
            </w:r>
            <w:r>
              <w:rPr>
                <w:sz w:val="24"/>
                <w:rFonts w:ascii="Times New Roman" w:hAnsi="Times New Roman"/>
              </w:rPr>
              <w:t xml:space="preserve"> </w:t>
            </w:r>
          </w:p>
          <w:p w14:paraId="31576F8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sākotnējais aizdevējs.</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Iniciators, kas definēts Regulas (ES) Nr. 575/2013 4. panta 1. punkta 13) apakšpunktā, un sponsors, kas definēts minētās regulas 4. panta 1. punkta 14) apakšpunktā.</w:t>
            </w:r>
            <w:r>
              <w:rPr>
                <w:sz w:val="24"/>
                <w:rFonts w:ascii="Times New Roman" w:hAnsi="Times New Roman"/>
              </w:rPr>
              <w:t xml:space="preserve"> </w:t>
            </w:r>
            <w:r>
              <w:rPr>
                <w:sz w:val="24"/>
                <w:rFonts w:ascii="Times New Roman" w:hAnsi="Times New Roman"/>
              </w:rPr>
              <w:t xml:space="preserve">Tiek pieņemts, ka ieguldītāji ir tās iestādes, kurām piemēro Regulas (ES) 2017/2402 5. pantu.</w:t>
            </w:r>
            <w:r>
              <w:rPr>
                <w:sz w:val="24"/>
                <w:rFonts w:ascii="Times New Roman" w:hAnsi="Times New Roman"/>
              </w:rPr>
              <w:t xml:space="preserve"> </w:t>
            </w:r>
            <w:r>
              <w:rPr>
                <w:sz w:val="24"/>
                <w:rFonts w:ascii="Times New Roman" w:hAnsi="Times New Roman"/>
              </w:rPr>
              <w:t xml:space="preserve">Ja piemēro Regulas (ES) 2017/2402 43. panta 5. punktu – piemēro Regulas (ES) Nr. 575/2013 406. un 407. pantu 2018. gada 31. decembra redakcijā.</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0030.</w:t>
            </w:r>
          </w:p>
        </w:tc>
        <w:tc>
          <w:tcPr>
            <w:tcW w:w="7903" w:type="dxa"/>
          </w:tcPr>
          <w:p w14:paraId="0E6B28E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INICIATORA IDENTIFIKATORS</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uzrāda iniciatoram piemērojamo LEI kodu vai, ja tāda nav, kodu, ko uzraudzības iestāde piešķīrusi iniciatoram, vai, ja tāda nav, pašas iestādes nosaukumu.</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Attiecībā uz vērtspapīrošanu, kurā iesaistīti vairāki pārdevēji, ja pārskatu sniedzēja iestāde ir iesaistīta kā iniciators, sponsors vai sākotnējais aizdevējs, tad tā norāda visu tās konsolidētajā grupā esošo sabiedrību, kuras iesaistītas darījumā (kā iniciators, sponsors vai sākotnējais aizdevējs), identifikatoru.</w:t>
            </w:r>
            <w:r>
              <w:rPr>
                <w:sz w:val="24"/>
                <w:rFonts w:ascii="Times New Roman" w:hAnsi="Times New Roman"/>
              </w:rPr>
              <w:t xml:space="preserve"> </w:t>
            </w:r>
            <w:r>
              <w:rPr>
                <w:sz w:val="24"/>
                <w:rFonts w:ascii="Times New Roman" w:hAnsi="Times New Roman"/>
              </w:rPr>
              <w:t xml:space="preserve">Ja pārskatu sniedzējai iestādei kods nav pieejams vai nav zināms, uzrāda iestādes nosaukumu.</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Attiecībā uz vērtspapīrošanu, kurā iesaistīti vairāki pārdevēji, ja pārskatu sniedzēja iestāde vērtspapīrošanā tur pozīciju kā ieguldītājs, tā norāda visu vērtspapīrošanā iesaistīto dažādo iniciatoru identifikatoru vai, ja tāda nav, dažādo iniciatoru nosaukumus.</w:t>
            </w:r>
            <w:r>
              <w:rPr>
                <w:sz w:val="24"/>
                <w:rFonts w:ascii="Times New Roman" w:hAnsi="Times New Roman"/>
              </w:rPr>
              <w:t xml:space="preserve"> </w:t>
            </w:r>
            <w:r>
              <w:rPr>
                <w:sz w:val="24"/>
                <w:rFonts w:ascii="Times New Roman" w:hAnsi="Times New Roman"/>
              </w:rPr>
              <w:t xml:space="preserve">Ja pārskatu sniedzējai iestādei nosaukumi nav zināmi, tā norāda, ka vērtspapīrošanā ir iesaistīti “vairāki pārdevēji”.</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0040.</w:t>
            </w:r>
          </w:p>
        </w:tc>
        <w:tc>
          <w:tcPr>
            <w:tcW w:w="7903" w:type="dxa"/>
          </w:tcPr>
          <w:p w14:paraId="3D12F0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VĒRTSPAPĪROŠANAS VEIDS</w:t>
            </w:r>
            <w:r>
              <w:rPr>
                <w:b/>
                <w:sz w:val="24"/>
                <w:u w:val="single"/>
                <w:rFonts w:ascii="Times New Roman" w:hAnsi="Times New Roman"/>
              </w:rPr>
              <w:t xml:space="preserv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norāda vienu no turpmāk minētajiem:</w:t>
            </w:r>
            <w:r>
              <w:rPr>
                <w:sz w:val="24"/>
                <w:rFonts w:ascii="Times New Roman" w:hAnsi="Times New Roman"/>
              </w:rPr>
              <w:br/>
            </w:r>
            <w:r>
              <w:rPr>
                <w:sz w:val="24"/>
                <w:rFonts w:ascii="Times New Roman" w:hAnsi="Times New Roman"/>
              </w:rPr>
              <w:t xml:space="preserve">- ABKV programma;</w:t>
            </w:r>
          </w:p>
          <w:p w14:paraId="6286CA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ABVK darījumi;</w:t>
            </w:r>
          </w:p>
          <w:p w14:paraId="6806306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tradicionālā vērtspapīrošana, kas nav INRD vērtspapīrošana;</w:t>
            </w:r>
          </w:p>
          <w:p w14:paraId="507BD1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neatbilstīga INRD vērtspapīrošana;</w:t>
            </w:r>
          </w:p>
          <w:p w14:paraId="391C810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atbilstīga INRD vērtspapīrošana;</w:t>
            </w:r>
          </w:p>
          <w:p w14:paraId="158DEC7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sintētiskie darījumi.</w:t>
            </w:r>
          </w:p>
          <w:p w14:paraId="00B64B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Definīcijas “Uz aktīviem balstītu komerciālo vērtspapīru programma”, “uz aktīviem balstītu komerciālo vērtspapīru darījums”, “tradicionālā vērtspapīrošana” un “sintētiskā vērtspapīrošana” ir sniegtas Regulas (ES) Nr. 575/2013 242. panta 11)–14) punktā;</w:t>
            </w:r>
            <w:r>
              <w:rPr>
                <w:sz w:val="24"/>
                <w:rFonts w:ascii="Times New Roman" w:hAnsi="Times New Roman"/>
              </w:rPr>
              <w:t xml:space="preserve"> </w:t>
            </w:r>
            <w:r>
              <w:rPr>
                <w:sz w:val="24"/>
                <w:rFonts w:ascii="Times New Roman" w:hAnsi="Times New Roman"/>
              </w:rPr>
              <w:t xml:space="preserve">“kritērijiem atbilstošas tradicionālās INRD vērtspapīrošanas” un “INRD vērtspapīrošanas” definīcijas ir sniegtas Regulas (ES) Nr. 575/2013 269.a panta 1. punktā.</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0051.</w:t>
            </w:r>
          </w:p>
        </w:tc>
        <w:tc>
          <w:tcPr>
            <w:tcW w:w="7903" w:type="dxa"/>
          </w:tcPr>
          <w:p w14:paraId="40B3EB3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UZSKAITEI PIEMĒROTĀ PROCEDŪRA:</w:t>
            </w:r>
            <w:r>
              <w:rPr>
                <w:b/>
                <w:sz w:val="24"/>
                <w:u w:val="single"/>
                <w:rFonts w:ascii="Times New Roman" w:hAnsi="Times New Roman"/>
              </w:rPr>
              <w:t xml:space="preserve"> </w:t>
            </w:r>
            <w:r>
              <w:rPr>
                <w:b/>
                <w:sz w:val="24"/>
                <w:u w:val="single"/>
                <w:rFonts w:ascii="Times New Roman" w:hAnsi="Times New Roman"/>
              </w:rPr>
              <w:t xml:space="preserve">VAI VĒRTSPAPĪROTIE RISKA DARĪJUMI IR IEKĻAUTI BILANCĒ VAI IZSLĒGTI NO BILANCES?</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kā iniciatori, sponsori un sākotnējie aizdevēji uzrāda vienu no turpmāk minētajiem:</w:t>
            </w:r>
          </w:p>
          <w:p w14:paraId="4C0FBFEA" w14:textId="77777777" w:rsidR="00933ADA" w:rsidRPr="002A677E" w:rsidRDefault="00933ADA" w:rsidP="00822842">
            <w:pPr>
              <w:autoSpaceDE w:val="0"/>
              <w:autoSpaceDN w:val="0"/>
              <w:adjustRightInd w:val="0"/>
              <w:spacing w:before="0" w:after="0"/>
              <w:ind w:left="1440" w:hanging="1440"/>
              <w:jc w:val="left"/>
              <w:rPr>
                <w:sz w:val="24"/>
                <w:rFonts w:ascii="Times New Roman" w:hAnsi="Times New Roman"/>
              </w:rPr>
            </w:pPr>
            <w:r>
              <w:rPr>
                <w:sz w:val="24"/>
                <w:rFonts w:ascii="Times New Roman" w:hAnsi="Times New Roman"/>
              </w:rPr>
              <w:t xml:space="preserve">- “K — pilnībā uzturēti”, ja vērtspapīrotie riska darījumi paliek pilnībā atzīti;</w:t>
            </w:r>
          </w:p>
          <w:p w14:paraId="13423F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 — daļēji izslēgti”, ja vērtspapīru riska darījumu atzīšana ir daļēji pārtraukta;</w:t>
            </w:r>
          </w:p>
          <w:p w14:paraId="6F78291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“R — pilnībā izslēgti”, ja vērtspapīru riska darījumu atzīšana ir pilnībā pārtraukta;</w:t>
            </w:r>
          </w:p>
          <w:p w14:paraId="6FCDFA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 — nepiemēro”, ja nav piemērojams.</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ir sniegts kopsavilkums par darījuma uzskaitei piemēroto procedūru.</w:t>
            </w:r>
            <w:r>
              <w:rPr>
                <w:sz w:val="24"/>
                <w:rFonts w:ascii="Times New Roman" w:hAnsi="Times New Roman"/>
              </w:rPr>
              <w:t xml:space="preserve"> </w:t>
            </w:r>
            <w:r>
              <w:rPr>
                <w:sz w:val="24"/>
                <w:rFonts w:ascii="Times New Roman" w:hAnsi="Times New Roman"/>
              </w:rPr>
              <w:t xml:space="preserve">Būtiska riska pārvešana saskaņā ar Regulas (ES) Nr. 575/2013 244. un 245. pantu neietekmē darījuma uzskaitei piemēroto procedūru saskaņā ar attiecīgo grāmatvedības regulējumu. Saistību vērtspapīrošanas gadījumā iniciatori neuzrāda šo sleju.</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Saistību vērtspapīrošanas gadījumā iniciatori neuzrāda šo sleju.</w:t>
            </w:r>
          </w:p>
          <w:p w14:paraId="0DB3F0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 iespēju (daļēji izslēgti) uzrāda, ja vērtspapīrotos aktīvus atzīst bilancē pārskatu sniedzošās sabiedrības turpmākas iesaistīšanās mērā, kā noteikts 9. SFPS 3.2.16.–3.2.21. punktā.</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0060.</w:t>
            </w:r>
          </w:p>
        </w:tc>
        <w:tc>
          <w:tcPr>
            <w:tcW w:w="7903" w:type="dxa"/>
          </w:tcPr>
          <w:p w14:paraId="35E9CC9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MAKSĀTSPĒJAS KONTEKSTĀ PIEMĒROTĀ PROCEDŪRA:</w:t>
            </w:r>
            <w:r>
              <w:rPr>
                <w:b/>
                <w:sz w:val="24"/>
                <w:u w:val="single"/>
                <w:rFonts w:ascii="Times New Roman" w:hAnsi="Times New Roman"/>
              </w:rPr>
              <w:t xml:space="preserve"> </w:t>
            </w:r>
            <w:r>
              <w:rPr>
                <w:b/>
                <w:sz w:val="24"/>
                <w:u w:val="single"/>
                <w:rFonts w:ascii="Times New Roman" w:hAnsi="Times New Roman"/>
              </w:rPr>
              <w:t xml:space="preserve">VAI UZ VĒRTSPAPĪROŠANAS POZĪCIJĀM ATTIECAS PAŠU KAPITĀLA PRASĪBAS?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Regulas (ES) Nr. 575/2013 109., 244. un 245. pants</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norāda vienu no turpmāk minētajiem:</w:t>
            </w:r>
            <w:r>
              <w:rPr>
                <w:sz w:val="24"/>
                <w:rFonts w:ascii="Times New Roman" w:hAnsi="Times New Roman"/>
              </w:rPr>
              <w:t xml:space="preserve"> </w:t>
            </w:r>
          </w:p>
          <w:p w14:paraId="1ED3F52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neattiecas pašu kapitāla prasības;</w:t>
            </w:r>
          </w:p>
          <w:p w14:paraId="446FBE1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bankas portfelis;</w:t>
            </w:r>
          </w:p>
          <w:p w14:paraId="0DDB6C2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tirdzniecības portfelis;</w:t>
            </w:r>
          </w:p>
          <w:p w14:paraId="35D166D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daļēji bankas portfelī un tirdzniecības portfelī.</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sniedz kopsavilkumu par iniciatora vērtspapīrošanas shēmai maksātspējas kontekstā piemēroto procedūru.</w:t>
            </w:r>
            <w:r>
              <w:rPr>
                <w:sz w:val="24"/>
                <w:rFonts w:ascii="Times New Roman" w:hAnsi="Times New Roman"/>
              </w:rPr>
              <w:t xml:space="preserve"> </w:t>
            </w:r>
            <w:r>
              <w:rPr>
                <w:sz w:val="24"/>
                <w:rFonts w:ascii="Times New Roman" w:hAnsi="Times New Roman"/>
              </w:rPr>
              <w:t xml:space="preserve">Tajā norāda, vai pašu kapitāla prasības aprēķinātas, pamatojoties uz vērtspapīrošanas riska darījumiem vai vērtspapīrošanas pozīcijām (bankas portfelis/tirdzniecības portfelis).</w:t>
            </w:r>
            <w:r>
              <w:rPr>
                <w:sz w:val="24"/>
                <w:rFonts w:ascii="Times New Roman" w:hAnsi="Times New Roman"/>
              </w:rPr>
              <w:t xml:space="preserve">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Ja pašu kapitāla prasību pamatā ir </w:t>
            </w:r>
            <w:r>
              <w:rPr>
                <w:sz w:val="24"/>
                <w:i/>
                <w:iCs/>
                <w:rFonts w:ascii="Times New Roman" w:hAnsi="Times New Roman"/>
              </w:rPr>
              <w:t xml:space="preserve">vērtspapīroti riska darījumi</w:t>
            </w:r>
            <w:r>
              <w:rPr>
                <w:sz w:val="24"/>
                <w:rFonts w:ascii="Times New Roman" w:hAnsi="Times New Roman"/>
              </w:rPr>
              <w:t xml:space="preserve"> (jo nav panākta nekāda būtiska riska pārvešana), pašu kapitāla prasību aprēķinu attiecībā uz kredītrisku uzrāda CR SA veidnē par tiem vērtspapīrotajiem riska darījumiem, attiecībā uz kuriem izmanto standartizēto pieeju, vai CR IRB veidnē par tiem vērtspapīrotajiem riska darījumiem, attiecībā uz kuriem iestāde izmanto uz iekšējiem reitingiem balstīto pieeju.</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Un otrādi, ja pašu kapitāla prasību pamatā ir </w:t>
            </w:r>
            <w:r>
              <w:rPr>
                <w:sz w:val="24"/>
                <w:i/>
                <w:iCs/>
                <w:rFonts w:ascii="Times New Roman" w:hAnsi="Times New Roman"/>
              </w:rPr>
              <w:t xml:space="preserve">vērtspapīrošanas pozīcijas banku portfelī</w:t>
            </w:r>
            <w:r>
              <w:rPr>
                <w:sz w:val="24"/>
                <w:rFonts w:ascii="Times New Roman" w:hAnsi="Times New Roman"/>
              </w:rPr>
              <w:t xml:space="preserve"> (jo ir panākta ievērojama riska pārvešana), informāciju par pašu kapitāla prasību aprēķinu attiecībā uz kredītrisku uzrāda CR SEC veidnē.</w:t>
            </w:r>
            <w:r>
              <w:rPr>
                <w:sz w:val="24"/>
                <w:rFonts w:ascii="Times New Roman" w:hAnsi="Times New Roman"/>
              </w:rPr>
              <w:t xml:space="preserve"> </w:t>
            </w:r>
            <w:r>
              <w:rPr>
                <w:sz w:val="24"/>
                <w:rFonts w:ascii="Times New Roman" w:hAnsi="Times New Roman"/>
              </w:rPr>
              <w:t xml:space="preserve">Saistībā ar </w:t>
            </w:r>
            <w:r>
              <w:rPr>
                <w:sz w:val="24"/>
                <w:i/>
                <w:iCs/>
                <w:rFonts w:ascii="Times New Roman" w:hAnsi="Times New Roman"/>
              </w:rPr>
              <w:t xml:space="preserve">vērtspapīrošanas pozīcijām</w:t>
            </w:r>
            <w:r>
              <w:rPr>
                <w:sz w:val="24"/>
                <w:rFonts w:ascii="Times New Roman" w:hAnsi="Times New Roman"/>
              </w:rPr>
              <w:t xml:space="preserve"> </w:t>
            </w:r>
            <w:r>
              <w:rPr>
                <w:sz w:val="24"/>
                <w:i/>
                <w:iCs/>
                <w:rFonts w:ascii="Times New Roman" w:hAnsi="Times New Roman"/>
              </w:rPr>
              <w:t xml:space="preserve">tirdzniecības portfelī</w:t>
            </w:r>
            <w:r>
              <w:rPr>
                <w:sz w:val="24"/>
                <w:rFonts w:ascii="Times New Roman" w:hAnsi="Times New Roman"/>
              </w:rPr>
              <w:t xml:space="preserve"> informāciju par pašu kapitāla prasību aprēķinu attiecībā uz tirgus risku uzrāda MKR SA TDI (standartizēts vispārējs pozīcijas risks) un MKR SA SEC vai MKR SA CTP (standartizēts specifiskais pozīciju risks), vai MKR IM (iekšējie modeļi) veidnē.</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Saistību vērtspapīrošanas gadījumā iniciatori neuzrāda šo sleju.</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0061.</w:t>
            </w:r>
          </w:p>
        </w:tc>
        <w:tc>
          <w:tcPr>
            <w:tcW w:w="7903" w:type="dxa"/>
          </w:tcPr>
          <w:p w14:paraId="6B48423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BŪTISKA RISKA PĀRVEŠANA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norāda vienu no turpmāk minētajiem:</w:t>
            </w:r>
          </w:p>
          <w:p w14:paraId="1695E1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nepiemēro attiecībā uz nozīmīgu riska pārvedumu - pārskatu sniedzēja sabiedrība piemēro riska svērumus tās vērtspapīrotajiem riska darījumiem,</w:t>
            </w:r>
          </w:p>
          <w:p w14:paraId="0F0185D9"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panākts nozīmīgs riska pārvedums saskaņā ar Regulas (ES) Nr. 575/2013 244. panta 2. punkta a) apakšpunktu un 245. panta 2. punkta a) apakšpunktu,</w:t>
            </w:r>
          </w:p>
          <w:p w14:paraId="4878912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panākts nozīmīgs riska pārvedums saskaņā ar Regulas (ES) Nr. 575/2013 244. panta 2. punkta b) apakšpunktu un 245. panta 2. punkta b) apakšpunktu,</w:t>
            </w:r>
          </w:p>
          <w:p w14:paraId="54663FCA"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panākts nozīmīgs riska pārvedums saskaņā ar Regulas (ES) Nr. 575/2013 244. panta 3. punkta a) apakšpunktu un 245. panta 3. punkta a) apakšpunktu,</w:t>
            </w:r>
          </w:p>
          <w:p w14:paraId="71AA1D6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piemēro 1 250 % </w:t>
            </w:r>
            <w:r>
              <w:rPr>
                <w:sz w:val="24"/>
                <w:i/>
                <w:iCs/>
                <w:rFonts w:ascii="Times New Roman" w:hAnsi="Times New Roman"/>
              </w:rPr>
              <w:t xml:space="preserve">RW</w:t>
            </w:r>
            <w:r>
              <w:rPr>
                <w:sz w:val="24"/>
                <w:rFonts w:ascii="Times New Roman" w:hAnsi="Times New Roman"/>
              </w:rPr>
              <w:t xml:space="preserve"> vai atskaita saglabātās pozīcijas saskaņā ar Regulas (ES) Nr. 575/2013 244. panta 1. punkta b) apakšpunktu.</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slejā sniedz kopsavilkumu par to, vai ir panākta būtiska pārvešana, un, ja ir, tad ar kādiem līdzekļiem.</w:t>
            </w:r>
            <w:r>
              <w:rPr>
                <w:sz w:val="24"/>
                <w:rFonts w:ascii="Times New Roman" w:hAnsi="Times New Roman"/>
              </w:rPr>
              <w:t xml:space="preserve"> </w:t>
            </w:r>
            <w:r>
              <w:rPr>
                <w:sz w:val="24"/>
                <w:rFonts w:ascii="Times New Roman" w:hAnsi="Times New Roman"/>
              </w:rPr>
              <w:t xml:space="preserve">Tas, vai ir panākta būtiska riska pārvešana, noteiks, kāds ir iniciatora piemērojamais atbilstošais maksātspējas režīms.</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0070.</w:t>
            </w:r>
          </w:p>
        </w:tc>
        <w:tc>
          <w:tcPr>
            <w:tcW w:w="7903" w:type="dxa"/>
          </w:tcPr>
          <w:p w14:paraId="07E5DF4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 VAI ATKĀRTOTA VĒRTSPAPĪROŠANA?</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sz w:val="24"/>
                <w:rFonts w:ascii="Times New Roman" w:hAnsi="Times New Roman"/>
              </w:rPr>
            </w:pPr>
            <w:r>
              <w:rPr>
                <w:sz w:val="24"/>
                <w:rFonts w:ascii="Times New Roman" w:hAnsi="Times New Roman"/>
              </w:rPr>
              <w:t xml:space="preserve">Saskaņā ar “vērtspapīrošanas” definīciju Regulas (ES) Nr. 575/2013 4. panta 1. punkta 61) apakšpunktā un “atkārtotas vērtspapīrošanas” definīciju Regulas (ES) Nr. 575/2013 4. panta 1. punkta 63) apakšpunktā vērtspapīrošanas veidu uzrāda, izmantojot šādus saīsinājumus:</w:t>
            </w:r>
          </w:p>
          <w:p w14:paraId="3760E00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vērtspapīrošana;</w:t>
            </w:r>
          </w:p>
          <w:p w14:paraId="1A7E6A3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atkārtota vērtspapīrošana.</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0075.</w:t>
            </w:r>
          </w:p>
        </w:tc>
        <w:tc>
          <w:tcPr>
            <w:tcW w:w="7903" w:type="dxa"/>
          </w:tcPr>
          <w:p w14:paraId="12E9608C" w14:textId="77777777" w:rsidR="00933ADA" w:rsidRPr="002A677E" w:rsidRDefault="00933ADA" w:rsidP="00822842">
            <w:pPr>
              <w:tabs>
                <w:tab w:val="left" w:pos="3274"/>
              </w:tabs>
              <w:spacing w:before="0" w:after="0"/>
              <w:jc w:val="left"/>
              <w:rPr>
                <w:b/>
                <w:sz w:val="24"/>
                <w:u w:val="single"/>
                <w:rFonts w:ascii="Times New Roman" w:hAnsi="Times New Roman"/>
              </w:rPr>
            </w:pPr>
            <w:r>
              <w:rPr>
                <w:b/>
                <w:sz w:val="24"/>
                <w:u w:val="single"/>
                <w:rFonts w:ascii="Times New Roman" w:hAnsi="Times New Roman"/>
              </w:rPr>
              <w:t xml:space="preserve">VPS VĒRTSPAPĪROŠANA</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2017/2402 18. pants</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Iestādes norāda vienu no šādiem saīsinājumiem:</w:t>
            </w:r>
          </w:p>
          <w:p w14:paraId="0CB638D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“J” – jā;</w:t>
            </w:r>
          </w:p>
          <w:p w14:paraId="45AF201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“N” – nē.</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0446.</w:t>
            </w:r>
          </w:p>
        </w:tc>
        <w:tc>
          <w:tcPr>
            <w:tcW w:w="7903" w:type="dxa"/>
          </w:tcPr>
          <w:p w14:paraId="77ECA96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VĒRTSPAPĪROŠANA, KAS IR ATBILSTĪGA, LAI TAI PIEMĒROTU DIFERENCIĒTU PIEEJU ATTIECĪBĀ UZ KAPITĀLU</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sz w:val="24"/>
                <w:rFonts w:ascii="Times New Roman" w:hAnsi="Times New Roman"/>
              </w:rPr>
            </w:pPr>
            <w:r>
              <w:rPr>
                <w:sz w:val="24"/>
                <w:rFonts w:ascii="Times New Roman" w:hAnsi="Times New Roman"/>
              </w:rPr>
              <w:t xml:space="preserve">Regulas (ES) Nr. 575/2013 243., 270. un 494.c pants.</w:t>
            </w:r>
          </w:p>
          <w:p w14:paraId="53A5861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Iestādes norāda vienu no šādiem saīsinājumiem:</w:t>
            </w:r>
          </w:p>
          <w:p w14:paraId="101580F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 Jā</w:t>
            </w:r>
          </w:p>
          <w:p w14:paraId="24013316" w14:textId="77777777" w:rsidR="00933ADA" w:rsidRPr="002A677E" w:rsidRDefault="00933ADA" w:rsidP="00822842">
            <w:pPr>
              <w:tabs>
                <w:tab w:val="left" w:pos="708"/>
                <w:tab w:val="left" w:pos="1573"/>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 Nē</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“Jā” uzrāda šādos gadījumos:</w:t>
            </w:r>
          </w:p>
          <w:p w14:paraId="449E7C7C"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VPS vērtspapīrošana, kas ir atbilstīga, lai tai piemērotu diferencētu kapitāla režīmu saskaņā ar Regulas (ES) Nr. 575/2013 243. pantu.</w:t>
            </w:r>
            <w:r>
              <w:rPr>
                <w:sz w:val="24"/>
                <w:rFonts w:ascii="Times New Roman" w:hAnsi="Times New Roman"/>
              </w:rPr>
              <w:t xml:space="preserve"> </w:t>
            </w:r>
          </w:p>
          <w:p w14:paraId="0F1A6EAD"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Augstākas prioritātes pozīcijas VPS bilances vērtspapīrošanā, kas ir atbilstīga, lai saskaņā ar Regulas (ES) Nr. 575/2013 270. pantu tai piemērotu minēto režīmu.</w:t>
            </w:r>
          </w:p>
          <w:p w14:paraId="04149D39"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MVU sintētiskās vērtspapīrošanas darījumi, attiecībā uz kuriem piemērotas tiesības saglabāt iepriekš spēkā esošos nosacījumus, saskaņā ar Regulas (ES) Nr. 575/2013 494.c pantu.</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0076.</w:t>
            </w:r>
          </w:p>
        </w:tc>
        <w:tc>
          <w:tcPr>
            <w:tcW w:w="7903" w:type="dxa"/>
          </w:tcPr>
          <w:p w14:paraId="5B4BD36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ATLIKUŠĀS STARPĪBAS VEIDS</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2017/2402 2. panta 29. punkts.</w:t>
            </w:r>
            <w:r>
              <w:rPr>
                <w:sz w:val="24"/>
                <w:rFonts w:ascii="Times New Roman" w:hAnsi="Times New Roman"/>
              </w:rPr>
              <w:t xml:space="preserve">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Iestādes norāda vienu no turpmāk minētajiem:</w:t>
            </w:r>
          </w:p>
          <w:p w14:paraId="7DDC564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Nav atlikušās starpības</w:t>
            </w:r>
          </w:p>
          <w:p w14:paraId="08E7FB6E"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Atlikusī starpība, fiksēta summa — mehānisms “izmanto vai zaudē”</w:t>
            </w:r>
          </w:p>
          <w:p w14:paraId="46A55FA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Atlikusī starpība, fiksēta summa — bloķēšanas mehānisms</w:t>
            </w:r>
          </w:p>
          <w:p w14:paraId="5152BE4A"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Atlikusī starpība, mainīga summa — mehānisms “izmanto vai zaudē”</w:t>
            </w:r>
          </w:p>
          <w:p w14:paraId="6E5B010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Atlikusī starpība, mainīga summa — bloķēšanas mehānisms.</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0077.</w:t>
            </w:r>
          </w:p>
        </w:tc>
        <w:tc>
          <w:tcPr>
            <w:tcW w:w="7903" w:type="dxa"/>
          </w:tcPr>
          <w:p w14:paraId="703043A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AMORTIZĀCIJAS SISTĒMA</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Iestādes norāda vienu no turpmāk minētajiem:</w:t>
            </w:r>
          </w:p>
          <w:p w14:paraId="6D7CB8F8"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Secīga amortizācija</w:t>
            </w:r>
          </w:p>
          <w:p w14:paraId="64D0E6DF"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Proporcionāla amortizācija</w:t>
            </w:r>
          </w:p>
          <w:p w14:paraId="3D35DEB1"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Proporcionāla amortizācija, kas mainās līdz secīgai amortizācijai.</w:t>
            </w:r>
            <w:r>
              <w:rPr>
                <w:sz w:val="24"/>
                <w:rFonts w:ascii="Times New Roman" w:hAnsi="Times New Roman"/>
              </w:rPr>
              <w:t xml:space="preserve"> </w:t>
            </w:r>
            <w:r>
              <w:rPr>
                <w:sz w:val="24"/>
                <w:rFonts w:ascii="Times New Roman" w:hAnsi="Times New Roman"/>
              </w:rPr>
              <w:t xml:space="preserve">Atbilst VPS kritērijiem attiecībā uz bilances vērtspapīrošanu</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(Regulas (ES) 2017/2402 26.c panta 5. punkts).</w:t>
            </w:r>
            <w:r>
              <w:rPr>
                <w:sz w:val="24"/>
                <w:rFonts w:ascii="Times New Roman" w:hAnsi="Times New Roman"/>
              </w:rPr>
              <w:t xml:space="preserve"> </w:t>
            </w:r>
          </w:p>
          <w:p w14:paraId="56ACF26F" w14:textId="77777777" w:rsidR="00933ADA" w:rsidRPr="0052508A"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Proporcionāla amortizācija, kas mainās līdz secīgai amortizācijai.</w:t>
            </w:r>
            <w:r>
              <w:rPr>
                <w:sz w:val="24"/>
                <w:rFonts w:ascii="Times New Roman" w:hAnsi="Times New Roman"/>
              </w:rPr>
              <w:t xml:space="preserve"> </w:t>
            </w:r>
            <w:r>
              <w:rPr>
                <w:sz w:val="24"/>
                <w:rFonts w:ascii="Times New Roman" w:hAnsi="Times New Roman"/>
              </w:rPr>
              <w:t xml:space="preserve">Atbilst VPS kritērijiem attiecībā uz darījumiem, kas nav ABKV darījumi</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(Pamatnostādnes par VPS kritērijiem darījumiem, kas nav ABKV darījumi, un Regulas (ES) 2017/2402 21. panta 5. punkts)</w:t>
            </w:r>
          </w:p>
          <w:p w14:paraId="43DD66C3" w14:textId="77777777" w:rsidR="00933ADA" w:rsidRPr="002A677E"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Proporcionāla amortizācija, kas mainās līdz secīgai amortizācijai.</w:t>
            </w:r>
            <w:r>
              <w:rPr>
                <w:sz w:val="24"/>
                <w:rFonts w:ascii="Times New Roman" w:hAnsi="Times New Roman"/>
              </w:rPr>
              <w:t xml:space="preserve"> </w:t>
            </w:r>
            <w:r>
              <w:rPr>
                <w:sz w:val="24"/>
                <w:rFonts w:ascii="Times New Roman" w:hAnsi="Times New Roman"/>
              </w:rPr>
              <w:t xml:space="preserve">Neatbilst</w:t>
            </w:r>
          </w:p>
          <w:p w14:paraId="1FBC29E6" w14:textId="77777777" w:rsidR="00933ADA" w:rsidRPr="001235ED" w:rsidRDefault="00933ADA" w:rsidP="00933ADA">
            <w:pPr>
              <w:numPr>
                <w:ilvl w:val="0"/>
                <w:numId w:val="22"/>
              </w:numPr>
              <w:spacing w:before="0" w:after="0"/>
              <w:jc w:val="left"/>
              <w:rPr>
                <w:b/>
                <w:sz w:val="24"/>
                <w:u w:val="single"/>
                <w:rFonts w:ascii="Times New Roman" w:hAnsi="Times New Roman"/>
              </w:rPr>
            </w:pPr>
            <w:r>
              <w:rPr>
                <w:sz w:val="24"/>
                <w:rFonts w:ascii="Times New Roman" w:hAnsi="Times New Roman"/>
              </w:rPr>
              <w:t xml:space="preserve">Cita amortizācijas sistēma</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0078.</w:t>
            </w:r>
          </w:p>
        </w:tc>
        <w:tc>
          <w:tcPr>
            <w:tcW w:w="7903" w:type="dxa"/>
          </w:tcPr>
          <w:p w14:paraId="26187924"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NODROŠINĀJUMA IESPĒJAS LĪGUMI</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2017/2402 26.e pants. Iestādes norāda vienu no šādām kredītaizsardzības līguma nodrošinājuma iespējām:</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szCs w:val="22"/>
                <w:rFonts w:ascii="Calibri" w:hAnsi="Calibri"/>
              </w:rPr>
            </w:pPr>
            <w:r>
              <w:rPr>
                <w:sz w:val="24"/>
                <w:rFonts w:ascii="Times New Roman" w:hAnsi="Times New Roman"/>
              </w:rPr>
              <w:t xml:space="preserve">Nodrošinājums 0 % riska svērto parāda vērtspapīru veidā. Regulas (ES) 2017/2402 26.e panta 10. punkta pirmās daļas a) apakšpunkts;</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Nodrošinājums naudas veidā, kas tiek turēts trešās personas kredītiestādē ar 3. vai augstāku kredītkvalitātes pakāpi.</w:t>
            </w:r>
            <w:r>
              <w:rPr>
                <w:sz w:val="24"/>
                <w:rFonts w:ascii="Times New Roman" w:hAnsi="Times New Roman"/>
              </w:rPr>
              <w:t xml:space="preserve"> </w:t>
            </w:r>
            <w:r>
              <w:rPr>
                <w:sz w:val="24"/>
                <w:rFonts w:ascii="Times New Roman" w:hAnsi="Times New Roman"/>
              </w:rPr>
              <w:br/>
            </w:r>
            <w:r>
              <w:rPr>
                <w:sz w:val="24"/>
                <w:rFonts w:ascii="Times New Roman" w:hAnsi="Times New Roman"/>
              </w:rPr>
              <w:t xml:space="preserve">Regulas (ES) 2017/2402 26.e panta 10. punkta pirmās daļas a) apakšpunkts;</w:t>
            </w:r>
          </w:p>
          <w:p w14:paraId="757E688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Nodrošinājums naudas noguldījumu veidā pie iniciatora vai vienā no tā filiālēm, ja iniciators vai kāda no tā filiālēm tiek atzīta par atbilstīgu vismaz otrajai kredītkvalitātes pakāpei.</w:t>
            </w:r>
            <w:r>
              <w:rPr>
                <w:sz w:val="24"/>
                <w:rFonts w:ascii="Times New Roman" w:hAnsi="Times New Roman"/>
              </w:rPr>
              <w:br/>
            </w:r>
            <w:r>
              <w:rPr>
                <w:sz w:val="24"/>
                <w:rFonts w:ascii="Times New Roman" w:hAnsi="Times New Roman"/>
              </w:rPr>
              <w:t xml:space="preserve">Regulas (ES) 2017/2402 26.e panta 10. punkta pirmās daļas b) apakšpunkts;</w:t>
            </w:r>
          </w:p>
          <w:p w14:paraId="0D7CB373"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Nodrošinājums naudas noguldījumu veidā pie iniciatora vai vienā no tā filiālēm, ja iniciators vai kāda no tā filiālēm tiek atzīta par atbilstīgu vismaz trešajai kredītkvalitātes pakāpei.</w:t>
            </w:r>
            <w:r>
              <w:rPr>
                <w:sz w:val="24"/>
                <w:rFonts w:ascii="Times New Roman" w:hAnsi="Times New Roman"/>
              </w:rPr>
              <w:br/>
            </w:r>
            <w:r>
              <w:rPr>
                <w:sz w:val="24"/>
                <w:rFonts w:ascii="Times New Roman" w:hAnsi="Times New Roman"/>
              </w:rPr>
              <w:t xml:space="preserve">Regulas (ES) 2017/2402 26.e panta 10. punkta trešā daļa;</w:t>
            </w:r>
          </w:p>
          <w:p w14:paraId="03FD0372"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Nodrošinājums naudas noguldījumu veidā pie iniciatora vai vienā no tā filiālēm, ja iniciators vai kāda no tā filiālēm tiek atzīta par atbilstīgu vismaz trešajai kredītkvalitātes pakāpei.</w:t>
            </w:r>
            <w:r>
              <w:rPr>
                <w:sz w:val="24"/>
                <w:rFonts w:ascii="Times New Roman" w:hAnsi="Times New Roman"/>
              </w:rPr>
              <w:br/>
            </w:r>
            <w:r>
              <w:rPr>
                <w:sz w:val="24"/>
                <w:rFonts w:ascii="Times New Roman" w:hAnsi="Times New Roman"/>
              </w:rPr>
              <w:t xml:space="preserve">Regulas (ES) 2017/2402 26.e panta 10. punkta ceturtā daļa;</w:t>
            </w:r>
          </w:p>
          <w:p w14:paraId="1C79D687"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Nav nodrošinājuma, ieguldītājs atzīts par atbilstīgu 0 % riska svērumam.</w:t>
            </w:r>
            <w:r>
              <w:rPr>
                <w:sz w:val="24"/>
                <w:rFonts w:ascii="Times New Roman" w:hAnsi="Times New Roman"/>
              </w:rPr>
              <w:br/>
            </w:r>
            <w:r>
              <w:rPr>
                <w:sz w:val="24"/>
                <w:rFonts w:ascii="Times New Roman" w:hAnsi="Times New Roman"/>
              </w:rPr>
              <w:t xml:space="preserve">Regulas (ES) 2017/2402 26.e panta 8. punkta a) apakšpunkts;</w:t>
            </w:r>
          </w:p>
          <w:p w14:paraId="0927AFAB"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Nav nodrošinājuma, ieguldītājs izmanto tādas struktūras sniegtu atbalsta garantiju, kas atzīta par atbilstīgu 0 % riska svērumam.</w:t>
            </w:r>
            <w:r>
              <w:rPr>
                <w:sz w:val="24"/>
                <w:rFonts w:ascii="Times New Roman" w:hAnsi="Times New Roman"/>
              </w:rPr>
              <w:br/>
            </w:r>
            <w:r>
              <w:rPr>
                <w:sz w:val="24"/>
                <w:rFonts w:ascii="Times New Roman" w:hAnsi="Times New Roman"/>
              </w:rPr>
              <w:t xml:space="preserve">Regulas (ES) 2017/2402 26.e panta 8. punkta a) apakšpunkts;</w:t>
            </w:r>
          </w:p>
          <w:p w14:paraId="528AF68E"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Nav nodrošinājuma, bet ieguldītājs izmanto tādas struktūras atbalsta garantiju, kas atzīta par atbilstīgu 0 % riska svērumam.</w:t>
            </w:r>
            <w:r>
              <w:rPr>
                <w:sz w:val="24"/>
                <w:rFonts w:ascii="Times New Roman" w:hAnsi="Times New Roman"/>
              </w:rPr>
              <w:br/>
            </w:r>
            <w:r>
              <w:rPr>
                <w:sz w:val="24"/>
                <w:rFonts w:ascii="Times New Roman" w:hAnsi="Times New Roman"/>
              </w:rPr>
              <w:t xml:space="preserve">Regulas (ES) 2017/2402 26.e panta 8. punkta b) apakšpunkts</w:t>
            </w:r>
          </w:p>
          <w:p w14:paraId="382191B5"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Citi nodrošinājuma veidi:</w:t>
            </w:r>
            <w:r>
              <w:rPr>
                <w:sz w:val="24"/>
                <w:rFonts w:ascii="Times New Roman" w:hAnsi="Times New Roman"/>
              </w:rPr>
              <w:t xml:space="preserve"> </w:t>
            </w:r>
            <w:r>
              <w:rPr>
                <w:sz w:val="24"/>
                <w:rFonts w:ascii="Times New Roman" w:hAnsi="Times New Roman"/>
              </w:rPr>
              <w:t xml:space="preserve">parāda vērtspapīri, kas neatbilst Regulas (ES) 2017/2402 26.e panta noteikumiem</w:t>
            </w:r>
            <w:r>
              <w:rPr>
                <w:sz w:val="24"/>
                <w:rFonts w:ascii="Times New Roman" w:hAnsi="Times New Roman"/>
              </w:rPr>
              <w:t xml:space="preserve"> </w:t>
            </w:r>
          </w:p>
          <w:p w14:paraId="7ADFAAB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Citi nodrošinājuma veidi:</w:t>
            </w:r>
            <w:r>
              <w:rPr>
                <w:sz w:val="24"/>
                <w:rFonts w:ascii="Times New Roman" w:hAnsi="Times New Roman"/>
              </w:rPr>
              <w:t xml:space="preserve"> </w:t>
            </w:r>
            <w:r>
              <w:rPr>
                <w:sz w:val="24"/>
                <w:rFonts w:ascii="Times New Roman" w:hAnsi="Times New Roman"/>
              </w:rPr>
              <w:t xml:space="preserve">nauda, kas neatbilst Regulas (ES) 2017/2402 26.e panta noteikumiem</w:t>
            </w:r>
            <w:r>
              <w:rPr>
                <w:sz w:val="24"/>
                <w:rFonts w:ascii="Times New Roman" w:hAnsi="Times New Roman"/>
              </w:rPr>
              <w:t xml:space="preserve"> </w:t>
            </w:r>
          </w:p>
          <w:p w14:paraId="71A4FFC6" w14:textId="77777777" w:rsidR="00933ADA" w:rsidRPr="001235ED" w:rsidRDefault="00933ADA" w:rsidP="00933ADA">
            <w:pPr>
              <w:pStyle w:val="ListParagraph"/>
              <w:numPr>
                <w:ilvl w:val="0"/>
                <w:numId w:val="22"/>
              </w:numPr>
              <w:spacing w:before="0" w:after="0"/>
              <w:jc w:val="left"/>
              <w:rPr>
                <w:sz w:val="24"/>
                <w:rFonts w:ascii="Times New Roman" w:hAnsi="Times New Roman"/>
              </w:rPr>
            </w:pPr>
            <w:r>
              <w:rPr>
                <w:sz w:val="24"/>
                <w:rFonts w:ascii="Times New Roman" w:hAnsi="Times New Roman"/>
              </w:rPr>
              <w:t xml:space="preserve">Nav nodrošinājuma, neatbilst VPS kritērijiem attiecībā uz bilances vērtspapīrošanu.</w:t>
            </w:r>
            <w:r>
              <w:rPr>
                <w:sz w:val="24"/>
                <w:rFonts w:ascii="Times New Roman" w:hAnsi="Times New Roman"/>
              </w:rPr>
              <w:br/>
            </w:r>
            <w:r>
              <w:rPr>
                <w:sz w:val="24"/>
                <w:rFonts w:ascii="Times New Roman" w:hAnsi="Times New Roman"/>
              </w:rPr>
              <w:t xml:space="preserve">Gadījumi, kas atšķiras no tiem, kur nav nodrošinājuma, bet ieguldītājs tiek atzīts par atbilstīgu 0 % riska svērumam vai izmanto tādas struktūras atbalsta garantiju, kas atzīta par atbilstīgu 0 % riska svērumam.</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Šo sleju uzrāda tikai tad, ja 0040. sleju uzrāda kā “Sintētisko darījumu”.</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0080.–0100.</w:t>
            </w:r>
          </w:p>
        </w:tc>
        <w:tc>
          <w:tcPr>
            <w:tcW w:w="7903" w:type="dxa"/>
          </w:tcPr>
          <w:p w14:paraId="061700ED" w14:textId="77777777" w:rsidR="00933ADA" w:rsidRPr="002A677E" w:rsidRDefault="00933ADA" w:rsidP="00822842">
            <w:pPr>
              <w:spacing w:before="0" w:after="0"/>
              <w:jc w:val="left"/>
              <w:rPr>
                <w:sz w:val="24"/>
                <w:rFonts w:ascii="Times New Roman" w:hAnsi="Times New Roman"/>
              </w:rPr>
            </w:pPr>
            <w:r>
              <w:rPr>
                <w:b/>
                <w:sz w:val="24"/>
                <w:u w:val="single"/>
                <w:rFonts w:ascii="Times New Roman" w:hAnsi="Times New Roman"/>
              </w:rPr>
              <w:t xml:space="preserve">SAGLABĀŠANA</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sz w:val="24"/>
                <w:rFonts w:ascii="Times New Roman" w:hAnsi="Times New Roman"/>
              </w:rPr>
            </w:pPr>
            <w:r>
              <w:rPr>
                <w:sz w:val="24"/>
                <w:rFonts w:ascii="Times New Roman" w:hAnsi="Times New Roman"/>
              </w:rPr>
              <w:t xml:space="preserve">Regulas (ES) 2017/2402 6. pants</w:t>
            </w:r>
            <w:r>
              <w:rPr>
                <w:sz w:val="24"/>
                <w:rFonts w:ascii="Times New Roman" w:hAnsi="Times New Roman"/>
              </w:rPr>
              <w:t xml:space="preserve"> </w:t>
            </w:r>
            <w:r>
              <w:rPr>
                <w:sz w:val="24"/>
                <w:rFonts w:ascii="Times New Roman" w:hAnsi="Times New Roman"/>
              </w:rPr>
              <w:t xml:space="preserve">Ja piemēro Regulas (ES) 2017/2402 43. panta 6. punktu – piemēro Regulas (ES) Nr. 575/2013 405. pantu 2018. gada 31. decembra redakcijā.</w:t>
            </w:r>
            <w:r>
              <w:rPr>
                <w:sz w:val="24"/>
                <w:rFonts w:ascii="Times New Roman" w:hAnsi="Times New Roman"/>
              </w:rPr>
              <w:t xml:space="preserve">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7903" w:type="dxa"/>
          </w:tcPr>
          <w:p w14:paraId="7D10B9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PIEMĒROTAIS SAGLABĀŠANAS VEIDS</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Kā paredzēts Regulas (ES) 2017/2402 6. pantā, par katru iniciēto vērtspapīrošanas shēmu uzrāda attiecīgo neto ekonomiskās līdzdalības daļas saglabāšanas veidu:</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 — vertikālais segments (vērtspapīrošanas pozīcijas):</w:t>
            </w:r>
            <w:r>
              <w:rPr>
                <w:sz w:val="24"/>
                <w:rFonts w:ascii="Times New Roman" w:hAnsi="Times New Roman"/>
              </w:rPr>
              <w:t xml:space="preserve"> </w:t>
            </w:r>
            <w:r>
              <w:rPr>
                <w:sz w:val="24"/>
                <w:i/>
                <w:rFonts w:ascii="Times New Roman" w:hAnsi="Times New Roman"/>
              </w:rPr>
              <w:t xml:space="preserve">“saglabāšana vismaz 5 % apmērā no katra ieguldītājiem pārdotā vai nodotā laidiena nominālās vērtības;”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“V” — vertikālais segments (vērtspapīroti riska darījumi):</w:t>
            </w:r>
            <w:r>
              <w:rPr>
                <w:sz w:val="24"/>
                <w:rFonts w:ascii="Times New Roman" w:hAnsi="Times New Roman"/>
              </w:rPr>
              <w:t xml:space="preserve"> </w:t>
            </w:r>
            <w:r>
              <w:rPr>
                <w:sz w:val="24"/>
                <w:rFonts w:ascii="Times New Roman" w:hAnsi="Times New Roman"/>
              </w:rPr>
              <w:t xml:space="preserve">vismaz 5 % no katra vērtspapīrotā riska darījuma kredītriska saglabāšana, ja tādējādi saglabātais kredītrisks attiecībā uz šādiem vērtspapīrotiem riska darījumiem vienmēr ir līdzvērtīgs vai pakārtots kredītriskam, kas ir vērtspapīrots attiecībā uz tiem pašiem riska darījumiem;</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“B” – atjaunojami riska darījumi:</w:t>
            </w:r>
            <w:r>
              <w:rPr>
                <w:sz w:val="24"/>
                <w:rFonts w:ascii="Times New Roman" w:hAnsi="Times New Roman"/>
              </w:rPr>
              <w:t xml:space="preserve"> </w:t>
            </w:r>
            <w:r>
              <w:rPr>
                <w:sz w:val="24"/>
                <w:rFonts w:ascii="Times New Roman" w:hAnsi="Times New Roman"/>
              </w:rPr>
              <w:t xml:space="preserve">“gadījumā, ja atjaunojamu riska darījumu vērtspapīro, – iniciatora daļa ne mazāk kā 5 % apmērā no vērtspapīroto riska darījumu nominālvērtības”;</w:t>
            </w:r>
            <w:r>
              <w:rPr>
                <w:sz w:val="24"/>
                <w:rFonts w:ascii="Times New Roman" w:hAnsi="Times New Roman"/>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“C” — bilances:</w:t>
            </w:r>
            <w:r>
              <w:rPr>
                <w:sz w:val="24"/>
                <w:rFonts w:ascii="Times New Roman" w:hAnsi="Times New Roman"/>
              </w:rPr>
              <w:t xml:space="preserve"> </w:t>
            </w:r>
            <w:r>
              <w:rPr>
                <w:sz w:val="24"/>
                <w:rFonts w:ascii="Times New Roman" w:hAnsi="Times New Roman"/>
              </w:rPr>
              <w:t xml:space="preserve">“</w:t>
            </w:r>
            <w:r>
              <w:rPr>
                <w:sz w:val="24"/>
                <w:i/>
                <w:iCs/>
                <w:rFonts w:ascii="Times New Roman" w:hAnsi="Times New Roman"/>
              </w:rPr>
              <w:t xml:space="preserve">nejauši izvēlētu riska darījumu, kas ir vismaz 5 % no vērtspapīroto riska darījumu nominālvērtības, saglabāšana, ja citādi šādi riska darījumi būtu vērtspapīroti vērtspapīrošanā, ar nosacījumu, ka potenciāli vērtspapīrojamo riska darījumu skaits vērtspapīrošanas sākumā nav mazāks par 100</w:t>
            </w:r>
            <w:r>
              <w:rPr>
                <w:sz w:val="24"/>
                <w:rFonts w:ascii="Times New Roman" w:hAnsi="Times New Roman"/>
              </w:rPr>
              <w:t xml:space="preserve">”;</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“D” — pirmās kārtas zaudējumi:</w:t>
            </w:r>
            <w:r>
              <w:rPr>
                <w:sz w:val="24"/>
                <w:rFonts w:ascii="Times New Roman" w:hAnsi="Times New Roman"/>
              </w:rPr>
              <w:t xml:space="preserve"> </w:t>
            </w:r>
            <w:r>
              <w:rPr>
                <w:sz w:val="24"/>
                <w:rFonts w:ascii="Times New Roman" w:hAnsi="Times New Roman"/>
              </w:rPr>
              <w:t xml:space="preserve">“</w:t>
            </w:r>
            <w:r>
              <w:rPr>
                <w:sz w:val="24"/>
                <w:i/>
                <w:iCs/>
                <w:rFonts w:ascii="Times New Roman" w:hAnsi="Times New Roman"/>
              </w:rPr>
              <w:t xml:space="preserve">pirmās kārtas zaudējumu laidiena un, ja nepieciešams, citu tādu laidienu saglabāšana, kuriem ir līdzīga vai augstāka riska profils nekā ieguldītājiem pārvestajiem vai pārdotajiem laidieniem un kuru derīguma termiņš nebeidzas pirms ieguldītājiem pārvesto vai pārdoto laidienu termiņa, lai kopumā saglabāšana būtu vismaz 5 % apmērā no vērtspapīroto riska darījumu nominālvērtības</w:t>
            </w:r>
            <w:r>
              <w:rPr>
                <w:sz w:val="24"/>
                <w:rFonts w:ascii="Times New Roman" w:hAnsi="Times New Roman"/>
              </w:rPr>
              <w:t xml:space="preserve">”;</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sz w:val="24"/>
                <w:rFonts w:ascii="Times New Roman" w:hAnsi="Times New Roman"/>
              </w:rPr>
            </w:pPr>
            <w:r>
              <w:rPr>
                <w:sz w:val="24"/>
                <w:rFonts w:ascii="Times New Roman" w:hAnsi="Times New Roman"/>
              </w:rPr>
              <w:t xml:space="preserve">“E” — atbrīvota.</w:t>
            </w:r>
            <w:r>
              <w:rPr>
                <w:sz w:val="24"/>
                <w:rFonts w:ascii="Times New Roman" w:hAnsi="Times New Roman"/>
              </w:rPr>
              <w:t xml:space="preserve"> </w:t>
            </w:r>
            <w:r>
              <w:rPr>
                <w:sz w:val="24"/>
                <w:rFonts w:ascii="Times New Roman" w:hAnsi="Times New Roman"/>
              </w:rPr>
              <w:t xml:space="preserve">Šo kodu uzrāda par vērtspapīrošanas darījumiem, kurus skar Regulas (ES) 2017/2402 6. panta 6. punkta piemērošana vai kuri ir izslēgti no saglabāšanas prasības piemērošanas jomas saskaņā ar Regulas (ES) 2017/2402 43. panta 6. punktu;</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“U” — pārkāpj vai nav zināma.</w:t>
            </w:r>
            <w:r>
              <w:rPr>
                <w:sz w:val="24"/>
                <w:rFonts w:ascii="Times New Roman" w:hAnsi="Times New Roman"/>
              </w:rPr>
              <w:t xml:space="preserve"> </w:t>
            </w:r>
            <w:r>
              <w:rPr>
                <w:sz w:val="24"/>
                <w:rFonts w:ascii="Times New Roman" w:hAnsi="Times New Roman"/>
              </w:rPr>
              <w:t xml:space="preserve">Šo kodu uzrāda gadījumā, ja pārskatu sniedzējai iestādei nav ar noteiktību zināms, kāda veida saglabāšanu piemēro, vai neatbilstības gadījumā.</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0090.</w:t>
            </w:r>
          </w:p>
        </w:tc>
        <w:tc>
          <w:tcPr>
            <w:tcW w:w="7903" w:type="dxa"/>
          </w:tcPr>
          <w:p w14:paraId="5FF743D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SAGLABĀŠANAS % PĀRSKATA SNIEGŠANAS DATUMĀ</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i/>
                <w:sz w:val="24"/>
                <w:rFonts w:ascii="Times New Roman" w:hAnsi="Times New Roman"/>
              </w:rPr>
            </w:pPr>
            <w:r>
              <w:rPr>
                <w:sz w:val="24"/>
                <w:i/>
                <w:iCs/>
                <w:rFonts w:ascii="Times New Roman" w:hAnsi="Times New Roman"/>
              </w:rPr>
              <w:t xml:space="preserve">Iniciators, sponsors vai sākotnējais aizdevējs</w:t>
            </w:r>
            <w:r>
              <w:rPr>
                <w:sz w:val="24"/>
                <w:rFonts w:ascii="Times New Roman" w:hAnsi="Times New Roman"/>
              </w:rPr>
              <w:t xml:space="preserve"> saglabā </w:t>
            </w:r>
            <w:r>
              <w:rPr>
                <w:sz w:val="24"/>
                <w:i/>
                <w:iCs/>
                <w:rFonts w:ascii="Times New Roman" w:hAnsi="Times New Roman"/>
              </w:rPr>
              <w:t xml:space="preserve">būtisku vērtspapīrošanas neto ekonomiskās līdzdalības daļu</w:t>
            </w:r>
            <w:r>
              <w:rPr>
                <w:sz w:val="24"/>
                <w:rFonts w:ascii="Times New Roman" w:hAnsi="Times New Roman"/>
              </w:rPr>
              <w:t xml:space="preserve">, kas nav mazāka par 5 % (iniciēšanas datumā).</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Šo sleju neuzrāda, ja 0080. slejā ir uzrādīts kods “E” (atbrīvota) (Piemērotais saglabāšanas veids).</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0100.</w:t>
            </w:r>
          </w:p>
        </w:tc>
        <w:tc>
          <w:tcPr>
            <w:tcW w:w="7903" w:type="dxa"/>
          </w:tcPr>
          <w:p w14:paraId="79043C4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ATBILSTĪBA SAGLABĀŠANAS PRASĪBAI?</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Iestādes norāda šādus saīsinājumus:</w:t>
            </w:r>
          </w:p>
          <w:p w14:paraId="7FF1051E"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Y</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Jā;</w:t>
            </w:r>
          </w:p>
          <w:p w14:paraId="5C5E51BF" w14:textId="77777777" w:rsidR="00933ADA" w:rsidRPr="002A677E" w:rsidRDefault="00933ADA" w:rsidP="00822842">
            <w:pPr>
              <w:tabs>
                <w:tab w:val="left" w:pos="317"/>
                <w:tab w:val="left" w:pos="600"/>
              </w:tabs>
              <w:spacing w:before="0" w:after="0"/>
              <w:jc w:val="left"/>
              <w:rPr>
                <w:sz w:val="24"/>
                <w:rFonts w:ascii="Times New Roman" w:hAnsi="Times New Roman"/>
              </w:rPr>
            </w:pPr>
            <w:r>
              <w:rPr>
                <w:sz w:val="24"/>
                <w:rFonts w:ascii="Times New Roman" w:hAnsi="Times New Roman"/>
              </w:rPr>
              <w:t xml:space="preserve">N</w:t>
            </w:r>
            <w:r>
              <w:rPr>
                <w:sz w:val="24"/>
                <w:rFonts w:ascii="Times New Roman" w:hAnsi="Times New Roman"/>
              </w:rPr>
              <w:tab/>
            </w:r>
            <w:r>
              <w:rPr>
                <w:sz w:val="24"/>
                <w:rFonts w:ascii="Times New Roman" w:hAnsi="Times New Roman"/>
              </w:rPr>
              <w:t xml:space="preserve">-</w:t>
            </w:r>
            <w:r>
              <w:rPr>
                <w:sz w:val="24"/>
                <w:rFonts w:ascii="Times New Roman" w:hAnsi="Times New Roman"/>
              </w:rPr>
              <w:tab/>
            </w:r>
            <w:r>
              <w:rPr>
                <w:sz w:val="24"/>
                <w:rFonts w:ascii="Times New Roman" w:hAnsi="Times New Roman"/>
              </w:rPr>
              <w:t xml:space="preserve">Nē.</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i/>
                <w:sz w:val="24"/>
                <w:rFonts w:ascii="Times New Roman" w:hAnsi="Times New Roman"/>
              </w:rPr>
            </w:pPr>
            <w:r>
              <w:rPr>
                <w:sz w:val="24"/>
                <w:rFonts w:ascii="Times New Roman" w:hAnsi="Times New Roman"/>
              </w:rPr>
              <w:t xml:space="preserve">Šo sleju neuzrāda, ja 0080. slejā ir uzrādīts kods “E” (atbrīvota) (Piemērotais saglabāšanas veids).</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0120.–0130.</w:t>
            </w:r>
          </w:p>
        </w:tc>
        <w:tc>
          <w:tcPr>
            <w:tcW w:w="7903" w:type="dxa"/>
          </w:tcPr>
          <w:p w14:paraId="03CEC11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PROGRAMMAS, KAS NAV ABKV PROGRAMMAS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ABKV programmas (definētas Regulas (ES) Nr. 575/2013 242. panta 11) punktā) sakarā ar to īpašajam iezīmēm, kuras izriet no fakta, ka tās ietver vairākas atsevišķas vērtspapīrošanas pozīcijas, ir atbrīvotas no uzrādīšanas 0120., 0121. un 0130. slejā.</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0120.</w:t>
            </w:r>
          </w:p>
        </w:tc>
        <w:tc>
          <w:tcPr>
            <w:tcW w:w="7903" w:type="dxa"/>
          </w:tcPr>
          <w:p w14:paraId="4851632A" w14:textId="77777777" w:rsidR="00933ADA" w:rsidRPr="002A677E" w:rsidRDefault="00933ADA" w:rsidP="00822842">
            <w:pPr>
              <w:spacing w:before="0" w:after="0"/>
              <w:jc w:val="left"/>
              <w:rPr>
                <w:b/>
                <w:sz w:val="24"/>
                <w:rFonts w:ascii="Times New Roman" w:hAnsi="Times New Roman"/>
              </w:rPr>
            </w:pPr>
            <w:r>
              <w:rPr>
                <w:b/>
                <w:sz w:val="24"/>
                <w:rFonts w:ascii="Times New Roman" w:hAnsi="Times New Roman"/>
              </w:rPr>
              <w:t xml:space="preserve">INICIĒŠANAS DATUMS (gggg-mm-dd)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iniciēšanas datuma mēnesi un gadu (t. i., portfeļa nošķiršanas vai noslēguma datumu) uzrāda saskaņā ar šādu formātu:</w:t>
            </w:r>
            <w:r>
              <w:rPr>
                <w:sz w:val="24"/>
                <w:rFonts w:ascii="Times New Roman" w:hAnsi="Times New Roman"/>
              </w:rPr>
              <w:t xml:space="preserve"> </w:t>
            </w:r>
            <w:r>
              <w:rPr>
                <w:sz w:val="24"/>
                <w:rFonts w:ascii="Times New Roman" w:hAnsi="Times New Roman"/>
              </w:rPr>
              <w:t xml:space="preserve">“mm/gggg”.</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Katras vērtspapīrošanas shēmas iniciēšanas datums nevar mainīties starp pārskata sniegšanas datumiem.</w:t>
            </w:r>
            <w:r>
              <w:rPr>
                <w:sz w:val="24"/>
                <w:rFonts w:ascii="Times New Roman" w:hAnsi="Times New Roman"/>
              </w:rPr>
              <w:t xml:space="preserve"> </w:t>
            </w:r>
            <w:r>
              <w:rPr>
                <w:sz w:val="24"/>
                <w:rFonts w:ascii="Times New Roman" w:hAnsi="Times New Roman"/>
              </w:rPr>
              <w:t xml:space="preserve">Tajā īpašajā gadījumā, kad vērtspapīrošanas shēmas ir nodrošinātas ar atvērta veida portfeļiem, iniciēšanas datums ir vērtspapīru pirmās emisijas datums.</w:t>
            </w:r>
            <w:r>
              <w:rPr>
                <w:sz w:val="24"/>
                <w:rFonts w:ascii="Times New Roman" w:hAnsi="Times New Roman"/>
              </w:rPr>
              <w:t xml:space="preserve">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Šādu informāciju uzrāda pat tad, ja pārskatu sniedzošā sabiedrība vērtspapīrošanas darījumā netur nekādas pozīcijas.</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0121.</w:t>
            </w:r>
          </w:p>
        </w:tc>
        <w:tc>
          <w:tcPr>
            <w:tcW w:w="7903" w:type="dxa"/>
          </w:tcPr>
          <w:p w14:paraId="7361DAD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PĒDĒJĀS EMISIJAS DATUMS (gggg-mm-dd)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Vērtspapīrošanas vērtspapīru pēdējās emisijas datuma mēnesi un gadu uzrāda saskaņā ar šādu formātu:</w:t>
            </w:r>
            <w:r>
              <w:rPr>
                <w:sz w:val="24"/>
                <w:rFonts w:ascii="Times New Roman" w:hAnsi="Times New Roman"/>
              </w:rPr>
              <w:t xml:space="preserve"> </w:t>
            </w:r>
            <w:r>
              <w:rPr>
                <w:sz w:val="24"/>
                <w:rFonts w:ascii="Times New Roman" w:hAnsi="Times New Roman"/>
              </w:rPr>
              <w:t xml:space="preserve">“gggg-mm-dd”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 (ES) 2017/2404 piemēro tikai vērtspapīrošanai, kuras vērtspapīri tiek emitēti 2019. gada 1. janvārī vai pēc tam.</w:t>
            </w:r>
            <w:r>
              <w:rPr>
                <w:sz w:val="24"/>
                <w:rFonts w:ascii="Times New Roman" w:hAnsi="Times New Roman"/>
              </w:rPr>
              <w:t xml:space="preserve"> </w:t>
            </w:r>
            <w:r>
              <w:rPr>
                <w:sz w:val="24"/>
                <w:rFonts w:ascii="Times New Roman" w:hAnsi="Times New Roman"/>
              </w:rPr>
              <w:t xml:space="preserve">Vērtspapīru pēdējās emisijas datums nosaka, vai uz katru vērtspapīrošanas shēmu attiecas Regula (ES)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0130.</w:t>
            </w:r>
          </w:p>
        </w:tc>
        <w:tc>
          <w:tcPr>
            <w:tcW w:w="7903" w:type="dxa"/>
          </w:tcPr>
          <w:p w14:paraId="71C6F96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VĒRTSPAPĪROTU RISKA DARĪJUMU KOPĒJĀ VĒRTĪBA INICIĒŠANAS DATUMĀ</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apkopota vērtspapīrotā portfeļa vērtība (kas aprēķināta, pamatojoties uz sākotnējiem riska darījumiem pirms korekcijas pakāpēm) iniciēšanas datumā.</w:t>
            </w:r>
            <w:r>
              <w:rPr>
                <w:sz w:val="24"/>
                <w:rFonts w:ascii="Times New Roman" w:hAnsi="Times New Roman"/>
              </w:rPr>
              <w:t xml:space="preserv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Attiecībā uz vērtspapīrošanas shēmām, kuras nodrošinātas ar atvērta veida portfeļiem, uzrāda vērtību, kas attiecas uz vērtspapīru pirmās emisijas iniciēšanas datumu.</w:t>
            </w:r>
            <w:r>
              <w:rPr>
                <w:sz w:val="24"/>
                <w:rFonts w:ascii="Times New Roman" w:hAnsi="Times New Roman"/>
              </w:rPr>
              <w:t xml:space="preserve"> </w:t>
            </w:r>
            <w:r>
              <w:rPr>
                <w:sz w:val="24"/>
                <w:rFonts w:ascii="Times New Roman" w:hAnsi="Times New Roman"/>
              </w:rPr>
              <w:t xml:space="preserve">Attiecībā uz tradicionālo vērtspapīrošanu neiekļauj nekādus citus vērtspapīrošanas portfeļa aktīvus.</w:t>
            </w:r>
            <w:r>
              <w:rPr>
                <w:sz w:val="24"/>
                <w:rFonts w:ascii="Times New Roman" w:hAnsi="Times New Roman"/>
              </w:rPr>
              <w:t xml:space="preserve"> </w:t>
            </w:r>
            <w:r>
              <w:rPr>
                <w:sz w:val="24"/>
                <w:rFonts w:ascii="Times New Roman" w:hAnsi="Times New Roman"/>
              </w:rPr>
              <w:t xml:space="preserve">Attiecībā uz vērtspapīrošanas shēmām, kurās iesaistīti vairāki pārdevēji (t. i., vērstpapīrošanas shēmas ar vairāk nekā vienu iniciatoru), uzrāda tikai to vērtību, kas atbilst pārskatu sniedzošās sabiedrības ieguldījumam vērtspapīrotajā portfelī.</w:t>
            </w:r>
            <w:r>
              <w:rPr>
                <w:sz w:val="24"/>
                <w:rFonts w:ascii="Times New Roman" w:hAnsi="Times New Roman"/>
              </w:rPr>
              <w:t xml:space="preserve"> </w:t>
            </w:r>
            <w:r>
              <w:rPr>
                <w:sz w:val="24"/>
                <w:rFonts w:ascii="Times New Roman" w:hAnsi="Times New Roman"/>
              </w:rPr>
              <w:t xml:space="preserve">Attiecībā uz saistību vērtspapīrošanu uzrāda tikai to summu, kuru emitējusi pārskatu sniedzošā sabiedrība.</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0140.–0225.</w:t>
            </w:r>
          </w:p>
        </w:tc>
        <w:tc>
          <w:tcPr>
            <w:tcW w:w="7903" w:type="dxa"/>
          </w:tcPr>
          <w:p w14:paraId="047395D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VĒRTSPAPĪROTI RISKA DARĪJUMI</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0140.–0225. slejā pārskatu sniedzošajai sabiedrībai pieprasīts uzrādīt informāciju par vairākām vērtspapīrotā portfeļa iezīmēm.</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0140.</w:t>
            </w:r>
          </w:p>
        </w:tc>
        <w:tc>
          <w:tcPr>
            <w:tcW w:w="7903" w:type="dxa"/>
          </w:tcPr>
          <w:p w14:paraId="58DD9AA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KOPĒJĀ SUMMA</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Iestādes uzrāda vērtspapīrotā portfeļa vērtību pārskata sniegšanas datumā, t. i., vērtspapīroto riska darījumu neatmaksāto summu.</w:t>
            </w:r>
            <w:r>
              <w:rPr>
                <w:sz w:val="24"/>
                <w:rFonts w:ascii="Times New Roman" w:hAnsi="Times New Roman"/>
              </w:rPr>
              <w:t xml:space="preserve"> </w:t>
            </w:r>
            <w:r>
              <w:rPr>
                <w:sz w:val="24"/>
                <w:rFonts w:ascii="Times New Roman" w:hAnsi="Times New Roman"/>
              </w:rPr>
              <w:t xml:space="preserve">Tradicionālās vērtspapīrošanas gadījumā neiekļauj nekādus citus vērtspapīrošanas portfeļa aktīvus.</w:t>
            </w:r>
            <w:r>
              <w:rPr>
                <w:sz w:val="24"/>
                <w:rFonts w:ascii="Times New Roman" w:hAnsi="Times New Roman"/>
              </w:rPr>
              <w:t xml:space="preserve"> </w:t>
            </w:r>
            <w:r>
              <w:rPr>
                <w:sz w:val="24"/>
                <w:rFonts w:ascii="Times New Roman" w:hAnsi="Times New Roman"/>
              </w:rPr>
              <w:t xml:space="preserve">Attiecībā uz vērtspapīrošanas shēmām, kurās iesaistīti vairāki pārdevēji (t. i., vērstpapīrošanas shēmas ar vairāk nekā vienu iniciatoru), uzrāda tikai to vērtību, kas atbilst pārskatu sniedzošās sabiedrības ieguldījumam vērtspapīrotajā portfelī.</w:t>
            </w:r>
            <w:r>
              <w:rPr>
                <w:sz w:val="24"/>
                <w:rFonts w:ascii="Times New Roman" w:hAnsi="Times New Roman"/>
              </w:rPr>
              <w:t xml:space="preserve"> </w:t>
            </w:r>
            <w:r>
              <w:rPr>
                <w:sz w:val="24"/>
                <w:rFonts w:ascii="Times New Roman" w:hAnsi="Times New Roman"/>
              </w:rPr>
              <w:t xml:space="preserve">Attiecībā uz vērtspapīrošanas shēmām, kas nodrošinātas ar slēgta veida portfeļiem (t. i., vērtspapīroto aktīvu portfeli nevar paplašināt pēc iniciēšanas datuma), vērtību pakāpeniski samazina.</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0150.</w:t>
            </w:r>
          </w:p>
        </w:tc>
        <w:tc>
          <w:tcPr>
            <w:tcW w:w="7903" w:type="dxa"/>
          </w:tcPr>
          <w:p w14:paraId="6AA9FA8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IESTĀDES DAĻA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Iestādes daļa (procentuālā attiecība ar divām zīmēm aiz komata) vērtspapīrotajā portfelī pārskata datumā.</w:t>
            </w:r>
            <w:r>
              <w:rPr>
                <w:sz w:val="24"/>
                <w:rFonts w:ascii="Times New Roman" w:hAnsi="Times New Roman"/>
              </w:rPr>
              <w:t xml:space="preserve"> </w:t>
            </w:r>
            <w:r>
              <w:rPr>
                <w:sz w:val="24"/>
                <w:rFonts w:ascii="Times New Roman" w:hAnsi="Times New Roman"/>
              </w:rPr>
              <w:t xml:space="preserve">Šajā slejā uzrādāmā vērtība ir 100 %, izņemot vērtspapīrošanas shēmas, kurās iesaistīti vairāki pārdevēji.</w:t>
            </w:r>
            <w:r>
              <w:rPr>
                <w:sz w:val="24"/>
                <w:rFonts w:ascii="Times New Roman" w:hAnsi="Times New Roman"/>
              </w:rPr>
              <w:t xml:space="preserve"> </w:t>
            </w:r>
            <w:r>
              <w:rPr>
                <w:sz w:val="24"/>
                <w:rFonts w:ascii="Times New Roman" w:hAnsi="Times New Roman"/>
              </w:rPr>
              <w:t xml:space="preserve">Šajā gadījumā pārskatu sniedzošā sabiedrība uzrāda tās pašreizējo ieguldījumu vērtspapīrotajā portfelī (relatīvi līdzvērtīgs 0140. slejai).</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0160.</w:t>
            </w:r>
          </w:p>
        </w:tc>
        <w:tc>
          <w:tcPr>
            <w:tcW w:w="7903" w:type="dxa"/>
          </w:tcPr>
          <w:p w14:paraId="67E45D4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VEIDS</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apkopo informāciju par vērtspapīrotā portfeļa aktīvu (no “Mājokļa hipotēka” līdz “Citi korporatīvie riska darījumi”) vai saistību (“Segtās obligācijas” un “Citas saistības”) veidu.</w:t>
            </w:r>
            <w:r>
              <w:rPr>
                <w:sz w:val="24"/>
                <w:rFonts w:ascii="Times New Roman" w:hAnsi="Times New Roman"/>
              </w:rPr>
              <w:t xml:space="preserve"> </w:t>
            </w:r>
            <w:r>
              <w:rPr>
                <w:sz w:val="24"/>
                <w:rFonts w:ascii="Times New Roman" w:hAnsi="Times New Roman"/>
              </w:rPr>
              <w:t xml:space="preserve">Iestāde uzrāda vienu no turpmāk minētajām iespējām, ņemot vērā augstāko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Mazumtirdzniecība:</w:t>
            </w:r>
          </w:p>
          <w:p w14:paraId="026FC65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mājokļa hipotēka;</w:t>
            </w:r>
            <w:r>
              <w:rPr>
                <w:sz w:val="24"/>
                <w:rFonts w:ascii="Times New Roman" w:hAnsi="Times New Roman"/>
              </w:rPr>
              <w:t xml:space="preserve"> </w:t>
            </w:r>
          </w:p>
          <w:p w14:paraId="151967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kredītkaršu parādi;</w:t>
            </w:r>
            <w:r>
              <w:rPr>
                <w:sz w:val="24"/>
                <w:rFonts w:ascii="Times New Roman" w:hAnsi="Times New Roman"/>
              </w:rPr>
              <w:t xml:space="preserve"> </w:t>
            </w:r>
          </w:p>
          <w:p w14:paraId="0A9711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patēriņa kredīti;</w:t>
            </w:r>
          </w:p>
          <w:p w14:paraId="608EB1EE"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aizdevumi MVU (pieder pie privātpersonām vai MVU);</w:t>
            </w:r>
          </w:p>
          <w:p w14:paraId="5D4CD040"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citi riska darījumi ar privātpersonām vai MVU.</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Korporatīvie:</w:t>
            </w:r>
          </w:p>
          <w:p w14:paraId="1C7C174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komerciālā nekustamā īpašuma hipotēka;</w:t>
            </w:r>
            <w:r>
              <w:rPr>
                <w:sz w:val="24"/>
                <w:rFonts w:ascii="Times New Roman" w:hAnsi="Times New Roman"/>
              </w:rPr>
              <w:t xml:space="preserve"> </w:t>
            </w:r>
          </w:p>
          <w:p w14:paraId="5F95628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noma;</w:t>
            </w:r>
            <w:r>
              <w:rPr>
                <w:sz w:val="24"/>
                <w:rFonts w:ascii="Times New Roman" w:hAnsi="Times New Roman"/>
              </w:rPr>
              <w:t xml:space="preserve"> </w:t>
            </w:r>
          </w:p>
          <w:p w14:paraId="00F25C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aizdevumi komercsabiedrībām;</w:t>
            </w:r>
          </w:p>
          <w:p w14:paraId="6CCD5A6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aizdevumi MVU (pieder pie komercsabiedrībām);</w:t>
            </w:r>
            <w:r>
              <w:rPr>
                <w:sz w:val="24"/>
                <w:rFonts w:ascii="Times New Roman" w:hAnsi="Times New Roman"/>
              </w:rPr>
              <w:t xml:space="preserve"> </w:t>
            </w:r>
          </w:p>
          <w:p w14:paraId="1D11473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pircēju un pasūtītāju parādi;</w:t>
            </w:r>
          </w:p>
          <w:p w14:paraId="3AE586F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citi korporatīvie riska darījumi.</w:t>
            </w:r>
            <w:r>
              <w:rPr>
                <w:sz w:val="24"/>
                <w:rFonts w:ascii="Times New Roman" w:hAnsi="Times New Roman"/>
              </w:rPr>
              <w:t xml:space="preserv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b/>
                <w:sz w:val="24"/>
                <w:rFonts w:ascii="Times New Roman" w:hAnsi="Times New Roman"/>
              </w:rPr>
            </w:pPr>
            <w:r>
              <w:rPr>
                <w:b/>
                <w:sz w:val="24"/>
                <w:rFonts w:ascii="Times New Roman" w:hAnsi="Times New Roman"/>
              </w:rPr>
              <w:t xml:space="preserve">Saistības:</w:t>
            </w:r>
          </w:p>
          <w:p w14:paraId="157CA11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segtās obligācijas;</w:t>
            </w:r>
          </w:p>
          <w:p w14:paraId="693D8FC1"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citas saistības.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Ja vērtspapīroto riska darījumu portfelis ir iepriekš uzskaitīto veidu kombinācija, iestāde norāda vissvarīgāko veidu.</w:t>
            </w:r>
            <w:r>
              <w:rPr>
                <w:sz w:val="24"/>
                <w:rFonts w:ascii="Times New Roman" w:hAnsi="Times New Roman"/>
              </w:rPr>
              <w:t xml:space="preserve"> </w:t>
            </w:r>
            <w:r>
              <w:rPr>
                <w:sz w:val="24"/>
                <w:rFonts w:ascii="Times New Roman" w:hAnsi="Times New Roman"/>
              </w:rPr>
              <w:t xml:space="preserve">Atkārtotas vērtspapīrošanas gadījumā iestāde atsaucas uz galīgo pamatā esošo aktīvu portfeli.</w:t>
            </w:r>
            <w:r>
              <w:rPr>
                <w:sz w:val="24"/>
                <w:rFonts w:ascii="Times New Roman" w:hAnsi="Times New Roman"/>
              </w:rPr>
              <w:t xml:space="preserve"> </w:t>
            </w:r>
          </w:p>
          <w:p w14:paraId="31B872FC" w14:textId="77777777" w:rsidR="00933ADA"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shēmām, kas nodrošinātas ar slēgta veida portfeļiem, veids nevar mainīties starp pārskata datumiem.</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Saistības jāsaprot kā saistības, ko sākotnēji emitējusi pārskatu sniedzošā iestāde (sk. šā pielikuma 3.2.1. iedaļas 112. punkta b) apakšpunktu).</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0171.</w:t>
            </w:r>
          </w:p>
        </w:tc>
        <w:tc>
          <w:tcPr>
            <w:tcW w:w="7903" w:type="dxa"/>
          </w:tcPr>
          <w:p w14:paraId="49A5E8F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NO IRB PIEMĒROTAJĀ PIEEJĀ</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apkopo informāciju par pieeju(-ām), ko iestāde pārskata datumā piemērotu vērtspapīrotajiem riska darījumiem.</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uzrāda vērtspapīroto riska darījumu procentus, vērtējot pēc riska darījuma vērtības, kam pārskata sniegšanas datumā piemēro uz iekšējiem reitingiem balstīto pieeju.</w:t>
            </w:r>
            <w:r>
              <w:rPr>
                <w:sz w:val="24"/>
                <w:rFonts w:ascii="Times New Roman" w:hAnsi="Times New Roman"/>
              </w:rPr>
              <w:t xml:space="preserv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r>
              <w:rPr>
                <w:sz w:val="24"/>
                <w:rFonts w:ascii="Times New Roman" w:hAnsi="Times New Roman"/>
              </w:rPr>
              <w:t xml:space="preserve"> </w:t>
            </w:r>
            <w:r>
              <w:rPr>
                <w:sz w:val="24"/>
                <w:rFonts w:ascii="Times New Roman" w:hAnsi="Times New Roman"/>
              </w:rPr>
              <w:t xml:space="preserve">Tomēr šī sleja neattiecas uz saistību vērtspapīrošanu.</w:t>
            </w:r>
            <w:r>
              <w:rPr>
                <w:sz w:val="24"/>
                <w:rFonts w:ascii="Times New Roman" w:hAnsi="Times New Roman"/>
              </w:rPr>
              <w:t xml:space="preserve">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0180.</w:t>
            </w:r>
          </w:p>
        </w:tc>
        <w:tc>
          <w:tcPr>
            <w:tcW w:w="7903" w:type="dxa"/>
            <w:shd w:val="clear" w:color="auto" w:fill="auto"/>
          </w:tcPr>
          <w:p w14:paraId="6055C31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SKAITS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259. panta 4. punkts</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Šī sleja ir obligāta tām iestādēm, kas attiecībā uz vērtspapīrošanas pozīcijām izmanto SEC-IRBA pieeju (un tāpēc 171. slejā uzrāda vairāk nekā 95 %).</w:t>
            </w:r>
            <w:r>
              <w:rPr>
                <w:sz w:val="24"/>
                <w:rFonts w:ascii="Times New Roman" w:hAnsi="Times New Roman"/>
              </w:rPr>
              <w:t xml:space="preserve"> </w:t>
            </w:r>
            <w:r>
              <w:rPr>
                <w:sz w:val="24"/>
                <w:rFonts w:ascii="Times New Roman" w:hAnsi="Times New Roman"/>
              </w:rPr>
              <w:t xml:space="preserve">Iestādes uzrāda riska darījumu faktisko skaitu.</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sleju neuzrāda saistību vērtspapīrošanas gadījumā vai tad, ja pašu kapitāla prasības ir balstītas uz vērtspapīrotajiem riska darījumiem (aktīvu vērtspapīrošanas gadījumā).</w:t>
            </w:r>
            <w:r>
              <w:rPr>
                <w:sz w:val="24"/>
                <w:rFonts w:ascii="Times New Roman" w:hAnsi="Times New Roman"/>
              </w:rPr>
              <w:t xml:space="preserve"> </w:t>
            </w:r>
            <w:r>
              <w:rPr>
                <w:sz w:val="24"/>
                <w:rFonts w:ascii="Times New Roman" w:hAnsi="Times New Roman"/>
              </w:rPr>
              <w:t xml:space="preserve">Šo sleju neuzrāda, ja pārskatu sniedzēja iestāde vērtspapīrošanas darījumā netur nekādas pozīcijas.</w:t>
            </w:r>
            <w:r>
              <w:rPr>
                <w:sz w:val="24"/>
                <w:rFonts w:ascii="Times New Roman" w:hAnsi="Times New Roman"/>
              </w:rPr>
              <w:t xml:space="preserve"> </w:t>
            </w:r>
            <w:r>
              <w:rPr>
                <w:sz w:val="24"/>
                <w:rFonts w:ascii="Times New Roman" w:hAnsi="Times New Roman"/>
              </w:rPr>
              <w:t xml:space="preserve">Ieguldītāji šo sleju neuzrāda.</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0181.</w:t>
            </w:r>
          </w:p>
        </w:tc>
        <w:tc>
          <w:tcPr>
            <w:tcW w:w="7903" w:type="dxa"/>
            <w:shd w:val="clear" w:color="auto" w:fill="auto"/>
          </w:tcPr>
          <w:p w14:paraId="5F1F6DF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KUROS NETIEK PILDĪTAS SAISTĪBAS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261. panta 2. punkts.</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Pat ja iestāde vērtspapīrošanas pozīcijām nepiemēro SEC-SA pieeju, tā uzrāda “W” faktoru (attiecībā uz pamatā esošajiem riska darījumiem, kuros netiek pildītas saistības), ko aprēķina, kā norādīts Regulas (ES) Nr. 575/2013 261. panta 2. punktā.</w:t>
            </w:r>
            <w:r>
              <w:rPr>
                <w:sz w:val="24"/>
                <w:rFonts w:ascii="Times New Roman" w:hAnsi="Times New Roman"/>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0190.</w:t>
            </w:r>
          </w:p>
        </w:tc>
        <w:tc>
          <w:tcPr>
            <w:tcW w:w="7903" w:type="dxa"/>
            <w:shd w:val="clear" w:color="auto" w:fill="auto"/>
          </w:tcPr>
          <w:p w14:paraId="6E2E1B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VALSTS</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Iestādes uzrāda darījuma galīgā pamatā esošā aktīva izcelsmes valsts kodu (</w:t>
            </w:r>
            <w:r>
              <w:rPr>
                <w:sz w:val="24"/>
                <w:i/>
                <w:iCs/>
                <w:rFonts w:ascii="Times New Roman" w:hAnsi="Times New Roman"/>
              </w:rPr>
              <w:t xml:space="preserve">ISO</w:t>
            </w:r>
            <w:r>
              <w:rPr>
                <w:sz w:val="24"/>
                <w:rFonts w:ascii="Times New Roman" w:hAnsi="Times New Roman"/>
              </w:rPr>
              <w:t xml:space="preserve"> 3166-1 alpha-2), t. i., vērtspapīrotu riska darījumu tiešā parādnieka valsti (caurskatīšana).</w:t>
            </w:r>
            <w:r>
              <w:rPr>
                <w:sz w:val="24"/>
                <w:rFonts w:ascii="Times New Roman" w:hAnsi="Times New Roman"/>
              </w:rPr>
              <w:t xml:space="preserve"> </w:t>
            </w:r>
            <w:r>
              <w:rPr>
                <w:sz w:val="24"/>
                <w:rFonts w:ascii="Times New Roman" w:hAnsi="Times New Roman"/>
              </w:rPr>
              <w:t xml:space="preserve">Ja vērtspapīrošanas portfelis ietver dažādas valstis, iestāde norāda vissvarīgāko valsti.</w:t>
            </w:r>
            <w:r>
              <w:rPr>
                <w:sz w:val="24"/>
                <w:rFonts w:ascii="Times New Roman" w:hAnsi="Times New Roman"/>
              </w:rPr>
              <w:t xml:space="preserve"> </w:t>
            </w:r>
            <w:r>
              <w:rPr>
                <w:sz w:val="24"/>
                <w:rFonts w:ascii="Times New Roman" w:hAnsi="Times New Roman"/>
              </w:rPr>
              <w:t xml:space="preserve">Ja neviena valsts nepārsniedz 20 % slieksni, pamatojoties uz aktīvu/saistību apmēru, tad uzrāda “Citas valstis”.</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0201.</w:t>
            </w:r>
          </w:p>
        </w:tc>
        <w:tc>
          <w:tcPr>
            <w:tcW w:w="7903" w:type="dxa"/>
          </w:tcPr>
          <w:p w14:paraId="703F0ECA" w14:textId="77777777" w:rsidR="00933ADA" w:rsidRPr="002A677E" w:rsidRDefault="00933ADA" w:rsidP="00822842">
            <w:pPr>
              <w:spacing w:before="0" w:after="0"/>
              <w:jc w:val="left"/>
              <w:rPr>
                <w:b/>
                <w:sz w:val="24"/>
                <w:u w:val="single"/>
                <w:rFonts w:ascii="Times New Roman" w:hAnsi="Times New Roman"/>
              </w:rPr>
            </w:pPr>
            <w:r>
              <w:rPr>
                <w:b/>
                <w:sz w:val="24"/>
                <w:u w:val="single"/>
                <w:i/>
                <w:iCs/>
                <w:rFonts w:ascii="Times New Roman" w:hAnsi="Times New Roman"/>
              </w:rPr>
              <w:t xml:space="preserve">LGD (%)</w:t>
            </w:r>
            <w:r>
              <w:rPr>
                <w:b/>
                <w:sz w:val="24"/>
                <w:u w:val="single"/>
                <w:rFonts w:ascii="Times New Roman" w:hAnsi="Times New Roman"/>
              </w:rPr>
              <w:t xml:space="preserve">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Riska darījumu svērtos vidējos saistību nepildīšanas zaudējumus (</w:t>
            </w:r>
            <w:r>
              <w:rPr>
                <w:sz w:val="24"/>
                <w:i/>
                <w:iCs/>
                <w:rFonts w:ascii="Times New Roman" w:hAnsi="Times New Roman"/>
              </w:rPr>
              <w:t xml:space="preserve">LGD</w:t>
            </w:r>
            <w:r>
              <w:rPr>
                <w:sz w:val="24"/>
                <w:rFonts w:ascii="Times New Roman" w:hAnsi="Times New Roman"/>
              </w:rPr>
              <w:t xml:space="preserve">) uzrāda tikai tās iestādes, kas izmanto SEC-IRBA (un tāpēc 0170. slejā uzrāda 95 % vai vairāk).</w:t>
            </w:r>
            <w:r>
              <w:rPr>
                <w:sz w:val="24"/>
                <w:rFonts w:ascii="Times New Roman" w:hAnsi="Times New Roman"/>
              </w:rPr>
              <w:t xml:space="preserve"> </w:t>
            </w:r>
            <w:r>
              <w:rPr>
                <w:sz w:val="24"/>
                <w:i/>
                <w:iCs/>
                <w:rFonts w:ascii="Times New Roman" w:hAnsi="Times New Roman"/>
              </w:rPr>
              <w:t xml:space="preserve">LGD</w:t>
            </w:r>
            <w:r>
              <w:rPr>
                <w:sz w:val="24"/>
                <w:rFonts w:ascii="Times New Roman" w:hAnsi="Times New Roman"/>
              </w:rPr>
              <w:t xml:space="preserve"> jāaprēķina tā, kā norādīts Regulas (ES) Nr. 575/2013 259. panta 5. punktā.</w:t>
            </w:r>
            <w:r>
              <w:rPr>
                <w:sz w:val="24"/>
                <w:rFonts w:ascii="Times New Roman" w:hAnsi="Times New Roman"/>
              </w:rPr>
              <w:t xml:space="preserve"> </w:t>
            </w:r>
          </w:p>
          <w:p w14:paraId="1BA54C9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sleju neuzrāda saistību vērtspapīrošanas gadījumā vai tad, ja pašu kapitāla prasības ir balstītas uz vērtspapīrotajiem riska darījumiem (aktīvu vērtspapīrošanas gadījumā).</w:t>
            </w:r>
            <w:r>
              <w:rPr>
                <w:sz w:val="24"/>
                <w:rFonts w:ascii="Times New Roman" w:hAnsi="Times New Roman"/>
              </w:rPr>
              <w:t xml:space="preserve">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0202.</w:t>
            </w:r>
          </w:p>
        </w:tc>
        <w:tc>
          <w:tcPr>
            <w:tcW w:w="7903" w:type="dxa"/>
          </w:tcPr>
          <w:p w14:paraId="30686DB4" w14:textId="77777777" w:rsidR="00933ADA" w:rsidRPr="002A677E" w:rsidRDefault="00933ADA" w:rsidP="00822842">
            <w:pPr>
              <w:spacing w:before="0" w:after="0"/>
              <w:jc w:val="left"/>
              <w:rPr>
                <w:b/>
                <w:sz w:val="24"/>
                <w:u w:val="single"/>
                <w:rFonts w:ascii="Times New Roman" w:hAnsi="Times New Roman"/>
              </w:rPr>
            </w:pPr>
            <w:r>
              <w:rPr>
                <w:b/>
                <w:sz w:val="24"/>
                <w:u w:val="single"/>
                <w:i/>
                <w:iCs/>
                <w:rFonts w:ascii="Times New Roman" w:hAnsi="Times New Roman"/>
              </w:rPr>
              <w:t xml:space="preserve">EL</w:t>
            </w:r>
            <w:r>
              <w:rPr>
                <w:b/>
                <w:sz w:val="24"/>
                <w:u w:val="single"/>
                <w:rFonts w:ascii="Times New Roman" w:hAnsi="Times New Roman"/>
              </w:rPr>
              <w:t xml:space="preserve">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Vērtspapīroto aktīvu riska darījumu svērtos vidējos paredzamos zaudējumus (</w:t>
            </w:r>
            <w:r>
              <w:rPr>
                <w:sz w:val="24"/>
                <w:i/>
                <w:iCs/>
                <w:rFonts w:ascii="Times New Roman" w:hAnsi="Times New Roman"/>
              </w:rPr>
              <w:t xml:space="preserve">EL</w:t>
            </w:r>
            <w:r>
              <w:rPr>
                <w:sz w:val="24"/>
                <w:rFonts w:ascii="Times New Roman" w:hAnsi="Times New Roman"/>
              </w:rPr>
              <w:t xml:space="preserve">) uzrāda tikai tās iestādes, kas izmanto SEC-IRBA (un tāpēc 0171. slejā uzrāda 95 % vai vairāk).</w:t>
            </w:r>
            <w:r>
              <w:rPr>
                <w:sz w:val="24"/>
                <w:rFonts w:ascii="Times New Roman" w:hAnsi="Times New Roman"/>
              </w:rPr>
              <w:t xml:space="preserve"> </w:t>
            </w:r>
            <w:r>
              <w:rPr>
                <w:sz w:val="24"/>
                <w:rFonts w:ascii="Times New Roman" w:hAnsi="Times New Roman"/>
              </w:rPr>
              <w:t xml:space="preserve">Attiecībā uz standartizētās pieejas vērtspapīrotiem aktīviem uzrādītie paredzamie zaudējumi (EL) ir specifiskās kredītriska korekcijas, kā minēts Regulas (ES) Nr. 575/2013 111. pantā.</w:t>
            </w:r>
            <w:r>
              <w:rPr>
                <w:sz w:val="24"/>
                <w:rFonts w:ascii="Times New Roman" w:hAnsi="Times New Roman"/>
              </w:rPr>
              <w:t xml:space="preserve"> </w:t>
            </w:r>
            <w:r>
              <w:rPr>
                <w:sz w:val="24"/>
                <w:i/>
                <w:iCs/>
                <w:rFonts w:ascii="Times New Roman" w:hAnsi="Times New Roman"/>
              </w:rPr>
              <w:t xml:space="preserve">EL</w:t>
            </w:r>
            <w:r>
              <w:rPr>
                <w:sz w:val="24"/>
                <w:rFonts w:ascii="Times New Roman" w:hAnsi="Times New Roman"/>
              </w:rPr>
              <w:t xml:space="preserve"> jāaprēķina tā, kā norādīts Regulas (ES) Nr. 575/2013 Trešās daļas II sadaļas 3. nodaļas 3. iedaļā.</w:t>
            </w:r>
            <w:r>
              <w:rPr>
                <w:sz w:val="24"/>
                <w:rFonts w:ascii="Times New Roman" w:hAnsi="Times New Roman"/>
              </w:rPr>
              <w:t xml:space="preserve"> </w:t>
            </w:r>
            <w:r>
              <w:rPr>
                <w:sz w:val="24"/>
                <w:rFonts w:ascii="Times New Roman" w:hAnsi="Times New Roman"/>
              </w:rPr>
              <w:t xml:space="preserve">Šo sleju neuzrāda saistību vērtspapīrošanas gadījumā vai tad, ja pašu kapitāla prasības ir balstītas uz vērtspapīrotajiem riska darījumiem (aktīvu vērtspapīrošanas gadījumā).</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0203.</w:t>
            </w:r>
          </w:p>
        </w:tc>
        <w:tc>
          <w:tcPr>
            <w:tcW w:w="7903" w:type="dxa"/>
          </w:tcPr>
          <w:p w14:paraId="57951E63" w14:textId="77777777" w:rsidR="00933ADA" w:rsidRPr="002A677E" w:rsidRDefault="00933ADA" w:rsidP="00822842">
            <w:pPr>
              <w:spacing w:before="0" w:after="0"/>
              <w:jc w:val="left"/>
              <w:rPr>
                <w:b/>
                <w:sz w:val="24"/>
                <w:u w:val="single"/>
                <w:rFonts w:ascii="Times New Roman" w:hAnsi="Times New Roman"/>
              </w:rPr>
            </w:pPr>
            <w:r>
              <w:rPr>
                <w:b/>
                <w:sz w:val="24"/>
                <w:u w:val="single"/>
                <w:i/>
                <w:iCs/>
                <w:rFonts w:ascii="Times New Roman" w:hAnsi="Times New Roman"/>
              </w:rPr>
              <w:t xml:space="preserve">UL</w:t>
            </w:r>
            <w:r>
              <w:rPr>
                <w:b/>
                <w:sz w:val="24"/>
                <w:u w:val="single"/>
                <w:rFonts w:ascii="Times New Roman" w:hAnsi="Times New Roman"/>
              </w:rPr>
              <w:t xml:space="preserve">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Vērtspapīroto aktīvu riska darījumu svērtos vidējos neparedzamos zaudējumus (</w:t>
            </w:r>
            <w:r>
              <w:rPr>
                <w:sz w:val="24"/>
                <w:i/>
                <w:iCs/>
                <w:rFonts w:ascii="Times New Roman" w:hAnsi="Times New Roman"/>
              </w:rPr>
              <w:t xml:space="preserve">UL</w:t>
            </w:r>
            <w:r>
              <w:rPr>
                <w:sz w:val="24"/>
                <w:rFonts w:ascii="Times New Roman" w:hAnsi="Times New Roman"/>
              </w:rPr>
              <w:t xml:space="preserve">) uzrāda tikai tās iestādes, kas izmanto SEC-IRBA (un tāpēc 0170. slejā uzrāda 95 % vai vairāk).</w:t>
            </w:r>
            <w:r>
              <w:rPr>
                <w:sz w:val="24"/>
                <w:rFonts w:ascii="Times New Roman" w:hAnsi="Times New Roman"/>
              </w:rPr>
              <w:t xml:space="preserve"> </w:t>
            </w:r>
            <w:r>
              <w:rPr>
                <w:sz w:val="24"/>
                <w:rFonts w:ascii="Times New Roman" w:hAnsi="Times New Roman"/>
              </w:rPr>
              <w:t xml:space="preserve">Aktīvu neparedzamie zaudējumi (</w:t>
            </w:r>
            <w:r>
              <w:rPr>
                <w:sz w:val="24"/>
                <w:i/>
                <w:iCs/>
                <w:rFonts w:ascii="Times New Roman" w:hAnsi="Times New Roman"/>
              </w:rPr>
              <w:t xml:space="preserve">UL</w:t>
            </w:r>
            <w:r>
              <w:rPr>
                <w:sz w:val="24"/>
                <w:rFonts w:ascii="Times New Roman" w:hAnsi="Times New Roman"/>
              </w:rPr>
              <w:t xml:space="preserve">) ir vienādi ar riska darījumu riska svērto vērtību (</w:t>
            </w:r>
            <w:r>
              <w:rPr>
                <w:sz w:val="24"/>
                <w:i/>
                <w:iCs/>
                <w:rFonts w:ascii="Times New Roman" w:hAnsi="Times New Roman"/>
              </w:rPr>
              <w:t xml:space="preserve">RWEA</w:t>
            </w:r>
            <w:r>
              <w:rPr>
                <w:sz w:val="24"/>
                <w:rFonts w:ascii="Times New Roman" w:hAnsi="Times New Roman"/>
              </w:rPr>
              <w:t xml:space="preserve">), kas reizināta ar 8 %.</w:t>
            </w:r>
            <w:r>
              <w:rPr>
                <w:sz w:val="24"/>
                <w:rFonts w:ascii="Times New Roman" w:hAnsi="Times New Roman"/>
              </w:rPr>
              <w:t xml:space="preserve"> </w:t>
            </w:r>
            <w:r>
              <w:rPr>
                <w:sz w:val="24"/>
                <w:i/>
                <w:iCs/>
                <w:rFonts w:ascii="Times New Roman" w:hAnsi="Times New Roman"/>
              </w:rPr>
              <w:t xml:space="preserve">RWEA</w:t>
            </w:r>
            <w:r>
              <w:rPr>
                <w:sz w:val="24"/>
                <w:rFonts w:ascii="Times New Roman" w:hAnsi="Times New Roman"/>
              </w:rPr>
              <w:t xml:space="preserve"> aprēķina, kā norādīts Regulas (ES) Nr. 575/2013 Trešās daļas II sadaļas 3. nodaļas 2. iedaļā.</w:t>
            </w:r>
            <w:r>
              <w:rPr>
                <w:sz w:val="24"/>
                <w:rFonts w:ascii="Times New Roman" w:hAnsi="Times New Roman"/>
              </w:rPr>
              <w:t xml:space="preserve"> </w:t>
            </w:r>
            <w:r>
              <w:rPr>
                <w:sz w:val="24"/>
                <w:rFonts w:ascii="Times New Roman" w:hAnsi="Times New Roman"/>
              </w:rPr>
              <w:t xml:space="preserve">Šo sleju neuzrāda saistību vērtspapīrošanas gadījumā vai tad, ja pašu kapitāla prasības ir balstītas uz vērtspapīrotajiem riska darījumiem (aktīvu vērtspapīrošanas gadījumā).</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0204.</w:t>
            </w:r>
          </w:p>
        </w:tc>
        <w:tc>
          <w:tcPr>
            <w:tcW w:w="7903" w:type="dxa"/>
          </w:tcPr>
          <w:p w14:paraId="0245F2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SVĒRTĀ AKTĪVU VIDĒJĀ TERMIŅA VĒRTĪBA</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Visas iestādes pārskata datumā uzrāda vērtspapīroto aktīvu riska darījumu svērto vidējo termiņa vērtību (</w:t>
            </w:r>
            <w:r>
              <w:rPr>
                <w:sz w:val="24"/>
                <w:i/>
                <w:iCs/>
                <w:rFonts w:ascii="Times New Roman" w:hAnsi="Times New Roman"/>
              </w:rPr>
              <w:t xml:space="preserve">WAM</w:t>
            </w:r>
            <w:r>
              <w:rPr>
                <w:sz w:val="24"/>
                <w:rFonts w:ascii="Times New Roman" w:hAnsi="Times New Roman"/>
              </w:rPr>
              <w:t xml:space="preserve">) neatkarīgi no pieejas, kas izmantota kapitāla prasību aprēķināšanai.</w:t>
            </w:r>
            <w:r>
              <w:rPr>
                <w:sz w:val="24"/>
                <w:rFonts w:ascii="Times New Roman" w:hAnsi="Times New Roman"/>
              </w:rPr>
              <w:t xml:space="preserve"> </w:t>
            </w:r>
            <w:r>
              <w:rPr>
                <w:sz w:val="24"/>
                <w:rFonts w:ascii="Times New Roman" w:hAnsi="Times New Roman"/>
              </w:rPr>
              <w:t xml:space="preserve">Iestādes katra aktīva termiņu aprēķina saskaņā ar Regulas (ES) Nr. 575/2013 162. panta 2. punkta a) un f) apakšpunktu, nepiemērojot 5 gadu maksimālo robežvērtību.</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0210.</w:t>
            </w:r>
          </w:p>
        </w:tc>
        <w:tc>
          <w:tcPr>
            <w:tcW w:w="7903" w:type="dxa"/>
          </w:tcPr>
          <w:p w14:paraId="48C21AE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VĒRTĪBAS KOREKCIJAS UN UZKRĀJUMI</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Tādas vērtības korekcijas un tādi uzkrājumi (Regulas (ES) Nr. 575/2013 159. pants) saistībā ar kredītzaudējumiem, kas veikti saskaņā ar pārskatu sniedzošajai sabiedrībai piemēroto grāmatvedības standartu.</w:t>
            </w:r>
            <w:r>
              <w:rPr>
                <w:sz w:val="24"/>
                <w:rFonts w:ascii="Times New Roman" w:hAnsi="Times New Roman"/>
              </w:rPr>
              <w:t xml:space="preserve"> </w:t>
            </w:r>
            <w:r>
              <w:rPr>
                <w:sz w:val="24"/>
                <w:rFonts w:ascii="Times New Roman" w:hAnsi="Times New Roman"/>
              </w:rPr>
              <w:t xml:space="preserve">Vērtības korekcijas ietver jebkuru summu, kas attiecībā uz finanšu aktīvu kredītzaudējumiem atzīta peļņas vai zaudējumu aprēķinā, kopš to sākotnējās atzīšanas bilancē (ieskaitot zaudējumus saistībā ar pēc patiesās vērtības novērtētu finanšu aktīvu kredītrisku, ko neatskaita no riska darījuma vērtības), plus diskontus riska aktīviem, kuri nopirkti, kad nav izpildītas to saistības, kā minēts Regulas (ES) Nr. 575/2013 166. panta 1. punktā.</w:t>
            </w:r>
            <w:r>
              <w:rPr>
                <w:sz w:val="24"/>
                <w:rFonts w:ascii="Times New Roman" w:hAnsi="Times New Roman"/>
              </w:rPr>
              <w:t xml:space="preserve"> </w:t>
            </w:r>
            <w:r>
              <w:rPr>
                <w:sz w:val="24"/>
                <w:rFonts w:ascii="Times New Roman" w:hAnsi="Times New Roman"/>
              </w:rPr>
              <w:t xml:space="preserve">Uzkrājumi ietver kredītzaudējumu uzkrātās summas ārpusbilances posteņos.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slejā apkopo informāciju par vērtības korekcijām un uzkrājumiem, ko piemēro vērtspapīrotiem riska darījumiem.</w:t>
            </w:r>
            <w:r>
              <w:rPr>
                <w:sz w:val="24"/>
                <w:rFonts w:ascii="Times New Roman" w:hAnsi="Times New Roman"/>
              </w:rPr>
              <w:t xml:space="preserve"> </w:t>
            </w:r>
            <w:r>
              <w:rPr>
                <w:sz w:val="24"/>
                <w:rFonts w:ascii="Times New Roman" w:hAnsi="Times New Roman"/>
              </w:rPr>
              <w:t xml:space="preserve">Šo sleju neuzrāda saistību vērtspapīrošanas gadījumā.</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informāciju uzrāda pat tad, ja pārskatu sniedzošā sabiedrība vērtspapīrošanas darījumā netur nekādas pozīcijas.</w:t>
            </w:r>
            <w:r>
              <w:rPr>
                <w:sz w:val="24"/>
                <w:rFonts w:ascii="Times New Roman" w:hAnsi="Times New Roman"/>
              </w:rPr>
              <w:t xml:space="preserv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0221.</w:t>
            </w:r>
          </w:p>
        </w:tc>
        <w:tc>
          <w:tcPr>
            <w:tcW w:w="7903" w:type="dxa"/>
          </w:tcPr>
          <w:p w14:paraId="5F75FBA5" w14:textId="77777777" w:rsidR="00933ADA" w:rsidRPr="002A677E" w:rsidRDefault="00933ADA" w:rsidP="00822842">
            <w:pPr>
              <w:spacing w:before="0" w:after="0"/>
              <w:jc w:val="left"/>
              <w:rPr>
                <w:b/>
                <w:sz w:val="24"/>
                <w:u w:val="single"/>
                <w:vertAlign w:val="subscript"/>
                <w:rFonts w:ascii="Times New Roman" w:hAnsi="Times New Roman"/>
              </w:rPr>
            </w:pPr>
            <w:r>
              <w:rPr>
                <w:b/>
                <w:sz w:val="24"/>
                <w:u w:val="single"/>
                <w:rFonts w:ascii="Times New Roman" w:hAnsi="Times New Roman"/>
              </w:rPr>
              <w:t xml:space="preserve">PAŠU KAPITĀLA PRASĪBAS PIRMS VĒRTSPAPĪROŠANAS (%) K</w:t>
            </w:r>
            <w:r>
              <w:rPr>
                <w:b/>
                <w:sz w:val="24"/>
                <w:u w:val="single"/>
                <w:vertAlign w:val="subscript"/>
                <w:rFonts w:ascii="Times New Roman" w:hAnsi="Times New Roman"/>
              </w:rPr>
              <w:t xml:space="preserve">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sleju uzrāda tikai tās iestādes, kuras piemēro SEC-IRBA (un tāpēc 171. slejā uzrāda 95 % vai vairāk) un apkopo informāciju par K</w:t>
            </w:r>
            <w:r>
              <w:rPr>
                <w:sz w:val="24"/>
                <w:vertAlign w:val="subscript"/>
                <w:rFonts w:ascii="Times New Roman" w:hAnsi="Times New Roman"/>
              </w:rPr>
              <w:t xml:space="preserve">IRB</w:t>
            </w:r>
            <w:r>
              <w:rPr>
                <w:sz w:val="24"/>
                <w:rFonts w:ascii="Times New Roman" w:hAnsi="Times New Roman"/>
              </w:rPr>
              <w:t xml:space="preserve">, kā minēts Regulas (ES) Nr. 575/2013 255. pantā.</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IRB</w:t>
            </w:r>
            <w:r>
              <w:rPr>
                <w:sz w:val="24"/>
                <w:rFonts w:ascii="Times New Roman" w:hAnsi="Times New Roman"/>
              </w:rPr>
              <w:t xml:space="preserve"> izsaka procentos (ar divām zīmēm aiz komata).</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sleju neuzrāda saistību vērtspapīrošanas gadījumā.</w:t>
            </w:r>
            <w:r>
              <w:rPr>
                <w:sz w:val="24"/>
                <w:rFonts w:ascii="Times New Roman" w:hAnsi="Times New Roman"/>
              </w:rPr>
              <w:t xml:space="preserve"> </w:t>
            </w:r>
            <w:r>
              <w:rPr>
                <w:sz w:val="24"/>
                <w:rFonts w:ascii="Times New Roman" w:hAnsi="Times New Roman"/>
              </w:rPr>
              <w:t xml:space="preserve">Aktīvu vērtspapīrošanas gadījumā šādu informāciju uzrāda pat tad, ja pārskatu sniedzošā sabiedrība vērtspapīrošanas darījumā netur nekādas pozīcijas.</w:t>
            </w:r>
            <w:r>
              <w:rPr>
                <w:sz w:val="24"/>
                <w:rFonts w:ascii="Times New Roman" w:hAnsi="Times New Roman"/>
              </w:rPr>
              <w:t xml:space="preserv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0222.</w:t>
            </w:r>
          </w:p>
        </w:tc>
        <w:tc>
          <w:tcPr>
            <w:tcW w:w="7903" w:type="dxa"/>
          </w:tcPr>
          <w:p w14:paraId="341B313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 NO RISKA DARĪJUMIEM AR PRIVĀTPERSONĀM VAI MVU, KAS IR IRB PORTFEĻOS</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IRB portfeļi, kā definēts Regulas (ES) Nr. 575/2013 242. panta 7. punktā, ar noteikumu, ka iestāde var aprēķināt K</w:t>
            </w:r>
            <w:r>
              <w:rPr>
                <w:sz w:val="24"/>
                <w:vertAlign w:val="subscript"/>
                <w:rFonts w:ascii="Times New Roman" w:hAnsi="Times New Roman"/>
              </w:rPr>
              <w:t xml:space="preserve">IRB</w:t>
            </w:r>
            <w:r>
              <w:rPr>
                <w:sz w:val="24"/>
                <w:rFonts w:ascii="Times New Roman" w:hAnsi="Times New Roman"/>
              </w:rPr>
              <w:t xml:space="preserve"> saskaņā ar Regulas (ES) Nr. 575/2013 Trešās daļas II sadaļas 6. nodaļas 3. iedaļu vismaz 95 % apmērā no pamatā esošo riska darījumu vērtības (Regulas (ES) Nr. 575/2013 259. panta 2. punkts)</w:t>
            </w:r>
            <w:r>
              <w:rPr>
                <w:sz w:val="24"/>
                <w:rFonts w:ascii="Times New Roman" w:hAnsi="Times New Roman"/>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0223.</w:t>
            </w:r>
          </w:p>
        </w:tc>
        <w:tc>
          <w:tcPr>
            <w:tcW w:w="7903" w:type="dxa"/>
          </w:tcPr>
          <w:p w14:paraId="0933681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PAŠU KAPITĀLA PRASĪBAS PIRMS VĒRTSPAPĪROŠANAS (%) K</w:t>
            </w:r>
            <w:r>
              <w:rPr>
                <w:b/>
                <w:sz w:val="24"/>
                <w:u w:val="single"/>
                <w:vertAlign w:val="subscript"/>
                <w:rFonts w:ascii="Times New Roman" w:hAnsi="Times New Roman"/>
              </w:rPr>
              <w:t xml:space="preserve">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Pat ja iestāde vērtspapīrošanas pozīcijām nepiemēro SEC-SA pieeju, tā uzrāda šo sleju.</w:t>
            </w:r>
            <w:r>
              <w:rPr>
                <w:sz w:val="24"/>
                <w:rFonts w:ascii="Times New Roman" w:hAnsi="Times New Roman"/>
              </w:rPr>
              <w:t xml:space="preserve"> </w:t>
            </w:r>
            <w:r>
              <w:rPr>
                <w:sz w:val="24"/>
                <w:rFonts w:ascii="Times New Roman" w:hAnsi="Times New Roman"/>
              </w:rPr>
              <w:t xml:space="preserve">Šajā slejā apkopo informāciju par K</w:t>
            </w:r>
            <w:r>
              <w:rPr>
                <w:sz w:val="24"/>
                <w:vertAlign w:val="subscript"/>
                <w:rFonts w:ascii="Times New Roman" w:hAnsi="Times New Roman"/>
              </w:rPr>
              <w:t xml:space="preserve">SA</w:t>
            </w:r>
            <w:r>
              <w:rPr>
                <w:sz w:val="24"/>
                <w:rFonts w:ascii="Times New Roman" w:hAnsi="Times New Roman"/>
              </w:rPr>
              <w:t xml:space="preserve">, kā minēts Regulas (ES) Nr. 575/2013 255. panta 6. punktā.</w:t>
            </w:r>
            <w:r>
              <w:rPr>
                <w:sz w:val="24"/>
                <w:rFonts w:ascii="Times New Roman" w:hAnsi="Times New Roman"/>
              </w:rPr>
              <w:t xml:space="preserve"> </w:t>
            </w:r>
            <w:r>
              <w:rPr>
                <w:sz w:val="24"/>
                <w:rFonts w:ascii="Times New Roman" w:hAnsi="Times New Roman"/>
              </w:rPr>
              <w:t xml:space="preserve">K</w:t>
            </w:r>
            <w:r>
              <w:rPr>
                <w:sz w:val="24"/>
                <w:vertAlign w:val="subscript"/>
                <w:rFonts w:ascii="Times New Roman" w:hAnsi="Times New Roman"/>
              </w:rPr>
              <w:t xml:space="preserve">SA</w:t>
            </w:r>
            <w:r>
              <w:rPr>
                <w:sz w:val="24"/>
                <w:rFonts w:ascii="Times New Roman" w:hAnsi="Times New Roman"/>
              </w:rPr>
              <w:t xml:space="preserve"> izsaka procentos (ar divām zīmēm aiz komata).</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Šo sleju neuzrāda saistību vērtspapīrošanas gadījumā.</w:t>
            </w:r>
            <w:r>
              <w:rPr>
                <w:sz w:val="24"/>
                <w:rFonts w:ascii="Times New Roman" w:hAnsi="Times New Roman"/>
              </w:rPr>
              <w:t xml:space="preserve"> </w:t>
            </w:r>
            <w:r>
              <w:rPr>
                <w:sz w:val="24"/>
                <w:rFonts w:ascii="Times New Roman" w:hAnsi="Times New Roman"/>
              </w:rPr>
              <w:t xml:space="preserve">Aktīvu vērtspapīrošanas gadījumā šādu informāciju uzrāda pat tad, ja pārskatu sniedzošā sabiedrība vērtspapīrošanas darījumā netur nekādas pozīcijas.</w:t>
            </w:r>
            <w:r>
              <w:rPr>
                <w:sz w:val="24"/>
                <w:rFonts w:ascii="Times New Roman" w:hAnsi="Times New Roman"/>
              </w:rPr>
              <w:t xml:space="preserv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0225.</w:t>
            </w:r>
          </w:p>
        </w:tc>
        <w:tc>
          <w:tcPr>
            <w:tcW w:w="7903" w:type="dxa"/>
          </w:tcPr>
          <w:p w14:paraId="05DA4D1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IZZIŅAS POSTEŅI:</w:t>
            </w:r>
            <w:r>
              <w:rPr>
                <w:b/>
                <w:sz w:val="24"/>
                <w:u w:val="single"/>
                <w:rFonts w:ascii="Times New Roman" w:hAnsi="Times New Roman"/>
              </w:rPr>
              <w:t xml:space="preserve"> </w:t>
            </w:r>
            <w:r>
              <w:rPr>
                <w:b/>
                <w:sz w:val="24"/>
                <w:u w:val="single"/>
                <w:rFonts w:ascii="Times New Roman" w:hAnsi="Times New Roman"/>
              </w:rPr>
              <w:t xml:space="preserve">KREDĪTRISKA KOREKCIJAS PAŠREIZĒJĀ PERIODĀ</w:t>
            </w:r>
            <w:r>
              <w:rPr>
                <w:b/>
                <w:sz w:val="24"/>
                <w:u w:val="single"/>
                <w:rFonts w:ascii="Times New Roman" w:hAnsi="Times New Roman"/>
              </w:rPr>
              <w:t xml:space="preserve">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110. pants.</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0230.–0304.</w:t>
            </w:r>
          </w:p>
        </w:tc>
        <w:tc>
          <w:tcPr>
            <w:tcW w:w="7903" w:type="dxa"/>
          </w:tcPr>
          <w:p w14:paraId="49FEDB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STRUKTŪRA</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sleju blokā apkopo informāciju par vērtspapīrošanas struktūru, pamatojoties uz bilances/ārpusbilances posteņiem, laidieniem (augstākās prioritātes / mezanīna / pirmās kārtas zaudējumu) un termiņu pārskata datumā.</w:t>
            </w:r>
            <w:r>
              <w:rPr>
                <w:sz w:val="24"/>
                <w:rFonts w:ascii="Times New Roman" w:hAnsi="Times New Roman"/>
              </w:rPr>
              <w:t xml:space="preserv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Attiecībā uz vērtspapīrošanu, kurā iesaistīti vairāki pārdevēji, uzrāda tikai summu, kas atbilst pārskatu sniedzošajai iestādei vai ir attiecināma uz to.</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0230.–0255.</w:t>
            </w:r>
          </w:p>
        </w:tc>
        <w:tc>
          <w:tcPr>
            <w:tcW w:w="7903" w:type="dxa"/>
          </w:tcPr>
          <w:p w14:paraId="7D83219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BILANCES POSTEŅI</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sleju blokā apkopo informāciju par bilances posteņiem, kas sadalīti pa laidieniem (augstākās prioritātes/mezanīna/pirmās kārtas zaudējumu).</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0230.–0232.</w:t>
            </w:r>
          </w:p>
        </w:tc>
        <w:tc>
          <w:tcPr>
            <w:tcW w:w="7903" w:type="dxa"/>
          </w:tcPr>
          <w:p w14:paraId="71CF3EF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AUGSTĀKĀS PRIORITĀTES</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0230</w:t>
            </w:r>
          </w:p>
        </w:tc>
        <w:tc>
          <w:tcPr>
            <w:tcW w:w="7903" w:type="dxa"/>
          </w:tcPr>
          <w:p w14:paraId="2C6AB062"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SUMMA</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Augstākas prioritātes vērtspapīrošanas pozīciju summa, kā noteikts Regulas (ES) Nr. 575/2013 242. panta 6) punktā.</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0231.</w:t>
            </w:r>
          </w:p>
        </w:tc>
        <w:tc>
          <w:tcPr>
            <w:tcW w:w="7903" w:type="dxa"/>
          </w:tcPr>
          <w:p w14:paraId="77C879A6"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PIESAISTES PUNKTS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Piesaistes punkts (%), kas minēts Regulas (EK) Nr. 575/2013 256. panta 1. punktā.</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0232. un 0252.</w:t>
            </w:r>
          </w:p>
        </w:tc>
        <w:tc>
          <w:tcPr>
            <w:tcW w:w="7903" w:type="dxa"/>
          </w:tcPr>
          <w:p w14:paraId="161B4424"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KKP</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Kredītkvalitātes pakāpes (KKP), kā paredzēts iestādēm, kuras piemēro SEC-ERBA (Regulas (ES) Nr. 575/2013 263. panta 1. un 2. tabula, 264. panta 3. un 4. tabula).</w:t>
            </w:r>
            <w:r>
              <w:rPr>
                <w:sz w:val="24"/>
                <w:rFonts w:ascii="Times New Roman" w:hAnsi="Times New Roman"/>
              </w:rPr>
              <w:t xml:space="preserve"> </w:t>
            </w:r>
            <w:r>
              <w:rPr>
                <w:sz w:val="24"/>
                <w:rFonts w:ascii="Times New Roman" w:hAnsi="Times New Roman"/>
              </w:rPr>
              <w:t xml:space="preserve">Šīs slejas uzrāda par visiem darījumiem ar reitingu neatkarīgi no izmantotās pieejas.</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0240.–0242.</w:t>
            </w:r>
          </w:p>
        </w:tc>
        <w:tc>
          <w:tcPr>
            <w:tcW w:w="7903" w:type="dxa"/>
          </w:tcPr>
          <w:p w14:paraId="0583902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MEZANĪNA</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0240</w:t>
            </w:r>
          </w:p>
        </w:tc>
        <w:tc>
          <w:tcPr>
            <w:tcW w:w="7903" w:type="dxa"/>
          </w:tcPr>
          <w:p w14:paraId="2173DB2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SUMMA</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Uzrādāmā summa ietver:</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mezanīna vērtspapīrošanas pozīcijas, kā noteikts Regulas (ES) Nr. 575/2013 242. panta 18) punktā.</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sz w:val="24"/>
                <w:rFonts w:ascii="Times New Roman" w:hAnsi="Times New Roman"/>
              </w:rPr>
            </w:pPr>
            <w:r>
              <w:rPr>
                <w:sz w:val="24"/>
                <w:rFonts w:ascii="Times New Roman" w:hAnsi="Times New Roman"/>
              </w:rPr>
              <w:t xml:space="preserve">papildu vērtspapīrošanas pozīcijas, kas nav Regulas (ES) Nr. 575/2013 242. panta 6), 17) vai 18) punktā definētās pozīcijas.</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0241.</w:t>
            </w:r>
          </w:p>
        </w:tc>
        <w:tc>
          <w:tcPr>
            <w:tcW w:w="7903" w:type="dxa"/>
          </w:tcPr>
          <w:p w14:paraId="145B7571"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LAIDIENU SKAITS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Mezanīna laidienu skaits.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0242.</w:t>
            </w:r>
          </w:p>
        </w:tc>
        <w:tc>
          <w:tcPr>
            <w:tcW w:w="7903" w:type="dxa"/>
          </w:tcPr>
          <w:p w14:paraId="06288888"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VISSUBORDINĒTĀKĀ LAIDIENA KKP</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Vissubordinētākā mezanīna laidiena KKP, kā noteikts saskaņā ar Regulas (ES) Nr. 575/2013 263. panta 2. tabulu un 264. panta 3. tabulu.</w:t>
            </w:r>
            <w:r>
              <w:rPr>
                <w:sz w:val="24"/>
                <w:rFonts w:ascii="Times New Roman" w:hAnsi="Times New Roman"/>
              </w:rPr>
              <w:t xml:space="preserv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0250.–0252.</w:t>
            </w:r>
          </w:p>
        </w:tc>
        <w:tc>
          <w:tcPr>
            <w:tcW w:w="7903" w:type="dxa"/>
          </w:tcPr>
          <w:p w14:paraId="0E67CA0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PIRMĀS KĀRTAS ZAUDĒJUMI</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0250.</w:t>
            </w:r>
          </w:p>
        </w:tc>
        <w:tc>
          <w:tcPr>
            <w:tcW w:w="7903" w:type="dxa"/>
          </w:tcPr>
          <w:p w14:paraId="75061F3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SUMMA</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sz w:val="24"/>
                <w:rFonts w:ascii="Times New Roman" w:hAnsi="Times New Roman"/>
              </w:rPr>
              <w:t xml:space="preserve">Pirmās kārtas zaudējumu laidiena summa, kā noteikts Regulas (ES) Nr. 575/2013 242. panta 17) punktā.</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0251.</w:t>
            </w:r>
          </w:p>
        </w:tc>
        <w:tc>
          <w:tcPr>
            <w:tcW w:w="7903" w:type="dxa"/>
          </w:tcPr>
          <w:p w14:paraId="6E11A407"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ATSAISTES PUNKTS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Atsaistes punkts (%), kas minēts Regulas (ES) Nr. 575/2013 256. panta 2. punktā.</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0252.</w:t>
            </w:r>
          </w:p>
        </w:tc>
        <w:tc>
          <w:tcPr>
            <w:tcW w:w="7903" w:type="dxa"/>
          </w:tcPr>
          <w:p w14:paraId="27F68DD9" w14:textId="77777777" w:rsidR="00933ADA"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KKP</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0254.–0255.</w:t>
            </w:r>
          </w:p>
        </w:tc>
        <w:tc>
          <w:tcPr>
            <w:tcW w:w="7903" w:type="dxa"/>
          </w:tcPr>
          <w:p w14:paraId="7F6C7583"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VIRSNODROŠINĀŠANA UN FONDĒTIE REZERVJU KONTI</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256. panta 3. punkts un 4. punkts.</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Nodrošinājuma summas un fondēto rezervju kontu summas, kas neatbilst “laidiena” definīcijai Regulas (ES) 2017/2402 2. panta 6) punktā, bet ko uzskata par laidieniem piesaistes un atsaistes punktu aprēķināšanas vajadzībām saskaņā ar Regulas (ES) Nr. 575/2013 256. panta 3. punktu.</w:t>
            </w:r>
            <w:r>
              <w:rPr>
                <w:sz w:val="24"/>
                <w:rFonts w:ascii="Times New Roman" w:hAnsi="Times New Roman"/>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0254.</w:t>
            </w:r>
          </w:p>
        </w:tc>
        <w:tc>
          <w:tcPr>
            <w:tcW w:w="7903" w:type="dxa"/>
          </w:tcPr>
          <w:p w14:paraId="1E56EFB5"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SUMMA</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0255.</w:t>
            </w:r>
          </w:p>
        </w:tc>
        <w:tc>
          <w:tcPr>
            <w:tcW w:w="7903" w:type="dxa"/>
          </w:tcPr>
          <w:p w14:paraId="24F34C5C"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NO KĀ:</w:t>
            </w:r>
            <w:r>
              <w:rPr>
                <w:b/>
                <w:sz w:val="24"/>
                <w:u w:val="single"/>
                <w:rFonts w:ascii="Times New Roman" w:hAnsi="Times New Roman"/>
              </w:rPr>
              <w:t xml:space="preserve"> </w:t>
            </w:r>
            <w:r>
              <w:rPr>
                <w:b/>
                <w:sz w:val="24"/>
                <w:u w:val="single"/>
                <w:rFonts w:ascii="Times New Roman" w:hAnsi="Times New Roman"/>
              </w:rPr>
              <w:t xml:space="preserve">NEATMAKSĀJAMA PIRKUMA CENAS ATLAIDE</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2017/2402 2. panta 31) punkts.</w:t>
            </w:r>
            <w:r>
              <w:rPr>
                <w:sz w:val="24"/>
                <w:rFonts w:ascii="Times New Roman" w:hAnsi="Times New Roman"/>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Iestādes pārskata datumā uzrāda neatmaksājamo pirkuma cenas atlaidi saskaņā ar Regulas (ES) Nr. 575/2013 269.a panta 7. punktu, ko koriģē uz leju, ņemot vērā realizētos zaudējumus, kā norādīts otrajā daļā.</w:t>
            </w:r>
            <w:r>
              <w:rPr>
                <w:sz w:val="24"/>
                <w:rFonts w:ascii="Times New Roman" w:hAnsi="Times New Roman"/>
              </w:rPr>
              <w:t xml:space="preserve"> </w:t>
            </w:r>
            <w:r>
              <w:rPr>
                <w:sz w:val="24"/>
                <w:rFonts w:ascii="Times New Roman" w:hAnsi="Times New Roman"/>
              </w:rPr>
              <w:t xml:space="preserve">Šo sleju uzrāda tikai tad, ja 0040. sleju uzrāda kā “Kritērijiem atbilstoša INRD vērtspapīrošana” vai “Kritērijiem neatbilstoša INRD vērtspapīrošana”,</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0260.–0287.</w:t>
            </w:r>
          </w:p>
        </w:tc>
        <w:tc>
          <w:tcPr>
            <w:tcW w:w="7903" w:type="dxa"/>
          </w:tcPr>
          <w:p w14:paraId="1886990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ĀRPUSBILANCES POSTEŅI UN ATVASINĀTIE INSTRUMENTI</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Šajā sleju blokā apkopo informāciju par ārpusbilances posteņiem un atvasinātajiem instrumentiem pirms korekcijas pakāpēm, kas sadalīti pa laidieniem (augstākās prioritātes/mezanīna/pirmās kārtas zaudējumu).</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0260.-0285.</w:t>
            </w:r>
          </w:p>
        </w:tc>
        <w:tc>
          <w:tcPr>
            <w:tcW w:w="7903" w:type="dxa"/>
          </w:tcPr>
          <w:p w14:paraId="389FA1C2" w14:textId="77777777" w:rsidR="00933ADA" w:rsidRPr="001235ED"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AUGSTĀKAS PRIORITĀTES/MEZANĪNA/PIRMĀS KĀRTAS ZAUDĒJUMI</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Šeit piemēro tos pašus kritērijus klasifikācijai starp laidieniem un piesaistes punkta noteikšanu, laidienu skaitu un atsaistes punktu, ko izmanto bilances posteņiem (sk. norādes no 0230. līdz 0252. slejai).</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0287.</w:t>
            </w:r>
          </w:p>
        </w:tc>
        <w:tc>
          <w:tcPr>
            <w:tcW w:w="7903" w:type="dxa"/>
          </w:tcPr>
          <w:p w14:paraId="3EC36C1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SINTĒTISKĀS VĒRTSPAPĪROŠANAS ATLIKUSĪ STARPĪBA</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242. panta 20. punkts, 248. panta 1. punkta e) apakšpunkts un 256. panta 6. punkts.</w:t>
            </w:r>
            <w:r>
              <w:rPr>
                <w:sz w:val="24"/>
                <w:rFonts w:ascii="Times New Roman" w:hAnsi="Times New Roman"/>
              </w:rPr>
              <w:t xml:space="preserve">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Šo sleju uzrāda tikai tad, ja 0110. sleju uzrāda kā “Iniciators”.</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0290.–0300.</w:t>
            </w:r>
          </w:p>
        </w:tc>
        <w:tc>
          <w:tcPr>
            <w:tcW w:w="7903" w:type="dxa"/>
            <w:shd w:val="clear" w:color="auto" w:fill="auto"/>
          </w:tcPr>
          <w:p w14:paraId="19BCBB5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TERMIŅŠ</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0290.</w:t>
            </w:r>
          </w:p>
        </w:tc>
        <w:tc>
          <w:tcPr>
            <w:tcW w:w="7903" w:type="dxa"/>
            <w:shd w:val="clear" w:color="auto" w:fill="auto"/>
          </w:tcPr>
          <w:p w14:paraId="53E2EC2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PIRMAIS PAREDZAMAIS BEIGU DATUMS</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Iespējamais visas vērtspapīrošanas beigu datums, ņemot vērā tās līguma noteikumus un šobrīd paredzamos finanšu nosacījumus.</w:t>
            </w:r>
            <w:r>
              <w:rPr>
                <w:sz w:val="24"/>
                <w:rFonts w:ascii="Times New Roman" w:hAnsi="Times New Roman"/>
              </w:rPr>
              <w:t xml:space="preserve"> </w:t>
            </w:r>
            <w:r>
              <w:rPr>
                <w:sz w:val="24"/>
                <w:rFonts w:ascii="Times New Roman" w:hAnsi="Times New Roman"/>
              </w:rPr>
              <w:t xml:space="preserve">Parasti, tas ir agrākais no šādiem datumiem:</w:t>
            </w:r>
            <w:r>
              <w:rPr>
                <w:sz w:val="24"/>
                <w:rFonts w:ascii="Times New Roman" w:hAnsi="Times New Roman"/>
              </w:rPr>
              <w:t xml:space="preserve">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w:t>
            </w:r>
            <w:r>
              <w:rPr>
                <w:sz w:val="24"/>
                <w:rFonts w:ascii="Times New Roman" w:hAnsi="Times New Roman"/>
              </w:rPr>
              <w:tab/>
            </w:r>
            <w:r>
              <w:rPr>
                <w:sz w:val="24"/>
                <w:rFonts w:ascii="Times New Roman" w:hAnsi="Times New Roman"/>
              </w:rPr>
              <w:t xml:space="preserve">datums, kad varētu īstenot dzēšanas iespēju (kā definēts Regulas (ES) Nr. 575/2013 242. panta 1) punktā), ņemot vērā pamatā esošā(-o) riska darījuma(-u) termiņu, kā arī to paredzamo priekšapmaksas likmi vai iespējamās pārskatīšanas darbības;</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datums, kurā iniciators var pirmo reiz izmantot jebkuru citu vērtspapīrošanas līguma noteikumos ietverto pirkšanas iespēju, kuras rezultātā vērtspapīrošana tiktu pilnībā izpirkta.</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Uzrāda pirmā sagaidāmā beigu datuma dienu, mēnesi un gadu.</w:t>
            </w:r>
            <w:r>
              <w:rPr>
                <w:rFonts w:ascii="Times New Roman" w:hAnsi="Times New Roman"/>
              </w:rPr>
              <w:t xml:space="preserve"> </w:t>
            </w:r>
            <w:r>
              <w:rPr>
                <w:sz w:val="24"/>
                <w:rFonts w:ascii="Times New Roman" w:hAnsi="Times New Roman"/>
              </w:rPr>
              <w:t xml:space="preserve">Uzrāda konkrētu datumu, ja minētā informācija ir pieejama, pretējā gadījumā uzrāda attiecīgā mēneša pirmo dienu.</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0291.</w:t>
            </w:r>
          </w:p>
        </w:tc>
        <w:tc>
          <w:tcPr>
            <w:tcW w:w="7903" w:type="dxa"/>
            <w:shd w:val="clear" w:color="auto" w:fill="auto"/>
          </w:tcPr>
          <w:p w14:paraId="0E5A101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DARĪJUMĀ IETVERTIE INICIATORA PIRKŠANAS IESPĒJAS LĪGUMI</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Pirkšanas veids, kas ir būtisks pirmajam paredzamajam beigu datumam:</w:t>
            </w:r>
          </w:p>
          <w:p w14:paraId="38215DAF"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Dzēšanas iespēja, kas atbilst Regulas (ES) Nr. 575/2013 244. panta 4. punkta g) apakšpunkta prasībām;</w:t>
            </w:r>
          </w:p>
          <w:p w14:paraId="7313E57A"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cita dzēšanas iespēja;</w:t>
            </w:r>
          </w:p>
          <w:p w14:paraId="5D577088" w14:textId="77777777" w:rsidR="00933ADA" w:rsidRPr="002A677E"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cita veida pirkšanas iespēja.</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0300.</w:t>
            </w:r>
          </w:p>
        </w:tc>
        <w:tc>
          <w:tcPr>
            <w:tcW w:w="7903" w:type="dxa"/>
            <w:shd w:val="clear" w:color="auto" w:fill="auto"/>
          </w:tcPr>
          <w:p w14:paraId="72508AC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JURIDISKI SAISTOŠS BEIGU TERMIŅŠ</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Datums, līdz kuram juridiski saistoši ir atmaksāt visas vērtspapīrošanas pamatsummas un procentus (pamatojoties uz darījuma dokumentāciju).</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Uzrāda juridiski saistošā beigu termiņa dienu, mēnesi un gadu.</w:t>
            </w:r>
            <w:r>
              <w:rPr>
                <w:rFonts w:ascii="Times New Roman" w:hAnsi="Times New Roman"/>
              </w:rPr>
              <w:t xml:space="preserve"> </w:t>
            </w:r>
            <w:r>
              <w:rPr>
                <w:sz w:val="24"/>
                <w:rFonts w:ascii="Times New Roman" w:hAnsi="Times New Roman"/>
              </w:rPr>
              <w:t xml:space="preserve">Uzrāda konkrētu datumu, ja minētā informācija ir pieejama, pretējā gadījumā uzrāda attiecīgā mēneša pirmo dienu.</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0302.–0304.</w:t>
            </w:r>
          </w:p>
        </w:tc>
        <w:tc>
          <w:tcPr>
            <w:tcW w:w="7903" w:type="dxa"/>
            <w:shd w:val="clear" w:color="auto" w:fill="auto"/>
          </w:tcPr>
          <w:p w14:paraId="5296A44B"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IZZIŅAS POSTEŅI</w:t>
            </w:r>
            <w:r>
              <w:rPr>
                <w:b/>
                <w:sz w:val="24"/>
                <w:u w:val="single"/>
                <w:rFonts w:ascii="Times New Roman" w:hAnsi="Times New Roman"/>
              </w:rPr>
              <w:t xml:space="preserve">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0302</w:t>
            </w:r>
          </w:p>
        </w:tc>
        <w:tc>
          <w:tcPr>
            <w:tcW w:w="7903" w:type="dxa"/>
            <w:shd w:val="clear" w:color="auto" w:fill="auto"/>
          </w:tcPr>
          <w:p w14:paraId="0F44080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PĀRDOTĀ RISKA PIESAISTES PUNKTS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Tikai iniciatori uzrāda piesaistes punktu vissubordinētākajam laidienam, kas pārdots trešām personām (tradicionālās vērtspapīrošanas gadījumā) vai ko aizsargājušas trešās personas (sintētiskās vērtspapīrošanas gadījumā).</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0303.</w:t>
            </w:r>
          </w:p>
        </w:tc>
        <w:tc>
          <w:tcPr>
            <w:tcW w:w="7903" w:type="dxa"/>
            <w:shd w:val="clear" w:color="auto" w:fill="auto"/>
          </w:tcPr>
          <w:p w14:paraId="6EC7E0A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PĀRDOTĀ RISKA ATSAISTES PUNKTS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Tikai iniciatori uzrāda atsaistes punktu visaugstākās prioritātes laidienam, kas pārdots trešām personām (tradicionālās vērtspapīrošanas gadījumā) vai ko aizsargājušas trešās personas (sintētiskās vērtspapīrošanas gadījumā).</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0304.</w:t>
            </w:r>
          </w:p>
        </w:tc>
        <w:tc>
          <w:tcPr>
            <w:tcW w:w="7903" w:type="dxa"/>
            <w:shd w:val="clear" w:color="auto" w:fill="auto"/>
          </w:tcPr>
          <w:p w14:paraId="583BCC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INICIATOREIESTĀDES PIEPRASĪTĀ RISKA PĀRVEŠANA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Tikai iniciatori trešām personām pārvesto vērtspapīroto aktīvu paredzamos zaudējumus (EL) un neparedzamos zaudējumus (UL) uzrāda kā EL un UL kopsummas procentuālo daļu. Uzrāda pamatā esošo riska darījumu EL un UL, ko pēc tam, izmantojot vērtspapīrošanas “ūdenskritumu”, sadala pa attiecīgajiem vērtspapīrošanas laidieniem.</w:t>
            </w:r>
            <w:r>
              <w:rPr>
                <w:sz w:val="24"/>
                <w:rFonts w:ascii="Times New Roman" w:hAnsi="Times New Roman"/>
              </w:rPr>
              <w:t xml:space="preserve"> </w:t>
            </w:r>
            <w:r>
              <w:rPr>
                <w:sz w:val="24"/>
                <w:rFonts w:ascii="Times New Roman" w:hAnsi="Times New Roman"/>
              </w:rPr>
              <w:t xml:space="preserve">Standartizētās pieejas bankām EL ir vērtspapīroto aktīvu specifiskā kredītriska korekcija un UL ir vērtspapīroto riska darījumu kapitāla prasība.</w:t>
            </w:r>
            <w:r>
              <w:rPr>
                <w:sz w:val="24"/>
                <w:rFonts w:ascii="Times New Roman" w:hAnsi="Times New Roman"/>
              </w:rPr>
              <w:t xml:space="preserv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sz w:val="24"/>
          <w:rFonts w:ascii="Times New Roman" w:hAnsi="Times New Roman" w:cs="Times New Roman"/>
        </w:rPr>
      </w:pPr>
      <w:bookmarkStart w:id="20" w:name="_Toc522019895"/>
      <w:bookmarkStart w:id="21" w:name="_Toc151714440"/>
      <w:r>
        <w:rPr>
          <w:sz w:val="24"/>
          <w:u w:val="none"/>
          <w:rFonts w:ascii="Times New Roman" w:hAnsi="Times New Roman"/>
        </w:rPr>
        <w:t xml:space="preserve">3.8.4.</w:t>
      </w:r>
      <w:r>
        <w:rPr>
          <w:sz w:val="24"/>
          <w:u w:val="none"/>
          <w:rFonts w:ascii="Times New Roman" w:hAnsi="Times New Roman"/>
        </w:rPr>
        <w:tab/>
      </w:r>
      <w:r>
        <w:rPr>
          <w:sz w:val="24"/>
          <w:rFonts w:ascii="Times New Roman" w:hAnsi="Times New Roman"/>
        </w:rPr>
        <w:t xml:space="preserve">C 14.01 — Detalizēta informācija par vērtspapīrošanu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dirty="true"/>
      </w:r>
      <w:r w:rsidRPr="002A677E">
        <w:instrText xml:space="preserve"> seq paragraphs </w:instrText>
      </w:r>
      <w:r w:rsidRPr="00624117">
        <w:fldChar w:fldCharType="separate"/>
      </w:r>
      <w:r w:rsidRPr="002A677E">
        <w:t>118</w:t>
      </w:r>
      <w:r w:rsidRPr="00624117">
        <w:fldChar w:fldCharType="end"/>
      </w:r>
      <w:r>
        <w:t xml:space="preserve">.</w:t>
      </w:r>
      <w:r>
        <w:t xml:space="preserve"> </w:t>
      </w:r>
      <w:r>
        <w:t xml:space="preserve">“SEC DETAILS 2” veidni uzrāda atsevišķi par šādām pieejām:</w:t>
      </w:r>
    </w:p>
    <w:p w14:paraId="423B77E9" w14:textId="77777777" w:rsidR="00933ADA" w:rsidRPr="00B44FD0" w:rsidRDefault="00933ADA" w:rsidP="00933ADA">
      <w:pPr>
        <w:pStyle w:val="InstructionsText2"/>
        <w:numPr>
          <w:ilvl w:val="0"/>
          <w:numId w:val="0"/>
        </w:numPr>
        <w:ind w:left="993"/>
      </w:pPr>
      <w:r>
        <w:t xml:space="preserve">1) SEC-IRBA,</w:t>
      </w:r>
    </w:p>
    <w:p w14:paraId="7E740FF7" w14:textId="77777777" w:rsidR="00933ADA" w:rsidRPr="00B44FD0" w:rsidRDefault="00933ADA" w:rsidP="00933ADA">
      <w:pPr>
        <w:pStyle w:val="InstructionsText2"/>
        <w:numPr>
          <w:ilvl w:val="0"/>
          <w:numId w:val="0"/>
        </w:numPr>
        <w:ind w:left="993"/>
      </w:pPr>
      <w:r>
        <w:t xml:space="preserve">2) SEC-SA,</w:t>
      </w:r>
    </w:p>
    <w:p w14:paraId="45956D44" w14:textId="77777777" w:rsidR="00933ADA" w:rsidRPr="00B44FD0" w:rsidRDefault="00933ADA" w:rsidP="00933ADA">
      <w:pPr>
        <w:pStyle w:val="InstructionsText2"/>
        <w:numPr>
          <w:ilvl w:val="0"/>
          <w:numId w:val="0"/>
        </w:numPr>
        <w:ind w:left="993"/>
      </w:pPr>
      <w:r>
        <w:t xml:space="preserve">3) SEC-ERBA,</w:t>
      </w:r>
    </w:p>
    <w:p w14:paraId="108DB155" w14:textId="77777777" w:rsidR="00933ADA" w:rsidRDefault="00933ADA" w:rsidP="00933ADA">
      <w:pPr>
        <w:pStyle w:val="InstructionsText2"/>
        <w:numPr>
          <w:ilvl w:val="0"/>
          <w:numId w:val="0"/>
        </w:numPr>
        <w:ind w:left="993"/>
      </w:pPr>
      <w:r>
        <w:t xml:space="preserve">4) 1 250 %,</w:t>
      </w:r>
    </w:p>
    <w:p w14:paraId="26D8C560" w14:textId="77777777" w:rsidR="00933ADA" w:rsidRDefault="00933ADA" w:rsidP="00933ADA">
      <w:pPr>
        <w:pStyle w:val="InstructionsText2"/>
        <w:numPr>
          <w:ilvl w:val="0"/>
          <w:numId w:val="0"/>
        </w:numPr>
        <w:ind w:left="993"/>
      </w:pPr>
      <w:r>
        <w:t xml:space="preserve">5) iekšējā novērtējuma pieeja,</w:t>
      </w:r>
    </w:p>
    <w:p w14:paraId="6518AFE4" w14:textId="77777777" w:rsidR="00933ADA" w:rsidRPr="002A677E" w:rsidRDefault="00933ADA" w:rsidP="00933ADA">
      <w:pPr>
        <w:pStyle w:val="InstructionsText2"/>
        <w:numPr>
          <w:ilvl w:val="0"/>
          <w:numId w:val="0"/>
        </w:numPr>
        <w:ind w:left="993"/>
      </w:pPr>
      <w:r>
        <w:t xml:space="preserve">6) īpaša procedūra kritērijiem atbilstošas INRD vērtspapīrošanas augstākās prioritātes laidieniem.</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b/>
                <w:bCs/>
                <w:sz w:val="24"/>
                <w:rFonts w:ascii="Times New Roman" w:hAnsi="Times New Roman"/>
              </w:rPr>
            </w:pPr>
            <w:r>
              <w:rPr>
                <w:b/>
                <w:sz w:val="24"/>
                <w:rFonts w:ascii="Times New Roman" w:hAnsi="Times New Roman"/>
              </w:rPr>
              <w:t xml:space="preserve">Slejas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0010.</w:t>
            </w:r>
          </w:p>
        </w:tc>
        <w:tc>
          <w:tcPr>
            <w:tcW w:w="7903" w:type="dxa"/>
          </w:tcPr>
          <w:p w14:paraId="0F8061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IEKŠĒJAIS KODS</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Iekšējais (burtciparu) kods, ko iestāde izmanto, lai identificētu vērtspapīrošanu.</w:t>
            </w:r>
            <w:r>
              <w:rPr>
                <w:sz w:val="24"/>
                <w:rFonts w:ascii="Times New Roman" w:hAnsi="Times New Roman"/>
              </w:rPr>
              <w:t xml:space="preserve"> </w:t>
            </w:r>
            <w:r>
              <w:rPr>
                <w:sz w:val="24"/>
                <w:rFonts w:ascii="Times New Roman" w:hAnsi="Times New Roman"/>
              </w:rPr>
              <w:t xml:space="preserve">Iekšējais kods ir saistīts ar vērtspapīrošanas darījuma identifikatoru.</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0015.</w:t>
            </w:r>
          </w:p>
        </w:tc>
        <w:tc>
          <w:tcPr>
            <w:tcW w:w="7903" w:type="dxa"/>
          </w:tcPr>
          <w:p w14:paraId="42B229CF"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UNIKĀLAIS IDENTIFIKATORS</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Vērtspapīrošanas darījumiem, kas emitēti 2019. gada 1. janvārī vai vēlāk, iestādes uzrāda unikālo identifikatoru, kas definēts Komisijas Deleģētās regulas (ES) 2020/1224 11. panta 1. punktā.</w:t>
            </w:r>
          </w:p>
          <w:p w14:paraId="539970B2" w14:textId="6687788E" w:rsidR="003A06D5" w:rsidRPr="003A06D5" w:rsidRDefault="003A06D5" w:rsidP="00822842">
            <w:pPr>
              <w:spacing w:before="0" w:after="0"/>
              <w:jc w:val="left"/>
              <w:rPr>
                <w:sz w:val="24"/>
                <w:rFonts w:ascii="Times New Roman" w:hAnsi="Times New Roman"/>
              </w:rPr>
            </w:pPr>
            <w:r>
              <w:rPr>
                <w:sz w:val="24"/>
                <w:rFonts w:ascii="Times New Roman" w:hAnsi="Times New Roman"/>
              </w:rPr>
              <w:t xml:space="preserve">Unikālo identifikatoru uzrāda gan par iniciatora/sponsora, gan ieguldītāja pozīcijām, un nav paredzams, ka tas mainīsies atkarībā no uzrādīšanas līmeņa (konsolidētais līmenis salīdzinājumā ar apakšgrupām).</w:t>
            </w:r>
            <w:r>
              <w:rPr>
                <w:sz w:val="24"/>
                <w:rFonts w:ascii="Times New Roman" w:hAnsi="Times New Roman"/>
              </w:rPr>
              <w:t xml:space="preserve"> </w:t>
            </w:r>
            <w:r>
              <w:rPr>
                <w:sz w:val="24"/>
                <w:rFonts w:ascii="Times New Roman" w:hAnsi="Times New Roman"/>
              </w:rPr>
              <w:t xml:space="preserve">Saskaņā ar 11. panta 1. punkta a) apakšpunktu un 11. panta 2. punkta a) apakšpunktu </w:t>
            </w:r>
            <w:r>
              <w:rPr>
                <w:sz w:val="24"/>
                <w:i/>
                <w:iCs/>
                <w:rFonts w:ascii="Times New Roman" w:hAnsi="Times New Roman"/>
              </w:rPr>
              <w:t xml:space="preserve">LEI</w:t>
            </w:r>
            <w:r>
              <w:rPr>
                <w:sz w:val="24"/>
                <w:rFonts w:ascii="Times New Roman" w:hAnsi="Times New Roman"/>
              </w:rPr>
              <w:t xml:space="preserve"> (unikālā identifikatora pirmais postenis) ir stingri definēts kā tāds, kas atbilst “pārskata sniedzēja struktūrai”, kā definēts Regulas (ES) 2017/2402 7. panta 2. punktā.</w:t>
            </w:r>
            <w:r>
              <w:rPr>
                <w:sz w:val="24"/>
                <w:rFonts w:ascii="Times New Roman" w:hAnsi="Times New Roman"/>
              </w:rPr>
              <w:t xml:space="preserve"> </w:t>
            </w:r>
            <w:r>
              <w:rPr>
                <w:sz w:val="24"/>
                <w:rFonts w:ascii="Times New Roman" w:hAnsi="Times New Roman"/>
              </w:rPr>
              <w:t xml:space="preserve">Dažos gadījumos “pārskata sniedzēja struktūra”, ir iestāde, kas ziņo par </w:t>
            </w:r>
            <w:r>
              <w:rPr>
                <w:sz w:val="24"/>
                <w:i/>
                <w:iCs/>
                <w:rFonts w:ascii="Times New Roman" w:hAnsi="Times New Roman"/>
              </w:rPr>
              <w:t xml:space="preserve">COREP</w:t>
            </w:r>
            <w:r>
              <w:rPr>
                <w:sz w:val="24"/>
                <w:rFonts w:ascii="Times New Roman" w:hAnsi="Times New Roman"/>
              </w:rPr>
              <w:t xml:space="preserve"> veidnēm (piemēram, ja tā ir iniciatore vai sponsors), dažos gadījumos tā nav.</w:t>
            </w:r>
            <w:r>
              <w:rPr>
                <w:sz w:val="24"/>
                <w:rFonts w:ascii="Times New Roman" w:hAnsi="Times New Roman"/>
              </w:rPr>
              <w:t xml:space="preserve"> </w:t>
            </w:r>
            <w:r>
              <w:rPr>
                <w:sz w:val="24"/>
                <w:rFonts w:ascii="Times New Roman" w:hAnsi="Times New Roman"/>
              </w:rPr>
              <w:t xml:space="preserve">Saskaņā ar Komisijas Deleģētās regulas (ES) 2020/1224 11. panta 3. punktu pārskata sniedzēja struktūra nevar labot unikālo identifikatoru, kas nozīmē, ka to nevar labot, lai ziņotu </w:t>
            </w:r>
            <w:r>
              <w:rPr>
                <w:sz w:val="24"/>
                <w:i/>
                <w:iCs/>
                <w:rFonts w:ascii="Times New Roman" w:hAnsi="Times New Roman"/>
              </w:rPr>
              <w:t xml:space="preserve">COREP</w:t>
            </w:r>
            <w:r>
              <w:rPr>
                <w:sz w:val="24"/>
                <w:rFonts w:ascii="Times New Roman" w:hAnsi="Times New Roman"/>
              </w:rPr>
              <w:t xml:space="preserve"> veidnēs.</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0020.</w:t>
            </w:r>
          </w:p>
        </w:tc>
        <w:tc>
          <w:tcPr>
            <w:tcW w:w="7903" w:type="dxa"/>
          </w:tcPr>
          <w:p w14:paraId="30438AFF"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VĒRTSPAPĪROŠANAS IDENTIFIKATORS</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Vērtspapīrošanas pozīcijas vai – gadījumā, ja ir vairākas pozīcijas, kuras var uzrādīt tajā pašā rindā – darījuma juridiskajai reģistrācijai izmantotais kods vai, ja tāda nav, nosaukums, ar kādu vērtspapīrošanas pozīcija vai darījums ir zināmi tirgū vai iestādē, ja vērtspapīrošana ir iekšēja vai privāta.</w:t>
            </w:r>
            <w:r>
              <w:rPr>
                <w:sz w:val="24"/>
                <w:rFonts w:ascii="Times New Roman" w:hAnsi="Times New Roman"/>
              </w:rPr>
              <w:t xml:space="preserve"> </w:t>
            </w:r>
            <w:r>
              <w:rPr>
                <w:sz w:val="24"/>
                <w:rFonts w:ascii="Times New Roman" w:hAnsi="Times New Roman"/>
              </w:rPr>
              <w:t xml:space="preserve">Ja ir pieejams starptautiskais vērtspapīru identifikācijas kods (ISIN) (t. i., publiskiem darījumiem), šajā slejā uzrāda zīmes, kas ir kopīgas visiem vērtspapīrošanas laidieniem.</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0310.–0400.</w:t>
            </w:r>
          </w:p>
        </w:tc>
        <w:tc>
          <w:tcPr>
            <w:tcW w:w="7903" w:type="dxa"/>
          </w:tcPr>
          <w:p w14:paraId="46F264E6"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VĒRTSPAPĪROŠANAS POZĪCIJAS:</w:t>
            </w:r>
            <w:r>
              <w:rPr>
                <w:b/>
                <w:sz w:val="24"/>
                <w:u w:val="single"/>
                <w:rFonts w:ascii="Times New Roman" w:hAnsi="Times New Roman"/>
              </w:rPr>
              <w:t xml:space="preserve"> </w:t>
            </w:r>
            <w:r>
              <w:rPr>
                <w:b/>
                <w:sz w:val="24"/>
                <w:u w:val="single"/>
                <w:rFonts w:ascii="Times New Roman" w:hAnsi="Times New Roman"/>
              </w:rPr>
              <w:t xml:space="preserve">SĀKOTNĒJĀ RISKA DARĪJUMU VĒRTĪBA PIRMS KOREKCIJAS PAKĀPĒM</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Šajā sleju blokā apkopo informāciju par vērtspapīrošanas pozīcijām, kas sadalīta pa bilances/ārpusbilances posteņiem un laidieniem (augstākās prioritātes / mezanīna / pirmās kārtas zaudējumu) pārskata datumā.</w:t>
            </w:r>
            <w:r>
              <w:rPr>
                <w:sz w:val="24"/>
                <w:rFonts w:ascii="Times New Roman" w:hAnsi="Times New Roman"/>
              </w:rPr>
              <w:t xml:space="preserv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0310.–0330.</w:t>
            </w:r>
          </w:p>
        </w:tc>
        <w:tc>
          <w:tcPr>
            <w:tcW w:w="7903" w:type="dxa"/>
          </w:tcPr>
          <w:p w14:paraId="0DC2341F"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BILANCES POSTEŅI</w:t>
            </w:r>
            <w:r>
              <w:rPr>
                <w:b/>
                <w:sz w:val="24"/>
                <w:u w:val="single"/>
                <w:rFonts w:ascii="Times New Roman" w:hAnsi="Times New Roman"/>
              </w:rPr>
              <w:t xml:space="preserve">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Šeit attiecībā uz laidieniem piemēro tos pašus klasifikācijas kritērijus kā veidnes C 14.00 0230., 0240. un 0250. slejā.</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0340.–0362.</w:t>
            </w:r>
          </w:p>
        </w:tc>
        <w:tc>
          <w:tcPr>
            <w:tcW w:w="7903" w:type="dxa"/>
          </w:tcPr>
          <w:p w14:paraId="73D420B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ĀRPUSBILANCES POSTEŅI UN ATVASINĀTIE INSTRUMENTI</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Šeit attiecībā uz laidieniem piemēro tos pašus klasifikācijas kritērijus kā veidnes C 14.00 0260. līdz 0287. slejā.</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0351. un 0361.</w:t>
            </w:r>
          </w:p>
        </w:tc>
        <w:tc>
          <w:tcPr>
            <w:tcW w:w="7903" w:type="dxa"/>
          </w:tcPr>
          <w:p w14:paraId="18D25E4B"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RISKA SVĒRUMS, KAS ATBILST AIZSARDZĪBAS DEVĒJAM / INSTRUMENTAM</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 </w:t>
            </w:r>
            <w:r>
              <w:rPr>
                <w:sz w:val="24"/>
                <w:i/>
                <w:iCs/>
                <w:rFonts w:ascii="Times New Roman" w:hAnsi="Times New Roman"/>
              </w:rPr>
              <w:t xml:space="preserve">RW</w:t>
            </w:r>
            <w:r>
              <w:rPr>
                <w:sz w:val="24"/>
                <w:rFonts w:ascii="Times New Roman" w:hAnsi="Times New Roman"/>
              </w:rPr>
              <w:t xml:space="preserve"> no atbilstošā garantijas devēja vai % </w:t>
            </w:r>
            <w:r>
              <w:rPr>
                <w:sz w:val="24"/>
                <w:i/>
                <w:iCs/>
                <w:rFonts w:ascii="Times New Roman" w:hAnsi="Times New Roman"/>
              </w:rPr>
              <w:t xml:space="preserve">RW</w:t>
            </w:r>
            <w:r>
              <w:rPr>
                <w:sz w:val="24"/>
                <w:rFonts w:ascii="Times New Roman" w:hAnsi="Times New Roman"/>
              </w:rPr>
              <w:t xml:space="preserve"> no atbilstošā instrumenta, kas nodrošina kredītaizsardzību saskaņā ar Regulas (ES) Nr. 575/2013 249. pantu.</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0362.</w:t>
            </w:r>
          </w:p>
        </w:tc>
        <w:tc>
          <w:tcPr>
            <w:tcW w:w="7903" w:type="dxa"/>
          </w:tcPr>
          <w:p w14:paraId="04EA1E89"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SINTĒTISKĀS VĒRTSPAPĪROŠANAS ATLIKUSĪ STARPĪBA</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Regulas (ES) Nr. 575/2013 242. panta 20. punkts, 248. panta 1. punkta e) apakšpunkts un 256. panta 6. punkts.</w:t>
            </w:r>
            <w:r>
              <w:rPr>
                <w:sz w:val="24"/>
                <w:rFonts w:ascii="Times New Roman" w:hAnsi="Times New Roman"/>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sz w:val="24"/>
                <w:rFonts w:ascii="Times New Roman" w:hAnsi="Times New Roman"/>
              </w:rPr>
            </w:pPr>
            <w:r>
              <w:rPr>
                <w:sz w:val="24"/>
                <w:rFonts w:ascii="Times New Roman" w:hAnsi="Times New Roman"/>
              </w:rPr>
              <w:t xml:space="preserve">Šo sleju uzrāda tikai tad, ja 0110. sleju uzrāda kā “Iniciators”.</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0370.–0400.</w:t>
            </w:r>
          </w:p>
        </w:tc>
        <w:tc>
          <w:tcPr>
            <w:tcW w:w="7903" w:type="dxa"/>
          </w:tcPr>
          <w:p w14:paraId="79D376DD"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IZZIŅAS POSTEŅI:</w:t>
            </w:r>
            <w:r>
              <w:rPr>
                <w:b/>
                <w:sz w:val="24"/>
                <w:u w:val="single"/>
                <w:rFonts w:ascii="Times New Roman" w:hAnsi="Times New Roman"/>
              </w:rPr>
              <w:t xml:space="preserve"> </w:t>
            </w:r>
            <w:r>
              <w:rPr>
                <w:b/>
                <w:sz w:val="24"/>
                <w:u w:val="single"/>
                <w:rFonts w:ascii="Times New Roman" w:hAnsi="Times New Roman"/>
              </w:rPr>
              <w:t xml:space="preserve">ĀRPUSBILANCES POSTEŅI UN ATVASINĀTIE INSTRUMENTI PIRMS KOREKCIJAS PAKĀPĒM</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Šajā sleju blokā apkopo papildu informāciju par kopējiem ārpusbilances posteņiem un atvasinātajiem instrumentiem (kas jau uzrādīti citā sadalījumā 0340.-0361. slejā).</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0370.</w:t>
            </w:r>
          </w:p>
        </w:tc>
        <w:tc>
          <w:tcPr>
            <w:tcW w:w="7903" w:type="dxa"/>
          </w:tcPr>
          <w:p w14:paraId="4B193D6E" w14:textId="77777777" w:rsidR="00933ADA" w:rsidRPr="002A677E" w:rsidRDefault="00933ADA" w:rsidP="00822842">
            <w:pPr>
              <w:autoSpaceDE w:val="0"/>
              <w:autoSpaceDN w:val="0"/>
              <w:adjustRightInd w:val="0"/>
              <w:spacing w:before="0" w:after="0"/>
              <w:jc w:val="left"/>
              <w:rPr>
                <w:b/>
                <w:sz w:val="24"/>
                <w:u w:val="single"/>
                <w:rFonts w:ascii="Times New Roman" w:hAnsi="Times New Roman"/>
              </w:rPr>
            </w:pPr>
            <w:r>
              <w:rPr>
                <w:b/>
                <w:sz w:val="24"/>
                <w:u w:val="single"/>
                <w:rFonts w:ascii="Times New Roman" w:hAnsi="Times New Roman"/>
              </w:rPr>
              <w:t xml:space="preserve">TIEŠIE KREDĪTA AIZSTĀJĒJI</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Šī sleja attiecas uz vērtspapīrošanas pozīcijām, kuras tur iniciators un kuras garantētas ar tiešajiem kredīta aizstājējiem.</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Saskaņā ar Regulas (ES) Nr. 575/2013 I pielikumu par tiešajiem kredīta aizstājējiem uzskatāmi šādi pilna riska ārpusbilances posteņi:</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Garantijas, kam ir kredīta aizstājējiem raksturīgās pazīmes;</w:t>
            </w:r>
          </w:p>
          <w:p w14:paraId="3E80D0F5" w14:textId="77777777" w:rsidR="00933ADA" w:rsidRPr="002A677E" w:rsidRDefault="00933ADA" w:rsidP="00822842">
            <w:pPr>
              <w:spacing w:before="0" w:after="0"/>
              <w:rPr>
                <w:i/>
                <w:sz w:val="24"/>
                <w:rFonts w:ascii="Times New Roman" w:hAnsi="Times New Roman"/>
              </w:rPr>
            </w:pPr>
            <w:r>
              <w:rPr>
                <w:i/>
                <w:sz w:val="24"/>
                <w:rFonts w:ascii="Times New Roman" w:hAnsi="Times New Roman"/>
              </w:rPr>
              <w:t xml:space="preserve">- Neatsaucami rezerves akreditīvi, kam ir kredīta aizstājējiem raksturīgās pazīmes.</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0380.</w:t>
            </w:r>
          </w:p>
        </w:tc>
        <w:tc>
          <w:tcPr>
            <w:tcW w:w="7903" w:type="dxa"/>
          </w:tcPr>
          <w:p w14:paraId="1AB3EAD8"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PROCENTU LIKMJU MIJMAIŅAS LĪGUMI (PLML) / VALŪTAS MIJMAIŅAS LĪGUMI (VML)</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PLML apzīmē procentu likmju mijmaiņas līgumus, savukārt VML apzīmē valūtas likmes mijmaiņas līgumus.</w:t>
            </w:r>
            <w:r>
              <w:rPr>
                <w:sz w:val="24"/>
                <w:rFonts w:ascii="Times New Roman" w:hAnsi="Times New Roman"/>
              </w:rPr>
              <w:t xml:space="preserve"> </w:t>
            </w:r>
            <w:r>
              <w:rPr>
                <w:sz w:val="24"/>
                <w:rFonts w:ascii="Times New Roman" w:hAnsi="Times New Roman"/>
              </w:rPr>
              <w:t xml:space="preserve">Minētie atvasinātie instrumenti ir uzskaitīti Regulas (ES) Nr. 575/2013 II pielikumā.</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0390.</w:t>
            </w:r>
          </w:p>
        </w:tc>
        <w:tc>
          <w:tcPr>
            <w:tcW w:w="7903" w:type="dxa"/>
          </w:tcPr>
          <w:p w14:paraId="283448D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LIKVIDITĀTES IESPĒJAS</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Likviditātes iespējas, kā definēts Regulas (ES) Nr. 575/2013 242. panta 3) punktā.</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0400.</w:t>
            </w:r>
          </w:p>
        </w:tc>
        <w:tc>
          <w:tcPr>
            <w:tcW w:w="7903" w:type="dxa"/>
          </w:tcPr>
          <w:p w14:paraId="314DB9A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CITI</w:t>
            </w:r>
            <w:r>
              <w:rPr>
                <w:b/>
                <w:sz w:val="24"/>
                <w:u w:val="single"/>
                <w:rFonts w:ascii="Times New Roman" w:hAnsi="Times New Roman"/>
              </w:rPr>
              <w:t xml:space="preserve">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Atlikušie ārpusbilances posteņi.</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0411.</w:t>
            </w:r>
          </w:p>
        </w:tc>
        <w:tc>
          <w:tcPr>
            <w:tcW w:w="7903" w:type="dxa"/>
          </w:tcPr>
          <w:p w14:paraId="46222E8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VĒRTĪBA</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Šī informācija ir cieši saistīta ar CR SEC veidnes 0180. sleju.</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0420.</w:t>
            </w:r>
          </w:p>
        </w:tc>
        <w:tc>
          <w:tcPr>
            <w:tcW w:w="7903" w:type="dxa"/>
          </w:tcPr>
          <w:p w14:paraId="199E7927"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RISKA DARĪJUMU VĒRTĪBA, KAS ATSKAITĪTA NO PAŠU KAPITĀLA</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Šī informācija ir cieši saistīta ar CR SEC veidnes 0190. sleju.</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Šajā slejā uzrāda negatīvu skaitli.</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0430.</w:t>
            </w:r>
          </w:p>
        </w:tc>
        <w:tc>
          <w:tcPr>
            <w:tcW w:w="7903" w:type="dxa"/>
          </w:tcPr>
          <w:p w14:paraId="7A31769C"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KOPĒJĀ RISKA DARĪJUMU RISKA SVĒRTĀ VĒRTĪBA PIRMS MAKSIMĀLĀS ROBEŽVĒRTĪBAS</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Šajā slejā apkopo informāciju par riska darījumu riska svērto vērtību pirms maksimālās robežvērtības piemērošanas vērtspapīrošanas pozīcijām, kas aprēķināta saskaņā ar Regulas (ES) Nr. 575/2013 Trešās daļas II sadaļas 5. nodaļas 3. iedaļu.</w:t>
            </w:r>
          </w:p>
          <w:p w14:paraId="6B3045B9"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5EFBDF9"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Tirdzniecības portfelī esošu vērtspapīrošanas darījumu gadījumā uzrāda turpmāk minēto:</w:t>
            </w:r>
          </w:p>
          <w:p w14:paraId="4957C55C" w14:textId="1AA0386C" w:rsidR="00933ADA" w:rsidRPr="00C54203" w:rsidRDefault="00933ADA" w:rsidP="00933ADA">
            <w:pPr>
              <w:pStyle w:val="ListParagraph"/>
              <w:numPr>
                <w:ilvl w:val="0"/>
                <w:numId w:val="20"/>
              </w:numPr>
              <w:spacing w:before="0" w:after="0"/>
              <w:jc w:val="left"/>
              <w:rPr>
                <w:sz w:val="24"/>
                <w:rFonts w:ascii="Times New Roman" w:hAnsi="Times New Roman"/>
              </w:rPr>
            </w:pPr>
            <w:r>
              <w:rPr>
                <w:sz w:val="24"/>
                <w:i/>
                <w:iCs/>
                <w:rFonts w:ascii="Times New Roman" w:hAnsi="Times New Roman"/>
              </w:rPr>
              <w:t xml:space="preserve">RWEA</w:t>
            </w:r>
            <w:r>
              <w:rPr>
                <w:sz w:val="24"/>
                <w:rFonts w:ascii="Times New Roman" w:hAnsi="Times New Roman"/>
              </w:rPr>
              <w:t xml:space="preserve"> attiecībā uz specifisko risku, kas noteikts kā 12,5 reizes lielāks par pašu kapitāla prasību, kā uzrādīts attiecīgi MKR SA SEC 0570. slejā vai MKR SA CTP 0410. un 0420. slejā (kas attiecas uz pašu kapitāla prasību), ja iestāde tirgus riskam piemēro vienkāršoto standartizēto pieeju,</w:t>
            </w:r>
          </w:p>
          <w:p w14:paraId="473B3456" w14:textId="77777777" w:rsidR="00933ADA" w:rsidRPr="000059B8"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visu vērtspapīrošanas svērto jutīgumu pret riska faktoriem absolūtās vērtības summa, kas noteikta, lai aprēķinātu pašu kapitāla prasības kredītriska starpības riskam vērtspapīrošanas darījumiem, kuri nav iekļauti alternatīvajā korelācijas tirdzniecības portfelī (</w:t>
            </w:r>
            <w:r>
              <w:rPr>
                <w:sz w:val="24"/>
                <w:i/>
                <w:iCs/>
                <w:rFonts w:ascii="Times New Roman" w:hAnsi="Times New Roman"/>
              </w:rPr>
              <w:t xml:space="preserve">ACTP</w:t>
            </w:r>
            <w:r>
              <w:rPr>
                <w:sz w:val="24"/>
                <w:rFonts w:ascii="Times New Roman" w:hAnsi="Times New Roman"/>
              </w:rPr>
              <w:t xml:space="preserve">), vai kredītriska starpības risku vērtspapīrošanas darījumiem </w:t>
            </w:r>
            <w:r>
              <w:rPr>
                <w:sz w:val="24"/>
                <w:i/>
                <w:iCs/>
                <w:rFonts w:ascii="Times New Roman" w:hAnsi="Times New Roman"/>
              </w:rPr>
              <w:t xml:space="preserve">ACTP</w:t>
            </w:r>
            <w:r>
              <w:rPr>
                <w:sz w:val="24"/>
                <w:rFonts w:ascii="Times New Roman" w:hAnsi="Times New Roman"/>
              </w:rPr>
              <w:t xml:space="preserve">, ja iestāde piemēro ASP vai </w:t>
            </w:r>
            <w:r>
              <w:rPr>
                <w:sz w:val="24"/>
                <w:i/>
                <w:iCs/>
                <w:rFonts w:ascii="Times New Roman" w:hAnsi="Times New Roman"/>
              </w:rPr>
              <w:t xml:space="preserve">AIMA</w:t>
            </w:r>
            <w:r>
              <w:rPr>
                <w:sz w:val="24"/>
                <w:rFonts w:ascii="Times New Roman" w:hAnsi="Times New Roman"/>
              </w:rPr>
              <w:t xml:space="preserve">.</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0431.</w:t>
            </w:r>
          </w:p>
        </w:tc>
        <w:tc>
          <w:tcPr>
            <w:tcW w:w="7903" w:type="dxa"/>
          </w:tcPr>
          <w:p w14:paraId="1A7CCDF1"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RISKA SVĒRUMA MAKSIMĀLO ROBEŽVĒRTĪBU</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267. un 269.a pants.</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0432.</w:t>
            </w:r>
          </w:p>
        </w:tc>
        <w:tc>
          <w:tcPr>
            <w:tcW w:w="7903" w:type="dxa"/>
          </w:tcPr>
          <w:p w14:paraId="6219BB5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KOPĒJO MAKSIMĀLO ROBEŽVĒRTĪBU</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268. un 269.a pants.</w:t>
            </w:r>
            <w:r>
              <w:rPr>
                <w:sz w:val="24"/>
                <w:rFonts w:ascii="Times New Roman" w:hAnsi="Times New Roman"/>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bCs/>
                <w:sz w:val="24"/>
                <w:rFonts w:ascii="Times New Roman" w:hAnsi="Times New Roman"/>
              </w:rPr>
            </w:pPr>
            <w:r>
              <w:rPr>
                <w:sz w:val="24"/>
                <w:rFonts w:ascii="Times New Roman" w:hAnsi="Times New Roman"/>
              </w:rPr>
              <w:t xml:space="preserve">0440.</w:t>
            </w:r>
          </w:p>
        </w:tc>
        <w:tc>
          <w:tcPr>
            <w:tcW w:w="7903" w:type="dxa"/>
          </w:tcPr>
          <w:p w14:paraId="30A9281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KOPĒJĀ RISKA DARĪJUMU RISKA SVĒRTĀ VĒRTĪBA PĒC MAKSIMĀLĀS ROBEŽVĒRTĪBAS</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Šajā slejā apkopo informāciju par riska darījumu riska svērto vērtību pēc maksimālajām robežvērtībām, kas piemērojamas vērtspapīrošanas pozīcijām, kuras aprēķinātas saskaņā ar Regulas (ES) Nr. 575/2013 Trešās daļas II sadaļas 5. nodaļas 3. iedaļu.</w:t>
            </w:r>
            <w:r>
              <w:rPr>
                <w:sz w:val="24"/>
                <w:rFonts w:ascii="Times New Roman" w:hAnsi="Times New Roman"/>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Tirdzniecības portfelī esošu vērtspapīrošanas darījumu gadījumā uzrāda turpmāk minēto:</w:t>
            </w:r>
          </w:p>
          <w:p w14:paraId="563BD002" w14:textId="77777777" w:rsidR="00933ADA" w:rsidRDefault="00933ADA" w:rsidP="00933ADA">
            <w:pPr>
              <w:pStyle w:val="ListParagraph"/>
              <w:numPr>
                <w:ilvl w:val="0"/>
                <w:numId w:val="20"/>
              </w:numPr>
              <w:spacing w:before="0" w:after="0"/>
              <w:jc w:val="left"/>
              <w:rPr>
                <w:sz w:val="24"/>
                <w:rFonts w:ascii="Times New Roman" w:hAnsi="Times New Roman"/>
              </w:rPr>
            </w:pPr>
            <w:r>
              <w:rPr>
                <w:sz w:val="24"/>
                <w:i/>
                <w:iCs/>
                <w:rFonts w:ascii="Times New Roman" w:hAnsi="Times New Roman"/>
              </w:rPr>
              <w:t xml:space="preserve">RWEA</w:t>
            </w:r>
            <w:r>
              <w:rPr>
                <w:sz w:val="24"/>
                <w:rFonts w:ascii="Times New Roman" w:hAnsi="Times New Roman"/>
              </w:rPr>
              <w:t xml:space="preserve"> attiecībā uz specifisko risku, kas noteikts kā 12,5 reizes lielāks par pašu kapitāla prasību, kā uzrādīts attiecīgi MKR SA SEC 0570. slejā vai MKR SA CTP 0410. un 0420. slejā (kas attiecas uz pašu kapitāla prasību), ja iestāde tirgus riskam piemēro vienkāršoto standartizēto pieeju,</w:t>
            </w:r>
          </w:p>
          <w:p w14:paraId="4FA7C759"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visu vērtspapīrošanas svērto jutīgumu pret riska faktoriem absolūtās vērtības summa, kas noteikta, lai aprēķinātu pašu kapitāla prasības kredītriska starpības riskam vērtspapīrošanas darījumiem, kuri nav iekļauti alternatīvajā korelācijas tirdzniecības portfelī (</w:t>
            </w:r>
            <w:r>
              <w:rPr>
                <w:sz w:val="24"/>
                <w:i/>
                <w:iCs/>
                <w:rFonts w:ascii="Times New Roman" w:hAnsi="Times New Roman"/>
              </w:rPr>
              <w:t xml:space="preserve">ACTP</w:t>
            </w:r>
            <w:r>
              <w:rPr>
                <w:sz w:val="24"/>
                <w:rFonts w:ascii="Times New Roman" w:hAnsi="Times New Roman"/>
              </w:rPr>
              <w:t xml:space="preserve">), vai kredītriska starpības risku vērtspapīrošanas darījumiem </w:t>
            </w:r>
            <w:r>
              <w:rPr>
                <w:sz w:val="24"/>
                <w:i/>
                <w:iCs/>
                <w:rFonts w:ascii="Times New Roman" w:hAnsi="Times New Roman"/>
              </w:rPr>
              <w:t xml:space="preserve">ACTP</w:t>
            </w:r>
            <w:r>
              <w:rPr>
                <w:sz w:val="24"/>
                <w:rFonts w:ascii="Times New Roman" w:hAnsi="Times New Roman"/>
              </w:rPr>
              <w:t xml:space="preserve">, ja iestāde piemēro ASP vai </w:t>
            </w:r>
            <w:r>
              <w:rPr>
                <w:sz w:val="24"/>
                <w:i/>
                <w:iCs/>
                <w:rFonts w:ascii="Times New Roman" w:hAnsi="Times New Roman"/>
              </w:rPr>
              <w:t xml:space="preserve">AIMA</w:t>
            </w:r>
            <w:r>
              <w:rPr>
                <w:sz w:val="24"/>
                <w:rFonts w:ascii="Times New Roman" w:hAnsi="Times New Roman"/>
              </w:rPr>
              <w:t xml:space="preserve">.</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0441.–0444.</w:t>
            </w:r>
          </w:p>
        </w:tc>
        <w:tc>
          <w:tcPr>
            <w:tcW w:w="7903" w:type="dxa"/>
          </w:tcPr>
          <w:p w14:paraId="75016A2C"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PAŠU KAPITĀLA MINIMĀLĀS ROBEŽVĒRTĪBAS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Iestādes, kurām piemēro pašu kapitāla minimālo robežvērtību saskaņā ar Regulas (ES) Nr. 575/2013 92. panta 3. punktu, uzrāda standartizēto kopējo riska darījumu vērtību (</w:t>
            </w:r>
            <w:r>
              <w:rPr>
                <w:sz w:val="24"/>
                <w:i/>
                <w:iCs/>
                <w:rFonts w:ascii="Times New Roman" w:hAnsi="Times New Roman"/>
              </w:rPr>
              <w:t xml:space="preserve">S-TREA</w:t>
            </w:r>
            <w:r>
              <w:rPr>
                <w:sz w:val="24"/>
                <w:rFonts w:ascii="Times New Roman" w:hAnsi="Times New Roman"/>
              </w:rPr>
              <w:t xml:space="preserve">), kas aprēķināta saskaņā ar 92. panta 5. punktu.</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0441.</w:t>
            </w:r>
          </w:p>
        </w:tc>
        <w:tc>
          <w:tcPr>
            <w:tcW w:w="7903" w:type="dxa"/>
          </w:tcPr>
          <w:p w14:paraId="6666F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PIRMS MAKSIMĀLĀS ROBEŽVĒRTĪBAS</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sz w:val="24"/>
                <w:rFonts w:ascii="Times New Roman" w:hAnsi="Times New Roman"/>
              </w:rPr>
            </w:pPr>
            <w:r>
              <w:rPr>
                <w:sz w:val="24"/>
                <w:i/>
                <w:iCs/>
                <w:rFonts w:ascii="Times New Roman" w:hAnsi="Times New Roman"/>
              </w:rPr>
              <w:t xml:space="preserve">S-TREA</w:t>
            </w:r>
            <w:r>
              <w:rPr>
                <w:sz w:val="24"/>
                <w:rFonts w:ascii="Times New Roman" w:hAnsi="Times New Roman"/>
              </w:rPr>
              <w:t xml:space="preserve"> pirms maksimālās robežvērtības piemērošanas vērtspapīrošanas pozīcijām, kas aprēķināta saskaņā ar Regulas (ES) Nr. 575/2013 Trešās daļas II sadaļas 5. nodaļas 3. iedaļu.</w:t>
            </w:r>
          </w:p>
          <w:p w14:paraId="2319E581"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 </w:t>
            </w:r>
          </w:p>
          <w:p w14:paraId="33863AEA"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Tirdzniecības portfelī esošu vērtspapīrošanas darījumu gadījumā uzrāda turpmāk minēto:</w:t>
            </w:r>
          </w:p>
          <w:p w14:paraId="3F8EED90" w14:textId="77777777" w:rsidR="00933ADA" w:rsidRDefault="00933ADA" w:rsidP="00933ADA">
            <w:pPr>
              <w:pStyle w:val="ListParagraph"/>
              <w:numPr>
                <w:ilvl w:val="0"/>
                <w:numId w:val="20"/>
              </w:numPr>
              <w:spacing w:before="0" w:after="0"/>
              <w:jc w:val="left"/>
              <w:rPr>
                <w:sz w:val="24"/>
                <w:rFonts w:ascii="Times New Roman" w:hAnsi="Times New Roman"/>
              </w:rPr>
            </w:pPr>
            <w:r>
              <w:rPr>
                <w:sz w:val="24"/>
                <w:i/>
                <w:iCs/>
                <w:rFonts w:ascii="Times New Roman" w:hAnsi="Times New Roman"/>
              </w:rPr>
              <w:t xml:space="preserve">RWEA</w:t>
            </w:r>
            <w:r>
              <w:rPr>
                <w:sz w:val="24"/>
                <w:rFonts w:ascii="Times New Roman" w:hAnsi="Times New Roman"/>
              </w:rPr>
              <w:t xml:space="preserve"> attiecībā uz specifisko risku, kas noteikts kā 12,5 reizes lielāks par pašu kapitāla prasību, kā uzrādīts attiecīgi MKR SA SEC 0570. slejā vai MKR SA CTP 0410. un 0420. slejā (kas attiecas uz pašu kapitāla prasību), ja iestāde tirgus riskam piemēro vienkāršoto standartizēto pieeju,</w:t>
            </w:r>
          </w:p>
          <w:p w14:paraId="693C7CE2"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visu vērtspapīrošanas svērto jutīgumu pret riska faktoriem absolūtās vērtības summa, kas noteikta, lai aprēķinātu pašu kapitāla prasības kredītriska starpības riskam vērtspapīrošanas darījumiem, kuri nav iekļauti alternatīvajā korelācijas tirdzniecības portfelī (</w:t>
            </w:r>
            <w:r>
              <w:rPr>
                <w:sz w:val="24"/>
                <w:i/>
                <w:iCs/>
                <w:rFonts w:ascii="Times New Roman" w:hAnsi="Times New Roman"/>
              </w:rPr>
              <w:t xml:space="preserve">ACTP</w:t>
            </w:r>
            <w:r>
              <w:rPr>
                <w:sz w:val="24"/>
                <w:rFonts w:ascii="Times New Roman" w:hAnsi="Times New Roman"/>
              </w:rPr>
              <w:t xml:space="preserve">), vai kredītriska starpības risku vērtspapīrošanas darījumiem </w:t>
            </w:r>
            <w:r>
              <w:rPr>
                <w:sz w:val="24"/>
                <w:i/>
                <w:iCs/>
                <w:rFonts w:ascii="Times New Roman" w:hAnsi="Times New Roman"/>
              </w:rPr>
              <w:t xml:space="preserve">ACTP</w:t>
            </w:r>
            <w:r>
              <w:rPr>
                <w:sz w:val="24"/>
                <w:rFonts w:ascii="Times New Roman" w:hAnsi="Times New Roman"/>
              </w:rPr>
              <w:t xml:space="preserve">, ja iestāde piemēro ASP.</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 xml:space="preserve">Skaidrojošs teksts konsultāciju vajadzībām</w:t>
                  </w:r>
                </w:p>
                <w:p w14:paraId="23406B96" w14:textId="77777777" w:rsidR="00933ADA" w:rsidRDefault="00933ADA" w:rsidP="00822842">
                  <w:pPr>
                    <w:pStyle w:val="body"/>
                  </w:pPr>
                  <w:r>
                    <w:t xml:space="preserve">Vienkāršības labad un neraugoties uz to, ka tas neatspoguļos atšķirības starp </w:t>
                  </w:r>
                  <w:r>
                    <w:rPr>
                      <w:i/>
                      <w:iCs/>
                    </w:rPr>
                    <w:t xml:space="preserve">S-TREA</w:t>
                  </w:r>
                  <w:r>
                    <w:t xml:space="preserve"> un </w:t>
                  </w:r>
                  <w:r>
                    <w:rPr>
                      <w:i/>
                      <w:iCs/>
                    </w:rPr>
                    <w:t xml:space="preserve">U-TREA</w:t>
                  </w:r>
                  <w:r>
                    <w:t xml:space="preserve"> aprēķinu (sk. jaunās ailes turpmāk), gan iestādes, kas piemēro ASP, gan iestādes, kuras piemēro </w:t>
                  </w:r>
                  <w:r>
                    <w:rPr>
                      <w:i/>
                      <w:iCs/>
                    </w:rPr>
                    <w:t xml:space="preserve">AIMA</w:t>
                  </w:r>
                  <w:r>
                    <w:t xml:space="preserve">, tiek aicinātas vienkārši uzrādīt svērto jutīgumu summu, kas noteikta, pamatojoties uz </w:t>
                  </w:r>
                  <w:r>
                    <w:rPr>
                      <w:i/>
                      <w:iCs/>
                    </w:rPr>
                    <w:t xml:space="preserve">SBM</w:t>
                  </w:r>
                  <w:r>
                    <w:t xml:space="preserve">, attiecībā uz vērtspapīrošanas kredītriska starpības risku.</w:t>
                  </w:r>
                  <w:r>
                    <w:t xml:space="preserve"> </w:t>
                  </w:r>
                  <w:r>
                    <w:t xml:space="preserve">Pašu kapitāla minimālās robežvērtības noteikumu dēļ paredzams, ka gan ASA, gan </w:t>
                  </w:r>
                  <w:r>
                    <w:rPr>
                      <w:i/>
                      <w:iCs/>
                    </w:rPr>
                    <w:t xml:space="preserve">AIMA</w:t>
                  </w:r>
                  <w:r>
                    <w:t xml:space="preserve"> piemērojošām iestādēm šī vērtība būs pieejama bez papildu pūlēm.</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0442.</w:t>
            </w:r>
          </w:p>
        </w:tc>
        <w:tc>
          <w:tcPr>
            <w:tcW w:w="7903" w:type="dxa"/>
          </w:tcPr>
          <w:p w14:paraId="49431B8A"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RISKA SVĒRUMA MAKSIMĀLO ROBEŽVĒRTĪBU</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sz w:val="24"/>
                <w:rFonts w:ascii="Times New Roman" w:hAnsi="Times New Roman"/>
              </w:rPr>
            </w:pPr>
            <w:r>
              <w:rPr>
                <w:sz w:val="24"/>
                <w:i/>
                <w:iCs/>
                <w:rFonts w:ascii="Times New Roman" w:hAnsi="Times New Roman"/>
              </w:rPr>
              <w:t xml:space="preserve">S-TREA</w:t>
            </w:r>
            <w:r>
              <w:rPr>
                <w:sz w:val="24"/>
                <w:rFonts w:ascii="Times New Roman" w:hAnsi="Times New Roman"/>
              </w:rPr>
              <w:t xml:space="preserve"> samazinājums saistībā ar riska pakāpes maksimālo robežvērtību saskaņā ar Regulas (ES) Nr. 575/2013 267. un 269.a pantu.</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0443.</w:t>
            </w:r>
          </w:p>
        </w:tc>
        <w:tc>
          <w:tcPr>
            <w:tcW w:w="7903" w:type="dxa"/>
          </w:tcPr>
          <w:p w14:paraId="30571E03"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 SAMAZINĀJUMS SAISTĪBĀ AR KOPĒJO MAKSIMĀLO ROBEŽVĒRTĪBU</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sz w:val="24"/>
                <w:rFonts w:ascii="Times New Roman" w:hAnsi="Times New Roman"/>
              </w:rPr>
            </w:pPr>
            <w:r>
              <w:rPr>
                <w:sz w:val="24"/>
                <w:i/>
                <w:iCs/>
                <w:rFonts w:ascii="Times New Roman" w:hAnsi="Times New Roman"/>
              </w:rPr>
              <w:t xml:space="preserve">S-TREA</w:t>
            </w:r>
            <w:r>
              <w:rPr>
                <w:sz w:val="24"/>
                <w:rFonts w:ascii="Times New Roman" w:hAnsi="Times New Roman"/>
              </w:rPr>
              <w:t xml:space="preserve"> samazinājums saistībā ar kopējo maksimālo robežvērtību saskaņā ar Regulas (ES) Nr. 575/2013 268. un 269.a pantu.</w:t>
            </w:r>
            <w:r>
              <w:rPr>
                <w:sz w:val="24"/>
                <w:rFonts w:ascii="Times New Roman" w:hAnsi="Times New Roman"/>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0444.</w:t>
            </w:r>
          </w:p>
        </w:tc>
        <w:tc>
          <w:tcPr>
            <w:tcW w:w="7903" w:type="dxa"/>
          </w:tcPr>
          <w:p w14:paraId="7784F835"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PĒC MAKSIMĀLĀS ROBEŽVĒRTĪBAS</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sz w:val="24"/>
                <w:rFonts w:ascii="Times New Roman" w:hAnsi="Times New Roman"/>
              </w:rPr>
            </w:pPr>
            <w:r>
              <w:rPr>
                <w:sz w:val="24"/>
                <w:rFonts w:ascii="Times New Roman" w:hAnsi="Times New Roman"/>
              </w:rPr>
              <w:t xml:space="preserve">Šajā slejā apkopo informāciju par</w:t>
            </w:r>
            <w:r>
              <w:rPr>
                <w:sz w:val="24"/>
                <w:i/>
                <w:iCs/>
                <w:rFonts w:ascii="Times New Roman" w:hAnsi="Times New Roman"/>
              </w:rPr>
              <w:t xml:space="preserve"> S-TREA</w:t>
            </w:r>
            <w:r>
              <w:rPr>
                <w:sz w:val="24"/>
                <w:rFonts w:ascii="Times New Roman" w:hAnsi="Times New Roman"/>
              </w:rPr>
              <w:t xml:space="preserve"> pēc maksimālajām robežvērtībām, kas piemērojamas vērtspapīrošanas pozīcijām, kuras aprēķināta saskaņā ar Regulas (ES) Nr. 575/2013 Trešās daļas II sadaļas 5. nodaļas 3. iedaļu.</w:t>
            </w:r>
            <w:r>
              <w:rPr>
                <w:sz w:val="24"/>
                <w:rFonts w:ascii="Times New Roman" w:hAnsi="Times New Roman"/>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sz w:val="24"/>
                <w:rFonts w:ascii="Times New Roman" w:hAnsi="Times New Roman"/>
              </w:rPr>
            </w:pPr>
            <w:r>
              <w:rPr>
                <w:sz w:val="24"/>
                <w:rFonts w:ascii="Times New Roman" w:hAnsi="Times New Roman"/>
              </w:rPr>
              <w:t xml:space="preserve">Tirdzniecības portfelī esošu vērtspapīrošanas darījumu gadījumā uzrāda turpmāk minēto:</w:t>
            </w:r>
          </w:p>
          <w:p w14:paraId="09A850B1" w14:textId="77777777" w:rsidR="00933ADA" w:rsidRDefault="00933ADA" w:rsidP="00933ADA">
            <w:pPr>
              <w:pStyle w:val="ListParagraph"/>
              <w:numPr>
                <w:ilvl w:val="0"/>
                <w:numId w:val="20"/>
              </w:numPr>
              <w:spacing w:before="0" w:after="0"/>
              <w:jc w:val="left"/>
              <w:rPr>
                <w:sz w:val="24"/>
                <w:rFonts w:ascii="Times New Roman" w:hAnsi="Times New Roman"/>
              </w:rPr>
            </w:pPr>
            <w:r>
              <w:rPr>
                <w:sz w:val="24"/>
                <w:i/>
                <w:iCs/>
                <w:rFonts w:ascii="Times New Roman" w:hAnsi="Times New Roman"/>
              </w:rPr>
              <w:t xml:space="preserve">RWEA</w:t>
            </w:r>
            <w:r>
              <w:rPr>
                <w:sz w:val="24"/>
                <w:rFonts w:ascii="Times New Roman" w:hAnsi="Times New Roman"/>
              </w:rPr>
              <w:t xml:space="preserve"> attiecībā uz specifisko risku, kas noteikts kā 12,5 reizes lielāks par pašu kapitāla prasību, kā uzrādīts attiecīgi MKR SA SEC 0570. slejā vai MKR SA CTP 0410. un 0420. slejā (kas attiecas uz pašu kapitāla prasību), ja iestāde tirgus riskam piemēro vienkāršoto standartizēto pieeju,</w:t>
            </w:r>
          </w:p>
          <w:p w14:paraId="192C3CE4" w14:textId="77777777" w:rsidR="00933ADA" w:rsidRPr="00C21289" w:rsidRDefault="00933ADA" w:rsidP="00933ADA">
            <w:pPr>
              <w:pStyle w:val="ListParagraph"/>
              <w:numPr>
                <w:ilvl w:val="0"/>
                <w:numId w:val="20"/>
              </w:numPr>
              <w:spacing w:before="0" w:after="0"/>
              <w:jc w:val="left"/>
              <w:rPr>
                <w:sz w:val="24"/>
                <w:rFonts w:ascii="Times New Roman" w:hAnsi="Times New Roman"/>
              </w:rPr>
            </w:pPr>
            <w:r>
              <w:rPr>
                <w:sz w:val="24"/>
                <w:rFonts w:ascii="Times New Roman" w:hAnsi="Times New Roman"/>
              </w:rPr>
              <w:t xml:space="preserve">visu vērtspapīrošanas svērto jutīgumu pret riska faktoriem absolūtās vērtības summa, kas noteikta, lai aprēķinātu pašu kapitāla prasības kredītriska starpības riskam vērtspapīrošanas darījumiem, kuri nav iekļauti alternatīvajā korelācijas tirdzniecības portfelī (</w:t>
            </w:r>
            <w:r>
              <w:rPr>
                <w:sz w:val="24"/>
                <w:i/>
                <w:iCs/>
                <w:rFonts w:ascii="Times New Roman" w:hAnsi="Times New Roman"/>
              </w:rPr>
              <w:t xml:space="preserve">ACTP</w:t>
            </w:r>
            <w:r>
              <w:rPr>
                <w:sz w:val="24"/>
                <w:rFonts w:ascii="Times New Roman" w:hAnsi="Times New Roman"/>
              </w:rPr>
              <w:t xml:space="preserve">), vai kredītriska starpības risku vērtspapīrošanas darījumiem </w:t>
            </w:r>
            <w:r>
              <w:rPr>
                <w:sz w:val="24"/>
                <w:i/>
                <w:iCs/>
                <w:rFonts w:ascii="Times New Roman" w:hAnsi="Times New Roman"/>
              </w:rPr>
              <w:t xml:space="preserve">ACTP</w:t>
            </w:r>
            <w:r>
              <w:rPr>
                <w:sz w:val="24"/>
                <w:rFonts w:ascii="Times New Roman" w:hAnsi="Times New Roman"/>
              </w:rPr>
              <w:t xml:space="preserve">, ja iestāde piemēro ASP.</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0447.-04xx.</w:t>
            </w:r>
          </w:p>
        </w:tc>
        <w:tc>
          <w:tcPr>
            <w:tcW w:w="7903" w:type="dxa"/>
          </w:tcPr>
          <w:p w14:paraId="39177254" w14:textId="77777777"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IZZIŅAS POSTEŅI</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0447.</w:t>
            </w:r>
          </w:p>
        </w:tc>
        <w:tc>
          <w:tcPr>
            <w:tcW w:w="7903" w:type="dxa"/>
          </w:tcPr>
          <w:p w14:paraId="7CAC2112"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RISKA SVĒRTĀ VĒRTĪBA PĒC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263. un 264. pants.</w:t>
            </w:r>
            <w:r>
              <w:rPr>
                <w:sz w:val="24"/>
                <w:rFonts w:ascii="Times New Roman" w:hAnsi="Times New Roman"/>
              </w:rPr>
              <w:t xml:space="preserve"> </w:t>
            </w:r>
            <w:r>
              <w:rPr>
                <w:sz w:val="24"/>
                <w:rFonts w:ascii="Times New Roman" w:hAnsi="Times New Roman"/>
              </w:rPr>
              <w:t xml:space="preserve">Šo sleju uzrāda tikai par darījumiem ar reitingu pirms maksimālās robežvērtības un to neuzrāda par darījumiem saskaņā ar SEC-ERBA.</w:t>
            </w:r>
            <w:r>
              <w:rPr>
                <w:sz w:val="24"/>
                <w:rFonts w:ascii="Times New Roman" w:hAnsi="Times New Roman"/>
              </w:rPr>
              <w:t xml:space="preserve">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0448.</w:t>
            </w:r>
          </w:p>
        </w:tc>
        <w:tc>
          <w:tcPr>
            <w:tcW w:w="7903" w:type="dxa"/>
          </w:tcPr>
          <w:p w14:paraId="48FF751D"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RISKA DARĪJUMU RISKA SVĒRTĀ VĒRTĪBA PĒC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sz w:val="24"/>
                <w:rFonts w:ascii="Times New Roman" w:hAnsi="Times New Roman"/>
              </w:rPr>
            </w:pPr>
            <w:r>
              <w:rPr>
                <w:sz w:val="24"/>
                <w:rFonts w:ascii="Times New Roman" w:hAnsi="Times New Roman"/>
              </w:rPr>
              <w:t xml:space="preserve">Regulas (ES) Nr. 575/2013 261. un 262. pants.</w:t>
            </w:r>
            <w:r>
              <w:rPr>
                <w:sz w:val="24"/>
                <w:rFonts w:ascii="Times New Roman" w:hAnsi="Times New Roman"/>
              </w:rPr>
              <w:t xml:space="preserve"> </w:t>
            </w:r>
            <w:r>
              <w:rPr>
                <w:sz w:val="24"/>
                <w:rFonts w:ascii="Times New Roman" w:hAnsi="Times New Roman"/>
              </w:rPr>
              <w:t xml:space="preserve">Šo sleju uzrāda pirms maksimālās robežvērtības un to neuzrāda par darījumiem saskaņā ar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0451.–0453.</w:t>
            </w:r>
          </w:p>
        </w:tc>
        <w:tc>
          <w:tcPr>
            <w:tcW w:w="7903" w:type="dxa"/>
            <w:shd w:val="clear" w:color="auto" w:fill="auto"/>
          </w:tcPr>
          <w:p w14:paraId="1303C165" w14:textId="1273A546" w:rsidR="00933ADA"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PAŠU KAPITĀLA MINIMĀLĀ ROBEŽVĒRTĪBA</w:t>
            </w:r>
            <w:r>
              <w:rPr>
                <w:b/>
                <w:sz w:val="24"/>
                <w:u w:val="single"/>
                <w:rFonts w:ascii="Times New Roman" w:hAnsi="Times New Roman"/>
              </w:rPr>
              <w:t xml:space="preserve"> </w:t>
            </w:r>
            <w:r>
              <w:rPr>
                <w:b/>
                <w:sz w:val="24"/>
                <w:u w:val="single"/>
                <w:i/>
                <w:iCs/>
                <w:rFonts w:ascii="Times New Roman" w:hAnsi="Times New Roman"/>
              </w:rPr>
              <w:t xml:space="preserve">RWEA</w:t>
            </w:r>
            <w:r>
              <w:rPr>
                <w:b/>
                <w:sz w:val="24"/>
                <w:u w:val="single"/>
                <w:rFonts w:ascii="Times New Roman" w:hAnsi="Times New Roman"/>
              </w:rPr>
              <w:t xml:space="preserve"> SAISTĪBĀ AR IETEKMI, KO RADA REGULAS NR. 575/2013 465. PANTA 7. PUNKTA PIEMĒROŠANA</w:t>
            </w:r>
          </w:p>
          <w:p w14:paraId="121EEE73" w14:textId="77777777" w:rsidR="00933ADA" w:rsidRPr="002A677E" w:rsidRDefault="00933ADA" w:rsidP="00822842">
            <w:pPr>
              <w:spacing w:before="0" w:after="0"/>
              <w:jc w:val="left"/>
              <w:rPr>
                <w:b/>
                <w:sz w:val="24"/>
                <w:u w:val="single"/>
                <w:rFonts w:ascii="Times New Roman" w:hAnsi="Times New Roman"/>
              </w:rPr>
            </w:pPr>
            <w:r>
              <w:rPr>
                <w:sz w:val="24"/>
                <w:rFonts w:ascii="Times New Roman" w:hAnsi="Times New Roman"/>
              </w:rPr>
              <w:t xml:space="preserve">Uzrāda starpību starp RWEA summu, nepiemērojot pārejas noteikumus, un RWEA summu, piemērojot pārejas noteikumus, katrai no trim pieejām:</w:t>
            </w:r>
            <w:r>
              <w:rPr>
                <w:sz w:val="24"/>
                <w:rFonts w:ascii="Times New Roman" w:hAnsi="Times New Roman"/>
              </w:rPr>
              <w:t xml:space="preserve"> </w:t>
            </w:r>
            <w:r>
              <w:rPr>
                <w:sz w:val="24"/>
                <w:rFonts w:ascii="Times New Roman" w:hAnsi="Times New Roman"/>
              </w:rPr>
              <w:t xml:space="preserve">SEC-IRBA, iekšējā novērtējuma pieeja un īpaša procedūra kritērijiem atbilstošas INRD vērtspapīrošanas augstākās prioritātes laidieniem.</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0450.–0470.</w:t>
            </w:r>
          </w:p>
        </w:tc>
        <w:tc>
          <w:tcPr>
            <w:tcW w:w="7903" w:type="dxa"/>
            <w:shd w:val="clear" w:color="auto" w:fill="auto"/>
          </w:tcPr>
          <w:p w14:paraId="1EA354D9"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VĒRTSPAPĪROŠANAS POZĪCIJAS — TIRDZNIECĪBAS PORTFELIS</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sz w:val="24"/>
                <w:rFonts w:ascii="Times New Roman" w:hAnsi="Times New Roman"/>
              </w:rPr>
            </w:pPr>
            <w:r>
              <w:rPr>
                <w:sz w:val="24"/>
                <w:rFonts w:ascii="Times New Roman" w:hAnsi="Times New Roman"/>
              </w:rPr>
              <w:t xml:space="preserve">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b/>
                <w:sz w:val="24"/>
                <w:u w:val="single"/>
                <w:rFonts w:ascii="Times New Roman" w:hAnsi="Times New Roman"/>
              </w:rPr>
            </w:pPr>
            <w:r>
              <w:rPr>
                <w:b/>
                <w:sz w:val="24"/>
                <w:u w:val="single"/>
                <w:rFonts w:ascii="Times New Roman" w:hAnsi="Times New Roman"/>
              </w:rPr>
              <w:t xml:space="preserve">IR KORELĀCIJAS TIRDZNIECĪBAS PORTFELIS (KTP) VAI NAV KTP?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Iestādes norāda vienu no turpmāk minētajiem:</w:t>
            </w:r>
          </w:p>
          <w:p w14:paraId="3077C0BF"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“CTP” - Korelācijas tirdzniecības portfelis</w:t>
            </w:r>
          </w:p>
          <w:p w14:paraId="7D2A23A5" w14:textId="77777777" w:rsidR="00933ADA" w:rsidRPr="002A677E" w:rsidRDefault="00933ADA" w:rsidP="00822842">
            <w:pPr>
              <w:spacing w:before="0" w:after="0"/>
              <w:jc w:val="left"/>
              <w:rPr>
                <w:rStyle w:val="InstructionsTabelleText"/>
                <w:sz w:val="24"/>
                <w:rFonts w:ascii="Times New Roman" w:hAnsi="Times New Roman"/>
              </w:rPr>
            </w:pPr>
            <w:r>
              <w:rPr>
                <w:rStyle w:val="InstructionsTabelleText"/>
                <w:sz w:val="24"/>
                <w:rFonts w:ascii="Times New Roman" w:hAnsi="Times New Roman"/>
              </w:rPr>
              <w:t xml:space="preserve">“Nav korelācijas tirdzniecības portfelis”</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sz w:val="20"/>
          <w:szCs w:val="20"/>
          <w:rFonts w:ascii="Times New Roman" w:hAnsi="Times New Roman"/>
        </w:rPr>
      </w:pPr>
      <w:r>
        <w:rPr>
          <w:rStyle w:val="FootnoteReference"/>
        </w:rPr>
        <w:footnoteRef/>
      </w:r>
      <w:r>
        <w:t xml:space="preserve"> </w:t>
      </w:r>
      <w:r>
        <w:tab/>
      </w:r>
      <w:r>
        <w:rPr>
          <w:color w:val="444444"/>
          <w:sz w:val="20"/>
          <w:rFonts w:ascii="Times New Roman" w:hAnsi="Times New Roman"/>
        </w:rPr>
        <w:t xml:space="preserve">Eiropas Parlamenta un Padomes Regula (ES) 2017/2402 (2017. gada 12. decembris), ar ko nosaka vispārēju regulējumu vērtspapīrošanai un izveido īpašu satvaru attiecībā uz vienkāršu, pārredzamu un standartizētu vērtspapīrošanu, un groza Direktīvas 2009/65/EK, 2009/138/EK un 2011/61/ES un Regulas (EK) Nr. 1060/2009 un (ES) Nr. 648/2012 (OV L 347, 28.12.2017., 35. lpp.).</w:t>
      </w:r>
    </w:p>
  </w:footnote>
  <w:footnote w:id="2">
    <w:p w14:paraId="1712BE5D" w14:textId="77777777" w:rsidR="00933ADA" w:rsidRPr="002409C1" w:rsidRDefault="00933ADA" w:rsidP="00933ADA">
      <w:pPr>
        <w:pStyle w:val="FootnoteText"/>
        <w:ind w:left="567" w:hanging="567"/>
        <w:rPr>
          <w:sz w:val="20"/>
          <w:szCs w:val="20"/>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rPr>
        <w:t xml:space="preserve">“Atsevišķas iestādes” nav daļa no grupas un tās nav konsolidētas vienā un tajā pašā valstī, kur tām piemēro pašu kapitāla prasības.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lv-LV"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lv-LV"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lv-LV"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lv-LV"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lv-LV"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lv-LV"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lv-LV"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lv-LV"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lv-LV"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lv-LV"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lv-LV"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lv-LV"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lv-LV"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lv-LV"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lv-LV"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lv-LV"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lv-LV"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lv-LV"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lv-LV"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lv-LV"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lv-LV"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lv-LV"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lv-LV"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lv-LV"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lv-LV"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lv-LV"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lv-LV"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lv-LV"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lv-LV"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lv-LV"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lv-LV"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lv-LV"/>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lv-LV"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lv-LV"/>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lv-LV"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lv-LV"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lv-LV"/>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lv-LV"/>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lv-LV"/>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lv-LV"/>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lv-LV" w:eastAsia="en-GB"/>
    </w:rPr>
  </w:style>
  <w:style w:type="paragraph" w:customStyle="1" w:styleId="List1">
    <w:name w:val="List1"/>
    <w:autoRedefine/>
    <w:qFormat/>
    <w:rsid w:val="00933ADA"/>
    <w:pPr>
      <w:numPr>
        <w:numId w:val="26"/>
      </w:numPr>
      <w:spacing w:after="0" w:line="240" w:lineRule="auto"/>
    </w:pPr>
    <w:rPr>
      <w:rFonts w:eastAsiaTheme="minorEastAsia"/>
      <w:kern w:val="0"/>
      <w:lang w:val="lv-LV"/>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lv-LV"/>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lv-LV"/>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lv-LV"/>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lv-LV"/>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lv-LV"/>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lv-LV"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lv-LV"/>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lv-LV"/>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lv-LV"/>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lv-LV"/>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lv-LV"/>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lv-LV"/>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lv-LV"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lv-LV"/>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lv-LV"/>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lv-LV"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lv-LV"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lv-LV"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lv-LV"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lv-LV"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lv-LV"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lv-LV"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FA103E-6342-4157-961F-DAA467D50AF9}"/>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