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AB900" w14:textId="77777777" w:rsidR="001C3967" w:rsidRDefault="001C3967" w:rsidP="001C3967">
      <w:pPr>
        <w:jc w:val="center"/>
        <w:rPr>
          <w:sz w:val="24"/>
          <w:szCs w:val="22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LV</w:t>
      </w:r>
    </w:p>
    <w:p w14:paraId="2097FAFC" w14:textId="77777777" w:rsidR="001C3967" w:rsidRDefault="001C3967" w:rsidP="001C3967">
      <w:pPr>
        <w:rPr>
          <w:rFonts w:asciiTheme="minorHAnsi" w:hAnsiTheme="minorHAnsi"/>
          <w:sz w:val="22"/>
        </w:rPr>
      </w:pPr>
    </w:p>
    <w:p w14:paraId="1A446CB5" w14:textId="77777777" w:rsidR="0086495E" w:rsidRPr="00037E7B" w:rsidRDefault="0086495E" w:rsidP="0086495E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II PIELIKUMS</w:t>
      </w:r>
    </w:p>
    <w:p w14:paraId="4E0B1D04" w14:textId="77777777" w:rsidR="0086495E" w:rsidRPr="00037E7B" w:rsidRDefault="0086495E" w:rsidP="0086495E">
      <w:pPr>
        <w:jc w:val="center"/>
        <w:rPr>
          <w:sz w:val="24"/>
          <w:rFonts w:ascii="Times New Roman" w:hAnsi="Times New Roman"/>
        </w:rPr>
      </w:pPr>
      <w:r>
        <w:rPr>
          <w:sz w:val="24"/>
          <w:rFonts w:ascii="Times New Roman" w:hAnsi="Times New Roman"/>
        </w:rPr>
        <w:t xml:space="preserve">“II PIELIKUMS</w:t>
      </w:r>
    </w:p>
    <w:p w14:paraId="1B650450" w14:textId="77777777" w:rsidR="0086495E" w:rsidRPr="00037E7B" w:rsidRDefault="0086495E" w:rsidP="0086495E">
      <w:pPr>
        <w:jc w:val="center"/>
        <w:rPr>
          <w:b/>
          <w:sz w:val="24"/>
          <w:rFonts w:ascii="Times New Roman" w:hAnsi="Times New Roman"/>
        </w:rPr>
      </w:pPr>
      <w:r>
        <w:rPr>
          <w:b/>
          <w:sz w:val="24"/>
          <w:rFonts w:ascii="Times New Roman" w:hAnsi="Times New Roman"/>
        </w:rPr>
        <w:t xml:space="preserve">NORĀDES PĀRSKATU SNIEGŠANAI PAR PAŠU KAPITĀLU UN PAŠU KAPITĀLA PRASĪBĀM</w:t>
      </w:r>
    </w:p>
    <w:p w14:paraId="6B9B322A" w14:textId="77777777" w:rsidR="00E26A90" w:rsidRDefault="00E26A90"/>
    <w:p w14:paraId="19ADD1FC" w14:textId="77777777" w:rsidR="00B35565" w:rsidRDefault="00B35565" w:rsidP="00B35565">
      <w:pPr>
        <w:spacing w:before="0" w:after="0"/>
        <w:jc w:val="left"/>
        <w:rPr>
          <w:rStyle w:val="InstructionsTabelleText"/>
          <w:b/>
          <w:bCs/>
          <w:sz w:val="24"/>
          <w:u w:val="single"/>
          <w:rFonts w:ascii="Times New Roman" w:hAnsi="Times New Roman"/>
        </w:rPr>
      </w:pP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II DAĻA.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 </w:t>
      </w:r>
      <w:r>
        <w:rPr>
          <w:rStyle w:val="InstructionsTabelleText"/>
          <w:b/>
          <w:sz w:val="24"/>
          <w:u w:val="single"/>
          <w:rFonts w:ascii="Times New Roman" w:hAnsi="Times New Roman"/>
        </w:rPr>
        <w:t xml:space="preserve">NORĀDĪJUMI SAISTĪBĀ AR VEIDNI</w:t>
      </w:r>
    </w:p>
    <w:p w14:paraId="3C5D79AD" w14:textId="77777777" w:rsidR="00B35565" w:rsidRDefault="00B35565" w:rsidP="00B35565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 </w:t>
      </w:r>
    </w:p>
    <w:p w14:paraId="6911C679" w14:textId="77777777" w:rsidR="00B35565" w:rsidRPr="00736637" w:rsidRDefault="00B35565" w:rsidP="00B35565">
      <w:pPr>
        <w:spacing w:before="0" w:after="0"/>
        <w:jc w:val="left"/>
        <w:rPr>
          <w:rStyle w:val="InstructionsTabelleText"/>
          <w:sz w:val="24"/>
          <w:rFonts w:ascii="Times New Roman" w:hAnsi="Times New Roman"/>
        </w:rPr>
      </w:pPr>
      <w:r>
        <w:rPr>
          <w:rStyle w:val="InstructionsTabelleText"/>
          <w:sz w:val="24"/>
          <w:rFonts w:ascii="Times New Roman" w:hAnsi="Times New Roman"/>
        </w:rPr>
        <w:t xml:space="preserve">(..)</w:t>
      </w:r>
    </w:p>
    <w:p w14:paraId="151D21FE" w14:textId="77777777" w:rsidR="00B35565" w:rsidRDefault="00B35565"/>
    <w:p w14:paraId="4DE618F9" w14:textId="77777777" w:rsidR="009658DD" w:rsidRDefault="009658DD" w:rsidP="009658DD">
      <w:pPr>
        <w:pStyle w:val="Instructionsberschrift2"/>
        <w:numPr>
          <w:ilvl w:val="0"/>
          <w:numId w:val="0"/>
        </w:numPr>
        <w:ind w:left="720" w:hanging="360"/>
        <w:rPr>
          <w:sz w:val="24"/>
          <w:u w:val="none"/>
          <w:rFonts w:ascii="Times New Roman" w:hAnsi="Times New Roman" w:cs="Times New Roman"/>
        </w:rPr>
      </w:pPr>
      <w:r>
        <w:rPr>
          <w:sz w:val="24"/>
          <w:u w:val="none"/>
          <w:rFonts w:ascii="Times New Roman" w:hAnsi="Times New Roman"/>
        </w:rPr>
        <w:t xml:space="preserve">3.5a.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C 10.00. – Kredītrisks un darījuma partnera kredītrisks, un neapmaksātas piegādes: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u w:val="none"/>
          <w:rFonts w:ascii="Times New Roman" w:hAnsi="Times New Roman"/>
        </w:rPr>
        <w:t xml:space="preserve">IRB riska darījumi, kuriem piemēro pašu kapitāla minimālo robežvērtību</w:t>
      </w:r>
    </w:p>
    <w:p w14:paraId="0F58EFDD" w14:textId="01613982" w:rsidR="009658DD" w:rsidRPr="004637BB" w:rsidRDefault="009658DD" w:rsidP="00031259">
      <w:pPr>
        <w:pStyle w:val="Instructionsberschrift2"/>
        <w:numPr>
          <w:ilvl w:val="0"/>
          <w:numId w:val="0"/>
        </w:numPr>
        <w:ind w:left="360"/>
        <w:rPr>
          <w:sz w:val="24"/>
          <w:rFonts w:ascii="Times New Roman" w:hAnsi="Times New Roman" w:cs="Times New Roman"/>
        </w:rPr>
      </w:pPr>
      <w:bookmarkStart w:id="0" w:name="_Toc151714425"/>
      <w:r>
        <w:rPr>
          <w:sz w:val="24"/>
          <w:u w:val="none"/>
          <w:rFonts w:ascii="Times New Roman" w:hAnsi="Times New Roman"/>
        </w:rPr>
        <w:t xml:space="preserve">3.5a.1.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Vispārīgas piezīmes</w:t>
      </w:r>
      <w:bookmarkEnd w:id="0"/>
    </w:p>
    <w:p w14:paraId="61F697DF" w14:textId="7433E710" w:rsidR="009658DD" w:rsidRDefault="007F005E" w:rsidP="009658DD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 xml:space="preserve">91b.</w:t>
      </w:r>
      <w:r>
        <w:t xml:space="preserve"> </w:t>
      </w:r>
      <w:r>
        <w:t xml:space="preserve">Iestādes, kas piemēro IRB pieeju, veidnē C 10.00 uzrāda IRB riska darījumus sadalījumā pa SP riska darījumu kategorijām un informāciju par standartizētās kopējās riska darījumu vērtības aprēķināšanu šiem riska darījumiem.</w:t>
      </w:r>
      <w:r>
        <w:t xml:space="preserve"> </w:t>
      </w:r>
      <w:r>
        <w:t xml:space="preserve">0100.–0120. slejā tiek apkopota informācija par pārejas noteikumu ietekmi uz pašu kapitāla minimālo robežvērtību šiem riska darījumiem.</w:t>
      </w:r>
    </w:p>
    <w:p w14:paraId="757B818D" w14:textId="3ED1BD9A" w:rsidR="00031259" w:rsidRPr="00B64C8A" w:rsidRDefault="00031259" w:rsidP="00031259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 xml:space="preserve">91c.</w:t>
      </w:r>
      <w:r>
        <w:t xml:space="preserve"> </w:t>
      </w:r>
      <w:r>
        <w:t xml:space="preserve">Iestādes, kas piemēro iekšējā modeļa metodi (IMM), kā noteikts Regulas (ES) Nr. 575/2013 6.nodaļas 6. iedaļā, lai aprēķinātu riska darījumu vērtības SP riska darījumiem, uzrāda šīs veidnes 0270. rindu.</w:t>
      </w:r>
    </w:p>
    <w:p w14:paraId="4C2D34C1" w14:textId="18F2C523" w:rsidR="009658DD" w:rsidRDefault="009658DD" w:rsidP="009658DD">
      <w:pPr>
        <w:pStyle w:val="Instructionsberschrift2"/>
        <w:numPr>
          <w:ilvl w:val="0"/>
          <w:numId w:val="0"/>
        </w:numPr>
        <w:ind w:left="360"/>
        <w:rPr>
          <w:sz w:val="24"/>
          <w:rFonts w:ascii="Times New Roman" w:hAnsi="Times New Roman" w:cs="Times New Roman"/>
        </w:rPr>
      </w:pPr>
      <w:bookmarkStart w:id="1" w:name="_Toc151714426"/>
      <w:r>
        <w:rPr>
          <w:sz w:val="24"/>
          <w:u w:val="none"/>
          <w:rFonts w:ascii="Times New Roman" w:hAnsi="Times New Roman"/>
        </w:rPr>
        <w:t xml:space="preserve">3.5a.2.</w:t>
      </w:r>
      <w:r>
        <w:rPr>
          <w:sz w:val="24"/>
          <w:u w:val="none"/>
          <w:rFonts w:ascii="Times New Roman" w:hAnsi="Times New Roman"/>
        </w:rPr>
        <w:t xml:space="preserve"> </w:t>
      </w:r>
      <w:r>
        <w:rPr>
          <w:sz w:val="24"/>
          <w:rFonts w:ascii="Times New Roman" w:hAnsi="Times New Roman"/>
        </w:rPr>
        <w:t xml:space="preserve">Norādījumi par konkrētām pozīcijām</w:t>
      </w:r>
      <w:bookmarkEnd w:id="1"/>
    </w:p>
    <w:tbl>
      <w:tblPr>
        <w:tblW w:w="9634" w:type="dxa"/>
        <w:tblLook w:val="01E0" w:firstRow="1" w:lastRow="1" w:firstColumn="1" w:lastColumn="1" w:noHBand="0" w:noVBand="0"/>
      </w:tblPr>
      <w:tblGrid>
        <w:gridCol w:w="1129"/>
        <w:gridCol w:w="8"/>
        <w:gridCol w:w="8497"/>
      </w:tblGrid>
      <w:tr w:rsidR="009658DD" w:rsidRPr="002A677E" w14:paraId="2A29E889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4DBBC8" w14:textId="77777777" w:rsidR="009658DD" w:rsidRPr="001235ED" w:rsidRDefault="009658DD" w:rsidP="00822842">
            <w:pPr>
              <w:spacing w:beforeLines="60" w:before="144" w:afterLines="60" w:after="144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Slejas</w:t>
            </w:r>
          </w:p>
        </w:tc>
      </w:tr>
      <w:tr w:rsidR="009658DD" w:rsidRPr="000059B8" w14:paraId="2DFBAF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4CA936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0010.</w:t>
            </w:r>
          </w:p>
        </w:tc>
        <w:tc>
          <w:tcPr>
            <w:tcW w:w="8497" w:type="dxa"/>
          </w:tcPr>
          <w:p w14:paraId="0A86BDA1" w14:textId="77777777" w:rsidR="009658DD" w:rsidRPr="00BF08E5" w:rsidRDefault="009658DD" w:rsidP="00822842">
            <w:pPr>
              <w:pStyle w:val="InstructionsText"/>
              <w:rPr>
                <w:rStyle w:val="InstructionsTabelleberschrift"/>
              </w:rPr>
            </w:pPr>
            <w:r>
              <w:rPr>
                <w:rStyle w:val="InstructionsTabelleberschrift"/>
              </w:rPr>
              <w:t xml:space="preserve">SĀKOTNĒJĀ RISKA DARĪJUMU VĒRTĪBA PIRMS KOREKCIJAS PAKĀPĒM</w:t>
            </w:r>
          </w:p>
          <w:p w14:paraId="6E2574B8" w14:textId="6450DDAF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Sk. norādes par C 07.00 veidnes 0010. sleju.</w:t>
            </w:r>
          </w:p>
        </w:tc>
      </w:tr>
      <w:tr w:rsidR="009658DD" w:rsidRPr="000059B8" w14:paraId="68C74A0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B8D85D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0020.</w:t>
            </w:r>
          </w:p>
        </w:tc>
        <w:tc>
          <w:tcPr>
            <w:tcW w:w="8497" w:type="dxa"/>
          </w:tcPr>
          <w:p w14:paraId="6F542E1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(–) VĒRTĪBAS KOREKCIJAS UN UZKRĀJUMI, KAS SAISTĪTI AR SĀKOTNĒJO RISKA DARĪJUMU VĒRTĪBU</w:t>
            </w:r>
          </w:p>
          <w:p w14:paraId="0B7A2AC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Sk. norādes par C 07.00 veidnes 0030. sleju.</w:t>
            </w:r>
          </w:p>
        </w:tc>
      </w:tr>
      <w:tr w:rsidR="009658DD" w:rsidRPr="000059B8" w14:paraId="53A00560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40703B3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0030.</w:t>
            </w:r>
          </w:p>
        </w:tc>
        <w:tc>
          <w:tcPr>
            <w:tcW w:w="8497" w:type="dxa"/>
          </w:tcPr>
          <w:p w14:paraId="2C9DC30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RISKA DARĪJUMU VĒRTĪBA BEZ VĒRTĪBAS KOREKCIJĀM UN UZKRĀJUMIEM</w:t>
            </w:r>
          </w:p>
          <w:p w14:paraId="6DAAFC5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0010. un 0020. slejas summa.</w:t>
            </w:r>
          </w:p>
        </w:tc>
      </w:tr>
      <w:tr w:rsidR="009658DD" w:rsidRPr="000059B8" w14:paraId="769AD1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CFB174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0040.</w:t>
            </w:r>
          </w:p>
        </w:tc>
        <w:tc>
          <w:tcPr>
            <w:tcW w:w="8497" w:type="dxa"/>
          </w:tcPr>
          <w:p w14:paraId="07B9E69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RISKA DARĪJUMU VĒRTĪBA</w:t>
            </w:r>
          </w:p>
          <w:p w14:paraId="31C89221" w14:textId="597B888A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t xml:space="preserve">Sk. norādes par C 07.00 veidnes 0200. sleju.</w:t>
            </w:r>
          </w:p>
        </w:tc>
      </w:tr>
      <w:tr w:rsidR="009658DD" w:rsidRPr="000059B8" w14:paraId="163834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C5D967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0050.</w:t>
            </w:r>
          </w:p>
        </w:tc>
        <w:tc>
          <w:tcPr>
            <w:tcW w:w="8497" w:type="dxa"/>
          </w:tcPr>
          <w:p w14:paraId="448E18E1" w14:textId="5C7DB538" w:rsidR="009658DD" w:rsidRPr="000059B8" w:rsidRDefault="009658DD" w:rsidP="00822842">
            <w:pPr>
              <w:rPr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IZRIET NO DARĪJUMA PARTNERA KREDĪTRISKA</w:t>
            </w:r>
          </w:p>
          <w:p w14:paraId="080A825F" w14:textId="219531D5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b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Sk. norādes par C 07.00 veidnes 0210. sleju.</w:t>
            </w:r>
          </w:p>
        </w:tc>
      </w:tr>
      <w:tr w:rsidR="009658DD" w:rsidRPr="000059B8" w14:paraId="65E77A5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053C4E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0060.–0080.</w:t>
            </w:r>
          </w:p>
        </w:tc>
        <w:tc>
          <w:tcPr>
            <w:tcW w:w="8497" w:type="dxa"/>
          </w:tcPr>
          <w:p w14:paraId="75A562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PAŠU KAPITĀLA MINIMĀLĀ ROBEŽVĒRTĪBA</w:t>
            </w:r>
          </w:p>
          <w:p w14:paraId="64BDF18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92. panta 3. punkts un 92. panta 5. punkts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</w:p>
        </w:tc>
      </w:tr>
      <w:tr w:rsidR="009658DD" w:rsidRPr="000059B8" w14:paraId="3618133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C4C710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0060.</w:t>
            </w:r>
          </w:p>
        </w:tc>
        <w:tc>
          <w:tcPr>
            <w:tcW w:w="8497" w:type="dxa"/>
          </w:tcPr>
          <w:p w14:paraId="1B9A1B0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i/>
                <w:iCs/>
                <w:rFonts w:ascii="Times New Roman" w:hAnsi="Times New Roman"/>
              </w:rPr>
              <w:t xml:space="preserve">S-TREA</w:t>
            </w:r>
          </w:p>
          <w:p w14:paraId="020C8A08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Iestādes kopējā riska darījumu vērtība (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S-TREA</w:t>
            </w:r>
            <w:r>
              <w:rPr>
                <w:sz w:val="24"/>
                <w:rFonts w:ascii="Times New Roman" w:hAnsi="Times New Roman"/>
              </w:rPr>
              <w:t xml:space="preserve">), ko aprēķina saskaņā ar Regulas (ES) Nr. 575/2013 92. panta 5. punktu.</w:t>
            </w:r>
          </w:p>
        </w:tc>
      </w:tr>
      <w:tr w:rsidR="009658DD" w:rsidRPr="000059B8" w14:paraId="621D8DA4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54A7368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0070.</w:t>
            </w:r>
          </w:p>
        </w:tc>
        <w:tc>
          <w:tcPr>
            <w:tcW w:w="8497" w:type="dxa"/>
          </w:tcPr>
          <w:p w14:paraId="2DE38CF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IZRIET NO DARĪJUMA PARTNERA KREDĪTRISKA</w:t>
            </w:r>
          </w:p>
          <w:p w14:paraId="0DA3DB3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i/>
                <w:iCs/>
                <w:rFonts w:ascii="Times New Roman" w:hAnsi="Times New Roman"/>
              </w:rPr>
              <w:t xml:space="preserve">S-TREA</w:t>
            </w:r>
            <w:r>
              <w:rPr>
                <w:sz w:val="24"/>
                <w:rFonts w:ascii="Times New Roman" w:hAnsi="Times New Roman"/>
              </w:rPr>
              <w:t xml:space="preserve"> darījuma partnera kredītriskam, kas aprēķināta saskaņā ar metodēm, kuras noteiktas Regulas (ES) Nr. 575/2013 Trešās daļas II sadaļas 6. nodaļā.</w:t>
            </w:r>
          </w:p>
        </w:tc>
      </w:tr>
      <w:tr w:rsidR="009658DD" w:rsidRPr="000059B8" w14:paraId="68CD522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2CFC36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0080.</w:t>
            </w:r>
          </w:p>
        </w:tc>
        <w:tc>
          <w:tcPr>
            <w:tcW w:w="8497" w:type="dxa"/>
          </w:tcPr>
          <w:p w14:paraId="1788967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AR KREDĪTNOVĒRTĒJUMU, KO VEIC NORĪKOTA ĀKNI</w:t>
            </w:r>
          </w:p>
          <w:p w14:paraId="6E024992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112. panta a)–d) punkts, f), g), l), n), o) un q) punkts.</w:t>
            </w:r>
          </w:p>
        </w:tc>
      </w:tr>
      <w:tr w:rsidR="009658DD" w:rsidRPr="000059B8" w14:paraId="1DD292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7D5CCE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0090.–0110.</w:t>
            </w:r>
          </w:p>
        </w:tc>
        <w:tc>
          <w:tcPr>
            <w:tcW w:w="8497" w:type="dxa"/>
          </w:tcPr>
          <w:p w14:paraId="50239EBA" w14:textId="73A58BEC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IZZIŅAS POSTEŅI: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i/>
                <w:iCs/>
                <w:rFonts w:ascii="Times New Roman" w:hAnsi="Times New Roman"/>
              </w:rPr>
              <w:t xml:space="preserve">RWEA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SAISTĪBĀ AR IETEKMI, KO RADA KONKRĒTU PĀREJAS NOTEIKUMU PIEMĒROŠANA</w:t>
            </w:r>
          </w:p>
          <w:p w14:paraId="018D1E5D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92. panta 3. punkts un 465. pants.</w:t>
            </w:r>
            <w:r>
              <w:rPr>
                <w:sz w:val="24"/>
                <w:rFonts w:ascii="Times New Roman" w:hAnsi="Times New Roman"/>
              </w:rPr>
              <w:t xml:space="preserve"> </w:t>
            </w:r>
            <w:r>
              <w:rPr>
                <w:sz w:val="24"/>
                <w:rFonts w:ascii="Times New Roman" w:hAnsi="Times New Roman"/>
              </w:rPr>
              <w:t xml:space="preserve">Uzrāda starpību starp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RWEA</w:t>
            </w:r>
            <w:r>
              <w:rPr>
                <w:sz w:val="24"/>
                <w:rFonts w:ascii="Times New Roman" w:hAnsi="Times New Roman"/>
              </w:rPr>
              <w:t xml:space="preserve"> summu, nepiemērojot pārejas noteikumus, un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 RWEA</w:t>
            </w:r>
            <w:r>
              <w:rPr>
                <w:sz w:val="24"/>
                <w:rFonts w:ascii="Times New Roman" w:hAnsi="Times New Roman"/>
              </w:rPr>
              <w:t xml:space="preserve"> summu, piemērojot pārejas noteikumus.</w:t>
            </w:r>
          </w:p>
        </w:tc>
      </w:tr>
      <w:tr w:rsidR="009658DD" w:rsidRPr="000059B8" w14:paraId="1C11FAC7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24FF0D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0090.</w:t>
            </w:r>
          </w:p>
        </w:tc>
        <w:tc>
          <w:tcPr>
            <w:tcW w:w="8497" w:type="dxa"/>
          </w:tcPr>
          <w:p w14:paraId="3FD7895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RISKA DARĪJUMI, KAS NODROŠINĀTI AR MĀJOKĻA ĪPAŠUMA HIPOTĒKU LĪDZ 55 % NO ĪPAŠUMA VĒRTĪBAS</w:t>
            </w:r>
          </w:p>
          <w:p w14:paraId="4ABBA76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465. panta 5. punkta a) apakšpunkts</w:t>
            </w:r>
          </w:p>
        </w:tc>
      </w:tr>
      <w:tr w:rsidR="009658DD" w:rsidRPr="000059B8" w14:paraId="5E2C77A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8CE6E6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0100.</w:t>
            </w:r>
          </w:p>
        </w:tc>
        <w:tc>
          <w:tcPr>
            <w:tcW w:w="8497" w:type="dxa"/>
          </w:tcPr>
          <w:p w14:paraId="226E0B2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RISKA DARĪJUMI, KAS NODROŠINĀTI AR MĀJOKĻA ĪPAŠUMU HIPOTĒKU NO 55 % LĪDZ 80 % APMĒRĀ NO ĪPAŠUMA VĒRTĪBAS</w:t>
            </w:r>
          </w:p>
          <w:p w14:paraId="72AFD28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465. panta 5. punkta b) apakšpunkts</w:t>
            </w:r>
          </w:p>
        </w:tc>
      </w:tr>
      <w:tr w:rsidR="009658DD" w:rsidRPr="000059B8" w14:paraId="728F8A7D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6AF84B1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0110.</w:t>
            </w:r>
          </w:p>
        </w:tc>
        <w:tc>
          <w:tcPr>
            <w:tcW w:w="8497" w:type="dxa"/>
          </w:tcPr>
          <w:p w14:paraId="52668FD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RISKA DARĪJUMI AR KOMERCSABIEDRĪBĀM, KURĀM NAV PIEŠĶIRTS KREDĪTREITINGS AR SAISTĪBU NEPILDĪŠANAS VARBŪTĪBAS (</w:t>
            </w:r>
            <w:r>
              <w:rPr>
                <w:rStyle w:val="InstructionsTabelleberschrift"/>
                <w:sz w:val="24"/>
                <w:i/>
                <w:iCs/>
                <w:rFonts w:ascii="Times New Roman" w:hAnsi="Times New Roman"/>
              </w:rPr>
              <w:t xml:space="preserve">PD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) APLĒSI</w:t>
            </w:r>
          </w:p>
          <w:p w14:paraId="43AA2D10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465. panta 3. punkts</w:t>
            </w:r>
          </w:p>
        </w:tc>
      </w:tr>
      <w:tr w:rsidR="00F42716" w:rsidRPr="000059B8" w14:paraId="06AB372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E531872" w14:textId="71E1B4E9" w:rsidR="00F42716" w:rsidRPr="00BF08E5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0120.</w:t>
            </w:r>
          </w:p>
        </w:tc>
        <w:tc>
          <w:tcPr>
            <w:tcW w:w="8497" w:type="dxa"/>
          </w:tcPr>
          <w:p w14:paraId="76C04A50" w14:textId="3AA704BF" w:rsidR="00F42716" w:rsidRDefault="00031259" w:rsidP="00822842">
            <w:pPr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IRB RISKA DARĪJUMI, KAS PAKĻAUTI DARĪJUMA PARTNERA KREDĪTRISKAM SASKAŅĀ AR IMM</w:t>
            </w:r>
          </w:p>
          <w:p w14:paraId="44DDA90D" w14:textId="11F3D5C3" w:rsidR="00F42716" w:rsidRPr="00F42716" w:rsidRDefault="00F42716" w:rsidP="00822842">
            <w:pPr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465. panta 4. punkts</w:t>
            </w:r>
          </w:p>
        </w:tc>
      </w:tr>
      <w:tr w:rsidR="009658DD" w:rsidRPr="000059B8" w14:paraId="788E5868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9E385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b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b/>
                <w:sz w:val="24"/>
                <w:rFonts w:ascii="Times New Roman" w:hAnsi="Times New Roman"/>
              </w:rPr>
              <w:t xml:space="preserve">Rindas</w:t>
            </w:r>
          </w:p>
        </w:tc>
      </w:tr>
      <w:tr w:rsidR="009658DD" w:rsidRPr="000059B8" w14:paraId="6E6D3E6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893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0010.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69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KOPĒJĀ RISKA DARĪJUMU VĒRTĪBA</w:t>
            </w:r>
          </w:p>
          <w:p w14:paraId="12F57A9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 (ES) Nr. 575/2013 92. panta 3. punkts un 95., 96. un 98. pants.</w:t>
            </w:r>
          </w:p>
        </w:tc>
      </w:tr>
      <w:tr w:rsidR="009658DD" w:rsidRPr="000059B8" w14:paraId="7A82FC1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60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0020.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4A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stingrākas papildu prudenciālās prasības saskaņā ar Regulas (ES) Nr. 575/2013 124. pantu</w:t>
            </w:r>
          </w:p>
          <w:p w14:paraId="1B71DEF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Iestādes saskaņā ar Regulas (ES) Nr. 575/2013 124. panta 2. un 5. punktu ziņo par papildu riska darījumu summām, kas nepieciešamas, lai nodrošinātu atbilstību stingrākām prudenciālajām prasībām, kā paziņots iestādēm pēc apspriešanās ar EBI.</w:t>
            </w:r>
          </w:p>
        </w:tc>
      </w:tr>
      <w:tr w:rsidR="009658DD" w:rsidRPr="000059B8" w14:paraId="077E3F8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38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0030.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CA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SP riska darījumu kategorijas, neskaitot vērtspapīrošanas pozīcijas</w:t>
            </w:r>
          </w:p>
          <w:p w14:paraId="77EE2E9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CR SA veidne kopējo riska darījumu līmenī.</w:t>
            </w:r>
            <w:r>
              <w:rPr>
                <w:sz w:val="24"/>
                <w:rStyle w:val="FormatvorlageInstructionsTabelleText"/>
                <w:rFonts w:ascii="Times New Roman" w:hAnsi="Times New Roman"/>
              </w:rPr>
              <w:t xml:space="preserve"> </w:t>
            </w:r>
            <w:r>
              <w:rPr>
                <w:sz w:val="24"/>
                <w:i/>
                <w:iCs/>
                <w:rFonts w:ascii="Times New Roman" w:hAnsi="Times New Roman"/>
              </w:rPr>
              <w:t xml:space="preserve">SA</w:t>
            </w:r>
            <w:r>
              <w:rPr>
                <w:sz w:val="24"/>
                <w:rFonts w:ascii="Times New Roman" w:hAnsi="Times New Roman"/>
              </w:rPr>
              <w:t xml:space="preserve"> riska darījumu kategorijas ir Regulas (ES) Nr. 575/2013 112. pantā </w:t>
            </w:r>
            <w:r>
              <w:rPr>
                <w:sz w:val="24"/>
                <w:u w:val="single"/>
                <w:b/>
                <w:bCs/>
                <w:rFonts w:ascii="Times New Roman" w:hAnsi="Times New Roman"/>
              </w:rPr>
              <w:t xml:space="preserve">minētās</w:t>
            </w:r>
            <w:r>
              <w:rPr>
                <w:sz w:val="24"/>
                <w:rFonts w:ascii="Times New Roman" w:hAnsi="Times New Roman"/>
              </w:rPr>
              <w:t xml:space="preserve"> kategorijas, izņemot vērtspapīrošanas pozīcijas.</w:t>
            </w:r>
          </w:p>
        </w:tc>
      </w:tr>
      <w:tr w:rsidR="009658DD" w:rsidRPr="000059B8" w14:paraId="46E4915B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14C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0040.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F8D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Centrālās valdības vai centrālās bankas</w:t>
            </w:r>
          </w:p>
          <w:p w14:paraId="07B1B11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 SA veidni</w:t>
            </w:r>
          </w:p>
        </w:tc>
      </w:tr>
      <w:tr w:rsidR="009658DD" w:rsidRPr="000059B8" w14:paraId="42E9D4A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8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0050.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B50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Reģionālās pašvaldības vai vietējās pašpārvaldes</w:t>
            </w:r>
          </w:p>
          <w:p w14:paraId="4FD1E92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9658DD" w:rsidRPr="000059B8" w14:paraId="0EAF4F4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A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0060.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9DB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Publiskā sektora struktūras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1CAF5DD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9658DD" w:rsidRPr="000059B8" w14:paraId="23202455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8A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0070.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1AAF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Daudzpusējas attīstības bankas</w:t>
            </w:r>
          </w:p>
          <w:p w14:paraId="4C77987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9658DD" w:rsidRPr="000059B8" w14:paraId="5B7EB25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F5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0080.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3A2C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Starptautiskas organizācijas</w:t>
            </w:r>
          </w:p>
          <w:p w14:paraId="0A6B8FF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9658DD" w:rsidRPr="000059B8" w14:paraId="74D44A2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6D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0090.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679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Iestādes</w:t>
            </w:r>
          </w:p>
          <w:p w14:paraId="41CD1CB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9658DD" w:rsidRPr="000059B8" w14:paraId="3D91C99C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E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8856" w14:textId="01C84568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Komercsabiedrības – citas</w:t>
            </w:r>
          </w:p>
          <w:p w14:paraId="7F09FF3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F42716" w:rsidRPr="000059B8" w14:paraId="74769E60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8C0" w14:textId="228F9474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0101.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F1E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Riska darījumi ar komercsabiedrībām, kurām nav piešķirts kredītreitings ar</w:t>
            </w:r>
            <w:r>
              <w:rPr>
                <w:rStyle w:val="InstructionsTabelleberschrift"/>
                <w:sz w:val="24"/>
                <w:i/>
                <w:iCs/>
                <w:rFonts w:ascii="Times New Roman" w:hAnsi="Times New Roman"/>
              </w:rPr>
              <w:t xml:space="preserve"> PD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aplēsi</w:t>
            </w:r>
          </w:p>
          <w:p w14:paraId="3C17B48F" w14:textId="60283FFA" w:rsidR="00F42716" w:rsidRP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465. panta 3. punkts</w:t>
            </w:r>
          </w:p>
        </w:tc>
      </w:tr>
      <w:tr w:rsidR="009658DD" w:rsidRPr="000059B8" w14:paraId="27D409E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8A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</w:t>
            </w:r>
            <w:r>
              <w:rPr>
                <w:rStyle w:val="InstructionsTabelleText"/>
              </w:rPr>
              <w:t xml:space="preserve">110.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067C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Nopirktie debitoru parādi</w:t>
            </w:r>
          </w:p>
          <w:p w14:paraId="6CA59863" w14:textId="77777777" w:rsidR="009658DD" w:rsidRPr="004F4F7B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u w:val="single"/>
                <w:rFonts w:ascii="Times New Roman" w:hAnsi="Times New Roman"/>
              </w:rPr>
              <w:t xml:space="preserve">Riska darījumi, kas saskaņā ar IRB pieeju iedalīti riska darījumu kategorijā “Iepirktie debitoru parādi” saskaņā ar</w:t>
            </w:r>
            <w:r>
              <w:rPr>
                <w:sz w:val="24"/>
                <w:rFonts w:ascii="Times New Roman" w:hAnsi="Times New Roman"/>
              </w:rPr>
              <w:t xml:space="preserve"> Regulas (ES) Nr. 575/2013 </w:t>
            </w:r>
            <w:r>
              <w:rPr>
                <w:sz w:val="24"/>
                <w:u w:val="single"/>
                <w:rFonts w:ascii="Times New Roman" w:hAnsi="Times New Roman"/>
              </w:rPr>
              <w:t xml:space="preserve">147. panta 2. punkta c) apakšpunkta iii) punktu</w:t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  <w:tr w:rsidR="009658DD" w:rsidRPr="000059B8" w14:paraId="65CFD92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0D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0120.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79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Komercsabiedrības — specializētā kreditēšana</w:t>
            </w:r>
          </w:p>
          <w:p w14:paraId="1A6312A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9658DD" w:rsidRPr="000059B8" w14:paraId="31C4E4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FE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177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Privātpersonas vai MVU</w:t>
            </w:r>
          </w:p>
          <w:p w14:paraId="46E09BC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9658DD" w:rsidRPr="000059B8" w14:paraId="5D52C96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FF3" w14:textId="3D27CE36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0131.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537B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Atbilstīgi atjaunojami</w:t>
            </w:r>
          </w:p>
          <w:p w14:paraId="6784663B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Riska darījumi, kas saskaņā ar IRB pieeju iedalīti riska darījumu kategorijā “Iepirktie debitoru parādi” saskaņā ar Regulas (ES) Nr. 575/2013 147. panta 2. punkta d) apakšpunkta i) punktu.</w:t>
            </w:r>
          </w:p>
        </w:tc>
      </w:tr>
      <w:tr w:rsidR="009658DD" w:rsidRPr="000059B8" w14:paraId="366933B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0A4" w14:textId="55726B13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0132.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4012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Nopirktie debitoru parādi</w:t>
            </w:r>
          </w:p>
          <w:p w14:paraId="7A29F356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Riska darījumi, kas saskaņā ar IRB pieeju iedalīti riska darījumu kategorijā “Iepirktie debitoru parādi” saskaņā ar Regulas (ES) Nr. 575/2013 147. panta 2. punkta d) apakšpunkta iii) punktu.</w:t>
            </w:r>
          </w:p>
        </w:tc>
      </w:tr>
      <w:tr w:rsidR="009658DD" w:rsidRPr="000059B8" w14:paraId="4CBE357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991F" w14:textId="631465F1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34B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Nodrošināti ar nekustamā īpašuma hipotēku, un ADC riska darījumi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6A97630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F42716" w:rsidRPr="000059B8" w14:paraId="1765461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47FC" w14:textId="16A38D8A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0151.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DDD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Riska darījumi, kas nodrošināti ar mājokļa īpašuma hipotēku līdz 55 % no īpašuma vērtības</w:t>
            </w:r>
          </w:p>
          <w:p w14:paraId="044648D8" w14:textId="29763600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465. panta 5. punkta a) apakšpunkts</w:t>
            </w:r>
          </w:p>
        </w:tc>
      </w:tr>
      <w:tr w:rsidR="00F42716" w:rsidRPr="000059B8" w14:paraId="428130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A154" w14:textId="7A27FF6C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0152.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E7C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Riska darījumi, kas nodrošināti ar mājokļa īpašuma hipotēku, no 55 % līdz 80 % no īpašuma vērtības</w:t>
            </w:r>
          </w:p>
          <w:p w14:paraId="1F2DFE4A" w14:textId="4701280A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465. panta 5. punkta b) apakšpunkts</w:t>
            </w:r>
          </w:p>
        </w:tc>
      </w:tr>
      <w:tr w:rsidR="001E0830" w:rsidRPr="002A677E" w14:paraId="3A25651C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14F" w14:textId="298E271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0153.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E01F" w14:textId="7AC36BD9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Nodrošināti ar mājokļa nekustamā īpašuma hipotēku — ieņēmumus nenesošs (nodrošināts)</w:t>
            </w:r>
          </w:p>
          <w:p w14:paraId="1336D8BC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1E0830" w:rsidRPr="002A677E" w14:paraId="26B76108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195" w14:textId="161679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0154.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5E0" w14:textId="53899B6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Nodrošināti ar mājokļa nekustamā īpašuma hipotēku — ieņēmumus nenesošs (nenodrošināts)</w:t>
            </w:r>
          </w:p>
          <w:p w14:paraId="10BC669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1E0830" w:rsidRPr="002A677E" w14:paraId="7003CFF5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4A7" w14:textId="2ACCCD94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0155.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1614" w14:textId="592C798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Nodrošināti ar mājokļa nekustamā īpašuma hipotēku — Citi — ieņēmumus nenesošs</w:t>
            </w:r>
          </w:p>
          <w:p w14:paraId="6EFCB6F5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1E0830" w:rsidRPr="002A677E" w14:paraId="78F5883A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ED0D" w14:textId="7339F2F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0156.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0017" w14:textId="3893B044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Riska darījumi, kas nodrošināti ar mājokļa nekustamā īpašuma hipotēku un ir ienākumus nesoši</w:t>
            </w:r>
          </w:p>
          <w:p w14:paraId="42EC293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1E0830" w:rsidRPr="002A677E" w14:paraId="2012DDA4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30" w14:textId="205EFBD8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0157.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7A08" w14:textId="056628F0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Nodrošināti ar komerciāla nekustamā īpašuma hipotēku — Citi — ieņēmumus nesošs</w:t>
            </w:r>
          </w:p>
          <w:p w14:paraId="0DC3800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1E0830" w:rsidRPr="002A677E" w14:paraId="0AFCFA4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B4C" w14:textId="309808C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0158.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675D" w14:textId="5FB1939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Nodrošināti ar komerciāla nekustamā īpašuma hipotēku — ieņēmumus nenesošs (nodrošināts)</w:t>
            </w:r>
          </w:p>
          <w:p w14:paraId="16490978" w14:textId="77777777" w:rsidR="001E0830" w:rsidRPr="009161EF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b/>
                <w:sz w:val="24"/>
                <w:u w:val="single"/>
                <w:rFonts w:ascii="Times New Roman" w:hAnsi="Times New Roman"/>
              </w:rPr>
              <w:t xml:space="preserve">Sk. CR SA veidni.</w:t>
            </w:r>
          </w:p>
        </w:tc>
      </w:tr>
      <w:tr w:rsidR="001E0830" w:rsidRPr="002A677E" w14:paraId="7AB2BA41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8FB" w14:textId="556B41DE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0159.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0A14" w14:textId="5093A28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Nodrošināti ar komerciāla nekustamā īpašuma hipotēku — ieņēmumus nenesošs (nenodrošināts)</w:t>
            </w:r>
          </w:p>
          <w:p w14:paraId="5F988EFF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1E0830" w:rsidRPr="002A677E" w14:paraId="5BD43B7F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5DA" w14:textId="2073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87F2" w14:textId="49D1BAF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Nodrošināti ar komerciāla nekustamā īpašuma hipotēku — Citi — ieņēmumus nenesošs</w:t>
            </w:r>
          </w:p>
          <w:p w14:paraId="23004142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1E0830" w:rsidRPr="002A677E" w14:paraId="113FC209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BA7" w14:textId="7F2355C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0161.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41AC" w14:textId="13A3918A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Nodrošināti ar komerciāla nekustamā īpašuma hipotēku — ieņēmumus nesošs</w:t>
            </w:r>
          </w:p>
          <w:p w14:paraId="4BEE550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1E0830" w:rsidRPr="002A677E" w14:paraId="44391CA6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F5C" w14:textId="07E40696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0162.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B02F" w14:textId="6BC502F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Nodrošināti ar komerciāla nekustamā īpašuma hipotēku — Citi — ieņēmumus nesošs</w:t>
            </w:r>
          </w:p>
          <w:p w14:paraId="4636ED4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1E0830" w:rsidRPr="002A677E" w14:paraId="2D59DA3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910" w14:textId="6E6B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bCs w:val="0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0163.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0612" w14:textId="69B293C6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Iegāde, attīstība un būvniecība (</w:t>
            </w:r>
            <w:r>
              <w:rPr>
                <w:rStyle w:val="InstructionsTabelleberschrift"/>
                <w:sz w:val="24"/>
                <w:i/>
                <w:iCs/>
                <w:rFonts w:ascii="Times New Roman" w:hAnsi="Times New Roman"/>
              </w:rPr>
              <w:t xml:space="preserve">ADC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)</w:t>
            </w:r>
          </w:p>
          <w:p w14:paraId="6F33B2A8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9658DD" w:rsidRPr="000059B8" w14:paraId="0F00560A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31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sz w:val="24"/>
                <w:rStyle w:val="InstructionsTabelleText"/>
                <w:rFonts w:ascii="Times New Roman" w:hAnsi="Times New Roman"/>
              </w:rPr>
              <w:t xml:space="preserve">0</w:t>
            </w:r>
            <w:r>
              <w:rPr>
                <w:sz w:val="24"/>
                <w:rFonts w:ascii="Times New Roman" w:hAnsi="Times New Roman"/>
              </w:rPr>
              <w:t xml:space="preserve">170.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3C24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No kā: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Klasificēti kā nodrošināti ar mājokļa nekustamo īpašumu saskaņā ar IRB</w:t>
            </w:r>
          </w:p>
          <w:p w14:paraId="6209048C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rFonts w:ascii="Times New Roman" w:hAnsi="Times New Roman"/>
              </w:rPr>
            </w:pPr>
            <w:r>
              <w:rPr>
                <w:sz w:val="24"/>
                <w:u w:val="single"/>
                <w:rFonts w:ascii="Times New Roman" w:hAnsi="Times New Roman"/>
              </w:rPr>
              <w:t xml:space="preserve">Riska darījumi, kas saskaņā ar IRB pieeju iedalīti riska darījumu kategorijā “Iepirktie debitoru parādi” saskaņā ar Regulas (ES) Nr. 575/2013 147. panta 2. punkta d) apakšpunkta ii) punktu</w:t>
            </w:r>
            <w:r>
              <w:rPr>
                <w:sz w:val="24"/>
                <w:rFonts w:ascii="Times New Roman" w:hAnsi="Times New Roman"/>
              </w:rPr>
              <w:t xml:space="preserve">.</w:t>
            </w:r>
          </w:p>
        </w:tc>
      </w:tr>
      <w:tr w:rsidR="009658DD" w:rsidRPr="000059B8" w14:paraId="50856D8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5A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0180.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68F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Riska darījumi, kuros netiek pildītas saistības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7493433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9658DD" w:rsidRPr="000059B8" w14:paraId="01AE9D3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0190.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0D1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Pakārtoto parāda vērtspapīru riska darījumi</w:t>
            </w:r>
          </w:p>
          <w:p w14:paraId="4F12074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9658DD" w:rsidRPr="000059B8" w14:paraId="7579461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13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0200.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2B4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Segtās obligācijas</w:t>
            </w:r>
          </w:p>
          <w:p w14:paraId="16F94FD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9658DD" w:rsidRPr="000059B8" w14:paraId="6621AA3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AA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0210.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F48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Prasījumi pret iestādēm un komercsabiedrībām, kam ir noteikts īstermiņa kredītnovērtējums</w:t>
            </w: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 </w:t>
            </w:r>
          </w:p>
          <w:p w14:paraId="5CCE01A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9658DD" w:rsidRPr="000059B8" w14:paraId="0311DC6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3427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0220.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CE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Kolektīvo ieguldījumu uzņēmumi (KIU)</w:t>
            </w:r>
          </w:p>
          <w:p w14:paraId="0AFC108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9658DD" w:rsidRPr="000059B8" w14:paraId="17B0D4F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8C4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0230.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FA4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Kapitāla vērtspapīru riska darījumi</w:t>
            </w:r>
          </w:p>
          <w:p w14:paraId="6C586F4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9658DD" w:rsidRPr="000059B8" w14:paraId="204CB03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AE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0240.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8F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Citi posteņi</w:t>
            </w:r>
          </w:p>
          <w:p w14:paraId="7EDA85D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FormatvorlageInstructionsTabelleText"/>
                <w:sz w:val="24"/>
                <w:rFonts w:ascii="Times New Roman" w:hAnsi="Times New Roman"/>
              </w:rPr>
              <w:t xml:space="preserve">Sk. CR SA veidni.</w:t>
            </w:r>
          </w:p>
        </w:tc>
      </w:tr>
      <w:tr w:rsidR="009658DD" w:rsidRPr="000059B8" w14:paraId="03372165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042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</w:rPr>
              <w:t xml:space="preserve">ĀRPUSBILANCES POSTEŅI</w:t>
            </w:r>
          </w:p>
        </w:tc>
      </w:tr>
      <w:tr w:rsidR="009658DD" w:rsidRPr="000059B8" w14:paraId="5B6FFF8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A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</w:t>
            </w:r>
            <w:r>
              <w:rPr>
                <w:rStyle w:val="InstructionsTabelleText"/>
              </w:rPr>
              <w:t xml:space="preserve">250.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9D9E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Komercsabiedrības — F-IRB</w:t>
            </w:r>
          </w:p>
          <w:p w14:paraId="58B2B8FF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Riska darījumi ar komercsabiedrībām, kam piemēro IRB pamatpieeju</w:t>
            </w:r>
          </w:p>
        </w:tc>
      </w:tr>
      <w:tr w:rsidR="009658DD" w:rsidRPr="000059B8" w14:paraId="03002DD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A2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</w:t>
            </w:r>
            <w:r>
              <w:rPr>
                <w:rStyle w:val="InstructionsTabelleText"/>
              </w:rPr>
              <w:t xml:space="preserve">260.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CFD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Komercsabiedrības – A-IRB</w:t>
            </w:r>
          </w:p>
          <w:p w14:paraId="595A9482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rStyle w:val="InstructionsTabelleberschrift"/>
                <w:b w:val="0"/>
                <w:sz w:val="24"/>
                <w:u w:val="none"/>
                <w:rFonts w:ascii="Times New Roman" w:hAnsi="Times New Roman"/>
              </w:rPr>
              <w:t xml:space="preserve">Riska darījumi ar komercsabiedrībām, kam piemēro attīstīto IRB pieeju</w:t>
            </w:r>
          </w:p>
        </w:tc>
      </w:tr>
      <w:tr w:rsidR="00031259" w:rsidRPr="000059B8" w14:paraId="7D25D423" w14:textId="77777777" w:rsidTr="000312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06B" w14:textId="77777777" w:rsidR="00031259" w:rsidRDefault="00031259" w:rsidP="00035FAB">
            <w:pPr>
              <w:spacing w:beforeLines="60" w:before="144" w:afterLines="60" w:after="144"/>
              <w:rPr>
                <w:rStyle w:val="InstructionsTabelleText"/>
                <w:sz w:val="24"/>
                <w:rFonts w:ascii="Times New Roman" w:hAnsi="Times New Roman"/>
              </w:rPr>
            </w:pPr>
            <w:r>
              <w:rPr>
                <w:rStyle w:val="InstructionsTabelleText"/>
                <w:sz w:val="24"/>
                <w:rFonts w:ascii="Times New Roman" w:hAnsi="Times New Roman"/>
              </w:rPr>
              <w:t xml:space="preserve">0270.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81CE" w14:textId="3810D714" w:rsid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sz w:val="24"/>
                <w:rFonts w:ascii="Times New Roman" w:hAnsi="Times New Roman"/>
              </w:rPr>
            </w:pPr>
            <w:r>
              <w:rPr>
                <w:rStyle w:val="InstructionsTabelleberschrift"/>
                <w:sz w:val="24"/>
                <w:rFonts w:ascii="Times New Roman" w:hAnsi="Times New Roman"/>
              </w:rPr>
              <w:t xml:space="preserve">SP riska darījumi, kas pakļauti darījuma partnera kredītriskam saskaņā ar IMM</w:t>
            </w:r>
          </w:p>
          <w:p w14:paraId="2E869C45" w14:textId="77777777" w:rsidR="00031259" w:rsidRP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b w:val="0"/>
                <w:bCs w:val="0"/>
                <w:sz w:val="24"/>
                <w:u w:val="none"/>
                <w:rFonts w:ascii="Times New Roman" w:hAnsi="Times New Roman"/>
              </w:rPr>
            </w:pPr>
            <w:r>
              <w:rPr>
                <w:sz w:val="24"/>
                <w:rFonts w:ascii="Times New Roman" w:hAnsi="Times New Roman"/>
              </w:rPr>
              <w:t xml:space="preserve">Regulas (ES) Nr. 575/2013 465. panta 4. punkts</w:t>
            </w:r>
          </w:p>
        </w:tc>
      </w:tr>
    </w:tbl>
    <w:p w14:paraId="45E26769" w14:textId="77777777" w:rsidR="009658DD" w:rsidRDefault="009658DD"/>
    <w:p w14:paraId="0DCEB443" w14:textId="77777777" w:rsidR="009658DD" w:rsidRDefault="009658DD"/>
    <w:sectPr w:rsidR="009658DD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A073B" w14:textId="77777777" w:rsidR="00E26A90" w:rsidRDefault="00E26A90" w:rsidP="00E26A90">
      <w:pPr>
        <w:spacing w:after="0"/>
      </w:pPr>
      <w:r>
        <w:separator/>
      </w:r>
    </w:p>
  </w:endnote>
  <w:endnote w:type="continuationSeparator" w:id="0">
    <w:p w14:paraId="4D137E89" w14:textId="77777777" w:rsidR="00E26A90" w:rsidRDefault="00E26A90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3C0CF" w14:textId="77777777" w:rsidR="00E26A90" w:rsidRDefault="00E26A90" w:rsidP="00E26A90">
      <w:pPr>
        <w:spacing w:after="0"/>
      </w:pPr>
      <w:r>
        <w:separator/>
      </w:r>
    </w:p>
  </w:footnote>
  <w:footnote w:type="continuationSeparator" w:id="0">
    <w:p w14:paraId="0FB73E57" w14:textId="77777777" w:rsidR="00E26A90" w:rsidRDefault="00E26A90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C0291" w14:textId="50F94529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I oficiālai lietošanai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EBI oficiālai lietošanai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I oficiālai lietošanai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EBI oficiālai lietošanai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2170D" w14:textId="140FE0A2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I oficiālai lietošanai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EBI oficiālai lietošanai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I oficiālai lietošanai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EBI oficiālai lietošanai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7100" w14:textId="19F65C93" w:rsidR="00E26A90" w:rsidRDefault="00E26A90">
    <w:pPr>
      <w:pStyle w:val="Header"/>
    </w:pPr>
    <w: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I oficiālai lietošanai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noProof/>
                              <w:color w:val="000000"/>
                              <w:sz w:val="24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000000"/>
                              <w:sz w:val="24"/>
                              <w:rFonts w:ascii="Calibri" w:hAnsi="Calibri"/>
                            </w:rPr>
                            <w:t xml:space="preserve">EBI oficiālai lietošanai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I oficiālai lietošanai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EBI oficiālai lietošanai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2942D9"/>
    <w:multiLevelType w:val="multilevel"/>
    <w:tmpl w:val="5F42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5394352">
    <w:abstractNumId w:val="1"/>
  </w:num>
  <w:num w:numId="2" w16cid:durableId="1923681300">
    <w:abstractNumId w:val="0"/>
  </w:num>
  <w:num w:numId="3" w16cid:durableId="136552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21F8"/>
    <w:rsid w:val="000234CA"/>
    <w:rsid w:val="00031259"/>
    <w:rsid w:val="001C3967"/>
    <w:rsid w:val="001E0830"/>
    <w:rsid w:val="002706FA"/>
    <w:rsid w:val="004F33E2"/>
    <w:rsid w:val="00631535"/>
    <w:rsid w:val="00631623"/>
    <w:rsid w:val="007F005E"/>
    <w:rsid w:val="0086495E"/>
    <w:rsid w:val="00903A46"/>
    <w:rsid w:val="009658DD"/>
    <w:rsid w:val="00980154"/>
    <w:rsid w:val="00A17931"/>
    <w:rsid w:val="00A6002C"/>
    <w:rsid w:val="00B137CA"/>
    <w:rsid w:val="00B303D8"/>
    <w:rsid w:val="00B35565"/>
    <w:rsid w:val="00B71F25"/>
    <w:rsid w:val="00CB7E34"/>
    <w:rsid w:val="00E26A90"/>
    <w:rsid w:val="00E45F82"/>
    <w:rsid w:val="00EF07A1"/>
    <w:rsid w:val="00F4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D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58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paragraph" w:customStyle="1" w:styleId="Instructionsberschrift2">
    <w:name w:val="Instructions Überschrift 2"/>
    <w:basedOn w:val="Heading2"/>
    <w:rsid w:val="009658DD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val="lv-LV"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9658D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9658D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658D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658D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9658D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9658D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customStyle="1" w:styleId="TableMainHeading">
    <w:name w:val="TableMainHeading"/>
    <w:basedOn w:val="Normal"/>
    <w:next w:val="Normal"/>
    <w:uiPriority w:val="99"/>
    <w:rsid w:val="009658DD"/>
    <w:pPr>
      <w:jc w:val="left"/>
    </w:pPr>
    <w:rPr>
      <w:rFonts w:ascii="Segoe UI" w:hAnsi="Segoe UI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58D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F42716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1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25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259"/>
    <w:rPr>
      <w:rFonts w:ascii="Verdana" w:eastAsia="Times New Roman" w:hAnsi="Verdana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AC92A0-F047-44FD-81F0-8B9C8065D2B8}"/>
</file>

<file path=customXml/itemProps2.xml><?xml version="1.0" encoding="utf-8"?>
<ds:datastoreItem xmlns:ds="http://schemas.openxmlformats.org/officeDocument/2006/customXml" ds:itemID="{8E4A3597-1848-4B03-89C4-8C4E8217CF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3CA731-829A-49E4-8E2B-DB3C35EC599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1090</Words>
  <Characters>6216</Characters>
  <Application>Microsoft Office Word</Application>
  <DocSecurity>0</DocSecurity>
  <Lines>51</Lines>
  <Paragraphs>14</Paragraphs>
  <ScaleCrop>false</ScaleCrop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2024-06-19T17:57:00Z</dcterms:created>
  <dcterms:modified xsi:type="dcterms:W3CDTF">2024-06-21T12:20:00Z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</Properties>
</file>