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73FB1" w14:textId="77777777" w:rsidR="00FA1E0E" w:rsidRDefault="00FA1E0E" w:rsidP="00FA1E0E">
      <w:pPr>
        <w:jc w:val="center"/>
        <w:rPr>
          <w:rFonts w:ascii="Times New Roman" w:hAnsi="Times New Roman"/>
          <w:sz w:val="24"/>
          <w:szCs w:val="22"/>
        </w:rPr>
      </w:pPr>
      <w:r>
        <w:rPr>
          <w:rFonts w:ascii="Times New Roman" w:hAnsi="Times New Roman"/>
          <w:sz w:val="24"/>
        </w:rPr>
        <w:t>LV</w:t>
      </w:r>
    </w:p>
    <w:p w14:paraId="2A534E61" w14:textId="77777777" w:rsidR="00FA1E0E" w:rsidRDefault="00FA1E0E" w:rsidP="00FA1E0E">
      <w:pPr>
        <w:rPr>
          <w:rFonts w:asciiTheme="minorHAnsi" w:hAnsiTheme="minorHAnsi"/>
          <w:sz w:val="22"/>
        </w:rPr>
      </w:pPr>
    </w:p>
    <w:p w14:paraId="4613AAF8" w14:textId="77777777" w:rsidR="00C61CB8" w:rsidRPr="00037E7B" w:rsidRDefault="00C61CB8" w:rsidP="00C61CB8">
      <w:pPr>
        <w:jc w:val="center"/>
        <w:rPr>
          <w:rFonts w:ascii="Times New Roman" w:hAnsi="Times New Roman"/>
          <w:sz w:val="24"/>
        </w:rPr>
      </w:pPr>
      <w:r>
        <w:rPr>
          <w:rFonts w:ascii="Times New Roman" w:hAnsi="Times New Roman"/>
          <w:sz w:val="24"/>
        </w:rPr>
        <w:t>II PIELIKUMS</w:t>
      </w:r>
    </w:p>
    <w:p w14:paraId="7B92C63B" w14:textId="77777777" w:rsidR="00C61CB8" w:rsidRPr="00037E7B" w:rsidRDefault="00C61CB8" w:rsidP="00C61CB8">
      <w:pPr>
        <w:jc w:val="center"/>
        <w:rPr>
          <w:rFonts w:ascii="Times New Roman" w:hAnsi="Times New Roman"/>
          <w:sz w:val="24"/>
        </w:rPr>
      </w:pPr>
      <w:r>
        <w:rPr>
          <w:rFonts w:ascii="Times New Roman" w:hAnsi="Times New Roman"/>
          <w:sz w:val="24"/>
        </w:rPr>
        <w:t>“II PIELIKUMS</w:t>
      </w:r>
    </w:p>
    <w:p w14:paraId="48CBB2FB" w14:textId="77777777" w:rsidR="00C61CB8" w:rsidRPr="00037E7B" w:rsidRDefault="00C61CB8" w:rsidP="00C61CB8">
      <w:pPr>
        <w:jc w:val="center"/>
        <w:rPr>
          <w:rFonts w:ascii="Times New Roman" w:hAnsi="Times New Roman"/>
          <w:b/>
          <w:sz w:val="24"/>
        </w:rPr>
      </w:pPr>
      <w:r>
        <w:rPr>
          <w:rFonts w:ascii="Times New Roman" w:hAnsi="Times New Roman"/>
          <w:b/>
          <w:sz w:val="24"/>
        </w:rPr>
        <w:t>NORĀDES PĀRSKATU SNIEGŠANAI PAR PAŠU KAPITĀLU UN PAŠU KAPITĀLA PRASĪBĀM</w:t>
      </w:r>
    </w:p>
    <w:p w14:paraId="499E103D" w14:textId="77777777" w:rsidR="00C61CB8" w:rsidRDefault="00C61CB8" w:rsidP="00C61CB8"/>
    <w:p w14:paraId="4FE1D1D2" w14:textId="77777777" w:rsidR="00C61CB8" w:rsidRDefault="00C61CB8" w:rsidP="00C61CB8">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II DAĻA. NORĀDĪJUMI SAISTĪBĀ AR VEIDNI</w:t>
      </w:r>
    </w:p>
    <w:p w14:paraId="253B4114" w14:textId="77777777" w:rsidR="00C61CB8"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D3C634C" w14:textId="77777777" w:rsidR="00C61CB8" w:rsidRPr="00736637" w:rsidRDefault="00C61CB8" w:rsidP="00C61CB8">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1693FB12" w14:textId="77777777" w:rsidR="00C61CB8" w:rsidRDefault="00C61CB8"/>
    <w:p w14:paraId="696BE2F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GRUPAS MAKSĀTSPĒJA: INFORMĀCIJA PAR SAISTĪTĀM SABIEDRĪBĀM (GS)</w:t>
      </w:r>
    </w:p>
    <w:p w14:paraId="6AEF8BDA"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0" w:name="_Toc264038416"/>
      <w:bookmarkStart w:id="1" w:name="_Toc295829845"/>
      <w:bookmarkStart w:id="2" w:name="_Toc310415011"/>
      <w:bookmarkStart w:id="3" w:name="_Toc330394186"/>
      <w:bookmarkStart w:id="4" w:name="_Toc360188340"/>
      <w:bookmarkStart w:id="5" w:name="_Toc473560888"/>
      <w:bookmarkStart w:id="6" w:name="_Toc151714376"/>
      <w:r>
        <w:rPr>
          <w:rFonts w:ascii="Times New Roman" w:hAnsi="Times New Roman"/>
          <w:sz w:val="24"/>
          <w:u w:val="none"/>
        </w:rPr>
        <w:t>2.1.</w:t>
      </w:r>
      <w:r>
        <w:rPr>
          <w:rFonts w:ascii="Times New Roman" w:hAnsi="Times New Roman"/>
          <w:sz w:val="24"/>
          <w:u w:val="none"/>
        </w:rPr>
        <w:tab/>
      </w:r>
      <w:r>
        <w:rPr>
          <w:rFonts w:ascii="Times New Roman" w:hAnsi="Times New Roman"/>
          <w:sz w:val="24"/>
        </w:rPr>
        <w:t>Vispārīgas piezīmes</w:t>
      </w:r>
      <w:bookmarkEnd w:id="0"/>
      <w:bookmarkEnd w:id="1"/>
      <w:bookmarkEnd w:id="2"/>
      <w:bookmarkEnd w:id="3"/>
      <w:bookmarkEnd w:id="4"/>
      <w:bookmarkEnd w:id="5"/>
      <w:bookmarkEnd w:id="6"/>
    </w:p>
    <w:p w14:paraId="02D50DC7"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27</w:t>
      </w:r>
      <w:r>
        <w:fldChar w:fldCharType="end"/>
      </w:r>
      <w:r>
        <w:t>.</w:t>
      </w:r>
      <w:r>
        <w:tab/>
        <w:t>C 06.01 un C 06.02 veidnes uzrāda, ja pašu kapitāla prasības aprēķina konsolidēti. C 06.02. veidnei ir četras daļas, lai apkopotu dažādu informāciju par visām individuālām sabiedrībām (tostarp pārskata sniedzēju iestādi), kas iekļautas konsolidācijas tvērumā:</w:t>
      </w:r>
    </w:p>
    <w:p w14:paraId="427E4E34" w14:textId="77777777" w:rsidR="00173F08" w:rsidRPr="002A677E" w:rsidRDefault="00173F08" w:rsidP="00173F08">
      <w:pPr>
        <w:pStyle w:val="InstructionsText2"/>
        <w:numPr>
          <w:ilvl w:val="0"/>
          <w:numId w:val="0"/>
        </w:numPr>
        <w:ind w:left="993"/>
      </w:pPr>
      <w:r>
        <w:t>a)</w:t>
      </w:r>
      <w:r>
        <w:tab/>
        <w:t>sabiedrības, kas ietilpst konsolidācijas tvērumā;</w:t>
      </w:r>
    </w:p>
    <w:p w14:paraId="028B029B" w14:textId="77777777" w:rsidR="00173F08" w:rsidRPr="002A677E" w:rsidRDefault="00173F08" w:rsidP="00173F08">
      <w:pPr>
        <w:pStyle w:val="InstructionsText2"/>
        <w:numPr>
          <w:ilvl w:val="0"/>
          <w:numId w:val="0"/>
        </w:numPr>
        <w:ind w:left="993"/>
      </w:pPr>
      <w:r>
        <w:t>b)</w:t>
      </w:r>
      <w:r>
        <w:tab/>
        <w:t>detalizēta informācija par grupas maksātspēju;</w:t>
      </w:r>
    </w:p>
    <w:p w14:paraId="29EF9308" w14:textId="77777777" w:rsidR="00173F08" w:rsidRPr="002A677E" w:rsidRDefault="00173F08" w:rsidP="00173F08">
      <w:pPr>
        <w:pStyle w:val="InstructionsText2"/>
        <w:numPr>
          <w:ilvl w:val="0"/>
          <w:numId w:val="0"/>
        </w:numPr>
        <w:ind w:left="993"/>
      </w:pPr>
      <w:r>
        <w:t>c)</w:t>
      </w:r>
      <w:r>
        <w:tab/>
        <w:t>informācija par individuālu sabiedrību devumu grupas maksātspējā;</w:t>
      </w:r>
    </w:p>
    <w:p w14:paraId="66E85F84" w14:textId="77777777" w:rsidR="00173F08" w:rsidRPr="002A677E" w:rsidRDefault="00173F08" w:rsidP="00173F08">
      <w:pPr>
        <w:pStyle w:val="InstructionsText2"/>
        <w:numPr>
          <w:ilvl w:val="0"/>
          <w:numId w:val="0"/>
        </w:numPr>
        <w:ind w:left="993"/>
      </w:pPr>
      <w:r>
        <w:t>d)</w:t>
      </w:r>
      <w:r>
        <w:tab/>
        <w:t>informācija par kapitāla rezervēm.</w:t>
      </w:r>
    </w:p>
    <w:p w14:paraId="7BA531FA" w14:textId="35174351" w:rsidR="00173F08" w:rsidRPr="002A677E" w:rsidRDefault="00173F08" w:rsidP="00173F08">
      <w:pPr>
        <w:pStyle w:val="InstructionsText2"/>
        <w:numPr>
          <w:ilvl w:val="0"/>
          <w:numId w:val="0"/>
        </w:numPr>
      </w:pPr>
      <w:r>
        <w:fldChar w:fldCharType="begin"/>
      </w:r>
      <w:r>
        <w:instrText>seq paragraphs</w:instrText>
      </w:r>
      <w:r>
        <w:fldChar w:fldCharType="separate"/>
      </w:r>
      <w:r>
        <w:t>28</w:t>
      </w:r>
      <w:r>
        <w:fldChar w:fldCharType="end"/>
      </w:r>
      <w:r>
        <w:t>.</w:t>
      </w:r>
      <w:r>
        <w:tab/>
        <w:t>Iestādes, kas ir ieguvušas atbrīvojumu saskaņā ar Regulas (ES) Nr. 575/2013 7. pantu, sniedz pārskatu tikai par 0010.–006</w:t>
      </w:r>
      <w:r w:rsidR="009355C9">
        <w:t>5</w:t>
      </w:r>
      <w:r>
        <w:t>. un 0250.–0400. sleju.</w:t>
      </w:r>
    </w:p>
    <w:p w14:paraId="0B7B3AA9"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29</w:t>
      </w:r>
      <w:r>
        <w:fldChar w:fldCharType="end"/>
      </w:r>
      <w:r>
        <w:t>.</w:t>
      </w:r>
      <w:r>
        <w:tab/>
        <w:t>Sniegtajos datos ir ņemti vērā visi Regulas (ES) Nr. 575/2013 pārejas noteikumi, kas ir piemērojami attiecīgajā pārskata sniegšanas datumā.</w:t>
      </w:r>
    </w:p>
    <w:p w14:paraId="11861C2C"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7" w:name="_Toc360188341"/>
      <w:bookmarkStart w:id="8" w:name="_Toc473560889"/>
      <w:bookmarkStart w:id="9" w:name="_Toc151714377"/>
      <w:r>
        <w:rPr>
          <w:rFonts w:ascii="Times New Roman" w:hAnsi="Times New Roman"/>
          <w:sz w:val="24"/>
          <w:u w:val="none"/>
        </w:rPr>
        <w:t>2.2.</w:t>
      </w:r>
      <w:r>
        <w:rPr>
          <w:rFonts w:ascii="Times New Roman" w:hAnsi="Times New Roman"/>
          <w:sz w:val="24"/>
          <w:u w:val="none"/>
        </w:rPr>
        <w:tab/>
      </w:r>
      <w:r>
        <w:rPr>
          <w:rFonts w:ascii="Times New Roman" w:hAnsi="Times New Roman"/>
          <w:sz w:val="24"/>
        </w:rPr>
        <w:t>Detalizēta informācija par grupas maksātspēju</w:t>
      </w:r>
      <w:bookmarkEnd w:id="7"/>
      <w:bookmarkEnd w:id="8"/>
      <w:bookmarkEnd w:id="9"/>
    </w:p>
    <w:p w14:paraId="60F36EFE" w14:textId="40A5EBCA" w:rsidR="00173F08" w:rsidRPr="002A677E" w:rsidRDefault="00173F08" w:rsidP="00173F08">
      <w:pPr>
        <w:pStyle w:val="InstructionsText2"/>
        <w:numPr>
          <w:ilvl w:val="0"/>
          <w:numId w:val="0"/>
        </w:numPr>
      </w:pPr>
      <w:r>
        <w:fldChar w:fldCharType="begin"/>
      </w:r>
      <w:r>
        <w:instrText>seq paragraphs</w:instrText>
      </w:r>
      <w:r>
        <w:fldChar w:fldCharType="separate"/>
      </w:r>
      <w:r>
        <w:t>30</w:t>
      </w:r>
      <w:r>
        <w:fldChar w:fldCharType="end"/>
      </w:r>
      <w:r>
        <w:t>.</w:t>
      </w:r>
      <w:r>
        <w:tab/>
        <w:t xml:space="preserve">C 06.02. veidnes otrā daļa (detalizēta informācija par grupas maksātspēju) 0070.–0240. slejā ir izveidota, lai apkopotu informāciju par kredītiestādēm un citām regulētām finanšu iestādēm, kurām faktiski individuāli piemēro īpašas maksātspējas prasības. Tajā katrai no šīm pārskatu tvērumā iekļautajām sabiedrībām noteiktas pašu kapitāla prasības attiecībā uz katru riska kategoriju un pašu kapitāls maksātspējas nolūkos. </w:t>
      </w:r>
    </w:p>
    <w:p w14:paraId="75F5EA26"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31</w:t>
      </w:r>
      <w:r>
        <w:fldChar w:fldCharType="end"/>
      </w:r>
      <w:r>
        <w:t>.</w:t>
      </w:r>
      <w:r>
        <w:tab/>
        <w:t>Dalību proporcionālas konsolidācijas gadījumā dati, kas saistīti ar pašu kapitāla prasībām un pašu kapitālu, atspoguļo attiecīgās proporcionālās summas.</w:t>
      </w:r>
    </w:p>
    <w:p w14:paraId="7624B8E0" w14:textId="77777777" w:rsidR="00173F08" w:rsidRPr="002A677E" w:rsidRDefault="00173F08" w:rsidP="00173F08">
      <w:pPr>
        <w:pStyle w:val="Instructionsberschrift2"/>
        <w:numPr>
          <w:ilvl w:val="0"/>
          <w:numId w:val="0"/>
        </w:numPr>
        <w:rPr>
          <w:rFonts w:ascii="Times New Roman" w:hAnsi="Times New Roman" w:cs="Times New Roman"/>
          <w:sz w:val="24"/>
        </w:rPr>
      </w:pPr>
      <w:bookmarkStart w:id="10" w:name="_Toc360188342"/>
      <w:bookmarkStart w:id="11" w:name="_Toc473560890"/>
      <w:bookmarkStart w:id="12" w:name="_Toc151714378"/>
      <w:r>
        <w:rPr>
          <w:rFonts w:ascii="Times New Roman" w:hAnsi="Times New Roman"/>
          <w:sz w:val="24"/>
          <w:u w:val="none"/>
        </w:rPr>
        <w:t>2.3.</w:t>
      </w:r>
      <w:r>
        <w:rPr>
          <w:rFonts w:ascii="Times New Roman" w:hAnsi="Times New Roman"/>
          <w:sz w:val="24"/>
          <w:u w:val="none"/>
        </w:rPr>
        <w:tab/>
      </w:r>
      <w:r>
        <w:rPr>
          <w:rFonts w:ascii="Times New Roman" w:hAnsi="Times New Roman"/>
          <w:sz w:val="24"/>
        </w:rPr>
        <w:t>Informācija par individuālu sabiedrību devumu grupas maksātspējā</w:t>
      </w:r>
      <w:bookmarkEnd w:id="10"/>
      <w:bookmarkEnd w:id="11"/>
      <w:bookmarkEnd w:id="12"/>
    </w:p>
    <w:p w14:paraId="79D559F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32</w:t>
      </w:r>
      <w:r>
        <w:fldChar w:fldCharType="end"/>
      </w:r>
      <w:r>
        <w:t>.</w:t>
      </w:r>
      <w:r>
        <w:tab/>
        <w:t xml:space="preserve">C 06.02. veidnes trešā daļa un C 06.01. veidne (informācija par visu Regulas (ES) Nr. 575/2013 konsolidācijas tvērumā esošo sabiedrību – tostarp tādu, kurām individuāli </w:t>
      </w:r>
      <w:r>
        <w:lastRenderedPageBreak/>
        <w:t xml:space="preserve">nepiemēro īpašas maksātspējas prasības – devumu grupas maksātspējā) 0250.–0400. slejā ir izveidota, lai, pamatojoties uz nekavējoties pieejamiem vai viegli apstrādājamiem datiem, bez nepieciešamības solo līmenī vai subkonsolidēti rekonstruēt kapitāla rādītāju noteiktu, kuras sabiedrības grupas ietvaros rada riskus un no tirgus piesaista pašu kapitālu. Sabiedrības līmenī gan riska, gan pašu kapitāla dati ir devums grupas datos, bet ne solo līmeņa maksātspējas koeficienta elementi, un kā tādi tie nav salīdzināmi viens ar otru. </w:t>
      </w:r>
    </w:p>
    <w:p w14:paraId="08EA3F6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33</w:t>
      </w:r>
      <w:r>
        <w:fldChar w:fldCharType="end"/>
      </w:r>
      <w:r>
        <w:t>.</w:t>
      </w:r>
      <w:r>
        <w:tab/>
        <w:t>Trešā daļa ietver arī mazākuma līdzdalības daļas, atbilstīga pirmā līmeņa papildu kapitāla un atbilstīga otrā līmeņa kapitāla apmēru, kas ir atbilstošs konsolidētajā pašu kapitālā.</w:t>
      </w:r>
    </w:p>
    <w:p w14:paraId="1D8F8CC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34</w:t>
      </w:r>
      <w:r>
        <w:fldChar w:fldCharType="end"/>
      </w:r>
      <w:r>
        <w:t>.</w:t>
      </w:r>
      <w:r>
        <w:tab/>
        <w:t>Tā kā šī trešā veidnes daļa attiecas uz dažāda veida “devumu”, šeit uzrādāmie dati attiecīgā gadījumā atšķiras no datiem, kas uzrādīti slejās, kuras attiecas uz detalizētu informāciju par grupas maksātspēju.</w:t>
      </w:r>
    </w:p>
    <w:p w14:paraId="27180B14"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35</w:t>
      </w:r>
      <w:r>
        <w:fldChar w:fldCharType="end"/>
      </w:r>
      <w:r>
        <w:t>.</w:t>
      </w:r>
      <w:r>
        <w:tab/>
        <w:t>Princips ir viendabīgi dzēst savstarpēji saistītus riska darījumus tajās pašās grupās gan attiecībā uz riskiem, gan attiecībā uz pašu kapitālu, lai segtu summas, kas uzrādītas konsolidētajā CA veidnē, pieskaitot summas, kas par katru sabiedrību uzrādītas “grupas maksātspējas” veidnē. Tieša saite uz CA veidni nav iespējama, ja nav pārsniegts 1 % slieksnis.</w:t>
      </w:r>
    </w:p>
    <w:p w14:paraId="606DC9DE"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36</w:t>
      </w:r>
      <w:r>
        <w:fldChar w:fldCharType="end"/>
      </w:r>
      <w:r>
        <w:t>.</w:t>
      </w:r>
      <w:r>
        <w:tab/>
        <w:t>Iestādes starp sabiedrībām nosaka vispiemērotāko sadalījuma metodi, lai ņemtu vērā iespējamo diversifikācijas ietekmi uz tirgus risku un operacionālo risku.</w:t>
      </w:r>
    </w:p>
    <w:p w14:paraId="6EE62E0D"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37</w:t>
      </w:r>
      <w:r>
        <w:fldChar w:fldCharType="end"/>
      </w:r>
      <w:r>
        <w:t>.</w:t>
      </w:r>
      <w:r>
        <w:tab/>
        <w:t xml:space="preserve">Vienu konsolidētu grupu var iekļaut citā konsolidētā grupā. Tas nozīmē, ka pārskatu par katru apakšgrupā ietilpstošo sabiedrību atsevišķi sniedz visas grupas GS veidnē pat tad, ja uz pašu apakšgrupu attiecas ziņošanas prasības. Ja uz apakšgrupu attiecas pārskatu sniegšanas prasības, tad tā GS veidnē sniedz pārskatu par katru sabiedrību atsevišķi, lai gan šī informācija ir iekļauta augstākas konsolidētās grupas GS veidnē. </w:t>
      </w:r>
    </w:p>
    <w:p w14:paraId="0F8191DA" w14:textId="77777777" w:rsidR="00173F08" w:rsidRPr="002A677E" w:rsidRDefault="00173F08" w:rsidP="00173F08">
      <w:pPr>
        <w:pStyle w:val="InstructionsText2"/>
        <w:numPr>
          <w:ilvl w:val="0"/>
          <w:numId w:val="0"/>
        </w:numPr>
      </w:pPr>
      <w:r>
        <w:fldChar w:fldCharType="begin"/>
      </w:r>
      <w:r>
        <w:instrText>seq paragraphs</w:instrText>
      </w:r>
      <w:r>
        <w:fldChar w:fldCharType="separate"/>
      </w:r>
      <w:r>
        <w:t>38</w:t>
      </w:r>
      <w:r>
        <w:fldChar w:fldCharType="end"/>
      </w:r>
      <w:r>
        <w:t>.</w:t>
      </w:r>
      <w:r>
        <w:tab/>
        <w:t>Iestāde sniedz pārskatu par sabiedrības devuma datiem, ja tās devums kopējā riska darījumu vērtībā pārsniedz 1 % no grupas kopējās riska darījumu vērtības vai ja tās devums kopējā pašu kapitālā pārsniedz 1 % no grupas kopējā pašu kapitāla. Šo slieksni nepiemēro tādu meitasuzņēmumu vai apakšgrupu gadījumā, kas grupai nodrošina pašu kapitālu (mazākuma līdzdalības daļu vai pašu kapitālā iekļautu atbilstīgu pirmā līmeņa papildu kapitāla vai otrā līmeņa kapitāla instrumentu veidā).</w:t>
      </w:r>
    </w:p>
    <w:p w14:paraId="78C505AC"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3" w:name="_Toc473560891"/>
      <w:bookmarkStart w:id="14" w:name="_Toc151714379"/>
      <w:r>
        <w:rPr>
          <w:rFonts w:ascii="Times New Roman" w:hAnsi="Times New Roman"/>
          <w:sz w:val="24"/>
          <w:u w:val="none"/>
        </w:rPr>
        <w:t>2.4.</w:t>
      </w:r>
      <w:r>
        <w:rPr>
          <w:rFonts w:ascii="Times New Roman" w:hAnsi="Times New Roman"/>
          <w:sz w:val="24"/>
          <w:u w:val="none"/>
        </w:rPr>
        <w:tab/>
      </w:r>
      <w:r>
        <w:rPr>
          <w:rFonts w:ascii="Times New Roman" w:hAnsi="Times New Roman"/>
          <w:sz w:val="24"/>
        </w:rPr>
        <w:t>C 06.01 – GRUPAS MAKSĀTSPĒJA: INFORMĀCIJA PAR SAISTĪTĀM SABIEDRĪBĀM (GS kopā)</w:t>
      </w:r>
      <w:bookmarkEnd w:id="13"/>
      <w:bookmarkEnd w:id="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4A15857B" w14:textId="77777777" w:rsidTr="00822842">
        <w:tc>
          <w:tcPr>
            <w:tcW w:w="1188" w:type="dxa"/>
            <w:shd w:val="clear" w:color="auto" w:fill="CCCCCC"/>
          </w:tcPr>
          <w:p w14:paraId="3977A18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14:paraId="3D7B9BD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Norādes</w:t>
            </w:r>
          </w:p>
        </w:tc>
      </w:tr>
      <w:tr w:rsidR="00173F08" w:rsidRPr="002A677E" w14:paraId="0E9AB27C" w14:textId="77777777" w:rsidTr="00822842">
        <w:tc>
          <w:tcPr>
            <w:tcW w:w="1188" w:type="dxa"/>
          </w:tcPr>
          <w:p w14:paraId="36AE906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14:paraId="61E5CB2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14:paraId="47AE8E6C"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Sk. norādes attiecībā uz C 06.02. veidni.</w:t>
            </w:r>
          </w:p>
        </w:tc>
      </w:tr>
      <w:tr w:rsidR="00173F08" w:rsidRPr="002A677E" w14:paraId="2B2AB6C8" w14:textId="77777777" w:rsidTr="00822842">
        <w:tc>
          <w:tcPr>
            <w:tcW w:w="1188" w:type="dxa"/>
            <w:tcBorders>
              <w:top w:val="single" w:sz="4" w:space="0" w:color="auto"/>
              <w:left w:val="single" w:sz="4" w:space="0" w:color="auto"/>
              <w:bottom w:val="single" w:sz="4" w:space="0" w:color="auto"/>
              <w:right w:val="single" w:sz="4" w:space="0" w:color="auto"/>
            </w:tcBorders>
          </w:tcPr>
          <w:p w14:paraId="5FBDEC1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14:paraId="14169B7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KAPITĀLA REZERVES</w:t>
            </w:r>
          </w:p>
          <w:p w14:paraId="4257537D"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Sk. norādes attiecībā uz C 06.02. veidni.</w:t>
            </w:r>
          </w:p>
        </w:tc>
      </w:tr>
    </w:tbl>
    <w:p w14:paraId="20B2DE5D" w14:textId="77777777" w:rsidR="00173F08" w:rsidRPr="002A677E" w:rsidRDefault="00173F08" w:rsidP="00173F0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54185503" w14:textId="77777777" w:rsidTr="00822842">
        <w:tc>
          <w:tcPr>
            <w:tcW w:w="1188" w:type="dxa"/>
            <w:shd w:val="clear" w:color="auto" w:fill="CCCCCC"/>
          </w:tcPr>
          <w:p w14:paraId="0909691C"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Rindas</w:t>
            </w:r>
          </w:p>
        </w:tc>
        <w:tc>
          <w:tcPr>
            <w:tcW w:w="8640" w:type="dxa"/>
            <w:shd w:val="clear" w:color="auto" w:fill="CCCCCC"/>
          </w:tcPr>
          <w:p w14:paraId="49120A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Norādes</w:t>
            </w:r>
          </w:p>
        </w:tc>
      </w:tr>
      <w:tr w:rsidR="00173F08" w:rsidRPr="002A677E" w14:paraId="6283A16E" w14:textId="77777777" w:rsidTr="00822842">
        <w:tc>
          <w:tcPr>
            <w:tcW w:w="1188" w:type="dxa"/>
          </w:tcPr>
          <w:p w14:paraId="448228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8640" w:type="dxa"/>
          </w:tcPr>
          <w:p w14:paraId="50489F3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KOPĀ</w:t>
            </w:r>
          </w:p>
          <w:p w14:paraId="0D110F46" w14:textId="77777777" w:rsidR="00173F08" w:rsidRPr="002A677E" w:rsidRDefault="00173F08" w:rsidP="00822842">
            <w:pPr>
              <w:rPr>
                <w:rStyle w:val="InstructionsTabelleberschrift"/>
                <w:rFonts w:ascii="Times New Roman" w:hAnsi="Times New Roman"/>
                <w:b w:val="0"/>
                <w:bCs w:val="0"/>
                <w:sz w:val="24"/>
              </w:rPr>
            </w:pPr>
            <w:r>
              <w:rPr>
                <w:rStyle w:val="InstructionsTabelleText"/>
                <w:rFonts w:ascii="Times New Roman" w:hAnsi="Times New Roman"/>
                <w:sz w:val="24"/>
              </w:rPr>
              <w:t>Rindā “Kopā” norāda visās veidnes C 06.02 rindās uzrādīto vērtību summu.</w:t>
            </w:r>
          </w:p>
        </w:tc>
      </w:tr>
    </w:tbl>
    <w:p w14:paraId="6ED4F138" w14:textId="77777777" w:rsidR="00173F08" w:rsidRPr="002A677E" w:rsidRDefault="00173F08" w:rsidP="00173F08">
      <w:pPr>
        <w:pStyle w:val="InstructionsText"/>
      </w:pPr>
    </w:p>
    <w:p w14:paraId="7A36DFA3" w14:textId="77777777" w:rsidR="00173F08" w:rsidRPr="002A677E" w:rsidRDefault="00173F08" w:rsidP="00173F08">
      <w:pPr>
        <w:pStyle w:val="Instructionsberschrift2"/>
        <w:numPr>
          <w:ilvl w:val="0"/>
          <w:numId w:val="0"/>
        </w:numPr>
        <w:ind w:left="357" w:hanging="357"/>
        <w:rPr>
          <w:rFonts w:ascii="Times New Roman" w:hAnsi="Times New Roman" w:cs="Times New Roman"/>
          <w:sz w:val="24"/>
        </w:rPr>
      </w:pPr>
      <w:bookmarkStart w:id="15" w:name="_Toc473560892"/>
      <w:bookmarkStart w:id="16" w:name="_Toc151714380"/>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GRUPAS MAKSĀTSPĒJA: INFORMĀCIJA PAR SAISTĪTĀM SABIEDRĪBĀM (GS)</w:t>
      </w:r>
      <w:bookmarkEnd w:id="15"/>
      <w:bookmarkEnd w:id="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73F08" w:rsidRPr="002A677E" w14:paraId="381D52BF" w14:textId="77777777" w:rsidTr="00822842">
        <w:tc>
          <w:tcPr>
            <w:tcW w:w="1188" w:type="dxa"/>
            <w:shd w:val="clear" w:color="auto" w:fill="CCCCCC"/>
          </w:tcPr>
          <w:p w14:paraId="262E5871" w14:textId="77777777" w:rsidR="00173F08" w:rsidRPr="001235ED" w:rsidRDefault="00173F08" w:rsidP="00822842">
            <w:pPr>
              <w:rPr>
                <w:rStyle w:val="InstructionsTabelleText"/>
                <w:rFonts w:ascii="Times New Roman" w:hAnsi="Times New Roman"/>
                <w:sz w:val="24"/>
              </w:rPr>
            </w:pPr>
            <w:r>
              <w:rPr>
                <w:rStyle w:val="InstructionsTabelleText"/>
                <w:rFonts w:ascii="Times New Roman" w:hAnsi="Times New Roman"/>
                <w:sz w:val="24"/>
              </w:rPr>
              <w:t>Slejas</w:t>
            </w:r>
          </w:p>
        </w:tc>
        <w:tc>
          <w:tcPr>
            <w:tcW w:w="8640" w:type="dxa"/>
            <w:shd w:val="clear" w:color="auto" w:fill="CCCCCC"/>
          </w:tcPr>
          <w:p w14:paraId="5B03B4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Norādes</w:t>
            </w:r>
          </w:p>
        </w:tc>
      </w:tr>
      <w:tr w:rsidR="00173F08" w:rsidRPr="002A677E" w14:paraId="3BC0042D" w14:textId="77777777" w:rsidTr="00822842">
        <w:tc>
          <w:tcPr>
            <w:tcW w:w="1188" w:type="dxa"/>
          </w:tcPr>
          <w:p w14:paraId="57FC2EB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0011.–0060.</w:t>
            </w:r>
          </w:p>
        </w:tc>
        <w:tc>
          <w:tcPr>
            <w:tcW w:w="8640" w:type="dxa"/>
          </w:tcPr>
          <w:p w14:paraId="00983D2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SABIEDRĪBAS, KAS IETILPST KONSOLIDĀCIJAS TVĒRUMĀ</w:t>
            </w:r>
          </w:p>
          <w:p w14:paraId="6B6FD15E" w14:textId="77777777" w:rsidR="00173F08" w:rsidRPr="002A677E" w:rsidRDefault="00173F08" w:rsidP="00822842">
            <w:pPr>
              <w:rPr>
                <w:rStyle w:val="InstructionsTabelleberschrift"/>
                <w:rFonts w:ascii="Times New Roman" w:hAnsi="Times New Roman"/>
                <w:b w:val="0"/>
                <w:bCs w:val="0"/>
                <w:sz w:val="24"/>
              </w:rPr>
            </w:pPr>
            <w:r>
              <w:rPr>
                <w:rFonts w:ascii="Times New Roman" w:hAnsi="Times New Roman"/>
                <w:sz w:val="24"/>
              </w:rPr>
              <w:t>Šī veidne ir izveidota, lai attiecībā uz visām konsolidācijas tvērumā iekļautajām sabiedrībām apkopotu informāciju par katru sabiedrību atsevišķi saskaņā ar Regulas (ES) Nr. 575/2013 Pirmās daļas II sadaļas 2. nodaļu.</w:t>
            </w:r>
            <w:r>
              <w:rPr>
                <w:rStyle w:val="InstructionsTabelleText"/>
                <w:rFonts w:ascii="Times New Roman" w:hAnsi="Times New Roman"/>
                <w:sz w:val="24"/>
              </w:rPr>
              <w:t xml:space="preserve"> </w:t>
            </w:r>
          </w:p>
        </w:tc>
      </w:tr>
      <w:tr w:rsidR="00173F08" w:rsidRPr="002A677E" w14:paraId="7681C175" w14:textId="77777777" w:rsidTr="00822842">
        <w:tc>
          <w:tcPr>
            <w:tcW w:w="1188" w:type="dxa"/>
          </w:tcPr>
          <w:p w14:paraId="506D0F7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02F7D96C"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NOSAUKUMS</w:t>
            </w:r>
          </w:p>
          <w:p w14:paraId="795CC1B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Konsolidācijas tvērumā iekļautās sabiedrības nosaukums.</w:t>
            </w:r>
          </w:p>
        </w:tc>
      </w:tr>
      <w:tr w:rsidR="00173F08" w:rsidRPr="002A677E" w14:paraId="2E707E2D" w14:textId="77777777" w:rsidTr="00822842">
        <w:tc>
          <w:tcPr>
            <w:tcW w:w="1188" w:type="dxa"/>
          </w:tcPr>
          <w:p w14:paraId="6AE7AD3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4EC559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KODS</w:t>
            </w:r>
          </w:p>
          <w:p w14:paraId="099B8601" w14:textId="77777777" w:rsidR="00173F08" w:rsidRPr="002A677E" w:rsidRDefault="00173F08" w:rsidP="00822842">
            <w:pPr>
              <w:pStyle w:val="InstructionsText"/>
              <w:rPr>
                <w:rStyle w:val="InstructionsTabelleText"/>
              </w:rPr>
            </w:pPr>
            <w:r>
              <w:rPr>
                <w:rStyle w:val="InstructionsTabelleText"/>
              </w:rPr>
              <w:t xml:space="preserve">Kodam, kas ir daļa no rindu identifikatora, jābūt unikālam attiecībā uz katru uzrādīto sabiedrību. Iestādēm un apdrošināšanas sabiedrībām šis kods ir </w:t>
            </w:r>
            <w:r>
              <w:rPr>
                <w:rStyle w:val="InstructionsTabelleText"/>
                <w:i/>
                <w:iCs/>
              </w:rPr>
              <w:t>LEI</w:t>
            </w:r>
            <w:r>
              <w:rPr>
                <w:rStyle w:val="InstructionsTabelleText"/>
              </w:rPr>
              <w:t xml:space="preserve"> kods. Citām sabiedrībām šis kods ir </w:t>
            </w:r>
            <w:r>
              <w:rPr>
                <w:rStyle w:val="InstructionsTabelleText"/>
                <w:i/>
                <w:iCs/>
              </w:rPr>
              <w:t>LEI</w:t>
            </w:r>
            <w:r>
              <w:rPr>
                <w:rStyle w:val="InstructionsTabelleText"/>
              </w:rPr>
              <w:t xml:space="preserve"> kods vai, ja tas nav pieejams, nacionālais kods. Šis kods ir unikāls, un to izmanto konsekventi visās veidnēs un visos laikos. Kodam vienmēr ir kāda vērtība.</w:t>
            </w:r>
          </w:p>
        </w:tc>
      </w:tr>
      <w:tr w:rsidR="00173F08" w:rsidRPr="002A677E" w14:paraId="082E2FA1" w14:textId="77777777" w:rsidTr="00822842">
        <w:tc>
          <w:tcPr>
            <w:tcW w:w="1188" w:type="dxa"/>
          </w:tcPr>
          <w:p w14:paraId="2CA545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5B6693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KODA VEIDS</w:t>
            </w:r>
          </w:p>
          <w:p w14:paraId="094070A5"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Iestādes identificē 0021. slejā uzrādīto kodu kā “</w:t>
            </w:r>
            <w:r>
              <w:rPr>
                <w:rFonts w:ascii="Times New Roman" w:hAnsi="Times New Roman"/>
                <w:i/>
                <w:iCs/>
                <w:sz w:val="24"/>
              </w:rPr>
              <w:t>LEI</w:t>
            </w:r>
            <w:r>
              <w:rPr>
                <w:rFonts w:ascii="Times New Roman" w:hAnsi="Times New Roman"/>
                <w:sz w:val="24"/>
              </w:rPr>
              <w:t xml:space="preserve"> kodu” vai kodu, kas nav </w:t>
            </w:r>
            <w:r>
              <w:rPr>
                <w:rFonts w:ascii="Times New Roman" w:hAnsi="Times New Roman"/>
                <w:i/>
                <w:iCs/>
                <w:sz w:val="24"/>
              </w:rPr>
              <w:t>LEI</w:t>
            </w:r>
            <w:r>
              <w:rPr>
                <w:rFonts w:ascii="Times New Roman" w:hAnsi="Times New Roman"/>
                <w:sz w:val="24"/>
              </w:rPr>
              <w:t xml:space="preserve"> kods.</w:t>
            </w:r>
            <w:r>
              <w:rPr>
                <w:rStyle w:val="FormatvorlageInstructionsTabelleText"/>
                <w:rFonts w:ascii="Times New Roman" w:hAnsi="Times New Roman"/>
                <w:sz w:val="24"/>
              </w:rPr>
              <w:t xml:space="preserve"> Koda veids ir jāuzrāda vienmēr.</w:t>
            </w:r>
          </w:p>
        </w:tc>
      </w:tr>
      <w:tr w:rsidR="00173F08" w:rsidRPr="002A677E" w14:paraId="115CCEB9" w14:textId="77777777" w:rsidTr="00822842">
        <w:tc>
          <w:tcPr>
            <w:tcW w:w="1188" w:type="dxa"/>
          </w:tcPr>
          <w:p w14:paraId="6EE5E41D" w14:textId="77777777" w:rsidR="00173F08" w:rsidRPr="002A677E" w:rsidDel="00BF0637" w:rsidRDefault="00173F08" w:rsidP="00822842">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046D285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VALSTS KODS</w:t>
            </w:r>
          </w:p>
          <w:p w14:paraId="6AB087F6" w14:textId="77777777" w:rsidR="00173F08" w:rsidRPr="002A677E" w:rsidDel="00BF0637" w:rsidRDefault="00173F08" w:rsidP="00822842">
            <w:pPr>
              <w:rPr>
                <w:rStyle w:val="InstructionsTabelleberschrift"/>
                <w:rFonts w:ascii="Times New Roman" w:hAnsi="Times New Roman"/>
                <w:sz w:val="24"/>
              </w:rPr>
            </w:pPr>
            <w:r>
              <w:rPr>
                <w:rFonts w:ascii="Times New Roman" w:hAnsi="Times New Roman"/>
                <w:sz w:val="24"/>
              </w:rPr>
              <w:t xml:space="preserve">Iestādes, kā identifikatoru uzrādot </w:t>
            </w:r>
            <w:r>
              <w:rPr>
                <w:rFonts w:ascii="Times New Roman" w:hAnsi="Times New Roman"/>
                <w:i/>
                <w:iCs/>
                <w:sz w:val="24"/>
              </w:rPr>
              <w:t>LEI</w:t>
            </w:r>
            <w:r>
              <w:rPr>
                <w:rFonts w:ascii="Times New Roman" w:hAnsi="Times New Roman"/>
                <w:sz w:val="24"/>
              </w:rPr>
              <w:t xml:space="preserve"> kodu slejā “Kods”, var papildus uzrādīt valsts kodu.</w:t>
            </w:r>
          </w:p>
        </w:tc>
      </w:tr>
      <w:tr w:rsidR="00173F08" w:rsidRPr="002A677E" w14:paraId="6D220418" w14:textId="77777777" w:rsidTr="00822842">
        <w:tc>
          <w:tcPr>
            <w:tcW w:w="1188" w:type="dxa"/>
          </w:tcPr>
          <w:p w14:paraId="3073475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51843D3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IESTĀDE VAI EKVIVALENTS (JĀ/NĒ)</w:t>
            </w:r>
          </w:p>
          <w:p w14:paraId="592DC07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“JĀ” uzrāda gadījumā, ja sabiedrībai piemēro pašu kapitāla prasības saskaņā ar Regulu (ES) Nr. 575/2013 un Direktīvu 2013/36/ES vai noteikumiem, kas ir vismaz līdzvērtīgi “Bāzele” noteikumiem.</w:t>
            </w:r>
          </w:p>
          <w:p w14:paraId="4B3EAD9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“NĒ” uzrāda pārējos gadījumos.</w:t>
            </w:r>
          </w:p>
          <w:p w14:paraId="3E965172" w14:textId="77777777" w:rsidR="00173F08" w:rsidRPr="002A677E" w:rsidRDefault="00173F08" w:rsidP="00822842">
            <w:pPr>
              <w:rPr>
                <w:rStyle w:val="InstructionsTabelleText"/>
                <w:rFonts w:ascii="Times New Roman" w:hAnsi="Times New Roman"/>
                <w:sz w:val="24"/>
              </w:rPr>
            </w:pPr>
          </w:p>
          <w:p w14:paraId="27BF6938" w14:textId="77777777" w:rsidR="00173F08" w:rsidRPr="002A677E" w:rsidRDefault="00173F08" w:rsidP="00822842">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Mazākuma līdzdalības daļas:</w:t>
            </w:r>
          </w:p>
          <w:p w14:paraId="753444E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 Regulas (ES) Nr. 575/2013 81. panta 1. punkta a) apakšpunkta ii) punkts un 82. panta 1. punkta a) apakšpunkta ii) punkts.</w:t>
            </w:r>
          </w:p>
          <w:p w14:paraId="714487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Attiecībā uz mazākuma līdzdalības daļām un meitasuzņēmumu emitētiem pirmā līmeņa papildu kapitāla un otrā līmeņa kapitāla instrumentiem – meitasuzņēmumi, kuru instrumenti var būt atbilstoši, ir iestādes vai uzņēmumi, kam saskaņā ar spēkā esošajiem valsts tiesību aktiem piemēro Regulas (ES) Nr. 575/2013 prasības.</w:t>
            </w:r>
          </w:p>
        </w:tc>
      </w:tr>
      <w:tr w:rsidR="00173F08" w:rsidRPr="002A677E" w14:paraId="7BBFE780" w14:textId="77777777" w:rsidTr="00822842">
        <w:tc>
          <w:tcPr>
            <w:tcW w:w="1188" w:type="dxa"/>
          </w:tcPr>
          <w:p w14:paraId="4D04116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14:paraId="301D03B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SABIEDRĪBAS VEIDS</w:t>
            </w:r>
          </w:p>
          <w:p w14:paraId="64249F7B" w14:textId="77777777" w:rsidR="00173F08" w:rsidRPr="002A677E" w:rsidRDefault="00173F08" w:rsidP="00822842">
            <w:pPr>
              <w:rPr>
                <w:rStyle w:val="InstructionsTabelleText"/>
                <w:rFonts w:ascii="Times New Roman" w:hAnsi="Times New Roman"/>
                <w:bCs/>
                <w:sz w:val="24"/>
              </w:rPr>
            </w:pPr>
            <w:r>
              <w:rPr>
                <w:rStyle w:val="InstructionsTabelleText"/>
                <w:rFonts w:ascii="Times New Roman" w:hAnsi="Times New Roman"/>
                <w:sz w:val="24"/>
              </w:rPr>
              <w:t>Sabiedrības veidu uzrāda, pamatojoties uz šādām kategorijām:</w:t>
            </w:r>
          </w:p>
          <w:p w14:paraId="6C071244"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kredītiestāde</w:t>
            </w:r>
          </w:p>
          <w:p w14:paraId="665499B6"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ab/>
            </w:r>
            <w:r>
              <w:rPr>
                <w:rFonts w:ascii="Times New Roman" w:hAnsi="Times New Roman"/>
                <w:sz w:val="24"/>
              </w:rPr>
              <w:t>Regulas (ES) Nr. 575/2013 4. panta 1. punkta 1) apakšpunkts;</w:t>
            </w:r>
          </w:p>
          <w:p w14:paraId="5699C13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sz w:val="24"/>
              </w:rPr>
              <w:tab/>
              <w:t>ieguldījumu brokeru sabiedrība</w:t>
            </w:r>
          </w:p>
          <w:p w14:paraId="6397577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Regulas (ES) Nr. 575/2013 4. panta 1. punkta 2) apakšpunkts;</w:t>
            </w:r>
          </w:p>
          <w:p w14:paraId="4003584E"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sz w:val="24"/>
              </w:rPr>
              <w:tab/>
              <w:t>finanšu iestāde (cita)</w:t>
            </w:r>
          </w:p>
          <w:p w14:paraId="5B5F8DA3"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Regulas (ES) Nr. 575/2013 4. panta 1. punkta 20), 21) un 26) apakšpunkts.</w:t>
            </w:r>
          </w:p>
          <w:p w14:paraId="7BC9963B" w14:textId="76B95B64" w:rsidR="00173F08" w:rsidRPr="002A677E" w:rsidRDefault="00173F08" w:rsidP="00822842">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Tādas finanšu iestādes Regulas (ES) Nr. 575/2013 4. panta 1) punkta 26) apakšpunkta nozīmē, kuras neietilpst nevienā no d), e) vai g) kategorijām;</w:t>
            </w:r>
          </w:p>
          <w:p w14:paraId="7F95447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sz w:val="24"/>
              </w:rPr>
              <w:tab/>
              <w:t>(jaukta) finanšu pārvaldītājsabiedrība</w:t>
            </w:r>
          </w:p>
          <w:p w14:paraId="1C70DDA8"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Regulas (ES) Nr. 575/2013 4. panta 1. punkta 20) un 21) apakšpunkts;</w:t>
            </w:r>
          </w:p>
          <w:p w14:paraId="30F427B6"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rPr>
                <w:rStyle w:val="InstructionsTabelleText"/>
                <w:rFonts w:ascii="Times New Roman" w:hAnsi="Times New Roman"/>
                <w:sz w:val="24"/>
              </w:rPr>
              <w:tab/>
              <w:t>palīgpakalpojumu sabiedrība</w:t>
            </w:r>
          </w:p>
          <w:p w14:paraId="21A43501"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Regulas (ES) Nr. 575/2013 4. panta 1. punkta 18) apakšpunkts;</w:t>
            </w:r>
          </w:p>
          <w:p w14:paraId="33923092"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sz w:val="24"/>
              </w:rPr>
              <w:tab/>
              <w:t>īpašam nolūkam dibināta sabiedrība, kas veic vērtspapīrošanu (</w:t>
            </w:r>
            <w:r>
              <w:rPr>
                <w:rStyle w:val="InstructionsTabelleText"/>
                <w:rFonts w:ascii="Times New Roman" w:hAnsi="Times New Roman"/>
                <w:i/>
                <w:iCs/>
                <w:sz w:val="24"/>
              </w:rPr>
              <w:t>SSPE</w:t>
            </w:r>
            <w:r>
              <w:rPr>
                <w:rStyle w:val="InstructionsTabelleText"/>
                <w:rFonts w:ascii="Times New Roman" w:hAnsi="Times New Roman"/>
                <w:sz w:val="24"/>
              </w:rPr>
              <w:t>)</w:t>
            </w:r>
          </w:p>
          <w:p w14:paraId="0A5E1647"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ab/>
            </w:r>
            <w:r>
              <w:rPr>
                <w:rFonts w:ascii="Times New Roman" w:hAnsi="Times New Roman"/>
                <w:sz w:val="24"/>
              </w:rPr>
              <w:t>Regulas (ES) Nr. 575/2013 4. panta 1. punkta 66) apakšpunkts;</w:t>
            </w:r>
          </w:p>
          <w:p w14:paraId="56894EF9" w14:textId="77777777" w:rsidR="00173F08" w:rsidRPr="002A677E" w:rsidRDefault="00173F08" w:rsidP="00822842">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sz w:val="24"/>
              </w:rPr>
              <w:tab/>
              <w:t>segto obligāciju uzņēmums</w:t>
            </w:r>
          </w:p>
          <w:p w14:paraId="6CA79499" w14:textId="77777777" w:rsidR="00173F08" w:rsidRPr="002A677E" w:rsidRDefault="00173F08" w:rsidP="00822842">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(sabiedrība, kas izveidota, lai emitētu segtās obligācijas vai turētu nodrošinājumu, ar ko nodrošina segtās obligācijas, ja tā nav iekļauta nevienā no iepriekš a), b) vai d)–f) punktā minētajām kategorijām);</w:t>
            </w:r>
          </w:p>
          <w:p w14:paraId="73FCB23B" w14:textId="77777777" w:rsidR="00173F08" w:rsidRPr="002A677E" w:rsidRDefault="00173F08" w:rsidP="00822842">
            <w:pPr>
              <w:tabs>
                <w:tab w:val="left" w:pos="372"/>
              </w:tabs>
              <w:rPr>
                <w:rStyle w:val="InstructionsTabelleText"/>
                <w:rFonts w:ascii="Times New Roman" w:hAnsi="Times New Roman"/>
                <w:sz w:val="24"/>
              </w:rPr>
            </w:pPr>
            <w:r>
              <w:rPr>
                <w:rStyle w:val="InstructionsTabelleText"/>
                <w:rFonts w:ascii="Times New Roman" w:hAnsi="Times New Roman"/>
                <w:sz w:val="24"/>
              </w:rPr>
              <w:t>h)</w:t>
            </w:r>
            <w:r>
              <w:rPr>
                <w:rStyle w:val="InstructionsTabelleText"/>
                <w:rFonts w:ascii="Times New Roman" w:hAnsi="Times New Roman"/>
                <w:sz w:val="24"/>
              </w:rPr>
              <w:tab/>
              <w:t>cita veida sabiedrība</w:t>
            </w:r>
          </w:p>
          <w:p w14:paraId="404E7CFE" w14:textId="77777777" w:rsidR="00173F08" w:rsidRPr="002A677E" w:rsidRDefault="00173F08" w:rsidP="00822842">
            <w:pPr>
              <w:tabs>
                <w:tab w:val="left" w:pos="372"/>
              </w:tabs>
              <w:ind w:left="372"/>
              <w:rPr>
                <w:rStyle w:val="InstructionsTabelleberschrift"/>
                <w:rFonts w:ascii="Times New Roman" w:hAnsi="Times New Roman"/>
                <w:b w:val="0"/>
                <w:sz w:val="24"/>
              </w:rPr>
            </w:pPr>
            <w:r>
              <w:rPr>
                <w:rStyle w:val="InstructionsTabelleberschrift"/>
                <w:rFonts w:ascii="Times New Roman" w:hAnsi="Times New Roman"/>
                <w:sz w:val="24"/>
              </w:rPr>
              <w:t>(sabiedrība, kas nav minēta a)–g) punktā).</w:t>
            </w:r>
          </w:p>
          <w:p w14:paraId="1E1DE3FB" w14:textId="77777777" w:rsidR="00173F08" w:rsidRPr="002A677E" w:rsidRDefault="00173F08" w:rsidP="00822842">
            <w:pPr>
              <w:tabs>
                <w:tab w:val="left" w:pos="372"/>
              </w:tabs>
              <w:rPr>
                <w:rStyle w:val="InstructionsTabelleberschrift"/>
                <w:rFonts w:ascii="Times New Roman" w:hAnsi="Times New Roman"/>
                <w:b w:val="0"/>
                <w:sz w:val="24"/>
              </w:rPr>
            </w:pPr>
            <w:r>
              <w:rPr>
                <w:rStyle w:val="InstructionsTabelleberschrift"/>
                <w:rFonts w:ascii="Times New Roman" w:hAnsi="Times New Roman"/>
                <w:sz w:val="24"/>
              </w:rPr>
              <w:t>Ja sabiedrībai nepiemēro</w:t>
            </w:r>
            <w:r>
              <w:rPr>
                <w:rFonts w:ascii="Times New Roman" w:hAnsi="Times New Roman"/>
                <w:sz w:val="24"/>
              </w:rPr>
              <w:t xml:space="preserve"> Regulu (ES) Nr. 575/2013  </w:t>
            </w:r>
            <w:r>
              <w:rPr>
                <w:rStyle w:val="InstructionsTabelleberschrift"/>
                <w:rFonts w:ascii="Times New Roman" w:hAnsi="Times New Roman"/>
                <w:sz w:val="24"/>
              </w:rPr>
              <w:t>un</w:t>
            </w:r>
            <w:r>
              <w:rPr>
                <w:rFonts w:ascii="Times New Roman" w:hAnsi="Times New Roman"/>
                <w:sz w:val="24"/>
              </w:rPr>
              <w:t xml:space="preserve"> Direktīvu 2013/36/ES, </w:t>
            </w:r>
            <w:r>
              <w:rPr>
                <w:rStyle w:val="InstructionsTabelleberschrift"/>
                <w:rFonts w:ascii="Times New Roman" w:hAnsi="Times New Roman"/>
                <w:sz w:val="24"/>
              </w:rPr>
              <w:t>bet gan noteikumus, kas ir vismaz līdzvērtīgi “Bāzeles” noteikumiem, attiecīgo kategoriju nosaka labāko iespēju robežās.</w:t>
            </w:r>
          </w:p>
        </w:tc>
      </w:tr>
      <w:tr w:rsidR="00173F08" w:rsidRPr="002A677E" w14:paraId="177D0BA5" w14:textId="77777777" w:rsidTr="00822842">
        <w:tc>
          <w:tcPr>
            <w:tcW w:w="1188" w:type="dxa"/>
          </w:tcPr>
          <w:p w14:paraId="0C21191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14:paraId="6CCCE12B"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DATU TVĒRUMS: </w:t>
            </w:r>
            <w:r>
              <w:rPr>
                <w:rFonts w:ascii="Times New Roman" w:hAnsi="Times New Roman"/>
                <w:b/>
                <w:caps/>
                <w:sz w:val="24"/>
                <w:u w:val="single"/>
              </w:rPr>
              <w:t>pilnībā individuāli konsolidēti (</w:t>
            </w:r>
            <w:r>
              <w:rPr>
                <w:rFonts w:ascii="Times New Roman" w:hAnsi="Times New Roman"/>
                <w:b/>
                <w:i/>
                <w:iCs/>
                <w:caps/>
                <w:sz w:val="24"/>
                <w:u w:val="single"/>
              </w:rPr>
              <w:t>SF</w:t>
            </w:r>
            <w:r>
              <w:rPr>
                <w:rFonts w:ascii="Times New Roman" w:hAnsi="Times New Roman"/>
                <w:b/>
                <w:caps/>
                <w:sz w:val="24"/>
                <w:u w:val="single"/>
              </w:rPr>
              <w:t>) VAI daļēji individuāli konsolidēti (</w:t>
            </w:r>
            <w:r>
              <w:rPr>
                <w:rFonts w:ascii="Times New Roman" w:hAnsi="Times New Roman"/>
                <w:b/>
                <w:i/>
                <w:iCs/>
                <w:caps/>
                <w:sz w:val="24"/>
                <w:u w:val="single"/>
              </w:rPr>
              <w:t>SP</w:t>
            </w:r>
            <w:r>
              <w:rPr>
                <w:rFonts w:ascii="Times New Roman" w:hAnsi="Times New Roman"/>
                <w:b/>
                <w:caps/>
                <w:sz w:val="24"/>
                <w:u w:val="single"/>
              </w:rPr>
              <w:t>)</w:t>
            </w:r>
          </w:p>
          <w:p w14:paraId="0AE72FF3" w14:textId="77777777" w:rsidR="00173F08" w:rsidRPr="002A677E" w:rsidRDefault="00173F08" w:rsidP="00822842">
            <w:pPr>
              <w:rPr>
                <w:rStyle w:val="Heading1Char"/>
                <w:rFonts w:ascii="Times New Roman" w:hAnsi="Times New Roman"/>
                <w:sz w:val="24"/>
              </w:rPr>
            </w:pPr>
            <w:r>
              <w:rPr>
                <w:rFonts w:ascii="Times New Roman" w:hAnsi="Times New Roman"/>
                <w:sz w:val="24"/>
              </w:rPr>
              <w:t>“</w:t>
            </w:r>
            <w:r>
              <w:rPr>
                <w:rFonts w:ascii="Times New Roman" w:hAnsi="Times New Roman"/>
                <w:i/>
                <w:iCs/>
                <w:sz w:val="24"/>
              </w:rPr>
              <w:t>SF</w:t>
            </w:r>
            <w:r>
              <w:rPr>
                <w:rFonts w:ascii="Times New Roman" w:hAnsi="Times New Roman"/>
                <w:sz w:val="24"/>
              </w:rPr>
              <w:t>”uzrāda par individuāliem pilnībā konsolidētiem meitasuzņēmumiem.</w:t>
            </w:r>
            <w:r>
              <w:rPr>
                <w:rStyle w:val="Heading1Char"/>
                <w:rFonts w:ascii="Times New Roman" w:hAnsi="Times New Roman"/>
                <w:sz w:val="24"/>
              </w:rPr>
              <w:t xml:space="preserve"> </w:t>
            </w:r>
          </w:p>
          <w:p w14:paraId="62274488" w14:textId="77777777" w:rsidR="00173F08" w:rsidRPr="002A677E" w:rsidRDefault="00173F08" w:rsidP="00822842">
            <w:pPr>
              <w:rPr>
                <w:rStyle w:val="InstructionsTabelleText"/>
                <w:rFonts w:ascii="Times New Roman" w:hAnsi="Times New Roman"/>
                <w:smallCaps/>
                <w:sz w:val="24"/>
              </w:rPr>
            </w:pPr>
            <w:r>
              <w:rPr>
                <w:rFonts w:ascii="Times New Roman" w:hAnsi="Times New Roman"/>
                <w:sz w:val="24"/>
              </w:rPr>
              <w:t>“</w:t>
            </w:r>
            <w:r>
              <w:rPr>
                <w:rFonts w:ascii="Times New Roman" w:hAnsi="Times New Roman"/>
                <w:i/>
                <w:iCs/>
                <w:sz w:val="24"/>
              </w:rPr>
              <w:t>SP</w:t>
            </w:r>
            <w:r>
              <w:rPr>
                <w:rFonts w:ascii="Times New Roman" w:hAnsi="Times New Roman"/>
                <w:sz w:val="24"/>
              </w:rPr>
              <w:t>”uzrāda par individuāliem daļēji konsolidētiem meitasuzņēmumiem.</w:t>
            </w:r>
            <w:r>
              <w:rPr>
                <w:rStyle w:val="InstructionsTabelleText"/>
                <w:rFonts w:ascii="Times New Roman" w:hAnsi="Times New Roman"/>
                <w:i/>
                <w:sz w:val="24"/>
              </w:rPr>
              <w:t xml:space="preserve"> </w:t>
            </w:r>
          </w:p>
        </w:tc>
      </w:tr>
      <w:tr w:rsidR="00173F08" w:rsidRPr="002A677E" w14:paraId="5114D2FB" w14:textId="77777777" w:rsidTr="00822842">
        <w:tc>
          <w:tcPr>
            <w:tcW w:w="1188" w:type="dxa"/>
          </w:tcPr>
          <w:p w14:paraId="333484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0CDACE7"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 xml:space="preserve">VALSTS KODS </w:t>
            </w:r>
          </w:p>
          <w:p w14:paraId="6D6EDCAD" w14:textId="3FF412B9"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Iestādes uzrāda no diviem burtiem sastāvošo valsts kodu, kas minēts </w:t>
            </w:r>
            <w:r>
              <w:rPr>
                <w:rStyle w:val="InstructionsTabelleText"/>
                <w:rFonts w:ascii="Times New Roman" w:hAnsi="Times New Roman"/>
                <w:i/>
                <w:iCs/>
                <w:sz w:val="24"/>
              </w:rPr>
              <w:t>ISO</w:t>
            </w:r>
            <w:r>
              <w:rPr>
                <w:rStyle w:val="InstructionsTabelleText"/>
                <w:rFonts w:ascii="Times New Roman" w:hAnsi="Times New Roman"/>
                <w:sz w:val="24"/>
              </w:rPr>
              <w:t xml:space="preserve"> 3166-1 </w:t>
            </w:r>
            <w:r>
              <w:rPr>
                <w:rStyle w:val="InstructionsTabelleText"/>
                <w:rFonts w:ascii="Times New Roman" w:hAnsi="Times New Roman"/>
                <w:i/>
                <w:iCs/>
                <w:sz w:val="24"/>
              </w:rPr>
              <w:t>alpha</w:t>
            </w:r>
            <w:r>
              <w:rPr>
                <w:rStyle w:val="InstructionsTabelleText"/>
                <w:rFonts w:ascii="Times New Roman" w:hAnsi="Times New Roman"/>
                <w:sz w:val="24"/>
              </w:rPr>
              <w:t xml:space="preserve">-2. </w:t>
            </w:r>
          </w:p>
        </w:tc>
      </w:tr>
      <w:tr w:rsidR="00173F08" w:rsidRPr="002A677E" w14:paraId="78D1D7A5" w14:textId="77777777" w:rsidTr="00822842">
        <w:tc>
          <w:tcPr>
            <w:tcW w:w="1188" w:type="dxa"/>
          </w:tcPr>
          <w:p w14:paraId="26EECF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3297BC0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LĪDZDALĪBAS DAĻA (%)</w:t>
            </w:r>
          </w:p>
          <w:p w14:paraId="0214F39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Šī procentuālā attiecība attiecas uz faktisko kapitāla daļu, kas mātesuzņēmumam pieder meitasuzņēmumos. Tieša meitasuzņēmuma pilnas konsolidācijas gadījumā faktiskā daļa ir, piemēram, 70 %. </w:t>
            </w:r>
            <w:r>
              <w:rPr>
                <w:rFonts w:ascii="Times New Roman" w:hAnsi="Times New Roman"/>
                <w:sz w:val="24"/>
              </w:rPr>
              <w:t xml:space="preserve">Saskaņā ar Regulas (ES) Nr. 575/2013 4. panta 1. punkta </w:t>
            </w:r>
            <w:r>
              <w:rPr>
                <w:rFonts w:ascii="Times New Roman" w:hAnsi="Times New Roman"/>
                <w:sz w:val="24"/>
              </w:rPr>
              <w:lastRenderedPageBreak/>
              <w:t>16) apakšpunktu meitasuzņēmuma līdzdalības daļa, par ko jāsniedz pārskats, izriet no tā, ka daļas starp attiecīgajiem meitasuzņēmumiem tiek reizinātas.</w:t>
            </w:r>
          </w:p>
        </w:tc>
      </w:tr>
      <w:tr w:rsidR="00173F08" w:rsidRPr="002A677E" w14:paraId="55A34781" w14:textId="77777777" w:rsidTr="00822842">
        <w:tc>
          <w:tcPr>
            <w:tcW w:w="1188" w:type="dxa"/>
          </w:tcPr>
          <w:p w14:paraId="254AD57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8640" w:type="dxa"/>
          </w:tcPr>
          <w:p w14:paraId="42EB5499" w14:textId="77777777" w:rsidR="00173F08" w:rsidRPr="002A677E" w:rsidRDefault="00173F08" w:rsidP="00822842">
            <w:pPr>
              <w:rPr>
                <w:rFonts w:ascii="Times New Roman" w:hAnsi="Times New Roman"/>
                <w:b/>
                <w:sz w:val="24"/>
                <w:u w:val="single"/>
              </w:rPr>
            </w:pPr>
            <w:r>
              <w:rPr>
                <w:rFonts w:ascii="Times New Roman" w:hAnsi="Times New Roman"/>
                <w:b/>
                <w:sz w:val="24"/>
                <w:u w:val="single"/>
              </w:rPr>
              <w:t>KOMPENSĒJOŠĀ GRUPA</w:t>
            </w:r>
          </w:p>
          <w:p w14:paraId="591957C8"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“Kompensējošā grupa” ir jebkura no turpmāk minētajām:</w:t>
            </w:r>
          </w:p>
          <w:p w14:paraId="3C498A91" w14:textId="77777777" w:rsidR="00173F08" w:rsidRPr="000F4F88" w:rsidRDefault="00173F08" w:rsidP="00173F08">
            <w:pPr>
              <w:pStyle w:val="ListParagraph"/>
              <w:numPr>
                <w:ilvl w:val="0"/>
                <w:numId w:val="3"/>
              </w:numPr>
              <w:rPr>
                <w:rStyle w:val="InstructionsTabelleText"/>
                <w:rFonts w:ascii="Times New Roman" w:hAnsi="Times New Roman"/>
                <w:sz w:val="24"/>
              </w:rPr>
            </w:pPr>
            <w:r>
              <w:rPr>
                <w:rStyle w:val="InstructionsTabelleText"/>
                <w:rFonts w:ascii="Times New Roman" w:hAnsi="Times New Roman"/>
                <w:sz w:val="24"/>
              </w:rPr>
              <w:t>sabiedrību grupa, attiecībā uz kuru kompetentā iestāde ir piešķīrusi atļauju izmantot pozīcijas vienā minētās grupas iestādē vai uzņēmumā, lai kompensētu pozīcijas citā minētās grupas iestādē vai uzņēmumā saskaņā ar Regulas (ES) Nr. 575/2013 325.b pantu;</w:t>
            </w:r>
          </w:p>
          <w:p w14:paraId="6C55C0A1" w14:textId="77777777" w:rsidR="00173F08" w:rsidRPr="000059B8" w:rsidRDefault="00173F08" w:rsidP="00173F08">
            <w:pPr>
              <w:pStyle w:val="ListParagraph"/>
              <w:numPr>
                <w:ilvl w:val="0"/>
                <w:numId w:val="3"/>
              </w:numPr>
              <w:rPr>
                <w:rStyle w:val="InstructionsTabelleText"/>
                <w:rFonts w:ascii="Times New Roman" w:hAnsi="Times New Roman"/>
                <w:b/>
                <w:bCs/>
                <w:sz w:val="24"/>
                <w:u w:val="single"/>
              </w:rPr>
            </w:pPr>
            <w:r>
              <w:rPr>
                <w:rStyle w:val="InstructionsTabelleText"/>
                <w:rFonts w:ascii="Times New Roman" w:hAnsi="Times New Roman"/>
                <w:sz w:val="24"/>
              </w:rPr>
              <w:t>jebkura atsevišķa sabiedrība, kuras pozīcijas nevar kompensēt ar jebkuras citas tās pašas grupas sabiedrības pozīcijām, uz kuru attiecas konsolidētā uzraudzība saskaņā ar Direktīvu 2013/36/ES, jo kompetentā iestāde nav piešķīrusi atļauju saskaņā ar minētās regulas 325.b pantu.</w:t>
            </w:r>
          </w:p>
          <w:p w14:paraId="30CBC62B"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Iestādes norāda kompensējošo grupu, pie kuras pieder katra veidnē uzskaitītā sabiedrība, ja tā atbilst šādiem diviem nosacījumiem:</w:t>
            </w:r>
          </w:p>
          <w:p w14:paraId="147E25D5" w14:textId="77777777" w:rsidR="00173F08" w:rsidRPr="000059B8" w:rsidRDefault="00173F08" w:rsidP="00822842">
            <w:pPr>
              <w:rPr>
                <w:rStyle w:val="InstructionsTabelleText"/>
                <w:rFonts w:ascii="Times New Roman" w:hAnsi="Times New Roman"/>
                <w:sz w:val="24"/>
              </w:rPr>
            </w:pPr>
            <w:r>
              <w:rPr>
                <w:rStyle w:val="InstructionsTabelleText"/>
                <w:rFonts w:ascii="Times New Roman" w:hAnsi="Times New Roman"/>
                <w:sz w:val="24"/>
              </w:rPr>
              <w:t>a) Tās aprēķina pašu kapitāla prasības saviem darījumiem, kas pakļauti tirgus riskam, saskaņā ar Regulas (ES) Nr. 575/2013 Trešās daļas IV sadaļas 1.a un/vai 1.b nodaļu, vai uz tiem attiecas pienākums sniegt informāciju par minētajām pašu kapitāla prasībām saskaņā ar minētās regulas 430. panta 2.a vai 2.b punktu;</w:t>
            </w:r>
          </w:p>
          <w:p w14:paraId="467E176C"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b) Grupa, kurai piemēro konsolidācijas uzraudzību saskaņā ar Direktīvu 2013/36/ES, ietver vismaz divas kompensējošās grupas.</w:t>
            </w:r>
          </w:p>
          <w:p w14:paraId="6E55692B" w14:textId="77777777" w:rsidR="00173F08"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Šajā slejā uzrādāmās summas ir “Kompensējošā grupa 1”, “Kompensējošā grupa 2”, utt. Šim iedalījumam kategorijās starp juridiskām personām un kompensējošām grupām ir jābūt konsekventam laika gaitā, konsekventam tās pašas grupas pārskatos, uz kuru attiecas konsolidētā uzraudzība, un konsekventam ar kompensējošo grupu identifikāciju </w:t>
            </w:r>
            <w:r>
              <w:rPr>
                <w:rStyle w:val="InstructionsTabelleText"/>
                <w:rFonts w:ascii="Times New Roman" w:hAnsi="Times New Roman"/>
                <w:sz w:val="24"/>
                <w:highlight w:val="yellow"/>
              </w:rPr>
              <w:t>[Regulas (ES) 2021/453 I pielikumā]</w:t>
            </w:r>
            <w:r>
              <w:rPr>
                <w:rStyle w:val="InstructionsTabelleText"/>
                <w:rFonts w:ascii="Times New Roman" w:hAnsi="Times New Roman"/>
                <w:sz w:val="24"/>
              </w:rPr>
              <w:t xml:space="preserve"> iekļautajās veidnēs.</w:t>
            </w:r>
          </w:p>
          <w:p w14:paraId="5DB075C7"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Ja iestāde atbilst a) nosacījumam, kas precizēts iepriekš, bet grupa, uz kuru attiecas konsolidācijas uzraudzība saskaņā ar Direktīvu 2013/36/ES, ietver tikai vienu kompensējošo grupu, iestādes norāda “viena kompensējošā grupa” rindā, kas atbilst šajā veidnē uzrādītajam grupas mātesuzņēmumam.</w:t>
            </w:r>
          </w:p>
        </w:tc>
      </w:tr>
      <w:tr w:rsidR="00173F08" w:rsidRPr="002A677E" w14:paraId="79BDBC0E" w14:textId="77777777" w:rsidTr="00822842">
        <w:tc>
          <w:tcPr>
            <w:tcW w:w="1188" w:type="dxa"/>
          </w:tcPr>
          <w:p w14:paraId="73FB157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14:paraId="0274B01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INFORMĀCIJA PAR SABIEDRĪBĀM, KAM PIEMĒRO PAŠU KAPITĀLA PRASĪBAS</w:t>
            </w:r>
          </w:p>
          <w:p w14:paraId="5193F4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Detalizētas informācijas iedaļā (t. i., 0070.–0240. slejā) apkopota informācija vienīgi par tām sabiedrībām un apakšgrupām, kuras ir konsolidācijas tvērumā (Regulas (ES) Nr. 575/2013 Pirmās daļas II sadaļas 2. nodaļa) un kurām faktiski piemēro maksātspējas prasības, kas noteiktas Regulā (ES) Nr. 575/2013, vai noteikumus, kas ir vismaz līdzvērtīgi “Bāzele” noteikumiem (t. i., sabiedrībām un apakšgrupām, kas 0030. slejā norādījušās “JĀ”).</w:t>
            </w:r>
            <w:r>
              <w:rPr>
                <w:rStyle w:val="InstructionsTabelleText"/>
                <w:rFonts w:ascii="Times New Roman" w:hAnsi="Times New Roman"/>
                <w:sz w:val="24"/>
              </w:rPr>
              <w:t xml:space="preserve"> </w:t>
            </w:r>
          </w:p>
          <w:p w14:paraId="341FD737" w14:textId="77777777" w:rsidR="00173F08" w:rsidRPr="002A677E" w:rsidRDefault="00173F08" w:rsidP="00822842">
            <w:pPr>
              <w:rPr>
                <w:rFonts w:ascii="Times New Roman" w:hAnsi="Times New Roman"/>
                <w:sz w:val="24"/>
              </w:rPr>
            </w:pPr>
            <w:r>
              <w:rPr>
                <w:rFonts w:ascii="Times New Roman" w:hAnsi="Times New Roman"/>
                <w:sz w:val="24"/>
              </w:rPr>
              <w:t xml:space="preserve">Iekļauj informāciju par visām individuālām konsolidētās grupas iestādēm, kam piemēro pašu kapitāla prasības, neatkarīgi no tā, kur tās atrodas. </w:t>
            </w:r>
          </w:p>
          <w:p w14:paraId="44903571" w14:textId="77777777" w:rsidR="00173F08" w:rsidRPr="002A677E" w:rsidRDefault="00173F08" w:rsidP="00822842">
            <w:pPr>
              <w:rPr>
                <w:rFonts w:ascii="Times New Roman" w:hAnsi="Times New Roman"/>
                <w:sz w:val="24"/>
              </w:rPr>
            </w:pPr>
            <w:r>
              <w:rPr>
                <w:rFonts w:ascii="Times New Roman" w:hAnsi="Times New Roman"/>
                <w:sz w:val="24"/>
              </w:rPr>
              <w:t xml:space="preserve">Šajā daļā uzrādītā informācija atspoguļo vietējos maksātspējas noteikumus jurisdikcijā, kur iestāde darbojas (tāpēc šajā veidnē nav nepieciešams individuāli veikt dubultu aprēķinu, pamatojoties uz mātes iestādes noteikumiem). Gadījumos, kad vietējie maksātspējas noteikumi atšķiras no Regulas (ES) Nr. 575/2013 un nav sniegts </w:t>
            </w:r>
            <w:r>
              <w:rPr>
                <w:rFonts w:ascii="Times New Roman" w:hAnsi="Times New Roman"/>
                <w:sz w:val="24"/>
              </w:rPr>
              <w:lastRenderedPageBreak/>
              <w:t>pielīdzināms sadalījums, informāciju, ja dati ir pieejami, sniedz attiecīgi detalizēti. Tādēļ šī daļa ir faktu veidne, kurā sniegts kopsavilkums par to, kādi aprēķini individuālām grupas iestādēm jāveic, ņemot vērā to, ka dažām no šīm iestādēm var tikt piemēroti atšķirīgi maksātspējas noteikumi.</w:t>
            </w:r>
          </w:p>
          <w:p w14:paraId="6B5F0F6F" w14:textId="77777777" w:rsidR="00173F08" w:rsidRPr="002A677E" w:rsidRDefault="00173F08" w:rsidP="00822842">
            <w:pPr>
              <w:rPr>
                <w:rStyle w:val="InstructionsTabelleText"/>
                <w:rFonts w:ascii="Times New Roman" w:hAnsi="Times New Roman"/>
                <w:b/>
                <w:sz w:val="24"/>
                <w:u w:val="single"/>
              </w:rPr>
            </w:pPr>
            <w:r>
              <w:rPr>
                <w:rStyle w:val="InstructionsTabelleText"/>
                <w:rFonts w:ascii="Times New Roman" w:hAnsi="Times New Roman"/>
                <w:b/>
                <w:sz w:val="24"/>
                <w:u w:val="single"/>
              </w:rPr>
              <w:t>Pārskatu sniegšana par ieguldījumu brokeru sabiedrību fiksētiem pieskaitāmiem izdevumiem</w:t>
            </w:r>
          </w:p>
          <w:p w14:paraId="38DFF7EE"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Fonts w:ascii="Times New Roman" w:hAnsi="Times New Roman"/>
                <w:sz w:val="24"/>
              </w:rPr>
              <w:t>Saskaņā ar Regulas (ES) Nr. 575/2013 95., 96., 97. un 98. pantu ieguldījumu brokeru sabiedrības pašu kapitāla prasības, kas saistītas ar fiksētiem pieskaitāmiem izdevumiem, ietver kapitāla rādītāja aprēķinā.</w:t>
            </w:r>
          </w:p>
          <w:p w14:paraId="033740CD" w14:textId="77777777" w:rsidR="00173F08" w:rsidRPr="002A677E" w:rsidRDefault="00173F08" w:rsidP="00822842">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To daļu no kopējās riska darījumu vērtības, kas saistīta ar fiksētiem pieskaitāmiem izdevumiem, norāda šīs veidnes 0100. slejā. </w:t>
            </w:r>
          </w:p>
        </w:tc>
      </w:tr>
      <w:tr w:rsidR="00173F08" w:rsidRPr="002A677E" w14:paraId="63C531B9" w14:textId="77777777" w:rsidTr="00822842">
        <w:tc>
          <w:tcPr>
            <w:tcW w:w="1188" w:type="dxa"/>
          </w:tcPr>
          <w:p w14:paraId="7EE45F2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1A22FB2A"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KOPĒJĀ RISKA DARĪJUMU VĒRTĪBA </w:t>
            </w:r>
          </w:p>
          <w:p w14:paraId="4B0A43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Uzrāda 0080.–0110. slejas summu.</w:t>
            </w:r>
          </w:p>
        </w:tc>
      </w:tr>
      <w:tr w:rsidR="00173F08" w:rsidRPr="002A677E" w14:paraId="1431A12F" w14:textId="77777777" w:rsidTr="00822842">
        <w:tc>
          <w:tcPr>
            <w:tcW w:w="1188" w:type="dxa"/>
          </w:tcPr>
          <w:p w14:paraId="1F1161F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0075.</w:t>
            </w:r>
          </w:p>
        </w:tc>
        <w:tc>
          <w:tcPr>
            <w:tcW w:w="8640" w:type="dxa"/>
          </w:tcPr>
          <w:p w14:paraId="78E93AAA" w14:textId="77777777" w:rsidR="00173F08"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NO KĀ: MINIMĀLĀS ROBEŽVĒRTĪBAS KOREKCIJA (PAŠU KAPITĀLA MINIMĀLĀ ROBEŽVĒRTĪBA </w:t>
            </w:r>
            <w:r>
              <w:rPr>
                <w:rStyle w:val="InstructionsTabelleberschrift"/>
                <w:rFonts w:ascii="Times New Roman" w:hAnsi="Times New Roman"/>
                <w:i/>
                <w:iCs/>
                <w:sz w:val="24"/>
              </w:rPr>
              <w:t>TREA</w:t>
            </w:r>
            <w:r>
              <w:rPr>
                <w:rStyle w:val="InstructionsTabelleberschrift"/>
                <w:rFonts w:ascii="Times New Roman" w:hAnsi="Times New Roman"/>
                <w:sz w:val="24"/>
              </w:rPr>
              <w:t>)</w:t>
            </w:r>
          </w:p>
          <w:p w14:paraId="267C9374" w14:textId="77777777" w:rsidR="00173F08" w:rsidRPr="00601EA3" w:rsidRDefault="00173F08" w:rsidP="00822842">
            <w:pPr>
              <w:rPr>
                <w:rStyle w:val="InstructionsTabelleberschrift"/>
                <w:rFonts w:ascii="Times New Roman" w:hAnsi="Times New Roman"/>
                <w:b w:val="0"/>
                <w:bCs w:val="0"/>
                <w:sz w:val="24"/>
              </w:rPr>
            </w:pPr>
            <w:r>
              <w:rPr>
                <w:rStyle w:val="InstructionsTabelleberschrift"/>
                <w:rFonts w:ascii="Times New Roman" w:hAnsi="Times New Roman"/>
                <w:b w:val="0"/>
                <w:sz w:val="24"/>
              </w:rPr>
              <w:t>Uzņēmumi uzrāda minimālās robežvērtības korekciju, kas aprēķināta individuāli.</w:t>
            </w:r>
          </w:p>
        </w:tc>
      </w:tr>
      <w:tr w:rsidR="00173F08" w:rsidRPr="002A677E" w14:paraId="5B3929C2" w14:textId="77777777" w:rsidTr="00822842">
        <w:tc>
          <w:tcPr>
            <w:tcW w:w="1188" w:type="dxa"/>
          </w:tcPr>
          <w:p w14:paraId="4F014BF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7FCBE59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4C32FDA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Šajā slejā uzrādāmā summa atbilst riska darījumu riska svērtās vērtības summai, kas ir vienāda ar summām, kuras jāuzrāda CA2 veidnes 0040. rindā </w:t>
            </w:r>
            <w:r>
              <w:rPr>
                <w:rStyle w:val="InstructionsTabelleberschrift"/>
                <w:rFonts w:ascii="Times New Roman" w:hAnsi="Times New Roman"/>
                <w:sz w:val="24"/>
              </w:rPr>
              <w:t>“RISKA DARĪJUMU RISKA SVĒRTĀS VĒRTĪBAS</w:t>
            </w:r>
            <w:r>
              <w:rPr>
                <w:rStyle w:val="InstructionsTabelleText"/>
                <w:rFonts w:ascii="Times New Roman" w:hAnsi="Times New Roman"/>
                <w:sz w:val="24"/>
              </w:rPr>
              <w:t xml:space="preserve"> KREDĪTRISKAM, DARĪJUMA PARTNERA KREDĪTRISKAM UN ATGŪSTAMĀS VĒRTĪBAS SAMAZINĀJUMA RISKAM UN NEAPMAKSĀTĀM PIEGĀDĒM”, vai līdzvērtīga tām; un pašu kapitāla prasību summām, kas ir vienādas ar summām, kuras jāuzrāda 0490. rindā “KOPĒJĀ RISKA DARĪJUMU VĒRTĪBA NORĒĶINU/PIEGĀDES RISKAM”.</w:t>
            </w:r>
          </w:p>
        </w:tc>
      </w:tr>
      <w:tr w:rsidR="00173F08" w:rsidRPr="002A677E" w14:paraId="48538122" w14:textId="77777777" w:rsidTr="00822842">
        <w:tc>
          <w:tcPr>
            <w:tcW w:w="1188" w:type="dxa"/>
          </w:tcPr>
          <w:p w14:paraId="3B03E59F"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1F8CDF0D" w14:textId="117F25BE"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TIRGUS RISKI</w:t>
            </w:r>
          </w:p>
          <w:p w14:paraId="7A55CAD7" w14:textId="55D7980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Šajā slejā uzrādāmā summa atbilst pašu kapitāla prasību summai, kas ir vienāda ar summām, kas jāuzrāda CA2 veidnes 0520. rindā “KOPĒJĀ RISKA DARĪJUMU VĒRTĪBA DARĪJUMIEM, KAS PAKĻAUTI TIRGUS RISKAM”, vai līdzvērtīga tām.</w:t>
            </w:r>
          </w:p>
        </w:tc>
      </w:tr>
      <w:tr w:rsidR="00173F08" w:rsidRPr="002A677E" w14:paraId="292EDAF3" w14:textId="77777777" w:rsidTr="00822842">
        <w:tc>
          <w:tcPr>
            <w:tcW w:w="1188" w:type="dxa"/>
          </w:tcPr>
          <w:p w14:paraId="468DC5E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47EDEC82"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0D971C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ir vienāda ar summu, kura jāuzrāda CA2 veidnes 0590. rindā “KOPĒJĀ RISKA DARĪJUMU VĒRTĪBA OPERACIONĀLAJAM RISKAM (OpR)”, vai līdzvērtīga tai.</w:t>
            </w:r>
          </w:p>
          <w:p w14:paraId="793CB66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Šajā slejā iekļauj fiksētus pieskaitāmos izdevumus, tostarp CA2 veidnes 0630. rindu “PAPILDU RISKA DARĪJUMU VĒRTĪBA SAISTĪBĀ AR FIKSĒTIEM PIESKAITĀMAJIEM IZDEVUMIEM”.</w:t>
            </w:r>
          </w:p>
        </w:tc>
      </w:tr>
      <w:tr w:rsidR="00173F08" w:rsidRPr="002A677E" w14:paraId="21616B84" w14:textId="77777777" w:rsidTr="00822842">
        <w:tc>
          <w:tcPr>
            <w:tcW w:w="1188" w:type="dxa"/>
          </w:tcPr>
          <w:p w14:paraId="0592590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14:paraId="5A6EE0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14:paraId="6AB0F2D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Šajā slejā uzrādāmā summa atbilst riska darījumu vērtībai, kas nav īpaši minēta iepriekš. Tā ir CA2 veidnes 0640., 0680. un 0690. rindas summu kopsumma.</w:t>
            </w:r>
          </w:p>
        </w:tc>
      </w:tr>
      <w:tr w:rsidR="00173F08" w:rsidRPr="002A677E" w14:paraId="1AA509B5" w14:textId="77777777" w:rsidTr="00822842">
        <w:tc>
          <w:tcPr>
            <w:tcW w:w="1188" w:type="dxa"/>
          </w:tcPr>
          <w:p w14:paraId="3166640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14:paraId="4017EF1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DETALIZĒTA INFORMĀCIJA PAR PAŠU KAPITĀLU SAISTĪBĀ AR GRUPAS MAKSĀTSPĒJU</w:t>
            </w:r>
          </w:p>
          <w:p w14:paraId="713BB53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Šajās slejās uzrādāmā informācija atspoguļo vietējos maksātspējas noteikumus dalībvalstī, kur iestāde vai apakšgrupa darbojas.</w:t>
            </w:r>
          </w:p>
        </w:tc>
      </w:tr>
      <w:tr w:rsidR="00173F08" w:rsidRPr="002A677E" w14:paraId="5A140096" w14:textId="77777777" w:rsidTr="00822842">
        <w:tc>
          <w:tcPr>
            <w:tcW w:w="1188" w:type="dxa"/>
          </w:tcPr>
          <w:p w14:paraId="487213B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B6BE8D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PAŠU KAPITĀLS</w:t>
            </w:r>
          </w:p>
          <w:p w14:paraId="55D150C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pašu kapitāla summai, kas ir vienāda ar summām, kas jāuzrāda CA1 veidnes 0010. rindā “PAŠU KAPITĀLS”, vai līdzvērtīga tām.</w:t>
            </w:r>
          </w:p>
        </w:tc>
      </w:tr>
      <w:tr w:rsidR="00173F08" w:rsidRPr="002A677E" w14:paraId="40713F8A" w14:textId="77777777" w:rsidTr="00822842">
        <w:tc>
          <w:tcPr>
            <w:tcW w:w="1188" w:type="dxa"/>
          </w:tcPr>
          <w:p w14:paraId="4C6759BA"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33EA093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 xml:space="preserve">NO KĀ: ATBILSTĪGS PAŠU KAPITĀLS </w:t>
            </w:r>
          </w:p>
          <w:p w14:paraId="34714CB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 xml:space="preserve">Regulas (ES) Nr. 575/2013 82. pants </w:t>
            </w:r>
          </w:p>
          <w:p w14:paraId="7999D7D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 xml:space="preserve">Šī sleja ir paredzēta vienīgi pilnībā konsolidētiem meitasuzņēmumiem, par kuriem individuāli sniedz pārskatu un kuri ir iestādes. </w:t>
            </w:r>
          </w:p>
          <w:p w14:paraId="1DFAED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Iepriekš norādīto meitasuzņēmumu gadījumā būtiskas līdzdalības ir instrumenti (plus attiecīgā nesadalītā peļņa, akciju emisijas uzcenojuma konti un citas rezerves), kas pieder personām, kuras nav Regulas (ES) Nr. 575/2013 konsolidācijā ietverti uzņēmumi.</w:t>
            </w:r>
          </w:p>
          <w:p w14:paraId="3E7C4509"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173F08" w:rsidRPr="002A677E" w14:paraId="6C60DC0C" w14:textId="77777777" w:rsidTr="00822842">
        <w:tc>
          <w:tcPr>
            <w:tcW w:w="1188" w:type="dxa"/>
          </w:tcPr>
          <w:p w14:paraId="539F5FBB"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24287788"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14:paraId="3F7E53C7"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 xml:space="preserve">Regulas (ES) Nr. 575/2013 </w:t>
            </w:r>
            <w:r>
              <w:rPr>
                <w:rStyle w:val="InstructionsTabelleberschrift"/>
                <w:rFonts w:ascii="Times New Roman" w:hAnsi="Times New Roman"/>
                <w:sz w:val="24"/>
              </w:rPr>
              <w:t>87. panta 1. punkta b) apakšpunkts</w:t>
            </w:r>
            <w:r>
              <w:rPr>
                <w:rFonts w:ascii="Times New Roman" w:hAnsi="Times New Roman"/>
                <w:sz w:val="24"/>
              </w:rPr>
              <w:t>.</w:t>
            </w:r>
          </w:p>
        </w:tc>
      </w:tr>
      <w:tr w:rsidR="00173F08" w:rsidRPr="002A677E" w14:paraId="389DE242" w14:textId="77777777" w:rsidTr="00822842">
        <w:tc>
          <w:tcPr>
            <w:tcW w:w="1188" w:type="dxa"/>
          </w:tcPr>
          <w:p w14:paraId="5AE6A1A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5CD3A5A2" w14:textId="77777777" w:rsidR="00173F08" w:rsidRPr="001235ED"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KOPĒJAIS PIRMĀ LĪMEŅA KAPITĀLS</w:t>
            </w:r>
          </w:p>
          <w:p w14:paraId="3E861344"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Regulas (ES) Nr. 575/2013 25. pants</w:t>
            </w:r>
          </w:p>
        </w:tc>
      </w:tr>
      <w:tr w:rsidR="00173F08" w:rsidRPr="002A677E" w14:paraId="7471167E" w14:textId="77777777" w:rsidTr="00822842">
        <w:tc>
          <w:tcPr>
            <w:tcW w:w="1188" w:type="dxa"/>
          </w:tcPr>
          <w:p w14:paraId="1BFDCD8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72C3705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ATBILSTĪGS PIRMĀ LĪMEŅA KAPITĀLS</w:t>
            </w:r>
          </w:p>
          <w:p w14:paraId="4EB8A1F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82. pants</w:t>
            </w:r>
          </w:p>
          <w:p w14:paraId="1C29CEE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Šī sleja ir paredzēta vienīgi pilnībā konsolidētiem meitasuzņēmumiem, par kuriem individuāli sniedz pārskatu un kuri ir iestādes.</w:t>
            </w:r>
          </w:p>
          <w:p w14:paraId="0AF355C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Iepriekš norādīto meitasuzņēmumu gadījumā būtiskas līdzdalības ir instrumenti (plus attiecīgā nesadalītā peļņa, akciju emisijas uzcenojuma konti un citas rezerves), kas pieder personām, kuras nav Regulas (ES) Nr. 575/2013 konsolidācijā ietverti uzņēmumi.</w:t>
            </w:r>
          </w:p>
          <w:p w14:paraId="342E6F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173F08" w:rsidRPr="002A677E" w14:paraId="4A7FFA9C" w14:textId="77777777" w:rsidTr="00822842">
        <w:tc>
          <w:tcPr>
            <w:tcW w:w="1188" w:type="dxa"/>
          </w:tcPr>
          <w:p w14:paraId="3178D6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14:paraId="03B9DCA4"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SAISTĪTI PIRMĀ LĪMEŅA KAPITĀLA INSTRUMENTI, ATTIECĪGĀ NESADALĪTĀ PEĻŅA UN AKCIJU EMISIJAS UZCENOJUMA KONTI</w:t>
            </w:r>
          </w:p>
          <w:p w14:paraId="0C524078"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 xml:space="preserve">Regulas (ES) Nr. 575/2013 </w:t>
            </w:r>
            <w:r>
              <w:rPr>
                <w:rStyle w:val="InstructionsTabelleberschrift"/>
                <w:rFonts w:ascii="Times New Roman" w:hAnsi="Times New Roman"/>
                <w:sz w:val="24"/>
              </w:rPr>
              <w:t>85. panta 1. punkta b) apakšpunkts</w:t>
            </w:r>
            <w:r>
              <w:rPr>
                <w:rFonts w:ascii="Times New Roman" w:hAnsi="Times New Roman"/>
                <w:sz w:val="24"/>
              </w:rPr>
              <w:t xml:space="preserve">. </w:t>
            </w:r>
          </w:p>
        </w:tc>
      </w:tr>
      <w:tr w:rsidR="00173F08" w:rsidRPr="002A677E" w14:paraId="03F84939" w14:textId="77777777" w:rsidTr="00822842">
        <w:tc>
          <w:tcPr>
            <w:tcW w:w="1188" w:type="dxa"/>
          </w:tcPr>
          <w:p w14:paraId="2ABE034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56913F2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PIRMĀ LĪMEŅA PAMATA KAPITĀLS</w:t>
            </w:r>
          </w:p>
          <w:p w14:paraId="1D31362E"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Regulas (ES) Nr. 575/2013 50. pants</w:t>
            </w:r>
          </w:p>
        </w:tc>
      </w:tr>
      <w:tr w:rsidR="00173F08" w:rsidRPr="002A677E" w14:paraId="0E2BA238" w14:textId="77777777" w:rsidTr="00822842">
        <w:tc>
          <w:tcPr>
            <w:tcW w:w="1188" w:type="dxa"/>
          </w:tcPr>
          <w:p w14:paraId="671DC042"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7B6598C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MAZĀKUMA LĪDZDALĪBAS DAĻAS</w:t>
            </w:r>
          </w:p>
          <w:p w14:paraId="03A35E0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Regulas (ES) Nr. 575/2013 81. pants</w:t>
            </w:r>
          </w:p>
          <w:p w14:paraId="2D5B8BC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Šo sleju uzrāda tikai par pilnībā konsolidētiem meitasuzņēmumiem, kas ir iestādes, izņemot Regulas (ES) Nr. 575/2013 84. panta 3. punktā minētos meitasuzņēmumus.</w:t>
            </w:r>
            <w:r>
              <w:rPr>
                <w:rStyle w:val="InstructionsTabelleText"/>
                <w:rFonts w:ascii="Times New Roman" w:hAnsi="Times New Roman"/>
                <w:sz w:val="24"/>
              </w:rPr>
              <w:t xml:space="preserve"> </w:t>
            </w:r>
            <w:r>
              <w:rPr>
                <w:rFonts w:ascii="Times New Roman" w:hAnsi="Times New Roman"/>
                <w:sz w:val="24"/>
              </w:rPr>
              <w:t>Vajadzības gadījumā visu Regulas (ES) Nr. 575/2013 84. pantā noteikto aprēķinu veikšanas nolūkā katram meitasuzņēmumam saskaņā ar 84. panta 2. punktu pievēršas subkonsolidēti, bet citos gadījumos – solo līmenī.</w:t>
            </w:r>
          </w:p>
          <w:p w14:paraId="2C0D816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Iepriekš norādīto meitasuzņēmumu gadījumā būtiskas līdzdalības ir pirmā līmeņa pamata kapitāla instrumenti (plus attiecīgā nesadalītā peļņa un akciju emisijas uzcenojuma konti), kas pieder personām, kuras nav Regulas (ES) Nr. 575/2013 konsolidācijā ietverti uzņēmumi.</w:t>
            </w:r>
          </w:p>
          <w:p w14:paraId="1D2ACDF3"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173F08" w:rsidRPr="002A677E" w14:paraId="0252C0BA" w14:textId="77777777" w:rsidTr="00822842">
        <w:tc>
          <w:tcPr>
            <w:tcW w:w="1188" w:type="dxa"/>
          </w:tcPr>
          <w:p w14:paraId="3AFB080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14:paraId="4B6EB0AE"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SAISTĪTI PAŠU KAPITĀLA INSTRUMENTI, ATTIECĪGĀ NESADALĪTĀ PEĻŅA, AKCIJU EMISIJAS UZCENOJUMA KONTI UN CITAS REZERVES</w:t>
            </w:r>
          </w:p>
          <w:p w14:paraId="707CE464"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t xml:space="preserve">Regulas (ES) Nr. 575/2013 </w:t>
            </w:r>
            <w:r>
              <w:rPr>
                <w:rStyle w:val="InstructionsTabelleberschrift"/>
                <w:rFonts w:ascii="Times New Roman" w:hAnsi="Times New Roman"/>
                <w:sz w:val="24"/>
              </w:rPr>
              <w:t>84. panta 1. punkta b) apakšpunkts</w:t>
            </w:r>
            <w:r>
              <w:rPr>
                <w:rFonts w:ascii="Times New Roman" w:hAnsi="Times New Roman"/>
                <w:sz w:val="24"/>
              </w:rPr>
              <w:t>.</w:t>
            </w:r>
          </w:p>
        </w:tc>
      </w:tr>
      <w:tr w:rsidR="00173F08" w:rsidRPr="002A677E" w14:paraId="79B83B2A" w14:textId="77777777" w:rsidTr="00822842">
        <w:tc>
          <w:tcPr>
            <w:tcW w:w="1188" w:type="dxa"/>
          </w:tcPr>
          <w:p w14:paraId="3BB83E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263D68BB"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PIRMĀ LĪMEŅA PAPILDU KAPITĀLS</w:t>
            </w:r>
          </w:p>
          <w:p w14:paraId="1CE78A7A"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Regulas (ES) Nr. 575/2013 61. pants</w:t>
            </w:r>
          </w:p>
        </w:tc>
      </w:tr>
      <w:tr w:rsidR="00173F08" w:rsidRPr="002A677E" w14:paraId="3A09E2CF" w14:textId="77777777" w:rsidTr="00822842">
        <w:tc>
          <w:tcPr>
            <w:tcW w:w="1188" w:type="dxa"/>
          </w:tcPr>
          <w:p w14:paraId="2BC2BA1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869B35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ATBILSTĪGS PIRMĀ LĪMEŅA PAPILDU KAPITĀLS</w:t>
            </w:r>
          </w:p>
          <w:p w14:paraId="3A11BFD0"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82. un 83. pants</w:t>
            </w:r>
          </w:p>
          <w:p w14:paraId="55F852A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Šo sleju uzrāda tikai par pilnībā konsolidētiem meitasuzņēmumiem, kas ir iestādes, izņemot Regulas (ES) Nr. 575/2013 85. panta 2. punktā minētos meitasuzņēmumus.</w:t>
            </w:r>
            <w:r>
              <w:rPr>
                <w:rStyle w:val="InstructionsTabelleText"/>
                <w:rFonts w:ascii="Times New Roman" w:hAnsi="Times New Roman"/>
                <w:sz w:val="24"/>
              </w:rPr>
              <w:t xml:space="preserve"> </w:t>
            </w:r>
            <w:r>
              <w:rPr>
                <w:rFonts w:ascii="Times New Roman" w:hAnsi="Times New Roman"/>
                <w:sz w:val="24"/>
              </w:rPr>
              <w:t>Vajadzības gadījumā visu Regulas (ES) Nr. 575/2013 85. pantā noteikto aprēķinu veikšanas nolūkā katram meitasuzņēmumam saskaņā ar 85. panta 2. punktu pievēršas subkonsolidēti, bet citos gadījumos – solo līmenī.</w:t>
            </w:r>
          </w:p>
          <w:p w14:paraId="32886E9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Iepriekš norādīto meitasuzņēmumu gadījumā būtiskas līdzdalības ir pirmā līmeņa papildu kapitāla instrumenti (plus attiecīgā nesadalītā peļņa un akciju emisijas uzcenojuma konti), kas pieder personām, kuras nav Regulas (ES) Nr. 575/2013 konsolidācijā ietverti uzņēmumi.</w:t>
            </w:r>
          </w:p>
          <w:p w14:paraId="37079C74"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Uzrādāmā summa ietver jebkādu pārejas noteikumu ietekmi. Tā ir atbilstošā summa pārskata sniegšanas datumā.</w:t>
            </w:r>
          </w:p>
        </w:tc>
      </w:tr>
      <w:tr w:rsidR="00173F08" w:rsidRPr="002A677E" w14:paraId="3A46A33B" w14:textId="77777777" w:rsidTr="00822842">
        <w:tc>
          <w:tcPr>
            <w:tcW w:w="1188" w:type="dxa"/>
          </w:tcPr>
          <w:p w14:paraId="284F02C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14:paraId="7A2A757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OTRĀ LĪMEŅA KAPITĀLS</w:t>
            </w:r>
          </w:p>
          <w:p w14:paraId="49EA3D83"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Regulas (ES) Nr. 575/2013 71. pants</w:t>
            </w:r>
          </w:p>
        </w:tc>
      </w:tr>
      <w:tr w:rsidR="00173F08" w:rsidRPr="002A677E" w14:paraId="127ECDAA" w14:textId="77777777" w:rsidTr="00822842">
        <w:tc>
          <w:tcPr>
            <w:tcW w:w="1188" w:type="dxa"/>
          </w:tcPr>
          <w:p w14:paraId="42F0E3B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2E5C3EFE"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ATBILSTĪGS OTRĀ LĪMEŅA KAPITĀLS</w:t>
            </w:r>
          </w:p>
          <w:p w14:paraId="23E95E82"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82. un 83. pants</w:t>
            </w:r>
          </w:p>
          <w:p w14:paraId="4ADB5899"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Šo sleju uzrāda tikai par pilnībā konsolidētiem meitasuzņēmumiem, kas ir iestādes, izņemot Regulas (ES) Nr. 575/2013 87. panta 2. punktā minētos meitasuzņēmumus.</w:t>
            </w:r>
            <w:r>
              <w:rPr>
                <w:rStyle w:val="InstructionsTabelleText"/>
                <w:rFonts w:ascii="Times New Roman" w:hAnsi="Times New Roman"/>
                <w:sz w:val="24"/>
              </w:rPr>
              <w:t xml:space="preserve"> </w:t>
            </w:r>
            <w:r>
              <w:rPr>
                <w:rFonts w:ascii="Times New Roman" w:hAnsi="Times New Roman"/>
                <w:sz w:val="24"/>
              </w:rPr>
              <w:t>Vajadzības gadījumā visu Regulas (ES) Nr. 575/2013 87. pantā noteikto aprēķinu veikšanas nolūkā katram meitasuzņēmumam saskaņā ar 87. panta 2. punktu pievēršas subkonsolidēti, bet citos gadījumos – solo līmenī.</w:t>
            </w:r>
            <w:r>
              <w:rPr>
                <w:rStyle w:val="InstructionsTabelleText"/>
                <w:rFonts w:ascii="Times New Roman" w:hAnsi="Times New Roman"/>
                <w:sz w:val="24"/>
              </w:rPr>
              <w:t xml:space="preserve"> </w:t>
            </w:r>
          </w:p>
          <w:p w14:paraId="5BE2C85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lastRenderedPageBreak/>
              <w:t>Iepriekš norādīto meitasuzņēmumu gadījumā būtiskas līdzdalības ir otrā līmeņa kapitāla instrumenti (plus attiecīgā nesadalītā peļņa un akciju emisijas uzcenojuma konti), kas pieder personām, kuras nav Regulas (ES) Nr. 575/2013 konsolidācijā ietverti uzņēmumi.</w:t>
            </w:r>
          </w:p>
          <w:p w14:paraId="262C7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Uzrādāmā summa ietver jebkādu pārejas noteikumu ietekmi. Tā ir atbilstošā summa atsauces datumā.</w:t>
            </w:r>
          </w:p>
        </w:tc>
      </w:tr>
      <w:tr w:rsidR="00173F08" w:rsidRPr="002A677E" w14:paraId="21CB95DC" w14:textId="77777777" w:rsidTr="00822842">
        <w:tc>
          <w:tcPr>
            <w:tcW w:w="1188" w:type="dxa"/>
          </w:tcPr>
          <w:p w14:paraId="25A4A0D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14:paraId="37BB26C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INFORMĀCIJA PAR SABIEDRĪBU DEVUMU GRUPAS MAKSĀTSPĒJĀ</w:t>
            </w:r>
          </w:p>
        </w:tc>
      </w:tr>
      <w:tr w:rsidR="00173F08" w:rsidRPr="002A677E" w14:paraId="2F4DF8FC" w14:textId="77777777" w:rsidTr="00822842">
        <w:tc>
          <w:tcPr>
            <w:tcW w:w="1188" w:type="dxa"/>
          </w:tcPr>
          <w:p w14:paraId="1A40CC2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14:paraId="42E5971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DEVUMS SAISTĪBĀ AR RISKIEM</w:t>
            </w:r>
          </w:p>
          <w:p w14:paraId="7CE31949"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Šajās slejās uzrādāmā informācija ir saskaņā ar pārskatu sniedzošajai iestādei piemērojamajiem maksātspējas noteikumiem.</w:t>
            </w:r>
          </w:p>
        </w:tc>
      </w:tr>
      <w:tr w:rsidR="00173F08" w:rsidRPr="002A677E" w14:paraId="2B71B535" w14:textId="77777777" w:rsidTr="00822842">
        <w:tc>
          <w:tcPr>
            <w:tcW w:w="1188" w:type="dxa"/>
          </w:tcPr>
          <w:p w14:paraId="5D55B1F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3B982E9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KOPĒJĀ RISKA DARĪJUMU VĒRTĪBA</w:t>
            </w:r>
          </w:p>
          <w:p w14:paraId="584007A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Uzrāda 0260.–0290. slejas summu.</w:t>
            </w:r>
          </w:p>
        </w:tc>
      </w:tr>
      <w:tr w:rsidR="00173F08" w:rsidRPr="002A677E" w14:paraId="04A08911" w14:textId="77777777" w:rsidTr="00822842">
        <w:tc>
          <w:tcPr>
            <w:tcW w:w="1188" w:type="dxa"/>
          </w:tcPr>
          <w:p w14:paraId="4441868C"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20D38FF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6F46A7C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Uzrādāmā summa ir riska darījumu riska svērtās vērtības kredītriskam un pašu kapitāla prasības norēķinu/piegādes riskam saskaņā ar Regulu (ES) Nr. 575/2013, izņemot jebkādu summu, kas attiecas uz tādiem darījumiem ar citām sabiedrībām, kuri iekļauti grupas konsolidētā maksātspējas rādītāja aprēķinā.</w:t>
            </w:r>
          </w:p>
        </w:tc>
      </w:tr>
      <w:tr w:rsidR="00173F08" w:rsidRPr="002A677E" w14:paraId="659CB778" w14:textId="77777777" w:rsidTr="00822842">
        <w:tc>
          <w:tcPr>
            <w:tcW w:w="1188" w:type="dxa"/>
          </w:tcPr>
          <w:p w14:paraId="1DB71523"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3B2AFE4" w14:textId="4AF0329D"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TIRGUS RISKI</w:t>
            </w:r>
          </w:p>
          <w:p w14:paraId="49127EF1" w14:textId="157C9035" w:rsidR="00173F08" w:rsidRPr="001235ED" w:rsidRDefault="00173F08" w:rsidP="00822842">
            <w:pPr>
              <w:rPr>
                <w:rStyle w:val="InstructionsTabelleText"/>
                <w:rFonts w:ascii="Times New Roman" w:hAnsi="Times New Roman"/>
                <w:sz w:val="24"/>
              </w:rPr>
            </w:pPr>
            <w:r>
              <w:rPr>
                <w:rFonts w:ascii="Times New Roman" w:hAnsi="Times New Roman"/>
                <w:sz w:val="24"/>
              </w:rPr>
              <w:t>Saskaņā ar Regulas (ES) Nr. 575/2013 riska darījumu vērtības tirgus riskiem ir jāaprēķina katras sabiedrības līmeni.</w:t>
            </w:r>
            <w:r>
              <w:rPr>
                <w:rStyle w:val="InstructionsTabelleText"/>
                <w:rFonts w:ascii="Times New Roman" w:hAnsi="Times New Roman"/>
                <w:sz w:val="24"/>
              </w:rPr>
              <w:t xml:space="preserve"> Sabiedrības sniedz pārskatu par devumu kopējā riska darījumu vērtībā attiecībā uz grupas tirgus risku. </w:t>
            </w:r>
            <w:r>
              <w:t>Šeit uzrādīto summu kopsumma atbilst summai, kas uzrādīta konsolidētā</w:t>
            </w:r>
            <w:r>
              <w:rPr>
                <w:rStyle w:val="InstructionsTabelleText"/>
                <w:rFonts w:ascii="Times New Roman" w:hAnsi="Times New Roman"/>
                <w:sz w:val="24"/>
              </w:rPr>
              <w:t xml:space="preserve"> pārskata 0520. rindā “KOPĒJĀ RISKA DARĪJUMU VĒRTĪBA DARĪJUMIEM, KAS PAKĻAUTI TIRGUS RISKAM”.</w:t>
            </w:r>
          </w:p>
        </w:tc>
      </w:tr>
      <w:tr w:rsidR="00173F08" w:rsidRPr="002A677E" w14:paraId="50F614F9" w14:textId="77777777" w:rsidTr="00822842">
        <w:tc>
          <w:tcPr>
            <w:tcW w:w="1188" w:type="dxa"/>
          </w:tcPr>
          <w:p w14:paraId="4837613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14:paraId="0F996708"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OPERACIONĀLAIS RISKS</w:t>
            </w:r>
          </w:p>
          <w:p w14:paraId="58C1AE53" w14:textId="2055313A" w:rsidR="00702B2E" w:rsidRPr="00702B2E" w:rsidRDefault="00702B2E" w:rsidP="00822842">
            <w:pPr>
              <w:rPr>
                <w:rFonts w:ascii="Times New Roman" w:hAnsi="Times New Roman"/>
                <w:sz w:val="24"/>
              </w:rPr>
            </w:pPr>
            <w:r>
              <w:rPr>
                <w:rFonts w:ascii="Times New Roman" w:hAnsi="Times New Roman"/>
                <w:sz w:val="24"/>
              </w:rPr>
              <w:t>Šajā slejā uzrādāmā summa atbilst riska darījumu vērtībai attiecībā uz operacionālo risku.</w:t>
            </w:r>
          </w:p>
          <w:p w14:paraId="585BB330" w14:textId="03A1297F" w:rsidR="00173F08" w:rsidRPr="002A677E" w:rsidRDefault="00173F08" w:rsidP="00822842">
            <w:pPr>
              <w:rPr>
                <w:rStyle w:val="InstructionsTabelleText"/>
                <w:rFonts w:ascii="Times New Roman" w:hAnsi="Times New Roman"/>
                <w:sz w:val="24"/>
              </w:rPr>
            </w:pPr>
            <w:r>
              <w:rPr>
                <w:rFonts w:ascii="Times New Roman" w:hAnsi="Times New Roman"/>
                <w:sz w:val="24"/>
              </w:rPr>
              <w:t>Šajā slejā iekļauj fiksētus pieskaitāmos izdevumus.</w:t>
            </w:r>
          </w:p>
        </w:tc>
      </w:tr>
      <w:tr w:rsidR="00173F08" w:rsidRPr="002A677E" w14:paraId="3D9214F2" w14:textId="77777777" w:rsidTr="00822842">
        <w:tc>
          <w:tcPr>
            <w:tcW w:w="1188" w:type="dxa"/>
          </w:tcPr>
          <w:p w14:paraId="0B8F7AD0"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1A6735B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CITAS RISKA DARĪJUMU VĒRTĪBAS</w:t>
            </w:r>
          </w:p>
          <w:p w14:paraId="0483564A"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Šajā slejā uzrādāmā summa atbilst riska darījumu vērtībai attiecībā uz riskiem, kas nav minēti iepriekš.</w:t>
            </w:r>
          </w:p>
        </w:tc>
      </w:tr>
      <w:tr w:rsidR="00173F08" w:rsidRPr="002A677E" w14:paraId="120F25EE" w14:textId="77777777" w:rsidTr="00822842">
        <w:tc>
          <w:tcPr>
            <w:tcW w:w="1188" w:type="dxa"/>
          </w:tcPr>
          <w:p w14:paraId="283A6D5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14:paraId="648286B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DEVUMS PAŠU KAPITĀLĀ</w:t>
            </w:r>
          </w:p>
          <w:p w14:paraId="7E77E775" w14:textId="77777777" w:rsidR="00173F08" w:rsidRPr="001235ED"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Ar šo veidnes daļu ir paredzēts, ka iestādēm katras sabiedrības līmenī jāveic pilns kopējā kapitāla rādītāja aprēķins. </w:t>
            </w:r>
          </w:p>
          <w:p w14:paraId="58F77BCC" w14:textId="77777777" w:rsidR="00173F08" w:rsidRPr="002A677E" w:rsidRDefault="00173F08" w:rsidP="00822842">
            <w:pPr>
              <w:pStyle w:val="Texte2"/>
              <w:ind w:left="0"/>
              <w:rPr>
                <w:rStyle w:val="InstructionsTabelleText"/>
                <w:rFonts w:ascii="Times New Roman" w:hAnsi="Times New Roman"/>
                <w:sz w:val="24"/>
                <w:szCs w:val="24"/>
              </w:rPr>
            </w:pPr>
            <w:r>
              <w:t>0300.–0350. sleju uzrāda par tām konsolidētajām sabiedrībām, kuru devums pašu kapitālā ir mazākuma līdzdalības daļa, atbilstīgs pirmā līmeņa kapitāls vai atbilstīgs pašu kapitāls.</w:t>
            </w:r>
            <w:r>
              <w:rPr>
                <w:rFonts w:ascii="Times New Roman" w:hAnsi="Times New Roman"/>
                <w:sz w:val="24"/>
              </w:rPr>
              <w:t xml:space="preserve"> Ievērojot slieksni, kas iepriekš minēts II daļas </w:t>
            </w:r>
            <w:r>
              <w:rPr>
                <w:rFonts w:ascii="Times New Roman" w:hAnsi="Times New Roman"/>
                <w:sz w:val="24"/>
              </w:rPr>
              <w:lastRenderedPageBreak/>
              <w:t>2.3. nodaļas pēdējā rindkopā, 0360.–0400. sleju uzrāda par visām konsolidētajām sabiedrībām, kuras sniedz devumu konsolidētajā pašu kapitālā.</w:t>
            </w:r>
          </w:p>
          <w:p w14:paraId="29552A89" w14:textId="77777777" w:rsidR="00173F08" w:rsidRPr="002A677E" w:rsidRDefault="00173F08" w:rsidP="00822842">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Neņem vērā pašu kapitālu, ko kādā sabiedrībā ienes pārējās sabiedrības, kas iekļautas pārskatu sniedzošās sabiedrības tvērumā; šajā slejā uzrāda tikai neto devumu grupas pašu kapitālā, galvenokārt no trešām personām piesaistītu pašu kapitālu un uzkrātās rezerves. </w:t>
            </w:r>
          </w:p>
          <w:p w14:paraId="434D930D" w14:textId="77777777" w:rsidR="00173F08" w:rsidRPr="002A677E" w:rsidRDefault="00173F08" w:rsidP="00822842">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Šajās slejās uzrādāmā informācija ir saskaņā ar pārskatu sniedzošajai iestādei piemērojamajiem maksātspējas noteikumiem.</w:t>
            </w:r>
          </w:p>
        </w:tc>
      </w:tr>
      <w:tr w:rsidR="00173F08" w:rsidRPr="002A677E" w14:paraId="00233A1B" w14:textId="77777777" w:rsidTr="00822842">
        <w:tc>
          <w:tcPr>
            <w:tcW w:w="1188" w:type="dxa"/>
          </w:tcPr>
          <w:p w14:paraId="6A2EC485"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14:paraId="1F3610D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14:paraId="7830B882" w14:textId="77777777" w:rsidR="00173F08" w:rsidRPr="002A677E" w:rsidRDefault="00173F08" w:rsidP="00822842">
            <w:pPr>
              <w:rPr>
                <w:rStyle w:val="InstructionsTabelleberschrift"/>
                <w:rFonts w:ascii="Times New Roman" w:hAnsi="Times New Roman"/>
                <w:sz w:val="24"/>
              </w:rPr>
            </w:pPr>
            <w:r>
              <w:rPr>
                <w:rFonts w:ascii="Times New Roman" w:hAnsi="Times New Roman"/>
                <w:sz w:val="24"/>
              </w:rPr>
              <w:t>Summa, kas uzrādāma kā “ATBILSTĪGS PAŠU KAPITĀLS, KAS IETVERTS KONSOLIDĒTAJĀ PAŠU KAPITĀLĀ”, ir saskaņā ar Regulas (ES) Nr. 575/2013 Otrās daļas II sadaļu iegūta summa, izņemot jebkādu kapitālu, ko ienesušas grupas citas sabiedrības.</w:t>
            </w:r>
          </w:p>
        </w:tc>
      </w:tr>
      <w:tr w:rsidR="00173F08" w:rsidRPr="002A677E" w14:paraId="2D948A28" w14:textId="77777777" w:rsidTr="00822842">
        <w:tc>
          <w:tcPr>
            <w:tcW w:w="1188" w:type="dxa"/>
          </w:tcPr>
          <w:p w14:paraId="6278E06B"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0300.</w:t>
            </w:r>
          </w:p>
        </w:tc>
        <w:tc>
          <w:tcPr>
            <w:tcW w:w="8640" w:type="dxa"/>
          </w:tcPr>
          <w:p w14:paraId="5246551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ATBILSTĪGS PAŠU KAPITĀLS, KAS IETVERTS KONSOLIDĒTAJĀ PAŠU KAPITĀLĀ</w:t>
            </w:r>
          </w:p>
          <w:p w14:paraId="6F3A607D"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87. pants</w:t>
            </w:r>
          </w:p>
        </w:tc>
      </w:tr>
      <w:tr w:rsidR="00173F08" w:rsidRPr="002A677E" w14:paraId="1998204E" w14:textId="77777777" w:rsidTr="00822842">
        <w:tc>
          <w:tcPr>
            <w:tcW w:w="1188" w:type="dxa"/>
          </w:tcPr>
          <w:p w14:paraId="3684E5FE"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0310.</w:t>
            </w:r>
          </w:p>
        </w:tc>
        <w:tc>
          <w:tcPr>
            <w:tcW w:w="8640" w:type="dxa"/>
          </w:tcPr>
          <w:p w14:paraId="2378035D"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KAPITĀLĀ</w:t>
            </w:r>
          </w:p>
          <w:p w14:paraId="4E25C23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85. pants</w:t>
            </w:r>
          </w:p>
        </w:tc>
      </w:tr>
      <w:tr w:rsidR="00173F08" w:rsidRPr="002A677E" w14:paraId="70CC0CF1" w14:textId="77777777" w:rsidTr="00822842">
        <w:tc>
          <w:tcPr>
            <w:tcW w:w="1188" w:type="dxa"/>
          </w:tcPr>
          <w:p w14:paraId="7C1C1AE3"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0320.</w:t>
            </w:r>
          </w:p>
        </w:tc>
        <w:tc>
          <w:tcPr>
            <w:tcW w:w="8640" w:type="dxa"/>
          </w:tcPr>
          <w:p w14:paraId="5D406C6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MAZĀKUMA LĪDZDALĪBAS DAĻAS, KAS IETVERTAS KONSOLIDĒTAJĀ</w:t>
            </w:r>
            <w:r>
              <w:rPr>
                <w:rStyle w:val="InstructionsTabelleberschrift"/>
                <w:rFonts w:ascii="Times New Roman" w:hAnsi="Times New Roman"/>
                <w:sz w:val="24"/>
              </w:rPr>
              <w:br/>
              <w:t>PIRMĀ LĪMEŅA PAMATA KAPITĀLĀ</w:t>
            </w:r>
          </w:p>
          <w:p w14:paraId="0B8B81AA"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84. pants</w:t>
            </w:r>
          </w:p>
          <w:p w14:paraId="01FA0CDC"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Uzrādāmā summa ir meitasuzņēmuma mazākuma līdzdalības daļu vērtība, kas saskaņā ar Regulas (ES) Nr. 575/2013 ietverta konsolidētajā pirmā līmeņa pamata kapitālā.</w:t>
            </w:r>
            <w:r>
              <w:rPr>
                <w:rStyle w:val="InstructionsTabelleText"/>
                <w:rFonts w:ascii="Times New Roman" w:hAnsi="Times New Roman"/>
                <w:sz w:val="24"/>
              </w:rPr>
              <w:t xml:space="preserve"> </w:t>
            </w:r>
          </w:p>
        </w:tc>
      </w:tr>
      <w:tr w:rsidR="00173F08" w:rsidRPr="002A677E" w14:paraId="72674BB4" w14:textId="77777777" w:rsidTr="00822842">
        <w:tc>
          <w:tcPr>
            <w:tcW w:w="1188" w:type="dxa"/>
          </w:tcPr>
          <w:p w14:paraId="5F195C2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0330.</w:t>
            </w:r>
          </w:p>
        </w:tc>
        <w:tc>
          <w:tcPr>
            <w:tcW w:w="8640" w:type="dxa"/>
          </w:tcPr>
          <w:p w14:paraId="6AF15CF2"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ATBILSTĪGI PIRMĀ LĪMEŅA KAPITĀLA INSTRUMENTI, KAS IETVERTI KONSOLIDĒTAJĀ PIRMĀ LĪMEŅA PAPILDU KAPITĀLĀ</w:t>
            </w:r>
          </w:p>
          <w:p w14:paraId="488797C4"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86. pants</w:t>
            </w:r>
          </w:p>
          <w:p w14:paraId="14D60AC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Uzrādāmā summa ir meitasuzņēmuma atbilstīga pirmā līmeņa kapitāla vērtība, kas saskaņā ar Regulu (ES) Nr. 575/2013 ietverta konsolidētajā pirmā līmeņa papildu kapitālā.</w:t>
            </w:r>
            <w:r>
              <w:rPr>
                <w:rStyle w:val="InstructionsTabelleText"/>
                <w:rFonts w:ascii="Times New Roman" w:hAnsi="Times New Roman"/>
                <w:sz w:val="24"/>
              </w:rPr>
              <w:t xml:space="preserve"> </w:t>
            </w:r>
          </w:p>
        </w:tc>
      </w:tr>
      <w:tr w:rsidR="00173F08" w:rsidRPr="002A677E" w14:paraId="26437422" w14:textId="77777777" w:rsidTr="00822842">
        <w:tc>
          <w:tcPr>
            <w:tcW w:w="1188" w:type="dxa"/>
          </w:tcPr>
          <w:p w14:paraId="7FD01E1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0340.</w:t>
            </w:r>
          </w:p>
        </w:tc>
        <w:tc>
          <w:tcPr>
            <w:tcW w:w="8640" w:type="dxa"/>
          </w:tcPr>
          <w:p w14:paraId="6E1E5EBF"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ATBILSTĪGI PAŠU KAPITĀLA INSTRUMENTI, KAS IETVERTI</w:t>
            </w:r>
            <w:r>
              <w:rPr>
                <w:rStyle w:val="InstructionsTabelleberschrift"/>
                <w:rFonts w:ascii="Times New Roman" w:hAnsi="Times New Roman"/>
                <w:sz w:val="24"/>
              </w:rPr>
              <w:br/>
              <w:t>KONSOLIDĒTAJĀ OTRĀ LĪMEŅA KAPITĀLĀ</w:t>
            </w:r>
          </w:p>
          <w:p w14:paraId="1E25A6DF"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88. pants</w:t>
            </w:r>
          </w:p>
          <w:p w14:paraId="257F78A1"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Uzrādāmā summa ir meitasuzņēmuma atbilstīga pašu kapitāla vērtība, kas saskaņā ar Regulu (ES) Nr. 575/2013 ietverta konsolidētajā otrā līmeņa kapitālā.</w:t>
            </w:r>
            <w:r>
              <w:rPr>
                <w:rStyle w:val="InstructionsTabelleText"/>
                <w:rFonts w:ascii="Times New Roman" w:hAnsi="Times New Roman"/>
                <w:sz w:val="24"/>
              </w:rPr>
              <w:t xml:space="preserve"> </w:t>
            </w:r>
          </w:p>
        </w:tc>
      </w:tr>
      <w:tr w:rsidR="00173F08" w:rsidRPr="002A677E" w14:paraId="39EA7587" w14:textId="77777777" w:rsidTr="00822842">
        <w:tc>
          <w:tcPr>
            <w:tcW w:w="1188" w:type="dxa"/>
          </w:tcPr>
          <w:p w14:paraId="04CB064F" w14:textId="77777777" w:rsidR="00173F08" w:rsidRPr="002A677E" w:rsidRDefault="00173F08" w:rsidP="00822842">
            <w:pPr>
              <w:rPr>
                <w:rFonts w:ascii="Times New Roman" w:hAnsi="Times New Roman"/>
                <w:sz w:val="24"/>
              </w:rPr>
            </w:pPr>
            <w:r>
              <w:rPr>
                <w:rFonts w:ascii="Times New Roman" w:hAnsi="Times New Roman"/>
                <w:sz w:val="24"/>
              </w:rPr>
              <w:t>0350.</w:t>
            </w:r>
          </w:p>
        </w:tc>
        <w:tc>
          <w:tcPr>
            <w:tcW w:w="8640" w:type="dxa"/>
          </w:tcPr>
          <w:p w14:paraId="7BBDC2E3"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IZZIŅAS POSTENIS: NEMATERIĀLĀ VĒRTĪBA (-) / (+) NEGATĪVA NEMATERIĀLĀ VĒRTĪBA</w:t>
            </w:r>
          </w:p>
        </w:tc>
      </w:tr>
      <w:tr w:rsidR="00173F08" w:rsidRPr="002A677E" w14:paraId="3997C23F" w14:textId="77777777" w:rsidTr="00822842">
        <w:tc>
          <w:tcPr>
            <w:tcW w:w="1188" w:type="dxa"/>
          </w:tcPr>
          <w:p w14:paraId="72AB87A5" w14:textId="77777777" w:rsidR="00173F08" w:rsidRPr="002A677E" w:rsidRDefault="00173F08" w:rsidP="00822842">
            <w:pPr>
              <w:rPr>
                <w:rFonts w:ascii="Times New Roman" w:hAnsi="Times New Roman"/>
                <w:sz w:val="24"/>
              </w:rPr>
            </w:pPr>
            <w:r>
              <w:rPr>
                <w:rFonts w:ascii="Times New Roman" w:hAnsi="Times New Roman"/>
                <w:sz w:val="24"/>
              </w:rPr>
              <w:lastRenderedPageBreak/>
              <w:t>0360.–0400.</w:t>
            </w:r>
          </w:p>
        </w:tc>
        <w:tc>
          <w:tcPr>
            <w:tcW w:w="8640" w:type="dxa"/>
          </w:tcPr>
          <w:p w14:paraId="397FA959"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KONSOLIDĒTAIS PAŠU KAPITĀLS</w:t>
            </w:r>
          </w:p>
          <w:p w14:paraId="71907E17"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Regulas (ES) Nr. 575/2013 18. pants</w:t>
            </w:r>
          </w:p>
          <w:p w14:paraId="4F42327D"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Summa, kas uzrādāma kā “KONSOLIDĒTAIS PAŠU KAPITĀLS”, ir no bilances iegūta summa, izņemot jebkādu kapitālu, ko ienesušas grupas citas sabiedrības.</w:t>
            </w:r>
          </w:p>
        </w:tc>
      </w:tr>
      <w:tr w:rsidR="00173F08" w:rsidRPr="002A677E" w14:paraId="293A7FF6" w14:textId="77777777" w:rsidTr="00822842">
        <w:tc>
          <w:tcPr>
            <w:tcW w:w="1188" w:type="dxa"/>
          </w:tcPr>
          <w:p w14:paraId="0E03C6C1" w14:textId="77777777" w:rsidR="00173F08" w:rsidRPr="002A677E" w:rsidRDefault="00173F08" w:rsidP="00822842">
            <w:pPr>
              <w:rPr>
                <w:rFonts w:ascii="Times New Roman" w:hAnsi="Times New Roman"/>
                <w:sz w:val="24"/>
              </w:rPr>
            </w:pPr>
            <w:r>
              <w:rPr>
                <w:rFonts w:ascii="Times New Roman" w:hAnsi="Times New Roman"/>
                <w:sz w:val="24"/>
              </w:rPr>
              <w:t>0360.</w:t>
            </w:r>
          </w:p>
        </w:tc>
        <w:tc>
          <w:tcPr>
            <w:tcW w:w="8640" w:type="dxa"/>
          </w:tcPr>
          <w:p w14:paraId="41EC81C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KONSOLIDĒTAIS PAŠU KAPITĀLS</w:t>
            </w:r>
          </w:p>
        </w:tc>
      </w:tr>
      <w:tr w:rsidR="00173F08" w:rsidRPr="002A677E" w14:paraId="2E86BBAD" w14:textId="77777777" w:rsidTr="00822842">
        <w:tc>
          <w:tcPr>
            <w:tcW w:w="1188" w:type="dxa"/>
          </w:tcPr>
          <w:p w14:paraId="444BD8B5" w14:textId="77777777" w:rsidR="00173F08" w:rsidRPr="002A677E" w:rsidRDefault="00173F08" w:rsidP="00822842">
            <w:pPr>
              <w:rPr>
                <w:rFonts w:ascii="Times New Roman" w:hAnsi="Times New Roman"/>
                <w:sz w:val="24"/>
              </w:rPr>
            </w:pPr>
            <w:r>
              <w:rPr>
                <w:rFonts w:ascii="Times New Roman" w:hAnsi="Times New Roman"/>
                <w:sz w:val="24"/>
              </w:rPr>
              <w:t>0370.</w:t>
            </w:r>
          </w:p>
        </w:tc>
        <w:tc>
          <w:tcPr>
            <w:tcW w:w="8640" w:type="dxa"/>
          </w:tcPr>
          <w:p w14:paraId="2CC57784"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PIRMĀ LĪMEŅA PAMATA KAPITĀLS</w:t>
            </w:r>
          </w:p>
        </w:tc>
      </w:tr>
      <w:tr w:rsidR="00173F08" w:rsidRPr="002A677E" w14:paraId="68DCA9F1" w14:textId="77777777" w:rsidTr="00822842">
        <w:tc>
          <w:tcPr>
            <w:tcW w:w="1188" w:type="dxa"/>
          </w:tcPr>
          <w:p w14:paraId="01DAA296" w14:textId="77777777" w:rsidR="00173F08" w:rsidRPr="002A677E" w:rsidDel="0081176B" w:rsidRDefault="00173F08" w:rsidP="00822842">
            <w:pPr>
              <w:rPr>
                <w:rFonts w:ascii="Times New Roman" w:hAnsi="Times New Roman"/>
                <w:sz w:val="24"/>
              </w:rPr>
            </w:pPr>
            <w:r>
              <w:rPr>
                <w:rFonts w:ascii="Times New Roman" w:hAnsi="Times New Roman"/>
                <w:sz w:val="24"/>
              </w:rPr>
              <w:t>0380.</w:t>
            </w:r>
          </w:p>
        </w:tc>
        <w:tc>
          <w:tcPr>
            <w:tcW w:w="8640" w:type="dxa"/>
          </w:tcPr>
          <w:p w14:paraId="3B9BF397" w14:textId="77777777" w:rsidR="00173F08" w:rsidRPr="002A677E" w:rsidDel="0081176B"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PIRMĀ LĪMEŅA PAPILDU KAPITĀLS</w:t>
            </w:r>
          </w:p>
        </w:tc>
      </w:tr>
      <w:tr w:rsidR="00173F08" w:rsidRPr="002A677E" w14:paraId="0D196D2B" w14:textId="77777777" w:rsidTr="00822842">
        <w:tc>
          <w:tcPr>
            <w:tcW w:w="1188" w:type="dxa"/>
          </w:tcPr>
          <w:p w14:paraId="74707B55" w14:textId="77777777" w:rsidR="00173F08" w:rsidRPr="002A677E" w:rsidRDefault="00173F08" w:rsidP="00822842">
            <w:pPr>
              <w:rPr>
                <w:rFonts w:ascii="Times New Roman" w:hAnsi="Times New Roman"/>
                <w:sz w:val="24"/>
              </w:rPr>
            </w:pPr>
            <w:r>
              <w:rPr>
                <w:rFonts w:ascii="Times New Roman" w:hAnsi="Times New Roman"/>
                <w:sz w:val="24"/>
              </w:rPr>
              <w:t>0390.</w:t>
            </w:r>
          </w:p>
        </w:tc>
        <w:tc>
          <w:tcPr>
            <w:tcW w:w="8640" w:type="dxa"/>
          </w:tcPr>
          <w:p w14:paraId="1A386497" w14:textId="77777777" w:rsidR="00173F08" w:rsidRPr="002A677E" w:rsidRDefault="00173F08" w:rsidP="00822842">
            <w:pPr>
              <w:rPr>
                <w:rStyle w:val="InstructionsTabelleText"/>
                <w:rFonts w:ascii="Times New Roman" w:hAnsi="Times New Roman"/>
                <w:sz w:val="24"/>
              </w:rPr>
            </w:pPr>
            <w:r>
              <w:rPr>
                <w:rStyle w:val="InstructionsTabelleberschrift"/>
                <w:rFonts w:ascii="Times New Roman" w:hAnsi="Times New Roman"/>
                <w:sz w:val="24"/>
              </w:rPr>
              <w:t>NO KĀ: DEVUMS KONSOLIDĒTAJĀ REZULTĀTĀ</w:t>
            </w:r>
          </w:p>
          <w:p w14:paraId="0077C050"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Uzrāda katras sabiedrības devumu konsolidētajā rezultātā (peļņa vai zaudējums (–)). Tas ietver rezultātus, kas attiecināmi uz mazākuma līdzdalības daļām.</w:t>
            </w:r>
          </w:p>
        </w:tc>
      </w:tr>
      <w:tr w:rsidR="00173F08" w:rsidRPr="002A677E" w14:paraId="499357F9" w14:textId="77777777" w:rsidTr="00822842">
        <w:tc>
          <w:tcPr>
            <w:tcW w:w="1188" w:type="dxa"/>
          </w:tcPr>
          <w:p w14:paraId="237DD5A1" w14:textId="77777777" w:rsidR="00173F08" w:rsidRPr="002A677E" w:rsidRDefault="00173F08" w:rsidP="00822842">
            <w:pPr>
              <w:rPr>
                <w:rFonts w:ascii="Times New Roman" w:hAnsi="Times New Roman"/>
                <w:sz w:val="24"/>
              </w:rPr>
            </w:pPr>
            <w:r>
              <w:rPr>
                <w:rFonts w:ascii="Times New Roman" w:hAnsi="Times New Roman"/>
                <w:sz w:val="24"/>
              </w:rPr>
              <w:t>0400.</w:t>
            </w:r>
          </w:p>
        </w:tc>
        <w:tc>
          <w:tcPr>
            <w:tcW w:w="8640" w:type="dxa"/>
          </w:tcPr>
          <w:p w14:paraId="2D7939A6"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NO KĀ: (-) NEMATERIĀLĀ VĒRTĪBA / (+) NEGATĪVA NEMATERIĀLĀ VĒRTĪBA</w:t>
            </w:r>
          </w:p>
          <w:p w14:paraId="1EA56152" w14:textId="77777777" w:rsidR="00173F08" w:rsidRPr="002A677E" w:rsidRDefault="00173F08" w:rsidP="00822842">
            <w:pPr>
              <w:rPr>
                <w:rStyle w:val="InstructionsTabelleberschrift"/>
                <w:rFonts w:ascii="Times New Roman" w:hAnsi="Times New Roman"/>
                <w:sz w:val="24"/>
              </w:rPr>
            </w:pPr>
            <w:r>
              <w:rPr>
                <w:rStyle w:val="InstructionsTabelleText"/>
                <w:rFonts w:ascii="Times New Roman" w:hAnsi="Times New Roman"/>
                <w:sz w:val="24"/>
              </w:rPr>
              <w:t>Šeit uzrāda pārskatu sniedzošās sabiedrības nemateriālo vērtību vai negatīvu nemateriālo vērtību meitasuzņēmumā.</w:t>
            </w:r>
          </w:p>
        </w:tc>
      </w:tr>
      <w:tr w:rsidR="00173F08" w:rsidRPr="002A677E" w14:paraId="33B902F7" w14:textId="77777777" w:rsidTr="00822842">
        <w:tc>
          <w:tcPr>
            <w:tcW w:w="1188" w:type="dxa"/>
          </w:tcPr>
          <w:p w14:paraId="34A2D119"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14:paraId="653C81F3"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KAPITĀLA REZERVES</w:t>
            </w:r>
          </w:p>
          <w:p w14:paraId="5D522742" w14:textId="77777777" w:rsidR="00173F08" w:rsidRPr="002A677E" w:rsidRDefault="00173F08" w:rsidP="00822842">
            <w:pPr>
              <w:rPr>
                <w:rStyle w:val="InstructionsTabelleberschrift"/>
                <w:rFonts w:ascii="Times New Roman" w:hAnsi="Times New Roman"/>
                <w:b w:val="0"/>
                <w:sz w:val="24"/>
              </w:rPr>
            </w:pPr>
            <w:r>
              <w:rPr>
                <w:rStyle w:val="InstructionsTabelleberschrift"/>
                <w:rFonts w:ascii="Times New Roman" w:hAnsi="Times New Roman"/>
                <w:sz w:val="24"/>
              </w:rPr>
              <w:t>Kapitāla rezervju pārskata sniegšanas struktūra GS veidnē atbilst CA4 veidnes vispārējai struktūrai, izmantojot tos pašus pārskata sniegšanas jēdzienus. Sniedzot pārskatu par kapitāla rezervēm GS veidnē, attiecīgās summas uzrāda saskaņā ar noteikumiem, ko piemēro, lai noteiktu rezerves prasību grupas konsolidētajai situācijai. Tāpēc uzrādītās kapitāla rezervju summas atspoguļo katras sabiedrības devumu grupas kapitāla rezervēs. Uzrādītās summas ir balstītas uz</w:t>
            </w:r>
            <w:r>
              <w:rPr>
                <w:rFonts w:ascii="Times New Roman" w:hAnsi="Times New Roman"/>
                <w:sz w:val="24"/>
              </w:rPr>
              <w:t xml:space="preserve"> Direktīvas 2013/36/ES un Regulas (ES) 575/2013</w:t>
            </w:r>
            <w:r>
              <w:rPr>
                <w:rStyle w:val="InstructionsTabelleberschrift"/>
                <w:rFonts w:ascii="Times New Roman" w:hAnsi="Times New Roman"/>
                <w:sz w:val="24"/>
              </w:rPr>
              <w:t xml:space="preserve"> valstu transponēšanas noteikumiem, tostarp</w:t>
            </w:r>
            <w:r>
              <w:rPr>
                <w:rFonts w:ascii="Times New Roman" w:hAnsi="Times New Roman"/>
                <w:sz w:val="24"/>
              </w:rPr>
              <w:t xml:space="preserve"> </w:t>
            </w:r>
            <w:r>
              <w:rPr>
                <w:rStyle w:val="InstructionsTabelleberschrift"/>
                <w:rFonts w:ascii="Times New Roman" w:hAnsi="Times New Roman"/>
                <w:sz w:val="24"/>
              </w:rPr>
              <w:t>visiem tajās paredzētajiem pārejas noteikumiem.</w:t>
            </w:r>
          </w:p>
        </w:tc>
      </w:tr>
      <w:tr w:rsidR="00173F08" w:rsidRPr="002A677E" w14:paraId="63DC141B" w14:textId="77777777" w:rsidTr="00822842">
        <w:tc>
          <w:tcPr>
            <w:tcW w:w="1188" w:type="dxa"/>
          </w:tcPr>
          <w:p w14:paraId="5BB39E76"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14:paraId="14D301D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APVIENOTO REZERVJU PRASĪBA</w:t>
            </w:r>
          </w:p>
          <w:p w14:paraId="7DF96672" w14:textId="77777777" w:rsidR="00173F08" w:rsidRPr="002A677E" w:rsidRDefault="00173F08" w:rsidP="00822842">
            <w:pPr>
              <w:tabs>
                <w:tab w:val="left" w:pos="3510"/>
              </w:tabs>
              <w:rPr>
                <w:rStyle w:val="InstructionsTabelleberschrift"/>
                <w:rFonts w:ascii="Times New Roman" w:hAnsi="Times New Roman"/>
                <w:sz w:val="24"/>
              </w:rPr>
            </w:pPr>
            <w:r>
              <w:rPr>
                <w:rFonts w:ascii="Times New Roman" w:hAnsi="Times New Roman"/>
                <w:sz w:val="24"/>
              </w:rPr>
              <w:t>Direktīvas 2013/36/ES 128. panta 6. punkts.</w:t>
            </w:r>
          </w:p>
        </w:tc>
      </w:tr>
      <w:tr w:rsidR="00173F08" w:rsidRPr="002A677E" w14:paraId="4304DCA5" w14:textId="77777777" w:rsidTr="00822842">
        <w:tc>
          <w:tcPr>
            <w:tcW w:w="1188" w:type="dxa"/>
          </w:tcPr>
          <w:p w14:paraId="0CFC30D8"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41EA8A90"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KAPITĀLA SAGLABĀŠANAS REZERVES</w:t>
            </w:r>
          </w:p>
          <w:p w14:paraId="5DD283B6"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Direktīvas 2013/36/ES 128. panta 1. punkts un 129. pants</w:t>
            </w:r>
          </w:p>
          <w:p w14:paraId="7013CF4E" w14:textId="77777777" w:rsidR="00173F08" w:rsidRPr="002A677E" w:rsidRDefault="00173F08" w:rsidP="00822842">
            <w:pPr>
              <w:pStyle w:val="InstructionsText"/>
              <w:rPr>
                <w:rStyle w:val="InstructionsTabelleText"/>
              </w:rPr>
            </w:pPr>
            <w:r>
              <w:t>Saskaņā ar Direktīvas 2013/36/ES 129. panta 1. punktu kapitāla saglabāšanas rezerves ir papildus pirmā līmeņa pamata kapitālam turēta summa. Tā kā kapitāla saglabāšanas rezervju likme 2,5 % apmērā ir stabila, summu uzrāda šajā šūnā.</w:t>
            </w:r>
          </w:p>
        </w:tc>
      </w:tr>
      <w:tr w:rsidR="00173F08" w:rsidRPr="002A677E" w14:paraId="33A8BFBD" w14:textId="77777777" w:rsidTr="00822842">
        <w:tc>
          <w:tcPr>
            <w:tcW w:w="1188" w:type="dxa"/>
          </w:tcPr>
          <w:p w14:paraId="2C9182C7"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6552E827"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IESTĀDES SPECIFISKĀS PRETCIKLISKĀS KAPITĀLA REZERVES</w:t>
            </w:r>
          </w:p>
          <w:p w14:paraId="38A11488" w14:textId="77777777" w:rsidR="00173F08" w:rsidRPr="002A677E" w:rsidRDefault="00173F08" w:rsidP="00822842">
            <w:pPr>
              <w:rPr>
                <w:rStyle w:val="InstructionsTabelleText"/>
                <w:rFonts w:ascii="Times New Roman" w:hAnsi="Times New Roman"/>
                <w:sz w:val="24"/>
              </w:rPr>
            </w:pPr>
            <w:r>
              <w:rPr>
                <w:rFonts w:ascii="Times New Roman" w:hAnsi="Times New Roman"/>
                <w:sz w:val="24"/>
              </w:rPr>
              <w:t>Direktīvas 2013/36/ES 128. panta 2. punkts, 130. pants un 135. līdz 140. pants.</w:t>
            </w:r>
          </w:p>
          <w:p w14:paraId="169D829F" w14:textId="77777777" w:rsidR="00173F08" w:rsidRPr="002A677E" w:rsidRDefault="00173F08" w:rsidP="00822842">
            <w:pPr>
              <w:pStyle w:val="InstructionsText"/>
              <w:rPr>
                <w:rStyle w:val="InstructionsTabelleText"/>
              </w:rPr>
            </w:pPr>
            <w:r>
              <w:t>Šajā šūnā uzrāda pretciklisko rezervju konkrēto summu.</w:t>
            </w:r>
          </w:p>
        </w:tc>
      </w:tr>
      <w:tr w:rsidR="00173F08" w:rsidRPr="002A677E" w14:paraId="393ED63D" w14:textId="77777777" w:rsidTr="00822842">
        <w:tc>
          <w:tcPr>
            <w:tcW w:w="1188" w:type="dxa"/>
          </w:tcPr>
          <w:p w14:paraId="6BD0956B" w14:textId="77777777" w:rsidR="00173F08" w:rsidRPr="002A677E" w:rsidDel="00D70027" w:rsidRDefault="00173F08" w:rsidP="00822842">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3C0108F5"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SAGLABĀŠANAS REZERVES SAISTĪBĀ AR DALĪBVALSTS LĪMENĪ KONSTATĒTO MAKROPRUDENCIĀLO VAI SISTĒMISKO RISKU</w:t>
            </w:r>
          </w:p>
          <w:p w14:paraId="0EC165D1" w14:textId="77777777" w:rsidR="00173F08" w:rsidRPr="002A677E" w:rsidRDefault="00173F08" w:rsidP="00822842">
            <w:pPr>
              <w:rPr>
                <w:rStyle w:val="InstructionsTabelleberschrift"/>
                <w:rFonts w:ascii="Times New Roman" w:hAnsi="Times New Roman"/>
                <w:b w:val="0"/>
                <w:sz w:val="24"/>
              </w:rPr>
            </w:pPr>
            <w:r>
              <w:rPr>
                <w:rFonts w:ascii="Times New Roman" w:hAnsi="Times New Roman"/>
                <w:sz w:val="24"/>
              </w:rPr>
              <w:lastRenderedPageBreak/>
              <w:t xml:space="preserve">Regulas (ES) Nr. 575/2013 </w:t>
            </w:r>
            <w:r>
              <w:rPr>
                <w:rStyle w:val="InstructionsTabelleberschrift"/>
                <w:rFonts w:ascii="Times New Roman" w:hAnsi="Times New Roman"/>
                <w:sz w:val="24"/>
              </w:rPr>
              <w:t>458. panta 2. punkta d) apakšpunkta iv) punkts</w:t>
            </w:r>
          </w:p>
          <w:p w14:paraId="2C6BA8FE" w14:textId="77777777" w:rsidR="00173F08" w:rsidRPr="002A677E" w:rsidRDefault="00173F08" w:rsidP="00822842">
            <w:pPr>
              <w:pStyle w:val="InstructionsText"/>
              <w:rPr>
                <w:rStyle w:val="InstructionsTabelleberschrift"/>
              </w:rPr>
            </w:pPr>
            <w:r>
              <w:t>Šajā šūnā uzrāda to saglabāšanas rezervju summu saistībā ar dalībvalsts līmenī konstatēto makroprudenciālo vai sistēmisko risku, ko saskaņā ar Regulas (ES) Nr. 575/2013 458. pantu var pieprasīt papildus kapitāla saglabāšanas rezervēm.</w:t>
            </w:r>
          </w:p>
        </w:tc>
      </w:tr>
      <w:tr w:rsidR="00173F08" w:rsidRPr="002A677E" w14:paraId="4E8C2CA8" w14:textId="77777777" w:rsidTr="00822842">
        <w:tc>
          <w:tcPr>
            <w:tcW w:w="1188" w:type="dxa"/>
          </w:tcPr>
          <w:p w14:paraId="3AADC451"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lastRenderedPageBreak/>
              <w:t>0450.</w:t>
            </w:r>
          </w:p>
        </w:tc>
        <w:tc>
          <w:tcPr>
            <w:tcW w:w="8640" w:type="dxa"/>
          </w:tcPr>
          <w:p w14:paraId="37512F51" w14:textId="77777777" w:rsidR="00173F08" w:rsidRPr="002A677E" w:rsidRDefault="00173F08" w:rsidP="00822842">
            <w:pPr>
              <w:rPr>
                <w:rStyle w:val="InstructionsTabelleberschrift"/>
                <w:rFonts w:ascii="Times New Roman" w:hAnsi="Times New Roman"/>
                <w:sz w:val="24"/>
              </w:rPr>
            </w:pPr>
            <w:r>
              <w:rPr>
                <w:rStyle w:val="InstructionsTabelleberschrift"/>
                <w:rFonts w:ascii="Times New Roman" w:hAnsi="Times New Roman"/>
                <w:sz w:val="24"/>
              </w:rPr>
              <w:t>SISTĒMISKĀ RISKA REZERVES</w:t>
            </w:r>
          </w:p>
          <w:p w14:paraId="409112BD" w14:textId="77777777" w:rsidR="00173F08" w:rsidRPr="002A677E" w:rsidRDefault="00173F08" w:rsidP="00822842">
            <w:pPr>
              <w:pStyle w:val="InstructionsText"/>
            </w:pPr>
            <w:r>
              <w:t xml:space="preserve">Direktīvas 2013/36/ES 128. panta 5. punkts un 133. un 134. pants. </w:t>
            </w:r>
          </w:p>
          <w:p w14:paraId="1888AE1C" w14:textId="77777777" w:rsidR="00173F08" w:rsidRPr="001235ED" w:rsidRDefault="00173F08" w:rsidP="00822842">
            <w:pPr>
              <w:rPr>
                <w:rStyle w:val="InstructionsTabelleberschrift"/>
                <w:rFonts w:ascii="Times New Roman" w:hAnsi="Times New Roman"/>
                <w:sz w:val="24"/>
              </w:rPr>
            </w:pPr>
            <w:r>
              <w:rPr>
                <w:rFonts w:ascii="Times New Roman" w:hAnsi="Times New Roman"/>
                <w:sz w:val="24"/>
              </w:rPr>
              <w:t>Šajā šūnā uzrāda sistēmiskā riska rezerves konkrēto summu.</w:t>
            </w:r>
          </w:p>
        </w:tc>
      </w:tr>
      <w:tr w:rsidR="00173F08" w:rsidRPr="002A677E" w14:paraId="1CE0C973" w14:textId="77777777" w:rsidTr="00822842">
        <w:tc>
          <w:tcPr>
            <w:tcW w:w="1188" w:type="dxa"/>
          </w:tcPr>
          <w:p w14:paraId="729A039E"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1989B565" w14:textId="77777777" w:rsidR="00173F08" w:rsidRPr="002A677E" w:rsidRDefault="00173F08" w:rsidP="00822842">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GLOBĀLAS SISTĒMISKI NOZĪMĪGAS IESTĀDES REZERVES</w:t>
            </w:r>
            <w:r>
              <w:rPr>
                <w:rStyle w:val="InstructionsTabelleberschrift"/>
                <w:rFonts w:ascii="Times New Roman" w:hAnsi="Times New Roman"/>
                <w:sz w:val="24"/>
              </w:rPr>
              <w:tab/>
            </w:r>
          </w:p>
          <w:p w14:paraId="530093DF" w14:textId="77777777" w:rsidR="00173F08" w:rsidRPr="002A677E" w:rsidRDefault="00173F08" w:rsidP="00822842">
            <w:pPr>
              <w:pStyle w:val="InstructionsText"/>
              <w:rPr>
                <w:rStyle w:val="InstructionsTabelleberschrift"/>
                <w:b w:val="0"/>
              </w:rPr>
            </w:pPr>
            <w:r>
              <w:t>Direktīvas 2013/36/ES 128. panta 3. punkts un 131. pants</w:t>
            </w:r>
          </w:p>
          <w:p w14:paraId="5835A3FB" w14:textId="77777777" w:rsidR="00173F08" w:rsidRPr="002A677E" w:rsidRDefault="00173F08" w:rsidP="00822842">
            <w:pPr>
              <w:pStyle w:val="InstructionsText"/>
              <w:rPr>
                <w:rStyle w:val="InstructionsTabelleberschrift"/>
              </w:rPr>
            </w:pPr>
            <w:r>
              <w:t>Šajā šūnā uzrāda globālas sistēmiski nozīmīgas iestādes rezervju konkrēto summu.</w:t>
            </w:r>
          </w:p>
        </w:tc>
      </w:tr>
      <w:tr w:rsidR="00173F08" w:rsidRPr="002A677E" w14:paraId="57BA6A14" w14:textId="77777777" w:rsidTr="00822842">
        <w:tc>
          <w:tcPr>
            <w:tcW w:w="1188" w:type="dxa"/>
          </w:tcPr>
          <w:p w14:paraId="769CFE84" w14:textId="77777777" w:rsidR="00173F08" w:rsidRPr="002A677E" w:rsidRDefault="00173F08" w:rsidP="00822842">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7FDD0190" w14:textId="77777777" w:rsidR="00173F08" w:rsidRPr="002A677E" w:rsidRDefault="00173F08" w:rsidP="00822842">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CITAS SISTĒMISKI NOZĪMĪGAS IESTĀDES REZERVES</w:t>
            </w:r>
            <w:r>
              <w:rPr>
                <w:rStyle w:val="InstructionsTabelleberschrift"/>
                <w:rFonts w:ascii="Times New Roman" w:hAnsi="Times New Roman"/>
                <w:sz w:val="24"/>
              </w:rPr>
              <w:tab/>
            </w:r>
          </w:p>
          <w:p w14:paraId="5C91FC01" w14:textId="77777777" w:rsidR="00173F08" w:rsidRPr="002A677E" w:rsidRDefault="00173F08" w:rsidP="00822842">
            <w:pPr>
              <w:pStyle w:val="InstructionsText"/>
            </w:pPr>
            <w:r>
              <w:t>Direktīvas 2013/36/ES 128. panta 4. punkts un 131. pants</w:t>
            </w:r>
          </w:p>
          <w:p w14:paraId="677D9498" w14:textId="77777777" w:rsidR="00173F08" w:rsidRPr="002A677E" w:rsidRDefault="00173F08" w:rsidP="00822842">
            <w:pPr>
              <w:pStyle w:val="InstructionsText"/>
              <w:rPr>
                <w:rStyle w:val="InstructionsTabelleberschrift"/>
              </w:rPr>
            </w:pPr>
            <w:r>
              <w:t>Šajā šūnā uzrāda citas sistēmiski nozīmīgas iestādes rezervju konkrēto summu.</w:t>
            </w:r>
          </w:p>
        </w:tc>
      </w:tr>
    </w:tbl>
    <w:p w14:paraId="25845975" w14:textId="77777777" w:rsidR="00173F08" w:rsidRPr="002A677E" w:rsidRDefault="00173F08" w:rsidP="00173F08">
      <w:pPr>
        <w:pStyle w:val="InstructionsText"/>
      </w:pPr>
    </w:p>
    <w:p w14:paraId="1EA0AB00" w14:textId="77777777" w:rsidR="00BF2D9E" w:rsidRDefault="00BF2D9E"/>
    <w:p w14:paraId="12D86B4B" w14:textId="77777777" w:rsidR="00BF2D9E" w:rsidRDefault="00BF2D9E"/>
    <w:sectPr w:rsidR="00BF2D9E">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772EB" w14:textId="77777777" w:rsidR="005C0ABA" w:rsidRDefault="005C0ABA" w:rsidP="00E26A90">
      <w:pPr>
        <w:spacing w:after="0"/>
      </w:pPr>
      <w:r>
        <w:separator/>
      </w:r>
    </w:p>
  </w:endnote>
  <w:endnote w:type="continuationSeparator" w:id="0">
    <w:p w14:paraId="7B2A4DA2" w14:textId="77777777" w:rsidR="005C0ABA" w:rsidRDefault="005C0ABA"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25FC7" w14:textId="77777777" w:rsidR="005C0ABA" w:rsidRDefault="005C0ABA" w:rsidP="00E26A90">
      <w:pPr>
        <w:spacing w:after="0"/>
      </w:pPr>
      <w:r>
        <w:separator/>
      </w:r>
    </w:p>
  </w:footnote>
  <w:footnote w:type="continuationSeparator" w:id="0">
    <w:p w14:paraId="0EF8FF11" w14:textId="77777777" w:rsidR="005C0ABA" w:rsidRDefault="005C0ABA" w:rsidP="00E26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5DF06BF" id="_x0000_t202" coordsize="21600,21600" o:spt="202" path="m,l,21600r21600,l21600,xe">
              <v:stroke joinstyle="miter"/>
              <v:path gradientshapeok="t" o:connecttype="rect"/>
            </v:shapetype>
            <v:shape id="Text Box 2" o:spid="_x0000_s1026" type="#_x0000_t202" alt="Title:  - Description: EBI oficiālai lietošanai"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402959BA" id="_x0000_t202" coordsize="21600,21600" o:spt="202" path="m,l,21600r21600,l21600,xe">
              <v:stroke joinstyle="miter"/>
              <v:path gradientshapeok="t" o:connecttype="rect"/>
            </v:shapetype>
            <v:shape id="Text Box 3" o:spid="_x0000_s1027" type="#_x0000_t202" alt="Title:  - Description: EBI oficiālai lietošanai"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I oficiālai lietošanai">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B4A3D6F" id="_x0000_t202" coordsize="21600,21600" o:spt="202" path="m,l,21600r21600,l21600,xe">
              <v:stroke joinstyle="miter"/>
              <v:path gradientshapeok="t" o:connecttype="rect"/>
            </v:shapetype>
            <v:shape id="Text Box 1" o:spid="_x0000_s1028" type="#_x0000_t202" alt="Title:  - Description: EBI oficiālai lietošanai"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noProof/>
                        <w:color w:val="000000"/>
                        <w:sz w:val="24"/>
                        <w:rFonts w:ascii="Calibri" w:eastAsia="Calibri" w:hAnsi="Calibri" w:cs="Calibri"/>
                      </w:rPr>
                    </w:pPr>
                    <w:r>
                      <w:rPr>
                        <w:color w:val="000000"/>
                        <w:sz w:val="24"/>
                        <w:rFonts w:ascii="Calibri" w:hAnsi="Calibri"/>
                      </w:rPr>
                      <w:t xml:space="preserve">EBI oficiālai lietošanai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400F4A0D"/>
    <w:multiLevelType w:val="hybridMultilevel"/>
    <w:tmpl w:val="CB32C90E"/>
    <w:lvl w:ilvl="0" w:tplc="80BA033E">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2"/>
  </w:num>
  <w:num w:numId="2" w16cid:durableId="1923681300">
    <w:abstractNumId w:val="0"/>
  </w:num>
  <w:num w:numId="3" w16cid:durableId="2106150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04FA0"/>
    <w:rsid w:val="00102F11"/>
    <w:rsid w:val="0011055A"/>
    <w:rsid w:val="00173F08"/>
    <w:rsid w:val="005C0ABA"/>
    <w:rsid w:val="00601EA3"/>
    <w:rsid w:val="00631623"/>
    <w:rsid w:val="00694862"/>
    <w:rsid w:val="00702B2E"/>
    <w:rsid w:val="00780E9B"/>
    <w:rsid w:val="008A2688"/>
    <w:rsid w:val="009355C9"/>
    <w:rsid w:val="009871DF"/>
    <w:rsid w:val="00A6002C"/>
    <w:rsid w:val="00A70706"/>
    <w:rsid w:val="00B44A0E"/>
    <w:rsid w:val="00B71F25"/>
    <w:rsid w:val="00BF2D9E"/>
    <w:rsid w:val="00C61CB8"/>
    <w:rsid w:val="00E26A90"/>
    <w:rsid w:val="00EF07A1"/>
    <w:rsid w:val="00FA1E0E"/>
    <w:rsid w:val="00FC3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F08"/>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173F08"/>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uiPriority w:val="9"/>
    <w:semiHidden/>
    <w:unhideWhenUsed/>
    <w:qFormat/>
    <w:rsid w:val="00173F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173F08"/>
    <w:rPr>
      <w:rFonts w:ascii="Verdana" w:eastAsia="Arial" w:hAnsi="Verdana" w:cs="Times New Roman"/>
      <w:b/>
      <w:kern w:val="0"/>
      <w:sz w:val="20"/>
      <w:szCs w:val="20"/>
      <w:u w:val="single"/>
      <w:lang w:eastAsia="x-none"/>
      <w14:ligatures w14:val="none"/>
    </w:rPr>
  </w:style>
  <w:style w:type="paragraph" w:customStyle="1" w:styleId="Instructionsberschrift2">
    <w:name w:val="Instructions Überschrift 2"/>
    <w:basedOn w:val="Heading2"/>
    <w:rsid w:val="00173F08"/>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173F08"/>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173F08"/>
    <w:rPr>
      <w:rFonts w:ascii="Verdana" w:hAnsi="Verdana" w:cs="Times New Roman"/>
      <w:b/>
      <w:bCs/>
      <w:sz w:val="20"/>
      <w:u w:val="single"/>
    </w:rPr>
  </w:style>
  <w:style w:type="character" w:customStyle="1" w:styleId="InstructionsTabelleText">
    <w:name w:val="Instructions Tabelle Text"/>
    <w:rsid w:val="00173F08"/>
    <w:rPr>
      <w:rFonts w:ascii="Verdana" w:hAnsi="Verdana" w:cs="Times New Roman"/>
      <w:sz w:val="20"/>
    </w:rPr>
  </w:style>
  <w:style w:type="character" w:customStyle="1" w:styleId="FormatvorlageInstructionsTabelleText">
    <w:name w:val="Formatvorlage Instructions Tabelle Text"/>
    <w:uiPriority w:val="99"/>
    <w:qFormat/>
    <w:rsid w:val="00173F08"/>
    <w:rPr>
      <w:rFonts w:ascii="Verdana" w:hAnsi="Verdana" w:cs="Times New Roman"/>
      <w:bCs/>
      <w:sz w:val="20"/>
      <w:u w:val="none"/>
    </w:rPr>
  </w:style>
  <w:style w:type="paragraph" w:customStyle="1" w:styleId="Texte2">
    <w:name w:val="Texte 2"/>
    <w:basedOn w:val="Normal"/>
    <w:uiPriority w:val="99"/>
    <w:rsid w:val="00173F08"/>
    <w:pPr>
      <w:spacing w:after="0"/>
      <w:ind w:left="567"/>
    </w:pPr>
    <w:rPr>
      <w:sz w:val="22"/>
      <w:szCs w:val="20"/>
      <w:lang w:eastAsia="fr-FR"/>
    </w:rPr>
  </w:style>
  <w:style w:type="character" w:customStyle="1" w:styleId="InstructionsTextChar">
    <w:name w:val="Instructions Text Char"/>
    <w:link w:val="InstructionsText"/>
    <w:locked/>
    <w:rsid w:val="00173F08"/>
    <w:rPr>
      <w:rFonts w:ascii="Times New Roman" w:eastAsia="Times New Roman" w:hAnsi="Times New Roman" w:cs="Times New Roman"/>
      <w:kern w:val="0"/>
      <w:sz w:val="24"/>
      <w:szCs w:val="24"/>
      <w:lang w:eastAsia="de-DE"/>
      <w14:ligatures w14:val="none"/>
    </w:rPr>
  </w:style>
  <w:style w:type="paragraph" w:styleId="ListParagraph">
    <w:name w:val="List Paragraph"/>
    <w:basedOn w:val="Normal"/>
    <w:link w:val="ListParagraphChar"/>
    <w:uiPriority w:val="34"/>
    <w:qFormat/>
    <w:rsid w:val="00173F08"/>
    <w:pPr>
      <w:ind w:left="708"/>
    </w:pPr>
  </w:style>
  <w:style w:type="paragraph" w:customStyle="1" w:styleId="InstructionsText2">
    <w:name w:val="Instructions Text 2"/>
    <w:basedOn w:val="InstructionsText"/>
    <w:qFormat/>
    <w:rsid w:val="00173F08"/>
    <w:pPr>
      <w:numPr>
        <w:numId w:val="2"/>
      </w:numPr>
      <w:tabs>
        <w:tab w:val="num" w:pos="360"/>
      </w:tabs>
      <w:spacing w:after="240"/>
      <w:ind w:left="360" w:firstLine="0"/>
    </w:pPr>
  </w:style>
  <w:style w:type="character" w:customStyle="1" w:styleId="ListParagraphChar">
    <w:name w:val="List Paragraph Char"/>
    <w:basedOn w:val="DefaultParagraphFont"/>
    <w:link w:val="ListParagraph"/>
    <w:uiPriority w:val="34"/>
    <w:locked/>
    <w:rsid w:val="00173F08"/>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173F08"/>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780E9B"/>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6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A1E76-5781-4102-A68F-1ECF8D7CB282}">
  <ds:schemaRefs>
    <ds:schemaRef ds:uri="http://schemas.microsoft.com/sharepoint/v3/contenttype/forms"/>
  </ds:schemaRefs>
</ds:datastoreItem>
</file>

<file path=customXml/itemProps2.xml><?xml version="1.0" encoding="utf-8"?>
<ds:datastoreItem xmlns:ds="http://schemas.openxmlformats.org/officeDocument/2006/customXml" ds:itemID="{AB6EFA3B-6E90-4486-AA94-6C39F1B2B49F}">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3.xml><?xml version="1.0" encoding="utf-8"?>
<ds:datastoreItem xmlns:ds="http://schemas.openxmlformats.org/officeDocument/2006/customXml" ds:itemID="{842578C3-BBE7-4F1E-9E74-5D57B184A4B5}"/>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3453</Words>
  <Characters>22242</Characters>
  <Application>Microsoft Office Word</Application>
  <DocSecurity>0</DocSecurity>
  <Lines>517</Lines>
  <Paragraphs>333</Paragraphs>
  <ScaleCrop>false</ScaleCrop>
  <Company/>
  <LinksUpToDate>false</LinksUpToDate>
  <CharactersWithSpaces>25362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2024-06-19T18:06:00Z</dcterms:created>
  <dcterms:modified xsi:type="dcterms:W3CDTF">2025-01-28T07:45:00Z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2025-01-28T07:45:50Z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50b1dc4d-2adc-487e-b41f-0e36e61c30e9</vt:lpwstr>
  </property>
  <property fmtid="{D5CDD505-2E9C-101B-9397-08002B2CF9AE}" pid="10" name="MSIP_Label_6bd9ddd1-4d20-43f6-abfa-fc3c07406f94_ContentBits">
    <vt:lpwstr>0</vt:lpwstr>
  </property>
</Properties>
</file>