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27C06" w14:textId="3CC8DBCE" w:rsidR="00845EB1" w:rsidRPr="0068244B" w:rsidRDefault="00845EB1" w:rsidP="00845EB1">
      <w:pPr>
        <w:jc w:val="center"/>
        <w:rPr>
          <w:rFonts w:ascii="Times New Roman" w:hAnsi="Times New Roman"/>
          <w:b/>
          <w:sz w:val="24"/>
        </w:rPr>
      </w:pPr>
      <w:r>
        <w:rPr>
          <w:rFonts w:ascii="Times New Roman" w:hAnsi="Times New Roman"/>
          <w:b/>
          <w:sz w:val="24"/>
        </w:rPr>
        <w:t>CS</w:t>
      </w:r>
      <w:r>
        <w:t xml:space="preserve"> </w:t>
      </w:r>
      <w:r>
        <w:br/>
      </w:r>
      <w:r>
        <w:rPr>
          <w:rFonts w:ascii="Times New Roman" w:hAnsi="Times New Roman"/>
          <w:b/>
          <w:sz w:val="24"/>
        </w:rPr>
        <w:t>PŘÍLOHA VIII</w:t>
      </w:r>
    </w:p>
    <w:p w14:paraId="7586364F" w14:textId="77777777" w:rsidR="00923A16" w:rsidRPr="0068244B" w:rsidRDefault="00923A16" w:rsidP="00845EB1">
      <w:pPr>
        <w:jc w:val="center"/>
        <w:rPr>
          <w:rFonts w:ascii="Times New Roman" w:hAnsi="Times New Roman"/>
          <w:b/>
          <w:sz w:val="24"/>
          <w:lang w:val="en-US"/>
        </w:rPr>
      </w:pPr>
    </w:p>
    <w:p w14:paraId="38DE6923" w14:textId="77777777" w:rsidR="00923A16" w:rsidRPr="0068244B" w:rsidRDefault="00923A16" w:rsidP="00845EB1">
      <w:pPr>
        <w:jc w:val="center"/>
        <w:rPr>
          <w:rFonts w:ascii="Times New Roman" w:hAnsi="Times New Roman"/>
          <w:b/>
          <w:sz w:val="24"/>
          <w:lang w:val="en-US"/>
        </w:rPr>
      </w:pPr>
    </w:p>
    <w:p w14:paraId="60311301" w14:textId="6E170F77" w:rsidR="0040604D" w:rsidRPr="0068244B" w:rsidRDefault="00515147" w:rsidP="00845EB1">
      <w:pPr>
        <w:jc w:val="center"/>
        <w:rPr>
          <w:b/>
          <w:u w:val="single"/>
        </w:rPr>
      </w:pPr>
      <w:r>
        <w:rPr>
          <w:b/>
          <w:u w:val="single"/>
        </w:rPr>
        <w:t>„PŘÍLOHA XXI</w:t>
      </w:r>
    </w:p>
    <w:p w14:paraId="55B2E7E1" w14:textId="45F1B4D9" w:rsidR="0040604D" w:rsidRPr="0068244B" w:rsidRDefault="0040604D" w:rsidP="00D02291">
      <w:pPr>
        <w:jc w:val="center"/>
        <w:rPr>
          <w:b/>
        </w:rPr>
      </w:pPr>
      <w:r>
        <w:rPr>
          <w:b/>
        </w:rPr>
        <w:t>POKYNY K VYPLNĚNÍ ŠABLONY PRO VYKAZOVÁNÍ VYROVNÁVACÍ KAPACITY (C 71.00) PŘÍLOHY XX</w:t>
      </w:r>
    </w:p>
    <w:p w14:paraId="4B767D67" w14:textId="77777777" w:rsidR="0040604D" w:rsidRPr="0068244B" w:rsidRDefault="0040604D" w:rsidP="00845EB1">
      <w:pPr>
        <w:pStyle w:val="InstructionsText"/>
      </w:pPr>
    </w:p>
    <w:p w14:paraId="1BB5AA04" w14:textId="77777777" w:rsidR="00E05204" w:rsidRPr="0068244B" w:rsidRDefault="00E05204" w:rsidP="00E05204">
      <w:pPr>
        <w:rPr>
          <w:rFonts w:ascii="Times New Roman" w:hAnsi="Times New Roman"/>
          <w:sz w:val="24"/>
          <w:u w:val="single"/>
        </w:rPr>
      </w:pPr>
      <w:r>
        <w:rPr>
          <w:rFonts w:ascii="Times New Roman" w:hAnsi="Times New Roman"/>
          <w:sz w:val="24"/>
          <w:u w:val="single"/>
        </w:rPr>
        <w:t>Koncentrace vyrovnávací kapacity podle emitenta/protistrany (C 71.00)</w:t>
      </w:r>
    </w:p>
    <w:p w14:paraId="23482DE0" w14:textId="77777777" w:rsidR="00111A31" w:rsidRPr="0068244B" w:rsidRDefault="00111A31" w:rsidP="00845EB1">
      <w:pPr>
        <w:pStyle w:val="InstructionsText"/>
      </w:pPr>
    </w:p>
    <w:p w14:paraId="2314BCB9" w14:textId="3D6E6875" w:rsidR="00B1719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rPr>
        <w:t>1.</w:t>
      </w:r>
      <w:r>
        <w:tab/>
      </w:r>
      <w:r>
        <w:rPr>
          <w:rFonts w:ascii="Times New Roman" w:hAnsi="Times New Roman"/>
          <w:sz w:val="24"/>
        </w:rPr>
        <w:t>Aby bylo možné shromáždit od vykazujících institucí informace podle šablony C 71.00 o koncentraci vyrovnávací kapacity vždy pro deset největších držeb aktiv nebo likviditních linek, které byly instituci za tímto účelem poskytnuty, řídí se instituce pokyny obsaženými v této příloze.</w:t>
      </w:r>
    </w:p>
    <w:p w14:paraId="6D98D095" w14:textId="6A747233" w:rsidR="00672B1B"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 xml:space="preserve">Pokud jsou emitent nebo protistrana přiřazeni k více než jednomu druhu produktu, jedné měně nebo jednomu stupni úvěrové kvality, vykazuje se celková částka. Druh produktu, měna nebo stupeň úvěrové kvality, které mají být vykázány, jsou ty, které jsou relevantní pro největší podílnou část koncentrace vyrovnávací kapacity. </w:t>
      </w:r>
    </w:p>
    <w:p w14:paraId="1A86D9FE" w14:textId="2D9CE2DF" w:rsidR="00FF4741"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Vyrovnávací kapacita v šabloně C 71.00 musí být stejná jako v šabloně C 66.01 s tou výhradou, že aktiva vykázaná jako vyrovnávací kapacita pro účely šablony</w:t>
      </w:r>
      <w:r>
        <w:t xml:space="preserve"> </w:t>
      </w:r>
      <w:r>
        <w:rPr>
          <w:rFonts w:ascii="Times New Roman" w:hAnsi="Times New Roman"/>
          <w:sz w:val="24"/>
        </w:rPr>
        <w:t>C 71.00 musí být nezatížená, aby je daná instituce měla k referenčnímu datu vykazování k dispozici ke konverzi na hotovost.</w:t>
      </w:r>
    </w:p>
    <w:p w14:paraId="52C95F92" w14:textId="76B8503D" w:rsidR="00EF029F"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Pro výpočet koncentrací pro účel vykazovací šablony C 71.00 podle významné měny použijí instituce koncentrace ve všech měnách.</w:t>
      </w:r>
    </w:p>
    <w:p w14:paraId="5D592CDE" w14:textId="137C55E0" w:rsidR="0005633D" w:rsidRPr="0068244B" w:rsidRDefault="00292B75" w:rsidP="00292B75">
      <w:pPr>
        <w:widowControl w:val="0"/>
        <w:spacing w:before="0" w:after="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Pokud emitent nebo protistrana náleží k několika ekonomicky spjatým skupinám klientů, vykazuje se pouze jednou ve skupině s vyšší koncentrací vyrovnávací kapacity.</w:t>
      </w:r>
    </w:p>
    <w:p w14:paraId="2C0B2260" w14:textId="45FF6BEE" w:rsidR="00CB05F9" w:rsidRPr="0068244B" w:rsidRDefault="00292B75" w:rsidP="008C0F1F">
      <w:pPr>
        <w:widowControl w:val="0"/>
        <w:spacing w:before="0" w:after="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S výjimkou řádku 0120 se v této šabloně nevykazují koncentrace vyrovnávací kapacity u centrální banky jako emitenta nebo protistrany. V případě, že instituce má aktiva deponovaná v centrální bance pro standardní likviditní operace, a v rozsahu, v němž tato aktiva spadají mezi deset největších emitentů nebo protistran nezatížené vyrovnávací kapacity, vykáže instituce původního emitenta a původní druh produktu.</w:t>
      </w:r>
    </w:p>
    <w:p w14:paraId="423289FA" w14:textId="77777777" w:rsidR="00E05204" w:rsidRPr="008E32A4" w:rsidRDefault="00E05204" w:rsidP="00E05204">
      <w:pPr>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68244B" w14:paraId="4310E2B4" w14:textId="77777777" w:rsidTr="00845EB1">
        <w:tc>
          <w:tcPr>
            <w:tcW w:w="990" w:type="dxa"/>
            <w:shd w:val="clear" w:color="auto" w:fill="EEECE1" w:themeFill="background2"/>
          </w:tcPr>
          <w:p w14:paraId="27E41224" w14:textId="77777777" w:rsidR="00E05204" w:rsidRPr="0068244B" w:rsidRDefault="00E05204" w:rsidP="00E31CAF">
            <w:pPr>
              <w:rPr>
                <w:rFonts w:ascii="Times New Roman" w:hAnsi="Times New Roman"/>
                <w:sz w:val="24"/>
              </w:rPr>
            </w:pPr>
            <w:r>
              <w:rPr>
                <w:rFonts w:ascii="Times New Roman" w:hAnsi="Times New Roman"/>
                <w:sz w:val="24"/>
              </w:rPr>
              <w:t>Sloupec</w:t>
            </w:r>
          </w:p>
        </w:tc>
        <w:tc>
          <w:tcPr>
            <w:tcW w:w="7306" w:type="dxa"/>
            <w:shd w:val="clear" w:color="auto" w:fill="EEECE1" w:themeFill="background2"/>
          </w:tcPr>
          <w:p w14:paraId="7398AC24" w14:textId="77777777" w:rsidR="00E05204" w:rsidRPr="0068244B" w:rsidRDefault="00E05204" w:rsidP="00E31CAF">
            <w:pPr>
              <w:rPr>
                <w:rFonts w:ascii="Times New Roman" w:hAnsi="Times New Roman"/>
                <w:sz w:val="24"/>
              </w:rPr>
            </w:pPr>
            <w:r>
              <w:rPr>
                <w:rFonts w:ascii="Times New Roman" w:hAnsi="Times New Roman"/>
                <w:sz w:val="24"/>
              </w:rPr>
              <w:t>Odkazy na právní předpisy a pokyny</w:t>
            </w:r>
          </w:p>
        </w:tc>
      </w:tr>
      <w:tr w:rsidR="00E05204" w:rsidRPr="0068244B" w14:paraId="32AA40F1" w14:textId="77777777" w:rsidTr="00845EB1">
        <w:tc>
          <w:tcPr>
            <w:tcW w:w="990" w:type="dxa"/>
          </w:tcPr>
          <w:p w14:paraId="79D5F65E" w14:textId="172F12E8" w:rsidR="00E05204" w:rsidRPr="0068244B" w:rsidRDefault="00D47672" w:rsidP="00047ECB">
            <w:pPr>
              <w:rPr>
                <w:rFonts w:ascii="Times New Roman" w:hAnsi="Times New Roman"/>
                <w:sz w:val="24"/>
              </w:rPr>
            </w:pPr>
            <w:r>
              <w:rPr>
                <w:rFonts w:ascii="Times New Roman" w:hAnsi="Times New Roman"/>
                <w:sz w:val="24"/>
              </w:rPr>
              <w:t>0010</w:t>
            </w:r>
          </w:p>
        </w:tc>
        <w:tc>
          <w:tcPr>
            <w:tcW w:w="7306" w:type="dxa"/>
          </w:tcPr>
          <w:p w14:paraId="20597254" w14:textId="687A57F7" w:rsidR="00E05204" w:rsidRPr="0068244B" w:rsidRDefault="009639A3" w:rsidP="00D665FC">
            <w:pPr>
              <w:rPr>
                <w:rFonts w:ascii="Times New Roman" w:hAnsi="Times New Roman"/>
                <w:b/>
                <w:sz w:val="24"/>
                <w:u w:val="single"/>
              </w:rPr>
            </w:pPr>
            <w:r>
              <w:rPr>
                <w:rFonts w:ascii="Times New Roman" w:hAnsi="Times New Roman"/>
                <w:b/>
                <w:sz w:val="24"/>
                <w:u w:val="single"/>
              </w:rPr>
              <w:t>Emitent</w:t>
            </w:r>
          </w:p>
          <w:p w14:paraId="36B02E7E" w14:textId="3FDFB966" w:rsidR="00E05204" w:rsidRPr="0068244B" w:rsidRDefault="00E05204" w:rsidP="00D665FC">
            <w:pPr>
              <w:rPr>
                <w:rFonts w:ascii="Times New Roman" w:hAnsi="Times New Roman"/>
                <w:sz w:val="24"/>
              </w:rPr>
            </w:pPr>
            <w:r>
              <w:rPr>
                <w:rFonts w:ascii="Times New Roman" w:hAnsi="Times New Roman"/>
                <w:sz w:val="24"/>
              </w:rPr>
              <w:t>Ve sloupci 0010 se v sestupném pořadí uvede název deseti největších emitentů nezatížených aktiv nebo protistran nevyčerpaných přislíbených likviditních linek poskytnutých instituci. Největší položka se zapíše na řádku 1.01, druhá největší položka na řádku 1.02 atd.</w:t>
            </w:r>
            <w:r>
              <w:t xml:space="preserve"> </w:t>
            </w:r>
            <w:r>
              <w:rPr>
                <w:rFonts w:ascii="Times New Roman" w:hAnsi="Times New Roman"/>
                <w:sz w:val="24"/>
              </w:rPr>
              <w:t>Emitenti a protistrany, kteří vytvářejí ekonomicky spjatou skupinu klientů, se vykazují jako jediná koncentrace.</w:t>
            </w:r>
          </w:p>
          <w:p w14:paraId="4E01B5DA" w14:textId="4F0E946D" w:rsidR="00E05204" w:rsidRPr="0068244B" w:rsidRDefault="00E05204" w:rsidP="00C05CCA">
            <w:pPr>
              <w:rPr>
                <w:rFonts w:ascii="Times New Roman" w:hAnsi="Times New Roman"/>
                <w:sz w:val="24"/>
              </w:rPr>
            </w:pPr>
            <w:r>
              <w:rPr>
                <w:rFonts w:ascii="Times New Roman" w:hAnsi="Times New Roman"/>
                <w:sz w:val="24"/>
              </w:rPr>
              <w:lastRenderedPageBreak/>
              <w:t>Vykázaným názvem emitenta nebo protistrany musí být úplný název právnické osoby, která vydala aktiva nebo poskytla likviditní linky, včetně případných odkazů na druh společnosti v souladu s vnitrostátním právem obchodních společností.</w:t>
            </w:r>
          </w:p>
        </w:tc>
      </w:tr>
      <w:tr w:rsidR="00E05204" w:rsidRPr="0068244B" w14:paraId="5485249F" w14:textId="77777777" w:rsidTr="00845EB1">
        <w:tc>
          <w:tcPr>
            <w:tcW w:w="990" w:type="dxa"/>
          </w:tcPr>
          <w:p w14:paraId="488A21BC" w14:textId="3FB00318" w:rsidR="00E05204" w:rsidRPr="0068244B" w:rsidRDefault="00125C48" w:rsidP="00047ECB">
            <w:pPr>
              <w:rPr>
                <w:rFonts w:ascii="Times New Roman" w:hAnsi="Times New Roman"/>
                <w:sz w:val="24"/>
              </w:rPr>
            </w:pPr>
            <w:r>
              <w:rPr>
                <w:rFonts w:ascii="Times New Roman" w:hAnsi="Times New Roman"/>
                <w:sz w:val="24"/>
              </w:rPr>
              <w:lastRenderedPageBreak/>
              <w:t>0020</w:t>
            </w:r>
          </w:p>
        </w:tc>
        <w:tc>
          <w:tcPr>
            <w:tcW w:w="7306" w:type="dxa"/>
          </w:tcPr>
          <w:p w14:paraId="763D0E5F" w14:textId="77777777" w:rsidR="00E05204" w:rsidRPr="0068244B" w:rsidRDefault="00E05204" w:rsidP="00C05CCA">
            <w:pPr>
              <w:rPr>
                <w:rStyle w:val="InstructionsTabelleberschrift"/>
                <w:rFonts w:ascii="Times New Roman" w:hAnsi="Times New Roman"/>
                <w:sz w:val="24"/>
              </w:rPr>
            </w:pPr>
            <w:r>
              <w:rPr>
                <w:rStyle w:val="InstructionsTabelleberschrift"/>
                <w:rFonts w:ascii="Times New Roman" w:hAnsi="Times New Roman"/>
                <w:sz w:val="24"/>
              </w:rPr>
              <w:t>Kód LEI</w:t>
            </w:r>
          </w:p>
          <w:p w14:paraId="7861A1B2" w14:textId="0A8A8B52" w:rsidR="00E05204" w:rsidRPr="0068244B" w:rsidRDefault="00E05204" w:rsidP="00C05CCA">
            <w:pPr>
              <w:rPr>
                <w:b/>
                <w:sz w:val="24"/>
              </w:rPr>
            </w:pPr>
            <w:r>
              <w:rPr>
                <w:rFonts w:ascii="Times New Roman" w:hAnsi="Times New Roman"/>
                <w:sz w:val="24"/>
              </w:rPr>
              <w:t xml:space="preserve">Identifikační kód právnické osoby protistrany </w:t>
            </w:r>
          </w:p>
        </w:tc>
      </w:tr>
      <w:tr w:rsidR="00E05204" w:rsidRPr="0068244B" w14:paraId="2B1BAA00" w14:textId="77777777" w:rsidTr="00845EB1">
        <w:tc>
          <w:tcPr>
            <w:tcW w:w="990" w:type="dxa"/>
          </w:tcPr>
          <w:p w14:paraId="12DAC473" w14:textId="0D9F5636" w:rsidR="00E05204" w:rsidRPr="0068244B" w:rsidRDefault="00125C48" w:rsidP="00047ECB">
            <w:pPr>
              <w:rPr>
                <w:rFonts w:ascii="Times New Roman" w:hAnsi="Times New Roman"/>
                <w:sz w:val="24"/>
              </w:rPr>
            </w:pPr>
            <w:r>
              <w:rPr>
                <w:rFonts w:ascii="Times New Roman" w:hAnsi="Times New Roman"/>
                <w:sz w:val="24"/>
              </w:rPr>
              <w:t>0030</w:t>
            </w:r>
          </w:p>
        </w:tc>
        <w:tc>
          <w:tcPr>
            <w:tcW w:w="7306" w:type="dxa"/>
          </w:tcPr>
          <w:p w14:paraId="6DAF3DB3" w14:textId="4B8E1486" w:rsidR="00E05204" w:rsidRPr="0068244B" w:rsidRDefault="004C1638" w:rsidP="00D665FC">
            <w:pPr>
              <w:rPr>
                <w:rFonts w:ascii="Times New Roman" w:hAnsi="Times New Roman"/>
                <w:b/>
                <w:sz w:val="24"/>
                <w:u w:val="single"/>
              </w:rPr>
            </w:pPr>
            <w:r>
              <w:rPr>
                <w:rFonts w:ascii="Times New Roman" w:hAnsi="Times New Roman"/>
                <w:b/>
                <w:sz w:val="24"/>
                <w:u w:val="single"/>
              </w:rPr>
              <w:t>Odvětví emitenta</w:t>
            </w:r>
          </w:p>
          <w:p w14:paraId="62F53B63" w14:textId="5D0C886D"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Každému emitentovi nebo protistraně bude přiděleno jedno odvětví na základě tříd hospodářských odvětví dle finančního výkaznictví ([FINREP]) (část 1 přílohy V tohoto prováděcího nařízení):</w:t>
            </w:r>
          </w:p>
          <w:p w14:paraId="563180C8" w14:textId="31A14F6F" w:rsidR="00E05204" w:rsidRPr="0068244B" w:rsidRDefault="00E05204" w:rsidP="00845E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vládní instituce;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úvěrové instituce;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jiné finanční podniky; iv) nefinanční podniky; v) domácnosti. </w:t>
            </w:r>
          </w:p>
          <w:p w14:paraId="3E53ACDF" w14:textId="14712E31" w:rsidR="00E05204" w:rsidRPr="0068244B" w:rsidRDefault="00E05204" w:rsidP="008C0F1F">
            <w:pPr>
              <w:rPr>
                <w:rFonts w:ascii="Times New Roman" w:hAnsi="Times New Roman"/>
                <w:sz w:val="24"/>
              </w:rPr>
            </w:pPr>
            <w:r>
              <w:rPr>
                <w:rStyle w:val="FormatvorlageInstructionsTabelleText"/>
                <w:rFonts w:ascii="Times New Roman" w:hAnsi="Times New Roman"/>
                <w:sz w:val="24"/>
              </w:rPr>
              <w:t xml:space="preserve">U </w:t>
            </w:r>
            <w:r>
              <w:rPr>
                <w:rFonts w:ascii="Times New Roman" w:hAnsi="Times New Roman"/>
                <w:sz w:val="24"/>
              </w:rPr>
              <w:t xml:space="preserve">ekonomicky </w:t>
            </w:r>
            <w:r>
              <w:rPr>
                <w:rStyle w:val="FormatvorlageInstructionsTabelleText"/>
                <w:rFonts w:ascii="Times New Roman" w:hAnsi="Times New Roman"/>
                <w:sz w:val="24"/>
              </w:rPr>
              <w:t xml:space="preserve">spjatých skupin klientů se odvětví nevykazuje. </w:t>
            </w:r>
          </w:p>
        </w:tc>
      </w:tr>
      <w:tr w:rsidR="00E05204" w:rsidRPr="0068244B" w14:paraId="66F40C8E" w14:textId="77777777" w:rsidTr="00845EB1">
        <w:tc>
          <w:tcPr>
            <w:tcW w:w="990" w:type="dxa"/>
          </w:tcPr>
          <w:p w14:paraId="5F55844F" w14:textId="059AC78A" w:rsidR="00E05204" w:rsidRPr="0068244B" w:rsidRDefault="00125C48" w:rsidP="00047ECB">
            <w:pPr>
              <w:rPr>
                <w:rFonts w:ascii="Times New Roman" w:hAnsi="Times New Roman"/>
                <w:sz w:val="24"/>
              </w:rPr>
            </w:pPr>
            <w:r>
              <w:rPr>
                <w:rFonts w:ascii="Times New Roman" w:hAnsi="Times New Roman"/>
                <w:sz w:val="24"/>
              </w:rPr>
              <w:t>0040</w:t>
            </w:r>
          </w:p>
        </w:tc>
        <w:tc>
          <w:tcPr>
            <w:tcW w:w="7306" w:type="dxa"/>
          </w:tcPr>
          <w:p w14:paraId="6EC1C162" w14:textId="488287EA" w:rsidR="00E05204" w:rsidRPr="0068244B" w:rsidRDefault="00E05204" w:rsidP="00D665FC">
            <w:pPr>
              <w:rPr>
                <w:rFonts w:ascii="Times New Roman" w:hAnsi="Times New Roman"/>
                <w:b/>
                <w:sz w:val="24"/>
                <w:u w:val="single"/>
              </w:rPr>
            </w:pPr>
            <w:r>
              <w:rPr>
                <w:rFonts w:ascii="Times New Roman" w:hAnsi="Times New Roman"/>
                <w:b/>
                <w:sz w:val="24"/>
                <w:u w:val="single"/>
              </w:rPr>
              <w:t xml:space="preserve">Sídlo emitenta </w:t>
            </w:r>
          </w:p>
          <w:p w14:paraId="0F33DF35" w14:textId="52A4F552" w:rsidR="00E05204" w:rsidRPr="0068244B" w:rsidRDefault="00E05204" w:rsidP="00C05CCA">
            <w:pPr>
              <w:rPr>
                <w:rStyle w:val="FormatvorlageInstructionsTabelleText"/>
                <w:rFonts w:ascii="Times New Roman" w:hAnsi="Times New Roman"/>
                <w:sz w:val="24"/>
              </w:rPr>
            </w:pPr>
            <w:r>
              <w:rPr>
                <w:rStyle w:val="FormatvorlageInstructionsTabelleText"/>
                <w:rFonts w:ascii="Times New Roman" w:hAnsi="Times New Roman"/>
                <w:sz w:val="24"/>
              </w:rPr>
              <w:t xml:space="preserve">Užije se kód ISO 3166-1-alfa-2 země registrace emitenta nebo protistrany (včetně </w:t>
            </w:r>
            <w:proofErr w:type="spellStart"/>
            <w:r>
              <w:rPr>
                <w:rStyle w:val="FormatvorlageInstructionsTabelleText"/>
                <w:rFonts w:ascii="Times New Roman" w:hAnsi="Times New Roman"/>
                <w:sz w:val="24"/>
              </w:rPr>
              <w:t>pseudo</w:t>
            </w:r>
            <w:proofErr w:type="spellEnd"/>
            <w:r>
              <w:rPr>
                <w:rStyle w:val="FormatvorlageInstructionsTabelleText"/>
                <w:rFonts w:ascii="Times New Roman" w:hAnsi="Times New Roman"/>
                <w:sz w:val="24"/>
              </w:rPr>
              <w:t>-ISO kódů pro mezinárodní organizace,</w:t>
            </w:r>
            <w:r>
              <w:rPr>
                <w:rFonts w:ascii="Times New Roman" w:hAnsi="Times New Roman"/>
                <w:sz w:val="24"/>
              </w:rPr>
              <w:t xml:space="preserve"> které jsou k dispozici v posledním vydání příručky Eurostatu „Balance </w:t>
            </w:r>
            <w:proofErr w:type="spellStart"/>
            <w:r>
              <w:rPr>
                <w:rFonts w:ascii="Times New Roman" w:hAnsi="Times New Roman"/>
                <w:sz w:val="24"/>
              </w:rPr>
              <w:t>of</w:t>
            </w:r>
            <w:proofErr w:type="spellEnd"/>
            <w:r>
              <w:rPr>
                <w:rFonts w:ascii="Times New Roman" w:hAnsi="Times New Roman"/>
                <w:sz w:val="24"/>
              </w:rPr>
              <w:t xml:space="preserve"> </w:t>
            </w:r>
            <w:proofErr w:type="spellStart"/>
            <w:r>
              <w:rPr>
                <w:rFonts w:ascii="Times New Roman" w:hAnsi="Times New Roman"/>
                <w:sz w:val="24"/>
              </w:rPr>
              <w:t>Payments</w:t>
            </w:r>
            <w:proofErr w:type="spellEnd"/>
            <w:r>
              <w:rPr>
                <w:rFonts w:ascii="Times New Roman" w:hAnsi="Times New Roman"/>
                <w:sz w:val="24"/>
              </w:rPr>
              <w:t xml:space="preserve"> </w:t>
            </w:r>
            <w:proofErr w:type="spellStart"/>
            <w:r>
              <w:rPr>
                <w:rFonts w:ascii="Times New Roman" w:hAnsi="Times New Roman"/>
                <w:sz w:val="24"/>
              </w:rPr>
              <w:t>Vademecum</w:t>
            </w:r>
            <w:proofErr w:type="spellEnd"/>
            <w:r>
              <w:rPr>
                <w:rFonts w:ascii="Times New Roman" w:hAnsi="Times New Roman"/>
                <w:sz w:val="24"/>
              </w:rPr>
              <w:t>“)</w:t>
            </w:r>
            <w:r>
              <w:rPr>
                <w:rStyle w:val="FormatvorlageInstructionsTabelleText"/>
                <w:rFonts w:ascii="Times New Roman" w:hAnsi="Times New Roman"/>
                <w:sz w:val="24"/>
              </w:rPr>
              <w:t xml:space="preserve">. </w:t>
            </w:r>
          </w:p>
          <w:p w14:paraId="60598FF1" w14:textId="5505D19C" w:rsidR="00E05204" w:rsidRPr="0068244B" w:rsidRDefault="00E05204" w:rsidP="00C05CCA">
            <w:pPr>
              <w:rPr>
                <w:rFonts w:ascii="Times New Roman" w:hAnsi="Times New Roman"/>
                <w:sz w:val="24"/>
              </w:rPr>
            </w:pPr>
            <w:r>
              <w:rPr>
                <w:rStyle w:val="FormatvorlageInstructionsTabelleText"/>
                <w:rFonts w:ascii="Times New Roman" w:hAnsi="Times New Roman"/>
                <w:sz w:val="24"/>
              </w:rPr>
              <w:t xml:space="preserve">U ekonomicky spjatých skupin klientů se země nevykazuje. </w:t>
            </w:r>
          </w:p>
        </w:tc>
      </w:tr>
      <w:tr w:rsidR="00E05204" w:rsidRPr="0068244B" w14:paraId="0F08D697" w14:textId="77777777" w:rsidTr="00845EB1">
        <w:tc>
          <w:tcPr>
            <w:tcW w:w="990" w:type="dxa"/>
          </w:tcPr>
          <w:p w14:paraId="3B929507" w14:textId="2C8459FF" w:rsidR="00E05204" w:rsidRPr="0068244B" w:rsidRDefault="00D47672" w:rsidP="00047ECB">
            <w:pPr>
              <w:rPr>
                <w:rFonts w:ascii="Times New Roman" w:hAnsi="Times New Roman"/>
                <w:sz w:val="24"/>
              </w:rPr>
            </w:pPr>
            <w:r>
              <w:rPr>
                <w:rFonts w:ascii="Times New Roman" w:hAnsi="Times New Roman"/>
                <w:sz w:val="24"/>
              </w:rPr>
              <w:t>0050</w:t>
            </w:r>
          </w:p>
        </w:tc>
        <w:tc>
          <w:tcPr>
            <w:tcW w:w="7306" w:type="dxa"/>
          </w:tcPr>
          <w:p w14:paraId="016C0789"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Druh produktu</w:t>
            </w:r>
          </w:p>
          <w:p w14:paraId="7DC48699" w14:textId="4D5DEEF0" w:rsidR="00E05204" w:rsidRPr="0068244B" w:rsidRDefault="00E05204" w:rsidP="00D665FC">
            <w:pPr>
              <w:rPr>
                <w:rFonts w:ascii="Times New Roman" w:hAnsi="Times New Roman"/>
                <w:sz w:val="24"/>
              </w:rPr>
            </w:pPr>
            <w:r>
              <w:rPr>
                <w:rFonts w:ascii="Times New Roman" w:hAnsi="Times New Roman"/>
                <w:sz w:val="24"/>
              </w:rPr>
              <w:t>U emitentů/protistran vykázaných ve sloupci 0010 se uvede druh produktu odpovídající produktu,</w:t>
            </w:r>
            <w:r>
              <w:rPr>
                <w:rStyle w:val="FormatvorlageInstructionsTabelleText"/>
                <w:rFonts w:ascii="Times New Roman" w:hAnsi="Times New Roman"/>
                <w:sz w:val="24"/>
              </w:rPr>
              <w:t xml:space="preserve"> </w:t>
            </w:r>
            <w:r>
              <w:rPr>
                <w:rFonts w:ascii="Times New Roman" w:hAnsi="Times New Roman"/>
                <w:sz w:val="24"/>
              </w:rPr>
              <w:t>v jehož rámci jsou držena příslušná aktiva nebo byl přijat pomocný likviditní nástroj, a to za použití následujících tučně vytištěných kódů:</w:t>
            </w:r>
          </w:p>
          <w:p w14:paraId="1CB9AEA2" w14:textId="77777777" w:rsidR="00E05204" w:rsidRPr="0068244B" w:rsidRDefault="00E05204" w:rsidP="00D665FC">
            <w:pPr>
              <w:rPr>
                <w:rFonts w:ascii="Times New Roman" w:hAnsi="Times New Roman"/>
                <w:sz w:val="24"/>
              </w:rPr>
            </w:pPr>
            <w:bookmarkStart w:id="0" w:name="OLE_LINK1"/>
            <w:proofErr w:type="spellStart"/>
            <w:r>
              <w:rPr>
                <w:rFonts w:ascii="Times New Roman" w:hAnsi="Times New Roman"/>
                <w:b/>
                <w:sz w:val="24"/>
              </w:rPr>
              <w:t>SrB</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prioritní</w:t>
            </w:r>
            <w:r>
              <w:rPr>
                <w:rFonts w:ascii="Times New Roman" w:hAnsi="Times New Roman"/>
                <w:sz w:val="24"/>
              </w:rPr>
              <w:t xml:space="preserve"> dluhopis) </w:t>
            </w:r>
          </w:p>
          <w:p w14:paraId="6ADB0D10" w14:textId="77777777" w:rsidR="00E05204" w:rsidRPr="0068244B" w:rsidRDefault="00E05204" w:rsidP="00D665FC">
            <w:pPr>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podřízený</w:t>
            </w:r>
            <w:r>
              <w:rPr>
                <w:rFonts w:ascii="Times New Roman" w:hAnsi="Times New Roman"/>
                <w:sz w:val="24"/>
              </w:rPr>
              <w:t xml:space="preserve"> dluhopis)</w:t>
            </w:r>
          </w:p>
          <w:p w14:paraId="08EFBEC2" w14:textId="77777777" w:rsidR="00E05204" w:rsidRPr="0068244B" w:rsidRDefault="00E05204" w:rsidP="00A36F2D">
            <w:pPr>
              <w:rPr>
                <w:rFonts w:ascii="Times New Roman" w:hAnsi="Times New Roman"/>
                <w:sz w:val="24"/>
              </w:rPr>
            </w:pPr>
            <w:r>
              <w:rPr>
                <w:rFonts w:ascii="Times New Roman" w:hAnsi="Times New Roman"/>
                <w:b/>
                <w:sz w:val="24"/>
              </w:rPr>
              <w:t xml:space="preserve">CP </w:t>
            </w:r>
            <w:r>
              <w:rPr>
                <w:rFonts w:ascii="Times New Roman" w:hAnsi="Times New Roman"/>
                <w:sz w:val="24"/>
              </w:rPr>
              <w:t>(</w:t>
            </w:r>
            <w:r>
              <w:rPr>
                <w:rStyle w:val="FormatvorlageInstructionsTabelleText"/>
                <w:rFonts w:ascii="Times New Roman" w:hAnsi="Times New Roman"/>
                <w:sz w:val="24"/>
              </w:rPr>
              <w:t>obchodní cenný</w:t>
            </w:r>
            <w:r>
              <w:rPr>
                <w:rFonts w:ascii="Times New Roman" w:hAnsi="Times New Roman"/>
                <w:sz w:val="24"/>
              </w:rPr>
              <w:t xml:space="preserve"> papír)</w:t>
            </w:r>
          </w:p>
          <w:p w14:paraId="71AB267C" w14:textId="77777777" w:rsidR="00E05204" w:rsidRPr="0068244B" w:rsidRDefault="00E05204">
            <w:pPr>
              <w:rPr>
                <w:rFonts w:ascii="Times New Roman" w:hAnsi="Times New Roman"/>
                <w:sz w:val="24"/>
              </w:rPr>
            </w:pPr>
            <w:r>
              <w:rPr>
                <w:rFonts w:ascii="Times New Roman" w:hAnsi="Times New Roman"/>
                <w:b/>
                <w:sz w:val="24"/>
              </w:rPr>
              <w:t xml:space="preserve">CB </w:t>
            </w:r>
            <w:r>
              <w:rPr>
                <w:rFonts w:ascii="Times New Roman" w:hAnsi="Times New Roman"/>
                <w:sz w:val="24"/>
              </w:rPr>
              <w:t xml:space="preserve">(kryté </w:t>
            </w:r>
            <w:r>
              <w:rPr>
                <w:rStyle w:val="FormatvorlageInstructionsTabelleText"/>
                <w:rFonts w:ascii="Times New Roman" w:hAnsi="Times New Roman"/>
                <w:sz w:val="24"/>
              </w:rPr>
              <w:t>dluhopisy</w:t>
            </w:r>
            <w:r>
              <w:rPr>
                <w:rFonts w:ascii="Times New Roman" w:hAnsi="Times New Roman"/>
                <w:sz w:val="24"/>
              </w:rPr>
              <w:t xml:space="preserve">) </w:t>
            </w:r>
          </w:p>
          <w:p w14:paraId="16004F55" w14:textId="644C50DD" w:rsidR="00E05204" w:rsidRPr="0068244B" w:rsidRDefault="00E05204">
            <w:pPr>
              <w:rPr>
                <w:rFonts w:ascii="Times New Roman" w:hAnsi="Times New Roman"/>
                <w:sz w:val="24"/>
              </w:rPr>
            </w:pPr>
            <w:r>
              <w:rPr>
                <w:rFonts w:ascii="Times New Roman" w:hAnsi="Times New Roman"/>
                <w:b/>
                <w:sz w:val="24"/>
              </w:rPr>
              <w:t>US (</w:t>
            </w:r>
            <w:r>
              <w:rPr>
                <w:rFonts w:ascii="Times New Roman" w:hAnsi="Times New Roman"/>
                <w:sz w:val="24"/>
              </w:rPr>
              <w:t xml:space="preserve">cenné papíry </w:t>
            </w:r>
            <w:r>
              <w:rPr>
                <w:rStyle w:val="FormatvorlageInstructionsTabelleText"/>
                <w:rFonts w:ascii="Times New Roman" w:hAnsi="Times New Roman"/>
                <w:sz w:val="24"/>
              </w:rPr>
              <w:t>SKIPCP</w:t>
            </w:r>
            <w:r>
              <w:rPr>
                <w:rFonts w:ascii="Times New Roman" w:hAnsi="Times New Roman"/>
                <w:sz w:val="24"/>
              </w:rPr>
              <w:t>, tj. finanční nástroje představující podíly subjektu kolektivního investování do převoditelných cenných papírů nebo jím vydané cenné papíry)</w:t>
            </w:r>
          </w:p>
          <w:p w14:paraId="2E54EB88" w14:textId="77777777" w:rsidR="00E05204" w:rsidRPr="0068244B" w:rsidRDefault="00E05204">
            <w:pPr>
              <w:rPr>
                <w:rFonts w:ascii="Times New Roman" w:hAnsi="Times New Roman"/>
                <w:sz w:val="24"/>
              </w:rPr>
            </w:pPr>
            <w:r>
              <w:rPr>
                <w:rFonts w:ascii="Times New Roman" w:hAnsi="Times New Roman"/>
                <w:b/>
                <w:sz w:val="24"/>
              </w:rPr>
              <w:t>ABS (</w:t>
            </w:r>
            <w:r>
              <w:rPr>
                <w:rFonts w:ascii="Times New Roman" w:hAnsi="Times New Roman"/>
                <w:sz w:val="24"/>
              </w:rPr>
              <w:t>cenný papír krytý aktivy),</w:t>
            </w:r>
          </w:p>
          <w:p w14:paraId="47B806DE" w14:textId="77777777" w:rsidR="00E05204" w:rsidRPr="0068244B" w:rsidRDefault="00E05204">
            <w:pPr>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b/>
                <w:sz w:val="24"/>
              </w:rPr>
              <w:t xml:space="preserve"> </w:t>
            </w:r>
            <w:r>
              <w:rPr>
                <w:rFonts w:ascii="Times New Roman" w:hAnsi="Times New Roman"/>
                <w:sz w:val="24"/>
              </w:rPr>
              <w:t xml:space="preserve">(úvěrová </w:t>
            </w:r>
            <w:r>
              <w:rPr>
                <w:rStyle w:val="FormatvorlageInstructionsTabelleText"/>
                <w:rFonts w:ascii="Times New Roman" w:hAnsi="Times New Roman"/>
                <w:sz w:val="24"/>
              </w:rPr>
              <w:t>pohledávka</w:t>
            </w:r>
            <w:r>
              <w:rPr>
                <w:rFonts w:ascii="Times New Roman" w:hAnsi="Times New Roman"/>
                <w:sz w:val="24"/>
              </w:rPr>
              <w:t>)</w:t>
            </w:r>
          </w:p>
          <w:p w14:paraId="77F497F4" w14:textId="77777777" w:rsidR="00E05204" w:rsidRPr="0068244B" w:rsidRDefault="00E05204">
            <w:pPr>
              <w:rPr>
                <w:rFonts w:ascii="Times New Roman" w:hAnsi="Times New Roman"/>
                <w:sz w:val="24"/>
              </w:rPr>
            </w:pPr>
            <w:proofErr w:type="spellStart"/>
            <w:r>
              <w:rPr>
                <w:rFonts w:ascii="Times New Roman" w:hAnsi="Times New Roman"/>
                <w:b/>
                <w:sz w:val="24"/>
              </w:rPr>
              <w:t>Eq</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akcie</w:t>
            </w:r>
            <w:r>
              <w:rPr>
                <w:rFonts w:ascii="Times New Roman" w:hAnsi="Times New Roman"/>
                <w:sz w:val="24"/>
              </w:rPr>
              <w:t>)</w:t>
            </w:r>
          </w:p>
          <w:p w14:paraId="3F4E3AAB" w14:textId="396B9AF6" w:rsidR="00E05204" w:rsidRPr="0068244B" w:rsidRDefault="00E05204">
            <w:pPr>
              <w:rPr>
                <w:rFonts w:ascii="Times New Roman" w:hAnsi="Times New Roman"/>
                <w:b/>
                <w:sz w:val="24"/>
              </w:rPr>
            </w:pPr>
            <w:r>
              <w:rPr>
                <w:rFonts w:ascii="Times New Roman" w:hAnsi="Times New Roman"/>
                <w:b/>
                <w:sz w:val="24"/>
              </w:rPr>
              <w:t>Zlato (jedná-li se o fyzické zlato, s nímž může být zacházeno jako s jedinou protistranou),</w:t>
            </w:r>
          </w:p>
          <w:p w14:paraId="6AE61C73" w14:textId="77777777" w:rsidR="00E05204" w:rsidRPr="0068244B" w:rsidRDefault="00E05204">
            <w:pPr>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nevyčerpaná</w:t>
            </w:r>
            <w:r>
              <w:rPr>
                <w:rFonts w:ascii="Times New Roman" w:hAnsi="Times New Roman"/>
                <w:sz w:val="24"/>
              </w:rPr>
              <w:t xml:space="preserve"> přislíbená likviditní linka poskytnutá instituci)</w:t>
            </w:r>
          </w:p>
          <w:p w14:paraId="23B5C30F" w14:textId="77777777" w:rsidR="00E05204" w:rsidRPr="0068244B" w:rsidRDefault="00E05204">
            <w:pPr>
              <w:rPr>
                <w:rFonts w:ascii="Times New Roman" w:hAnsi="Times New Roman"/>
                <w:b/>
                <w:sz w:val="24"/>
              </w:rPr>
            </w:pPr>
            <w:r>
              <w:rPr>
                <w:rFonts w:ascii="Times New Roman" w:hAnsi="Times New Roman"/>
                <w:b/>
                <w:sz w:val="24"/>
              </w:rPr>
              <w:t xml:space="preserve">OPT </w:t>
            </w:r>
            <w:r>
              <w:rPr>
                <w:rFonts w:ascii="Times New Roman" w:hAnsi="Times New Roman"/>
                <w:sz w:val="24"/>
              </w:rPr>
              <w:t>(</w:t>
            </w:r>
            <w:r>
              <w:rPr>
                <w:rStyle w:val="FormatvorlageInstructionsTabelleText"/>
                <w:rFonts w:ascii="Times New Roman" w:hAnsi="Times New Roman"/>
                <w:sz w:val="24"/>
              </w:rPr>
              <w:t>jiný</w:t>
            </w:r>
            <w:r>
              <w:rPr>
                <w:rFonts w:ascii="Times New Roman" w:hAnsi="Times New Roman"/>
                <w:sz w:val="24"/>
              </w:rPr>
              <w:t xml:space="preserve"> druh produktu)</w:t>
            </w:r>
            <w:bookmarkEnd w:id="0"/>
          </w:p>
        </w:tc>
      </w:tr>
      <w:tr w:rsidR="00E05204" w:rsidRPr="0068244B" w14:paraId="4C932A7E" w14:textId="77777777" w:rsidTr="00845EB1">
        <w:tc>
          <w:tcPr>
            <w:tcW w:w="990" w:type="dxa"/>
          </w:tcPr>
          <w:p w14:paraId="611D24E9" w14:textId="2F1E489F" w:rsidR="00E05204" w:rsidRPr="0068244B" w:rsidRDefault="00125C48" w:rsidP="00047ECB">
            <w:pPr>
              <w:rPr>
                <w:rFonts w:ascii="Times New Roman" w:hAnsi="Times New Roman"/>
                <w:sz w:val="24"/>
              </w:rPr>
            </w:pPr>
            <w:r>
              <w:rPr>
                <w:rFonts w:ascii="Times New Roman" w:hAnsi="Times New Roman"/>
                <w:sz w:val="24"/>
              </w:rPr>
              <w:lastRenderedPageBreak/>
              <w:t>0060</w:t>
            </w:r>
          </w:p>
        </w:tc>
        <w:tc>
          <w:tcPr>
            <w:tcW w:w="7306" w:type="dxa"/>
          </w:tcPr>
          <w:p w14:paraId="361DF87B" w14:textId="77777777" w:rsidR="00E05204" w:rsidRPr="0068244B" w:rsidRDefault="00E05204" w:rsidP="00D665FC">
            <w:pPr>
              <w:rPr>
                <w:rFonts w:ascii="Times New Roman" w:hAnsi="Times New Roman"/>
                <w:b/>
                <w:sz w:val="24"/>
                <w:u w:val="single"/>
              </w:rPr>
            </w:pPr>
            <w:r>
              <w:rPr>
                <w:rFonts w:ascii="Times New Roman" w:hAnsi="Times New Roman"/>
                <w:b/>
                <w:sz w:val="24"/>
                <w:u w:val="single"/>
              </w:rPr>
              <w:t>Měna</w:t>
            </w:r>
          </w:p>
          <w:p w14:paraId="1D458B95" w14:textId="403BDA7B" w:rsidR="00C05CCA" w:rsidRPr="0068244B" w:rsidRDefault="004C1638" w:rsidP="00D665FC">
            <w:pPr>
              <w:rPr>
                <w:rFonts w:ascii="Times New Roman" w:hAnsi="Times New Roman"/>
                <w:sz w:val="24"/>
              </w:rPr>
            </w:pPr>
            <w:r>
              <w:rPr>
                <w:rFonts w:ascii="Times New Roman" w:hAnsi="Times New Roman"/>
                <w:sz w:val="24"/>
              </w:rPr>
              <w:t xml:space="preserve">Emitentům/protistranám vykázaným ve sloupci 0010 se přidělí kód ISO měny ve sloupci 0060 odpovídající denominaci přijatého aktiva nebo nevyčerpaných přislíbených likviditních linek poskytnutých instituci. Uvede se třípísmenný kód měny podle ISO 4217. </w:t>
            </w:r>
          </w:p>
          <w:p w14:paraId="74611C9A" w14:textId="7CC928F5" w:rsidR="00774708" w:rsidRPr="0068244B" w:rsidRDefault="00047ECB" w:rsidP="00BC5835">
            <w:pPr>
              <w:rPr>
                <w:rFonts w:ascii="Times New Roman" w:hAnsi="Times New Roman"/>
                <w:sz w:val="24"/>
              </w:rPr>
            </w:pPr>
            <w:r>
              <w:rPr>
                <w:rFonts w:ascii="Times New Roman" w:hAnsi="Times New Roman"/>
                <w:sz w:val="24"/>
              </w:rPr>
              <w:t xml:space="preserve">Je-li součástí koncentrace vyrovnávací kapacity </w:t>
            </w:r>
            <w:proofErr w:type="spellStart"/>
            <w:r>
              <w:rPr>
                <w:rFonts w:ascii="Times New Roman" w:hAnsi="Times New Roman"/>
                <w:sz w:val="24"/>
              </w:rPr>
              <w:t>víceměnová</w:t>
            </w:r>
            <w:proofErr w:type="spellEnd"/>
            <w:r>
              <w:rPr>
                <w:rFonts w:ascii="Times New Roman" w:hAnsi="Times New Roman"/>
                <w:sz w:val="24"/>
              </w:rPr>
              <w:t xml:space="preserve"> linka, počítá se tato linka v měně, která je převažující ve zbytku koncentrace. Co se týče samostatného podávání zpráv ve významných měnách, jak je upřesňuje čl. 415 odst. 2 nařízení (EU) č. 575/2013, instituce posoudí měnu, v jaké k toku pravděpodobně dojde, a </w:t>
            </w:r>
            <w:proofErr w:type="gramStart"/>
            <w:r>
              <w:rPr>
                <w:rFonts w:ascii="Times New Roman" w:hAnsi="Times New Roman"/>
                <w:sz w:val="24"/>
              </w:rPr>
              <w:t>vykáží</w:t>
            </w:r>
            <w:proofErr w:type="gramEnd"/>
            <w:r>
              <w:rPr>
                <w:rFonts w:ascii="Times New Roman" w:hAnsi="Times New Roman"/>
                <w:sz w:val="24"/>
              </w:rPr>
              <w:t xml:space="preserve"> tuto položku pouze v uvedené významné měně, v souladu s pokyny pro samostatné podávání zpráv o významných měnách v ukazateli krytí likvidity, podle nařízení (EU) 2021/451.</w:t>
            </w:r>
          </w:p>
        </w:tc>
      </w:tr>
      <w:tr w:rsidR="00E05204" w:rsidRPr="0068244B" w14:paraId="73A43F51" w14:textId="77777777" w:rsidTr="00845EB1">
        <w:tc>
          <w:tcPr>
            <w:tcW w:w="990" w:type="dxa"/>
          </w:tcPr>
          <w:p w14:paraId="44D208DA" w14:textId="23F6D9FD" w:rsidR="00E05204" w:rsidRPr="0068244B" w:rsidRDefault="00125C48" w:rsidP="00047ECB">
            <w:pPr>
              <w:rPr>
                <w:rFonts w:ascii="Times New Roman" w:hAnsi="Times New Roman"/>
                <w:sz w:val="24"/>
              </w:rPr>
            </w:pPr>
            <w:r>
              <w:rPr>
                <w:rFonts w:ascii="Times New Roman" w:hAnsi="Times New Roman"/>
                <w:sz w:val="24"/>
              </w:rPr>
              <w:t>0070</w:t>
            </w:r>
          </w:p>
        </w:tc>
        <w:tc>
          <w:tcPr>
            <w:tcW w:w="7306" w:type="dxa"/>
          </w:tcPr>
          <w:p w14:paraId="48AA6E4F"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Stupeň úvěrové kvality</w:t>
            </w:r>
          </w:p>
          <w:p w14:paraId="692CB839" w14:textId="76307C3A" w:rsidR="00E05204" w:rsidRPr="0068244B" w:rsidRDefault="00966F82" w:rsidP="00C05CCA">
            <w:pPr>
              <w:rPr>
                <w:rFonts w:ascii="Times New Roman" w:hAnsi="Times New Roman"/>
                <w:sz w:val="24"/>
                <w:u w:val="single"/>
              </w:rPr>
            </w:pPr>
            <w:r>
              <w:rPr>
                <w:rFonts w:ascii="Times New Roman" w:hAnsi="Times New Roman"/>
                <w:sz w:val="24"/>
              </w:rPr>
              <w:t>V souladu s nařízením (EU) č. 575/2013 se přidělí vhodný stupeň úvěrové kvality, který musí být stejný jako u položek vykázaných v tabulce splatností. Pakliže rating není, přidělí se stupeň „bez ratingu“.</w:t>
            </w:r>
          </w:p>
        </w:tc>
      </w:tr>
      <w:tr w:rsidR="00E05204" w:rsidRPr="0068244B" w14:paraId="2461383F" w14:textId="77777777" w:rsidTr="00845EB1">
        <w:tc>
          <w:tcPr>
            <w:tcW w:w="990" w:type="dxa"/>
          </w:tcPr>
          <w:p w14:paraId="7F1DF3BE" w14:textId="04859E06" w:rsidR="00E05204" w:rsidRPr="0068244B" w:rsidRDefault="00125C48" w:rsidP="00047ECB">
            <w:pPr>
              <w:rPr>
                <w:rFonts w:ascii="Times New Roman" w:hAnsi="Times New Roman"/>
                <w:sz w:val="24"/>
              </w:rPr>
            </w:pPr>
            <w:r>
              <w:rPr>
                <w:rFonts w:ascii="Times New Roman" w:hAnsi="Times New Roman"/>
                <w:sz w:val="24"/>
              </w:rPr>
              <w:t>0080</w:t>
            </w:r>
          </w:p>
        </w:tc>
        <w:tc>
          <w:tcPr>
            <w:tcW w:w="7306" w:type="dxa"/>
          </w:tcPr>
          <w:p w14:paraId="3B1CC0D3"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Hodnota tržní/nominální</w:t>
            </w:r>
          </w:p>
          <w:p w14:paraId="78CE7B68" w14:textId="6F7E8537" w:rsidR="00E05204" w:rsidRPr="0068244B" w:rsidRDefault="00E05204" w:rsidP="00047ECB">
            <w:pPr>
              <w:rPr>
                <w:rFonts w:ascii="Times New Roman" w:hAnsi="Times New Roman"/>
                <w:sz w:val="24"/>
              </w:rPr>
            </w:pPr>
            <w:r>
              <w:rPr>
                <w:rFonts w:ascii="Times New Roman" w:hAnsi="Times New Roman"/>
                <w:sz w:val="24"/>
              </w:rPr>
              <w:t xml:space="preserve">Tržní hodnota nebo reálná hodnota aktiv, nebo v příslušných případech nominální hodnota nevyčerpané likviditní linky poskytnuté dané instituci. </w:t>
            </w:r>
          </w:p>
        </w:tc>
      </w:tr>
      <w:tr w:rsidR="00E05204" w:rsidRPr="0068244B" w14:paraId="74EA2D80" w14:textId="77777777" w:rsidTr="00845EB1">
        <w:tc>
          <w:tcPr>
            <w:tcW w:w="990" w:type="dxa"/>
          </w:tcPr>
          <w:p w14:paraId="40B79F48" w14:textId="17099E72" w:rsidR="00E05204" w:rsidRPr="0068244B" w:rsidRDefault="00125C48" w:rsidP="00047ECB">
            <w:pPr>
              <w:rPr>
                <w:rFonts w:ascii="Times New Roman" w:hAnsi="Times New Roman"/>
                <w:sz w:val="24"/>
              </w:rPr>
            </w:pPr>
            <w:r>
              <w:rPr>
                <w:rFonts w:ascii="Times New Roman" w:hAnsi="Times New Roman"/>
                <w:sz w:val="24"/>
              </w:rPr>
              <w:t>0090</w:t>
            </w:r>
          </w:p>
        </w:tc>
        <w:tc>
          <w:tcPr>
            <w:tcW w:w="7306" w:type="dxa"/>
          </w:tcPr>
          <w:p w14:paraId="5F665131" w14:textId="77777777" w:rsidR="00E05204" w:rsidRPr="0068244B" w:rsidRDefault="00E05204" w:rsidP="00047ECB">
            <w:pPr>
              <w:rPr>
                <w:rFonts w:ascii="Times New Roman" w:hAnsi="Times New Roman"/>
                <w:b/>
                <w:sz w:val="24"/>
                <w:u w:val="single"/>
              </w:rPr>
            </w:pPr>
            <w:r>
              <w:rPr>
                <w:rFonts w:ascii="Times New Roman" w:hAnsi="Times New Roman"/>
                <w:b/>
                <w:sz w:val="24"/>
                <w:u w:val="single"/>
              </w:rPr>
              <w:t>Hodnota kolaterálu způsobilého pro CB</w:t>
            </w:r>
          </w:p>
          <w:p w14:paraId="507C4FE8" w14:textId="2A6E5839" w:rsidR="00E05204" w:rsidRPr="0068244B" w:rsidRDefault="00E05204" w:rsidP="00047ECB">
            <w:pPr>
              <w:rPr>
                <w:rFonts w:ascii="Times New Roman" w:hAnsi="Times New Roman"/>
                <w:sz w:val="24"/>
              </w:rPr>
            </w:pPr>
            <w:r>
              <w:rPr>
                <w:rFonts w:ascii="Times New Roman" w:hAnsi="Times New Roman"/>
                <w:sz w:val="24"/>
              </w:rPr>
              <w:t xml:space="preserve">Hodnota </w:t>
            </w:r>
            <w:r>
              <w:rPr>
                <w:rStyle w:val="FormatvorlageInstructionsTabelleText"/>
                <w:rFonts w:ascii="Times New Roman" w:hAnsi="Times New Roman"/>
                <w:sz w:val="24"/>
              </w:rPr>
              <w:t>kolaterálu</w:t>
            </w:r>
            <w:r>
              <w:rPr>
                <w:rFonts w:ascii="Times New Roman" w:hAnsi="Times New Roman"/>
                <w:sz w:val="24"/>
              </w:rPr>
              <w:t xml:space="preserve"> v souladu s předpisy centrální banky pro stálé facility vztahující se na jednotlivá aktiva.</w:t>
            </w:r>
          </w:p>
          <w:p w14:paraId="4C124B93" w14:textId="1C2C05A6" w:rsidR="00BA0551" w:rsidRPr="0068244B" w:rsidRDefault="00B457F4" w:rsidP="00515147">
            <w:pPr>
              <w:rPr>
                <w:rFonts w:ascii="Times New Roman" w:hAnsi="Times New Roman"/>
                <w:sz w:val="24"/>
              </w:rPr>
            </w:pPr>
            <w:r>
              <w:rPr>
                <w:rFonts w:ascii="Times New Roman" w:hAnsi="Times New Roman"/>
                <w:sz w:val="24"/>
              </w:rPr>
              <w:t>V případě aktiv denominovaných v měně uvedené v prováděcím nařízení Komise (EU) 2015/233</w:t>
            </w:r>
            <w:r>
              <w:rPr>
                <w:rFonts w:ascii="Times New Roman" w:hAnsi="Times New Roman"/>
                <w:sz w:val="24"/>
                <w:vertAlign w:val="superscript"/>
              </w:rPr>
              <w:t xml:space="preserve">* </w:t>
            </w:r>
            <w:r>
              <w:rPr>
                <w:rFonts w:ascii="Times New Roman" w:hAnsi="Times New Roman"/>
                <w:sz w:val="24"/>
              </w:rPr>
              <w:t>jako měna s velmi úzkou způsobilostí pro centrální banku nechají instituce toto pole prázdné.“</w:t>
            </w:r>
          </w:p>
        </w:tc>
      </w:tr>
    </w:tbl>
    <w:p w14:paraId="2BD524BD" w14:textId="77777777" w:rsidR="00515147" w:rsidRPr="0068244B" w:rsidRDefault="00515147" w:rsidP="00845EB1">
      <w:pPr>
        <w:pStyle w:val="InstructionsText"/>
      </w:pPr>
      <w:r>
        <w:t>______________</w:t>
      </w:r>
    </w:p>
    <w:p w14:paraId="56E0854E" w14:textId="4C352ECC" w:rsidR="00D02FE4" w:rsidRPr="00845EB1" w:rsidRDefault="00515147" w:rsidP="00515147">
      <w:pPr>
        <w:pStyle w:val="InstructionsText"/>
        <w:rPr>
          <w:rStyle w:val="InstructionsTabelleText"/>
          <w:b/>
        </w:rPr>
      </w:pPr>
      <w:r>
        <w:rPr>
          <w:vertAlign w:val="superscript"/>
        </w:rPr>
        <w:t xml:space="preserve">* </w:t>
      </w:r>
      <w:r>
        <w:t xml:space="preserve">Prováděcí nařízení Komise (EU) 2015/233 ze dne 13. února 2015, kterým se stanoví prováděcí technické normy, pokud jde o měny, ve kterých existuje velmi úzká definice způsobilosti pro centrální banku podle nařízení Evropského parlamentu a Rady (EU) č. 575/2013 (Úř. věst. L 39, 14.2.2015, s. 11). </w:t>
      </w:r>
    </w:p>
    <w:sectPr w:rsidR="00D02FE4" w:rsidRPr="00845EB1" w:rsidSect="001C50E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93A16" w14:textId="77777777" w:rsidR="00191FF3" w:rsidRDefault="00191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0171377"/>
      <w:docPartObj>
        <w:docPartGallery w:val="Page Numbers (Bottom of Page)"/>
        <w:docPartUnique/>
      </w:docPartObj>
    </w:sdtPr>
    <w:sdtEndPr>
      <w:rPr>
        <w:noProof/>
      </w:rPr>
    </w:sdtEndPr>
    <w:sdtContent>
      <w:p w14:paraId="2FCDB5EC" w14:textId="59B7D084" w:rsidR="008E3ABF" w:rsidRDefault="008E3ABF">
        <w:pPr>
          <w:pStyle w:val="Footer"/>
          <w:jc w:val="center"/>
        </w:pPr>
        <w:r>
          <w:fldChar w:fldCharType="begin"/>
        </w:r>
        <w:r>
          <w:instrText xml:space="preserve"> PAGE   \* MERGEFORMAT </w:instrText>
        </w:r>
        <w:r>
          <w:fldChar w:fldCharType="separate"/>
        </w:r>
        <w:r>
          <w:t>3</w:t>
        </w:r>
        <w:r>
          <w:fldChar w:fldCharType="end"/>
        </w:r>
      </w:p>
    </w:sdtContent>
  </w:sdt>
  <w:p w14:paraId="75EDC8A2" w14:textId="77777777" w:rsidR="008E3ABF" w:rsidRDefault="008E3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682065"/>
      <w:docPartObj>
        <w:docPartGallery w:val="Page Numbers (Bottom of Page)"/>
        <w:docPartUnique/>
      </w:docPartObj>
    </w:sdtPr>
    <w:sdtEndPr>
      <w:rPr>
        <w:noProof/>
      </w:rPr>
    </w:sdtEndPr>
    <w:sdtContent>
      <w:p w14:paraId="70C21430" w14:textId="0316AE9F" w:rsidR="009B3D8D" w:rsidRDefault="009B3D8D">
        <w:pPr>
          <w:pStyle w:val="Footer"/>
          <w:jc w:val="center"/>
        </w:pPr>
        <w:r>
          <w:fldChar w:fldCharType="begin"/>
        </w:r>
        <w:r>
          <w:instrText xml:space="preserve"> PAGE   \* MERGEFORMAT </w:instrText>
        </w:r>
        <w:r>
          <w:fldChar w:fldCharType="separate"/>
        </w:r>
        <w: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DF9F" w14:textId="3D370CD7" w:rsidR="00191FF3" w:rsidRDefault="00191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DA46" w14:textId="12540B02" w:rsidR="00B85053" w:rsidRDefault="00B85053" w:rsidP="00CB367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4103" w14:textId="692A2ED8"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16cid:durableId="912277536">
    <w:abstractNumId w:val="2"/>
  </w:num>
  <w:num w:numId="2" w16cid:durableId="1840268159">
    <w:abstractNumId w:val="1"/>
  </w:num>
  <w:num w:numId="3" w16cid:durableId="63526054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53"/>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BAD"/>
    <w:rsid w:val="0017040C"/>
    <w:rsid w:val="00170712"/>
    <w:rsid w:val="00174660"/>
    <w:rsid w:val="00174D74"/>
    <w:rsid w:val="0017510B"/>
    <w:rsid w:val="0018393C"/>
    <w:rsid w:val="0018399F"/>
    <w:rsid w:val="00187112"/>
    <w:rsid w:val="00191CE8"/>
    <w:rsid w:val="00191FF3"/>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147"/>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329"/>
    <w:rsid w:val="00672684"/>
    <w:rsid w:val="00672B1B"/>
    <w:rsid w:val="006761DC"/>
    <w:rsid w:val="00680437"/>
    <w:rsid w:val="00680CBC"/>
    <w:rsid w:val="00681960"/>
    <w:rsid w:val="0068244B"/>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A5B"/>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2A4"/>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39A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672"/>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0EF6"/>
    <w:rsid w:val="00DC11B2"/>
    <w:rsid w:val="00DC139C"/>
    <w:rsid w:val="00DC1D2D"/>
    <w:rsid w:val="00DC20BD"/>
    <w:rsid w:val="00DC29A9"/>
    <w:rsid w:val="00DC652D"/>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6753"/>
    <w:rsid w:val="00E77194"/>
    <w:rsid w:val="00E818A6"/>
    <w:rsid w:val="00E82B65"/>
    <w:rsid w:val="00E848C8"/>
    <w:rsid w:val="00E8535E"/>
    <w:rsid w:val="00E85A50"/>
    <w:rsid w:val="00E8715F"/>
    <w:rsid w:val="00E872E3"/>
    <w:rsid w:val="00E9142E"/>
    <w:rsid w:val="00E91651"/>
    <w:rsid w:val="00E93641"/>
    <w:rsid w:val="00E93689"/>
    <w:rsid w:val="00E94EBD"/>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1A4C"/>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cs-CZ"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cs-CZ"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cs-CZ"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cs-CZ" w:eastAsia="en-US" w:bidi="ar-SA"/>
    </w:rPr>
  </w:style>
  <w:style w:type="character" w:customStyle="1" w:styleId="FunoteChar">
    <w:name w:val="Fußnote Char"/>
    <w:aliases w:val=" Char Char Char"/>
    <w:semiHidden/>
    <w:rsid w:val="009D253B"/>
    <w:rPr>
      <w:rFonts w:ascii="Arial" w:hAnsi="Arial"/>
      <w:sz w:val="18"/>
      <w:lang w:val="cs-CZ"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cs-CZ"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cs-CZ"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cs-CZ"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cs-CZ"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cs-CZ"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cs-CZ"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C746B-269F-4BEB-9ADC-5B7AA263CD63}">
  <ds:schemaRefs>
    <ds:schemaRef ds:uri="http://schemas.openxmlformats.org/officeDocument/2006/bibliography"/>
  </ds:schemaRefs>
</ds:datastoreItem>
</file>

<file path=customXml/itemProps2.xml><?xml version="1.0" encoding="utf-8"?>
<ds:datastoreItem xmlns:ds="http://schemas.openxmlformats.org/officeDocument/2006/customXml" ds:itemID="{1F70E3E9-D91E-466F-B301-D169C30CA669}">
  <ds:schemaRefs>
    <ds:schemaRef ds:uri="http://schemas.openxmlformats.org/officeDocument/2006/bibliography"/>
  </ds:schemaRefs>
</ds:datastoreItem>
</file>

<file path=customXml/itemProps3.xml><?xml version="1.0" encoding="utf-8"?>
<ds:datastoreItem xmlns:ds="http://schemas.openxmlformats.org/officeDocument/2006/customXml" ds:itemID="{8CF894AC-B8D6-48F7-97D5-7286A1C347B8}"/>
</file>

<file path=customXml/itemProps4.xml><?xml version="1.0" encoding="utf-8"?>
<ds:datastoreItem xmlns:ds="http://schemas.openxmlformats.org/officeDocument/2006/customXml" ds:itemID="{FE314730-75F2-41F1-9420-49C5CA15070A}"/>
</file>

<file path=customXml/itemProps5.xml><?xml version="1.0" encoding="utf-8"?>
<ds:datastoreItem xmlns:ds="http://schemas.openxmlformats.org/officeDocument/2006/customXml" ds:itemID="{64D9621E-309C-4136-9A6F-2226F31F0006}"/>
</file>

<file path=docProps/app.xml><?xml version="1.0" encoding="utf-8"?>
<Properties xmlns="http://schemas.openxmlformats.org/officeDocument/2006/extended-properties" xmlns:vt="http://schemas.openxmlformats.org/officeDocument/2006/docPropsVTypes">
  <Template>Normal.dotm</Template>
  <TotalTime>0</TotalTime>
  <Pages>3</Pages>
  <Words>818</Words>
  <Characters>5000</Characters>
  <Application>Microsoft Office Word</Application>
  <DocSecurity>0</DocSecurity>
  <Lines>125</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2022-10-27T13:24:00Z</dcterms:created>
  <dcterms:modified xsi:type="dcterms:W3CDTF">2024-12-11T14:28:00Z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2022-03-03T13:23:18Z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26a8a858-45fe-4cd0-9dfa-da300a052af8</vt:lpwstr>
  </property>
  <property fmtid="{D5CDD505-2E9C-101B-9397-08002B2CF9AE}" pid="8" name="MSIP_Label_e66ba66e-8b7b-475b-ae81-4aab15d5f212_ContentBits">
    <vt:lpwstr>0</vt:lpwstr>
  </property>
  <property fmtid="{D5CDD505-2E9C-101B-9397-08002B2CF9AE}" pid="9" name="MSIP_Label_6bd9ddd1-4d20-43f6-abfa-fc3c07406f94_Enabled">
    <vt:lpwstr>true</vt:lpwstr>
  </property>
  <property fmtid="{D5CDD505-2E9C-101B-9397-08002B2CF9AE}" pid="10" name="MSIP_Label_6bd9ddd1-4d20-43f6-abfa-fc3c07406f94_SetDate">
    <vt:lpwstr>2024-10-10T09:11:52Z</vt:lpwstr>
  </property>
  <property fmtid="{D5CDD505-2E9C-101B-9397-08002B2CF9AE}" pid="11" name="MSIP_Label_6bd9ddd1-4d20-43f6-abfa-fc3c07406f94_Method">
    <vt:lpwstr>Standard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2a190084-7c68-4d72-be91-79b9215dfe83</vt:lpwstr>
  </property>
  <property fmtid="{D5CDD505-2E9C-101B-9397-08002B2CF9AE}" pid="15" name="MSIP_Label_6bd9ddd1-4d20-43f6-abfa-fc3c07406f94_ContentBits">
    <vt:lpwstr>0</vt:lpwstr>
  </property>
  <property fmtid="{D5CDD505-2E9C-101B-9397-08002B2CF9AE}" pid="16" name="ContentTypeId">
    <vt:lpwstr>0x010100A640DC13EB184F4EBE5AA21BE9F247DB</vt:lpwstr>
  </property>
</Properties>
</file>