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A9404" w14:textId="77777777" w:rsidR="001E07DC" w:rsidRDefault="001E07DC" w:rsidP="001E07DC">
      <w:pPr>
        <w:jc w:val="center"/>
        <w:rPr>
          <w:rFonts w:ascii="Times New Roman" w:hAnsi="Times New Roman"/>
          <w:sz w:val="24"/>
          <w:szCs w:val="22"/>
        </w:rPr>
      </w:pPr>
      <w:r>
        <w:rPr>
          <w:rFonts w:ascii="Times New Roman" w:hAnsi="Times New Roman"/>
          <w:sz w:val="24"/>
        </w:rPr>
        <w:t>CS</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Pr>
          <w:rFonts w:ascii="Times New Roman" w:hAnsi="Times New Roman"/>
          <w:sz w:val="24"/>
        </w:rPr>
        <w:t>PŘÍLOHA II</w:t>
      </w:r>
    </w:p>
    <w:p w14:paraId="68915D4A" w14:textId="77777777" w:rsidR="00992E36" w:rsidRPr="00037E7B" w:rsidRDefault="00992E36" w:rsidP="00992E36">
      <w:pPr>
        <w:jc w:val="center"/>
        <w:rPr>
          <w:rFonts w:ascii="Times New Roman" w:hAnsi="Times New Roman"/>
          <w:sz w:val="24"/>
        </w:rPr>
      </w:pPr>
      <w:r>
        <w:rPr>
          <w:rFonts w:ascii="Times New Roman" w:hAnsi="Times New Roman"/>
          <w:sz w:val="24"/>
        </w:rPr>
        <w:t>„PŘÍLOHA II</w:t>
      </w:r>
    </w:p>
    <w:p w14:paraId="2BB4BDEB" w14:textId="77777777" w:rsidR="00992E36" w:rsidRPr="00037E7B" w:rsidRDefault="00992E36" w:rsidP="00992E36">
      <w:pPr>
        <w:jc w:val="center"/>
        <w:rPr>
          <w:rFonts w:ascii="Times New Roman" w:hAnsi="Times New Roman"/>
          <w:b/>
          <w:sz w:val="24"/>
        </w:rPr>
      </w:pPr>
      <w:r>
        <w:rPr>
          <w:rFonts w:ascii="Times New Roman" w:hAnsi="Times New Roman"/>
          <w:b/>
          <w:sz w:val="24"/>
        </w:rPr>
        <w:t>POKYNY PRO PODÁVÁNÍ ZPRÁV O KAPITÁLU A KAPITÁLOVÝCH POŽADAVCÍCH</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ČÁST II: POKYNY K ŠABLONÁM</w:t>
      </w:r>
    </w:p>
    <w:p w14:paraId="59F9EF91" w14:textId="77777777" w:rsidR="00992E36"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0" w:name="_Toc117766052"/>
      <w:r>
        <w:rPr>
          <w:rFonts w:ascii="Times New Roman" w:hAnsi="Times New Roman"/>
          <w:sz w:val="24"/>
          <w:u w:val="none"/>
        </w:rPr>
        <w:t>6.</w:t>
      </w:r>
      <w:r>
        <w:tab/>
      </w:r>
      <w:r>
        <w:rPr>
          <w:rFonts w:ascii="Times New Roman" w:hAnsi="Times New Roman"/>
          <w:sz w:val="24"/>
        </w:rPr>
        <w:t>Obezřetné oceňování (</w:t>
      </w:r>
      <w:proofErr w:type="spellStart"/>
      <w:r>
        <w:rPr>
          <w:rFonts w:ascii="Times New Roman" w:hAnsi="Times New Roman"/>
          <w:sz w:val="24"/>
        </w:rPr>
        <w:t>PruVal</w:t>
      </w:r>
      <w:proofErr w:type="spellEnd"/>
      <w:r>
        <w:rPr>
          <w:rFonts w:ascii="Times New Roman" w:hAnsi="Times New Roman"/>
          <w:sz w:val="24"/>
        </w:rPr>
        <w:t>)</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 w:name="_Toc117766053"/>
      <w:r>
        <w:rPr>
          <w:rFonts w:ascii="Times New Roman" w:hAnsi="Times New Roman"/>
          <w:sz w:val="24"/>
          <w:u w:val="none"/>
        </w:rPr>
        <w:t>6.1</w:t>
      </w:r>
      <w:r>
        <w:tab/>
      </w:r>
      <w:r>
        <w:rPr>
          <w:rFonts w:ascii="Times New Roman" w:hAnsi="Times New Roman"/>
          <w:sz w:val="24"/>
        </w:rPr>
        <w:t>C 32.01 – Obezřetné oceňování: Aktiva a závazky oceňované reálnou hodnotou (</w:t>
      </w:r>
      <w:proofErr w:type="spellStart"/>
      <w:r>
        <w:rPr>
          <w:rFonts w:ascii="Times New Roman" w:hAnsi="Times New Roman"/>
          <w:sz w:val="24"/>
        </w:rPr>
        <w:t>PruVal</w:t>
      </w:r>
      <w:proofErr w:type="spellEnd"/>
      <w:r>
        <w:rPr>
          <w:rFonts w:ascii="Times New Roman" w:hAnsi="Times New Roman"/>
          <w:sz w:val="24"/>
        </w:rPr>
        <w:t xml:space="preserve">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2" w:name="_Toc117766054"/>
      <w:r>
        <w:rPr>
          <w:rFonts w:ascii="Times New Roman" w:hAnsi="Times New Roman"/>
          <w:sz w:val="24"/>
          <w:u w:val="none"/>
        </w:rPr>
        <w:t>6.1.1</w:t>
      </w:r>
      <w:r>
        <w:tab/>
      </w:r>
      <w:r>
        <w:rPr>
          <w:rFonts w:ascii="Times New Roman" w:hAnsi="Times New Roman"/>
          <w:sz w:val="24"/>
        </w:rPr>
        <w:t>Obecné poznámky</w:t>
      </w:r>
      <w:bookmarkEnd w:id="2"/>
      <w:r>
        <w:rPr>
          <w:rFonts w:ascii="Times New Roman" w:hAnsi="Times New Roman"/>
          <w:sz w:val="24"/>
          <w:u w:val="none"/>
        </w:rPr>
        <w:t xml:space="preserve"> </w:t>
      </w:r>
    </w:p>
    <w:p w14:paraId="425C65B0"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176</w:t>
      </w:r>
      <w:r>
        <w:fldChar w:fldCharType="end"/>
      </w:r>
      <w:r>
        <w:t>. Tuto šablonu vyplní všechny instituce bez ohledu na to, zda pro určení dodatečných úprav ocenění („AVA“) přijaly zjednodušenou metodu. Tato šablona je vyhrazena pro absolutní hodnotu aktiv a závazků oceňovaných reálnou hodnotou, která se použije k určení toho, zda jsou splněny podmínky, které jsou pro použití zjednodušeného postupu pro určení AVA stanoveny v článku 4 nařízení Komise v přenesené pravomoci (EU) 2016/101</w:t>
      </w:r>
      <w:r>
        <w:rPr>
          <w:rStyle w:val="FootnoteReference"/>
        </w:rPr>
        <w:footnoteReference w:id="1"/>
      </w:r>
      <w:r>
        <w:t>.</w:t>
      </w:r>
    </w:p>
    <w:p w14:paraId="6DB5E29B"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177</w:t>
      </w:r>
      <w:r>
        <w:fldChar w:fldCharType="end"/>
      </w:r>
      <w:r>
        <w:t>. V případě institucí používajících zjednodušený postup se v této šabloně uvede celková AVA, která se odečte od kapitálu podle článků 34 a 105 nařízení (EU) č. 575/2013, jak je stanoveno v článku 5 nařízení v přenesené pravomoci (EU) 2016/101, a vykáže se příslušným způsobem v řádku 0290 šablony C 01.00.</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3" w:name="_Toc117766055"/>
      <w:r>
        <w:rPr>
          <w:rFonts w:ascii="Times New Roman" w:hAnsi="Times New Roman"/>
          <w:sz w:val="24"/>
          <w:u w:val="none"/>
        </w:rPr>
        <w:t>6.1.2</w:t>
      </w:r>
      <w:r>
        <w:tab/>
      </w:r>
      <w:r>
        <w:rPr>
          <w:rFonts w:ascii="Times New Roman" w:hAnsi="Times New Roman"/>
          <w:sz w:val="24"/>
        </w:rPr>
        <w:t>Pokyny pro konkrétní pozice</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Sloupce</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w:t>
            </w:r>
          </w:p>
          <w:p w14:paraId="60D2FC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jak je vykázána v účetní závěrce v souladu s použitelným účetním rámcem podle čl. 4 odst. 1 nařízení v přenesené pravomoci (EU) 2016/101 před uskutečněním vyloučení podle čl. 4 odst. 2 nařízení v přenesené pravomoci (EU) 2016/101.</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Z TOHO: obchodní portfolio</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lastRenderedPageBreak/>
              <w:t xml:space="preserve">Absolutní hodnota aktiv a závazků oceňovaných reálnou hodnotou, jak je vykázána ve sloupci 010, odpovídající pozicím obchodního portfolia.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 VYLOUČENÉ KVŮLI ČÁSTEČNÉMU DOPADU NA KMENOVÝ KAPITÁL TIER 1</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vyloučených podle čl. 4 odst. 2 nařízení v přenesené pravomoci (EU)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Přesně odpovídající</w:t>
            </w:r>
          </w:p>
          <w:p w14:paraId="07E504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Přesně odpovídající kompenzující aktiva a závazky oceňované reálnou hodnotou a vyloučené podle čl. 4 odst. 2 nařízení v přenesené pravomoci (EU)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Zajišťovací účetnictví</w:t>
            </w:r>
          </w:p>
          <w:p w14:paraId="78C493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 pozic, na které se podle použitelného účetního rámce vztahuje zajišťovací účetnictví, absolutní hodnota aktiv a závazků oceňovaných reálnou hodnotou vyloučených proporcionálně podle dopadu příslušné změny ocenění na kmenový kapitál tier 1 v souladu s čl. 4 odst. 2 nařízení v přenesené pravomoci (EU)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Pr>
                <w:rFonts w:ascii="Times New Roman" w:hAnsi="Times New Roman"/>
                <w:b/>
                <w:caps/>
                <w:sz w:val="24"/>
                <w:u w:val="single"/>
              </w:rPr>
              <w:t xml:space="preserve">OBEZŘETNOSTNÍ filtry </w:t>
            </w:r>
          </w:p>
          <w:p w14:paraId="44455BA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vyloučených podle čl. 4 odst. 2 nařízení v přenesené pravomoci (EU) 2016/101 z důvodu přechodného použití obezřetnostních filtrů uvedených v článcích 467 a 468 nařízení (EU) č. 575/2013</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Ostatní</w:t>
            </w:r>
          </w:p>
          <w:p w14:paraId="371A33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Veškeré další pozice vyloučené podle čl. 4 odst. 2 nařízení v přenesené pravomoci (EU) 2016/101 z důvodu úprav jejich účetní hodnoty s pouze poměrným dopadem na kmenový kapitál tier 1</w:t>
            </w:r>
          </w:p>
          <w:p w14:paraId="032A9C6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Tento řádek se vyplní pouze v řídkých případech, kdy prvky vyloučené podle čl. 4 odst. 2 nařízení v přenesené pravomoci (EU) 2016/101 nelze vykázat ve sloupcích 0030, 0040 nebo 0050 této šablony.</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b/>
                <w:caps/>
                <w:sz w:val="24"/>
                <w:u w:val="single"/>
              </w:rPr>
              <w:t>Komentář k ostatnímu</w:t>
            </w:r>
            <w:r>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Uvedou se hlavní důvody, proč byly pozice vykázané ve sloupci 0060 vyloučeny.</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50D6ED5A" w14:textId="7EA70A23"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Aktiva a závazky oceňované REÁLNOU HODNOTOU zahrnuté do </w:t>
            </w:r>
            <w:r w:rsidR="006D130F">
              <w:rPr>
                <w:rFonts w:ascii="Times New Roman" w:hAnsi="Times New Roman"/>
                <w:b/>
                <w:caps/>
                <w:sz w:val="24"/>
                <w:u w:val="single"/>
              </w:rPr>
              <w:t>PRAHOVÉ HODNOTY</w:t>
            </w:r>
            <w:r>
              <w:rPr>
                <w:rFonts w:ascii="Times New Roman" w:hAnsi="Times New Roman"/>
                <w:b/>
                <w:caps/>
                <w:sz w:val="24"/>
                <w:u w:val="single"/>
              </w:rPr>
              <w:t xml:space="preserve"> uvedené v čl. 4 odst. 1</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skutečně zahrnutá do výpočtu prahové hodnoty podle čl. 4 odst. 1 nařízení v přenesené pravomoci (EU)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Z TOHO: obchodní portfolio</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sz w:val="24"/>
              </w:rPr>
              <w:lastRenderedPageBreak/>
              <w:t>Absolutní hodnota aktiv a závazků oceňovaných reálnou hodnotou, jak je vykázána ve sloupci 0080, odpovídající pozicím obchodního portfolia.</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Řádky</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Definice těchto kategorií odpovídají definicím pro odpovídající řádky v šabloně FINREP 1.1 a 1.2.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 AKTIVA A ZÁVAZKY OCEŇOVANÉ REÁLNOU HODNOTOU CELKEM</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Součet aktiv a závazků oceňovaných reálnou hodnotou vykázaných v řádcích 0020 až 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 AKTIVA OCEŇOVANÁ REÁLNOU HODNOTOU CELKEM</w:t>
            </w:r>
          </w:p>
          <w:p w14:paraId="6D0EA4A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Součet aktiv oceňovaných reálnou hodnotou vykázaných v řádcích 0030 až 0140. </w:t>
            </w:r>
          </w:p>
          <w:p w14:paraId="65CEA2E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Příslušné buňky řádků 0030 až 0130 se vykazují v souladu s šablonou FINREP F 01.01 přílohy III a IV tohoto prováděcího nařízení podle použitelných standardů instituce, jimiž jsou:</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IFRS přijaté Unií při používání nařízení Evropského parlamentu a Rady (ES) č. 1606/2002 („EU IFRS“)</w:t>
            </w:r>
            <w:r>
              <w:rPr>
                <w:rStyle w:val="FootnoteReference"/>
                <w:rFonts w:ascii="Times New Roman" w:hAnsi="Times New Roman"/>
                <w:szCs w:val="20"/>
                <w:vertAlign w:val="superscript"/>
              </w:rPr>
              <w:footnoteReference w:id="2"/>
            </w:r>
            <w:r>
              <w:rPr>
                <w:rFonts w:ascii="Times New Roman" w:hAnsi="Times New Roman"/>
                <w:sz w:val="24"/>
              </w:rPr>
              <w:t>,</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vnitrostátní účetní standardy kompatibilní s EU IFRS („národní GAAP kompatibilní s IFRS“) nebo</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národní GAAP založené na směrnici Rady 86/635/EHS (FINREP „národní GAAP založené na směrnici 86/635/EHS“).</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FINANČNÍ AKTIVA K OBCHODOVÁNÍ</w:t>
            </w:r>
          </w:p>
          <w:p w14:paraId="0134A5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 Dodatek A.</w:t>
            </w:r>
          </w:p>
          <w:p w14:paraId="5BC9B2E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Informace vykázaná v tomto řádku odpovídá řádku 0050 šablony F 01.01 příloh III a IV tohoto prováděcího nařízení.</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1.1.2 OBCHODOVATELNÁ FINANČNÍ AKTIVA</w:t>
            </w:r>
          </w:p>
          <w:p w14:paraId="0EB933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Články 32 a 33 směrnice Rady 86/635/EHS; příloha V část 1.17 tohoto prováděcího nařízení </w:t>
            </w:r>
          </w:p>
          <w:p w14:paraId="71FD2A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Informace vykázaná v tomto řádku odpovídá aktivům oceněným reálnou hodnotou, která jsou zahrnuta do hodnoty vykázané v řádku 0091 šablony F 01.01 příloh III a IV tohoto prováděcího nařízení.</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14:paraId="033992DD" w14:textId="639C0209"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1.1.3 NEOBCHODNÍ FINANČNÍ AKTIVA POVINNĚ OCEŇOVANÁ REÁLNOU HODNOTOU DO ZISKU NEBO ZTRÁTY </w:t>
            </w:r>
          </w:p>
          <w:p w14:paraId="52C3E7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IFRS 7 odst. 8 písm. a) bod </w:t>
            </w:r>
            <w:proofErr w:type="spellStart"/>
            <w:r>
              <w:rPr>
                <w:rFonts w:ascii="Times New Roman" w:hAnsi="Times New Roman"/>
                <w:sz w:val="24"/>
              </w:rPr>
              <w:t>ii</w:t>
            </w:r>
            <w:proofErr w:type="spellEnd"/>
            <w:r>
              <w:rPr>
                <w:rFonts w:ascii="Times New Roman" w:hAnsi="Times New Roman"/>
                <w:sz w:val="24"/>
              </w:rPr>
              <w:t xml:space="preserve">); IFRS 9 odst. 4.1.4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0096 šablony F 01.01 příloh III a IV tohoto prováděcího nařízení.</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47DC560" w14:textId="34EF71D4"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1.1.4 FINANČNÍ AKTIVA </w:t>
            </w:r>
            <w:r w:rsidR="006D130F">
              <w:rPr>
                <w:rFonts w:ascii="Times New Roman" w:hAnsi="Times New Roman"/>
                <w:b/>
                <w:sz w:val="24"/>
                <w:u w:val="single"/>
              </w:rPr>
              <w:t>OCEŇOVANÁ REÁLNOU HODNOTOU</w:t>
            </w:r>
            <w:r>
              <w:rPr>
                <w:rFonts w:ascii="Times New Roman" w:hAnsi="Times New Roman"/>
                <w:b/>
                <w:sz w:val="24"/>
                <w:u w:val="single"/>
              </w:rPr>
              <w:t xml:space="preserve"> DO ZISKU NEBO ZTRÁTY</w:t>
            </w:r>
          </w:p>
          <w:p w14:paraId="68099BC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 odst. 8 písm. a) bod i); IFRS 9 odst. 4.1.5; Ustanovení čl. 8 odst. 1 písm. a) a čl. 8 odst. 6 směrnice 2013/34/EU</w:t>
            </w:r>
          </w:p>
          <w:p w14:paraId="53AB4D4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Informace vykázaná v tomto řádku odpovídá řádku 0100 šablony F 01.01 příloh III a IV tohoto prováděcího nařízení.</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7E09967F" w14:textId="60EE8F61"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1.1.5 FINANČNÍ AKTIVA OCEŇOVANÁ REÁLNOU HODNOTOU DO OSTATNÍHO ÚPLNÉHO VÝSLEDKU</w:t>
            </w:r>
          </w:p>
          <w:p w14:paraId="50DF7B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 odst. 8 písm. h); IFRS 9 odst. 4.1.2A</w:t>
            </w:r>
          </w:p>
          <w:p w14:paraId="2890B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Informace vykázaná v tomto řádku odpovídá řádku 0141 šablony F 01.01 příloh III a IV tohoto prováděcího nařízení.</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BCA0A0" w14:textId="2EBA0E98"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1.1.6 NEOBCHODNÍ NEDERIVÁTOVÁ FINANČNÍ AKTIVA </w:t>
            </w:r>
            <w:r w:rsidR="006D130F">
              <w:rPr>
                <w:rFonts w:ascii="Times New Roman" w:hAnsi="Times New Roman"/>
                <w:b/>
                <w:sz w:val="24"/>
                <w:u w:val="single"/>
              </w:rPr>
              <w:t>OCEŇOVANÁ REÁLNOU HODNOTOU</w:t>
            </w:r>
            <w:r>
              <w:rPr>
                <w:rFonts w:ascii="Times New Roman" w:hAnsi="Times New Roman"/>
                <w:b/>
                <w:sz w:val="24"/>
                <w:u w:val="single"/>
              </w:rPr>
              <w:t xml:space="preserve"> DO ZISKU NEBO ZTRÁTY</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Ustanovení čl. 36 odst. 2 směrnice Rady 86/635/EHS. Informace vykázaná v tomto řádku odpovídá řádku 0171 šablony F 01.01 příloh III a IV tohoto prováděcího nařízení.</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58FE4431" w14:textId="5A3FCC52"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1.1.7 NEOBCHODNÍ NEDERIVÁTOVÁ FINANČNÍ AKTIVA </w:t>
            </w:r>
            <w:r w:rsidR="006D130F">
              <w:rPr>
                <w:rFonts w:ascii="Times New Roman" w:hAnsi="Times New Roman"/>
                <w:b/>
                <w:sz w:val="24"/>
                <w:u w:val="single"/>
              </w:rPr>
              <w:t>OCEŇOVANÁ REÁLNOU HODNOTOU</w:t>
            </w:r>
            <w:r>
              <w:rPr>
                <w:rFonts w:ascii="Times New Roman" w:hAnsi="Times New Roman"/>
                <w:b/>
                <w:sz w:val="24"/>
                <w:u w:val="single"/>
              </w:rPr>
              <w:t xml:space="preserve"> DO VLASTNÍHO KAPITÁLU</w:t>
            </w:r>
          </w:p>
          <w:p w14:paraId="2D8AE0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Ustanovení čl. 8 odst. 1 písm. a) a čl. 8 odst. 8 směrnice 2013/34/EU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0175 šablony F 01.01 příloh III a IV tohoto prováděcího nařízení.</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1.1.8 OSTATNÍ NEOBCHODNÍ NEDERIVÁTOVÁ FINANČNÍ AKTIVA</w:t>
            </w:r>
          </w:p>
          <w:p w14:paraId="0B1963D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Článek 37 směrnice Rady 86/635/EHS; čl. 12 odst. 7 směrnice 2013/34/EU; příloha V část 1.20 tohoto prováděcího nařízení</w:t>
            </w:r>
          </w:p>
          <w:p w14:paraId="681869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Informace vykázaná v tomto řádku odpovídá aktivům oceněným reálnou hodnotou, která jsou zahrnuta do hodnoty vykázané v řádku 0234 šablony F 01.01 příloh III a IV tohoto prováděcího nařízení.</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1.1.9 DERIVÁTY – ZAJIŠŤOVACÍ ÚČETNICTVÍ</w:t>
            </w:r>
          </w:p>
          <w:p w14:paraId="7BEB13A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 odst. 6.2.1; příloha V část 1.22 tohoto prováděcího nařízení; ustanovení čl. 8 odst. 1 písm. a) a čl. 8 odst. 6 a 8 směrnice 2013/34/EU; IAS 39 odst. 9</w:t>
            </w:r>
          </w:p>
          <w:p w14:paraId="045D5D6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Informace vykázaná v tomto řádku odpovídá řádku 0240 šablony F 01.01 příloh III a IV tohoto prováděcího nařízení.</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68307BE9" w14:textId="0E0A7394"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1.1.10 ZMĚNY REÁLNÉ HODNOTY ZAJIŠTĚNÝCH POLOŽEK V ZAJIŠTĚNÍ </w:t>
            </w:r>
            <w:r w:rsidR="006D130F">
              <w:rPr>
                <w:rFonts w:ascii="Times New Roman" w:hAnsi="Times New Roman"/>
                <w:b/>
                <w:sz w:val="24"/>
                <w:u w:val="single"/>
              </w:rPr>
              <w:t>PORTFOLIA PROTI ÚROKOVÉMU RIZIKU</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IAS 39 odst. 89A písm. a); IFRS 9 odst. 6.5.8; ustanovení čl. 8 odst. 5 a 6 směrnice Evropského parlamentu a Rady 2013/34/EU</w:t>
            </w:r>
            <w:r>
              <w:rPr>
                <w:vertAlign w:val="superscript"/>
              </w:rPr>
              <w:footnoteReference w:id="3"/>
            </w:r>
            <w:r>
              <w:rPr>
                <w:rFonts w:ascii="Times New Roman" w:hAnsi="Times New Roman"/>
                <w:sz w:val="24"/>
              </w:rPr>
              <w:t>. Informace vykázaná v tomto řádku odpovídá řádku 0250 šablony F 01.01 příloh III a IV tohoto prováděcího nařízení.</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INVESTICE DO DCEŘINÝCH, SPOLEČNÝCH A PŘIDRUŽENÝCH PODNIKŮ</w:t>
            </w:r>
          </w:p>
          <w:p w14:paraId="77693FB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IAS 1.54 písm. e); příloha V části 1.21 a 2.4 tohoto prováděcího nařízení; čl. 4 odst. 7 a 8 směrnice Rady 86/635/EHS; čl. 2 odst. 2 směrnice 2013/34/EU</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0260 šablony F 01.01 příloh III a IV tohoto prováděcího nařízení.</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 SRÁŽKY U OBCHODOVATELNÝCH AKTIV V REÁLNÉ HODNOTĚ</w:t>
            </w:r>
          </w:p>
          <w:p w14:paraId="689D2C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Příloha V část 1.29 tohoto prováděcího nařízení</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0375 šablony F 01.01 příloh III a IV tohoto prováděcího nařízení.</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OSTATNÍ AKTIVA</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Aktiva uvedená v příloze V části 2 odstavcích 5 a 6 tohoto prováděcího nařízení, pokud jsou oceněna v reálné hodnotě.</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NEOBĚŽNÁ AKTIVA A VYŘAZOVANÉ SKUPINY URČENÉ K PRODEJI</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Aktiva uvedená v příloze V části 2 odstavci 7 tohoto prováděcího nařízení, pokud jsou oceněna v reálné hodnotě.</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 ZÁVAZKY OCEŇOVANÉ REÁLNOU HODNOTOU CELKEM </w:t>
            </w:r>
          </w:p>
          <w:p w14:paraId="48B3C6E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Součet částek vykázaných v řádcích 0160 až 0210.</w:t>
            </w:r>
          </w:p>
          <w:p w14:paraId="33E1D1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Příslušné buňky řádků 0150 až 0190 se vykazují v souladu s šablonou FINREP F 01.02 přílohy III a IV tohoto prováděcího nařízení podle použitelných standardů instituce, jimiž jsou: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IFRS přijaté Unií při používání nařízení (ES) 1606/2002 („EU IFRS“),</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t xml:space="preserve">vnitrostátní účetní standardy kompatibilní s EU IFRS („národní GAAP kompatibilní s IFRS“),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Pr>
                <w:rFonts w:ascii="Times New Roman" w:hAnsi="Times New Roman"/>
                <w:sz w:val="24"/>
              </w:rPr>
              <w:lastRenderedPageBreak/>
              <w:t>nebo národní GAAP založené na směrnici Rady 86/635/EHS (FINREP „národní GAAP založené na směrnici 86/635/EHS“).</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1.2.1 FINANČNÍ ZÁVAZKY K OBCHODOVÁNÍ</w:t>
            </w:r>
          </w:p>
          <w:p w14:paraId="3FDAF7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7 odst. 8 písm. e) bod </w:t>
            </w:r>
            <w:proofErr w:type="spellStart"/>
            <w:r>
              <w:rPr>
                <w:rFonts w:ascii="Times New Roman" w:hAnsi="Times New Roman"/>
                <w:sz w:val="24"/>
              </w:rPr>
              <w:t>ii</w:t>
            </w:r>
            <w:proofErr w:type="spellEnd"/>
            <w:r>
              <w:rPr>
                <w:rFonts w:ascii="Times New Roman" w:hAnsi="Times New Roman"/>
                <w:sz w:val="24"/>
              </w:rPr>
              <w:t>); IFRS 9 odst. BA.6.</w:t>
            </w:r>
          </w:p>
          <w:p w14:paraId="4E4FCD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Informace vykázaná v tomto řádku odpovídá řádku 0010 šablony F 01.02 příloh III a IV tohoto prováděcího nařízení.</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1.2.2 OBCHODOVATELNÉ FINANČNÍ ZÁVAZKY</w:t>
            </w:r>
          </w:p>
          <w:p w14:paraId="70C0A6A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Ustanovení čl. 8 odst. 1 písm. a) a čl. 8 odst. 3 a 6 směrnice 2013/34/EU</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0061 šablony F 01.02 příloh III a IV tohoto prováděcího nařízení.</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77C9400E" w14:textId="79B9779B"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1.2.3 FINANČNÍ ZÁVAZKY V REÁLNÉ HODNOTĚ </w:t>
            </w:r>
            <w:r w:rsidR="006D130F">
              <w:rPr>
                <w:rFonts w:ascii="Times New Roman" w:hAnsi="Times New Roman"/>
                <w:b/>
                <w:sz w:val="24"/>
                <w:u w:val="single"/>
              </w:rPr>
              <w:t>OCEŇOVANÉ REÁLNOU HODNOTOU</w:t>
            </w:r>
            <w:r>
              <w:rPr>
                <w:rFonts w:ascii="Times New Roman" w:hAnsi="Times New Roman"/>
                <w:b/>
                <w:sz w:val="24"/>
                <w:u w:val="single"/>
              </w:rPr>
              <w:t xml:space="preserve"> DO ZISKU NEBO ZTRÁTY</w:t>
            </w:r>
          </w:p>
          <w:p w14:paraId="7EAB4ECB" w14:textId="5E50DF4E"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IFRS 7 odst. 8 písm. e) bod i); IFRS 9 odst. 4.2.2; </w:t>
            </w:r>
            <w:r w:rsidR="006D130F">
              <w:rPr>
                <w:rFonts w:ascii="Times New Roman" w:hAnsi="Times New Roman"/>
                <w:sz w:val="24"/>
              </w:rPr>
              <w:t>u</w:t>
            </w:r>
            <w:r>
              <w:rPr>
                <w:rFonts w:ascii="Times New Roman" w:hAnsi="Times New Roman"/>
                <w:sz w:val="24"/>
              </w:rPr>
              <w:t xml:space="preserve">stanovení čl. 8 odst. 1 písm. a) a čl. 8 odst. 6 směrnice 2013/34/EU IAS 39 odst. 9. </w:t>
            </w:r>
          </w:p>
          <w:p w14:paraId="0CFACF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Informace vykázaná v tomto řádku odpovídá řádku 0070 šablony F 01.02 příloh III a IV tohoto prováděcího nařízení.</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1.2.4 DERIVÁTY – ZAJIŠŤOVACÍ ÚČETNICTVÍ</w:t>
            </w:r>
          </w:p>
          <w:p w14:paraId="63DC87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IFRS 9 odst. 6.2.1; příloha V část 1.26 tohoto prováděcího nařízení; čl. 8 odst. 1 písm. a), odst. 6 a odst. 8 písm. a) směrnice 2013/34/EU</w:t>
            </w:r>
          </w:p>
          <w:p w14:paraId="1E3AE5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Informace vykázaná v tomto řádku odpovídá řádku 0150 šablony F 01.02 příloh III a IV tohoto prováděcího nařízení.</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53B39DF9" w14:textId="3EAAB85E"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1.2.5 ZMĚNY REÁLNÉ HODNOTY ZAJIŠTĚNÝCH POLOŽEK V ZAJIŠTĚNÍ </w:t>
            </w:r>
            <w:r w:rsidR="006D130F">
              <w:rPr>
                <w:rFonts w:ascii="Times New Roman" w:hAnsi="Times New Roman"/>
                <w:b/>
                <w:sz w:val="24"/>
                <w:u w:val="single"/>
              </w:rPr>
              <w:t>PORTDOLIA PROTI ÚROKOVÉMU RIZIKU</w:t>
            </w:r>
          </w:p>
          <w:p w14:paraId="2CC02D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IAS 39 odst. 89A písm. b), IFRS 9 odst. 6.5.8; čl. 8 odst. 5 a 6 směrnice 2013/34/EU; příloha V část 2.8 tohoto prováděcího nařízení</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0160 šablony F 01.02 příloh III a IV tohoto prováděcího nařízení.</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1.2.6 SRÁŽKY U OBCHODOVATELNÝCH ZÁVAZKŮ V REÁLNÉ HODNOTĚ</w:t>
            </w:r>
          </w:p>
          <w:p w14:paraId="1C4365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Příloha V část 1.29 tohoto prováděcího nařízení</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0295 šablony F 01.02 příloh III a IV tohoto prováděcího nařízení.</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OSTATNÍ ZÁVAZKY</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Závazky uvedené v příloze V části 2 odstavci 13 tohoto prováděcího nařízení, pokud jsou oceněny v reálné hodnotě.</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1.2.8 ZÁVAZKY ZAHRNUTÉ VE VYŘAZOVANÝCH SKUPINÁCH K PRODEJI</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Závazky uvedené v příloze V části 2 odstavci 14 tohoto prováděcího nařízení, pokud jsou oceněny v reálné hodnotě.</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4" w:name="_Toc117766056"/>
      <w:r>
        <w:rPr>
          <w:rFonts w:ascii="Times New Roman" w:hAnsi="Times New Roman"/>
          <w:sz w:val="24"/>
          <w:u w:val="none"/>
        </w:rPr>
        <w:t>6.2</w:t>
      </w:r>
      <w:r>
        <w:tab/>
      </w:r>
      <w:r>
        <w:rPr>
          <w:rFonts w:ascii="Times New Roman" w:hAnsi="Times New Roman"/>
          <w:sz w:val="24"/>
        </w:rPr>
        <w:t>C 32.02 – Obezřetné oceňování Základní postup (</w:t>
      </w:r>
      <w:proofErr w:type="spellStart"/>
      <w:r>
        <w:rPr>
          <w:rFonts w:ascii="Times New Roman" w:hAnsi="Times New Roman"/>
          <w:sz w:val="24"/>
        </w:rPr>
        <w:t>PruVal</w:t>
      </w:r>
      <w:proofErr w:type="spellEnd"/>
      <w:r>
        <w:rPr>
          <w:rFonts w:ascii="Times New Roman" w:hAnsi="Times New Roman"/>
          <w:sz w:val="24"/>
        </w:rPr>
        <w:t xml:space="preserve">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5" w:name="_Toc117766057"/>
      <w:r>
        <w:rPr>
          <w:rFonts w:ascii="Times New Roman" w:hAnsi="Times New Roman"/>
          <w:sz w:val="24"/>
          <w:u w:val="none"/>
        </w:rPr>
        <w:t>6.2.1</w:t>
      </w:r>
      <w:r>
        <w:tab/>
      </w:r>
      <w:r>
        <w:rPr>
          <w:rFonts w:ascii="Times New Roman" w:hAnsi="Times New Roman"/>
          <w:sz w:val="24"/>
        </w:rPr>
        <w:t>Obecné poznámky</w:t>
      </w:r>
      <w:bookmarkEnd w:id="5"/>
      <w:r>
        <w:rPr>
          <w:rFonts w:ascii="Times New Roman" w:hAnsi="Times New Roman"/>
          <w:sz w:val="24"/>
          <w:u w:val="none"/>
        </w:rPr>
        <w:t xml:space="preserve"> </w:t>
      </w:r>
    </w:p>
    <w:p w14:paraId="763BBDF6"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178</w:t>
      </w:r>
      <w:r>
        <w:fldChar w:fldCharType="end"/>
      </w:r>
      <w:r>
        <w:t>. Účelem této šablony je poskytnout informace o složení celkové dodatečné úpravy ocenění, která má být odečtena od kapitálu podle článků 34 a 105 nařízení (EU) č. 575/2013, spolu s relevantními informacemi o účetním ocenění pozic, které vedou k dodatečným úpravám ocenění.</w:t>
      </w:r>
    </w:p>
    <w:p w14:paraId="6CF38957"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179</w:t>
      </w:r>
      <w:r>
        <w:fldChar w:fldCharType="end"/>
      </w:r>
      <w:r>
        <w:t xml:space="preserve">. Tuto šablonu vyplní všechny instituce, které </w:t>
      </w:r>
    </w:p>
    <w:p w14:paraId="55E8BBED" w14:textId="77777777" w:rsidR="001332E7" w:rsidRPr="002A677E" w:rsidRDefault="001332E7" w:rsidP="001332E7">
      <w:pPr>
        <w:pStyle w:val="InstructionsText2"/>
        <w:numPr>
          <w:ilvl w:val="0"/>
          <w:numId w:val="0"/>
        </w:numPr>
        <w:ind w:left="1353" w:hanging="360"/>
      </w:pPr>
      <w:r>
        <w:t>a) jsou povinny používat základní postup, protože překračují prahovou hodnotu podle čl. 4 odst. 1 nařízení v přenesené pravomoci (EU) 2016/101, a to buď na individuální, nebo konsolidované bázi, jak je stanoveno v čl. 4 odst. 3 uvedeného nařízení, nebo</w:t>
      </w:r>
    </w:p>
    <w:p w14:paraId="5C7E4D89" w14:textId="77777777" w:rsidR="001332E7" w:rsidRPr="002A677E" w:rsidRDefault="001332E7" w:rsidP="001332E7">
      <w:pPr>
        <w:pStyle w:val="InstructionsText2"/>
        <w:numPr>
          <w:ilvl w:val="0"/>
          <w:numId w:val="0"/>
        </w:numPr>
        <w:ind w:left="1353" w:hanging="360"/>
      </w:pPr>
      <w:r>
        <w:t xml:space="preserve">b) vybraly si použití základního postupu i přesto, že tento limit nepřekračují. </w:t>
      </w:r>
    </w:p>
    <w:p w14:paraId="747163D2"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180</w:t>
      </w:r>
      <w:r>
        <w:fldChar w:fldCharType="end"/>
      </w:r>
      <w:r>
        <w:t>. Pro účely této šablony se „vzestupnou nejistotou“ rozumí toto: Jak je uvedeno v čl. 8 odst. 2 nařízení v přenesené pravomoci (EU) 2016/101, dodatečné úpravy ocenění se vypočítají jako rozdíl mezi reálnou hodnotou a obezřetným oceněním, které je stanoveno na základě 90 % jistoty, že instituce mohou uzavřít danou expozici v daném nebo lepším bodě v rámci pomyslné škály věrohodných hodnot. Vzestupná hodnota nebo „vzestupná nejistota“ je protikladný bod v distribuci věrohodných hodnot, v němž mají instituce pouze 10 % jistotu, že mohou pozici uzavřít v daném nebo lepším bodě. Vzestupná nejistota se vypočte a agreguje na stejném základě jako celková dodatečná úprava ocenění, avšak 90 % úroveň jistoty, která se používá při určení celkové dodatečné úpravy ocenění, se nahradí úrovní 10 %.</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6" w:name="_Toc117766058"/>
      <w:r>
        <w:rPr>
          <w:rFonts w:ascii="Times New Roman" w:hAnsi="Times New Roman"/>
          <w:sz w:val="24"/>
          <w:u w:val="none"/>
        </w:rPr>
        <w:t>6.2.2</w:t>
      </w:r>
      <w:r>
        <w:tab/>
      </w:r>
      <w:r>
        <w:rPr>
          <w:rFonts w:ascii="Times New Roman" w:hAnsi="Times New Roman"/>
          <w:sz w:val="24"/>
          <w:u w:val="none"/>
        </w:rPr>
        <w:t>Pokyny pro konkrétní pozice</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Sloupce</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NA ÚROVNI KATEGORIE</w:t>
            </w:r>
          </w:p>
          <w:p w14:paraId="3128CBD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AVA na úrovni kategorie pro nejistotu tržních cen, náklady na uzavření pozice, rizika modelů, koncentrované pozice, budoucí administrativní náklady, předčasné ukončení a operační riziko se vypočítají podle článků 9, 10, 11 a 14 až 17 nařízení v přenesené pravomoci (EU) 2016/101.</w:t>
            </w:r>
          </w:p>
          <w:p w14:paraId="052118A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 případě kategorií nejistoty tržních cen, nákladů na uzavření pozice a rizik modelů, jichž se může týkat výhoda diverzifikace podle čl. 9 odst. 6, čl. 10 odst. 7 a čl. 11 </w:t>
            </w:r>
            <w:r>
              <w:rPr>
                <w:rFonts w:ascii="Times New Roman" w:hAnsi="Times New Roman"/>
                <w:sz w:val="24"/>
              </w:rPr>
              <w:lastRenderedPageBreak/>
              <w:t xml:space="preserve">odst. 7 nařízení v přenesené pravomoci (EU) 2016/101, se AVA na úrovni kategorií, není-li stanoveno jinak‚ vykazují jako přímý součet individuálních AVA před výhodou diverzifikace [vzhledem k tomu, že výhody diverzifikace vypočtené metodou 1 nebo metodou 2 uvedenými v příloze nařízení v přenesené pravomoci (EU) 2016/101 se vykazují v bodech 1.1.2, 1.1.2.1 a 1.1.2.2 šablony]. </w:t>
            </w:r>
          </w:p>
          <w:p w14:paraId="61BB89D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 případě kategorií nejistoty tržních cen, nákladů na uzavření pozice a rizik modelů, se hodnoty vypočtené na základě odborného úsudku podle čl. 9 odst. 5 písm. b), čl. 10 odst. 6 písm. b) a čl. 11 odst. 4 nařízení v přenesené pravomoci (EU) 2016/101 vykazují samostatně ve sloupcích 0020, 0040 a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NEJISTOTA TRŽNÍCH CEN</w:t>
            </w:r>
          </w:p>
          <w:p w14:paraId="52F61A7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Ustanovení čl. 105 odst. 10 nařízení (EU) č. 575/2013.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nejistotu tržních cen vypočítané v souladu s článkem 9 nařízení v přenesené pravomoci (EU)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nejistotu tržních cen vypočítané v souladu s čl. 9 odst. 5 písm. b) nařízení v přenesené pravomoci (EU)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NÁKLADY NA UZAVŘENÍ POZICE</w:t>
            </w:r>
          </w:p>
          <w:p w14:paraId="414418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Ustanovení čl. 105 odst. 10 nařízení (EU) č. 575/2013.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náklady na uzavření pozice vypočítané v souladu s článkem 10 nařízení v přenesené pravomoci (EU) 2016/101.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AVA zohledňující náklady na uzavření pozice vypočítané v souladu s čl. 10 odst. 6 písm. b) nařízení v přenesené pravomoci (EU)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RIZIKO MODELŮ</w:t>
            </w:r>
          </w:p>
          <w:p w14:paraId="330F409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Ustanovení čl. 105 odst. 10 nařízení (EU) č. 575/2013</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riziko modelů vypočítané v souladu s článkem 11 nařízení v přenesené pravomoci (EU) 2016/101.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riziko modelů vypočítané v souladu s čl. 11 odst. 4 nařízení v přenesené pravomoci (EU)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KONCENTROVANÉ POZICE</w:t>
            </w:r>
          </w:p>
          <w:p w14:paraId="535C01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Ustanovení čl. 105 odst. 11 nařízení (EU) č. 575/2013</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Koncentrované pozice vypočítané v souladu s článkem 14 nařízení v přenesené pravomoci (EU)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BUDOUCÍ ADMINISTRATIVNÍ NÁKLADY</w:t>
            </w:r>
          </w:p>
          <w:p w14:paraId="53DADC9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Ustanovení čl. 105 odst. 10 nařízení (EU) č. 575/2013</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budoucí administrativní náklady vypočítané v souladu s článkem 15 nařízení v přenesené pravomoci (EU)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PŘEDČASNÉ UKONČENÍ</w:t>
            </w:r>
          </w:p>
          <w:p w14:paraId="05DA81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Ustanovení čl. 105 odst. 10 nařízení (EU) č. 575/2013</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předčasné ukončení vypočítané v souladu s článkem 16 nařízení v přenesené pravomoci (EU) 2016/101.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OPERAČNÍ RIZIKO</w:t>
            </w:r>
          </w:p>
          <w:p w14:paraId="052ED67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Ustanovení čl. 105 odst. 10 nařízení (EU) č. 575/2013</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operační riziko vypočítané v souladu s článkem 17 nařízení v přenesené pravomoci (EU)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CELKEM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Řádek 0010: celková AVA, která se odečte od kapitálu podle článků 34 a 105 </w:t>
            </w:r>
            <w:r>
              <w:rPr>
                <w:rFonts w:ascii="Times New Roman" w:hAnsi="Times New Roman"/>
                <w:sz w:val="24"/>
              </w:rPr>
              <w:t>nařízení (EU) č. 575/2013</w:t>
            </w:r>
            <w:r>
              <w:rPr>
                <w:rStyle w:val="InstructionsTabelleberschrift"/>
                <w:rFonts w:ascii="Times New Roman" w:hAnsi="Times New Roman"/>
                <w:b w:val="0"/>
                <w:sz w:val="24"/>
                <w:u w:val="none"/>
              </w:rPr>
              <w:t xml:space="preserve"> a vykáže se příslušným způsobem v řádku 0290 šablony C 01.00. Celková AVA je součtem řádků 0030 a 0180.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Řádek 0020: podíl celkové AVA vykázané v řádku 0010 plynoucí z pozic obchodního portfolia (absolutní hodnota).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Řádky 0030 až 0160: součet sloupců 0010, 0030, 0050 a 0070 až 0100. </w:t>
            </w:r>
          </w:p>
          <w:p w14:paraId="34421EE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Řádky 0180 až 0210: celková AVA plynoucí z portfolií, na něž se vztahuje záložní postup.</w:t>
            </w:r>
            <w:r>
              <w:rPr>
                <w:rStyle w:val="InstructionsTabelleberschrift"/>
                <w:rFonts w:ascii="Times New Roman" w:hAnsi="Times New Roman"/>
                <w:sz w:val="24"/>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VZESTUPNÁ NEJISTOTA</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Čl. 8 odst. 2</w:t>
            </w:r>
            <w:r>
              <w:rPr>
                <w:rFonts w:ascii="Times New Roman" w:hAnsi="Times New Roman"/>
                <w:sz w:val="24"/>
              </w:rPr>
              <w:t xml:space="preserve"> nařízení v přenesené pravomoci (EU) 2016/101</w:t>
            </w:r>
          </w:p>
          <w:p w14:paraId="3D1B25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Vzestupná nejistota se vypočte a agreguje na stejném základě jako celková dodatečná úprava ocenění vypočtená ve sloupci 0110, avšak 90% úroveň jistoty, která se používá při určení celkové dodatečné úpravy ocenění, se nahradí úrovní 10 %.</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proofErr w:type="gramStart"/>
            <w:r>
              <w:rPr>
                <w:rFonts w:ascii="Times New Roman" w:hAnsi="Times New Roman"/>
                <w:sz w:val="24"/>
              </w:rPr>
              <w:t>0130 – 0140</w:t>
            </w:r>
            <w:proofErr w:type="gramEnd"/>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A ZÁVAZKY OCEŇOVANÉ REÁLNOU HODNOTOU</w:t>
            </w:r>
          </w:p>
          <w:p w14:paraId="18BA1E1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Absolutní hodnota aktiv a závazků oceňovaných reálnou hodnotou </w:t>
            </w:r>
            <w:proofErr w:type="gramStart"/>
            <w:r>
              <w:rPr>
                <w:rFonts w:ascii="Times New Roman" w:hAnsi="Times New Roman"/>
                <w:sz w:val="24"/>
              </w:rPr>
              <w:t>odpovídajících hodnotám</w:t>
            </w:r>
            <w:proofErr w:type="gramEnd"/>
            <w:r>
              <w:rPr>
                <w:rFonts w:ascii="Times New Roman" w:hAnsi="Times New Roman"/>
                <w:sz w:val="24"/>
              </w:rPr>
              <w:t xml:space="preserve"> AVA vykázaným v řádcích 0010 až 0130 a v řádku 0180. V případě některých řádků, především řádků 0090 až 0130, může být nutné tyto částky zaokrouhlit nebo přiřadit na základě odborného úsudku. </w:t>
            </w:r>
          </w:p>
          <w:p w14:paraId="3721DB29"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t xml:space="preserve">Řádek 0010: Celková absolutní hodnota aktiv a závazků oceňovaných reálnou hodnotou zahrnutých do výpočtu limitu podle čl. 4 odst. 1 nařízení v přenesené pravomoci (EU) 2016/101.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 </w:t>
            </w:r>
          </w:p>
          <w:p w14:paraId="28E17635" w14:textId="77777777" w:rsidR="001332E7" w:rsidRPr="002A677E" w:rsidRDefault="001332E7" w:rsidP="00B80002">
            <w:pPr>
              <w:spacing w:beforeLines="60" w:before="144" w:afterLines="60" w:after="144"/>
              <w:jc w:val="left"/>
              <w:rPr>
                <w:rFonts w:ascii="Times New Roman" w:hAnsi="Times New Roman"/>
                <w:sz w:val="24"/>
              </w:rPr>
            </w:pPr>
            <w:r>
              <w:rPr>
                <w:rFonts w:ascii="Times New Roman" w:hAnsi="Times New Roman"/>
                <w:sz w:val="24"/>
              </w:rPr>
              <w:lastRenderedPageBreak/>
              <w:t xml:space="preserve">Řádek 0010 je součtem řádku 0030 a řádku 0180. </w:t>
            </w:r>
          </w:p>
          <w:p w14:paraId="6C809F9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Řádek 0020: podíl absolutní hodnoty aktiv a závazků oceňovaných reálnou hodnotou vykázané v řádce 0010 plynoucí z pozic obchodního portfolia (absolutní hodnota). </w:t>
            </w:r>
          </w:p>
          <w:p w14:paraId="1D76BFD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Řádek 0030: Absolutní hodnota aktiv a závazků oceňovaných reálnou hodnotou </w:t>
            </w:r>
            <w:proofErr w:type="gramStart"/>
            <w:r>
              <w:rPr>
                <w:rFonts w:ascii="Times New Roman" w:hAnsi="Times New Roman"/>
                <w:sz w:val="24"/>
              </w:rPr>
              <w:t>odpovídajících portfoliím</w:t>
            </w:r>
            <w:proofErr w:type="gramEnd"/>
            <w:r>
              <w:rPr>
                <w:rFonts w:ascii="Times New Roman" w:hAnsi="Times New Roman"/>
                <w:sz w:val="24"/>
              </w:rPr>
              <w:t xml:space="preserve"> podle článků 9 až 17 nařízení v přenesené pravomoci (EU) 2016/101.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 Řádek 0030 je součtem řádků 0090 až 0130.</w:t>
            </w:r>
          </w:p>
          <w:p w14:paraId="6FA980A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Řádek 0050: Absolutní hodnota aktiv a závazků oceňovaných reálnou hodnotou zahrnutých do rozsahu výpočtu AVA zohledňující nepodchycená úvěrová rozpětí. Pro účely výpočtu této AVA již nelze přesně odpovídající kompenzující aktiva a závazky oceňované reálnou hodnotou, které jsou vyloučeny z výpočtu limitu podle čl. 4 odst. 2 nařízení v přenesené pravomoci (EU) 2016/101, považovat za přesně odpovídající a kompenzující. </w:t>
            </w:r>
          </w:p>
          <w:p w14:paraId="54BA5F3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Řádek 0060: Absolutní hodnota aktiv a závazků oceňovaných reálnou hodnotou zahrnutých do rozsahu výpočtu AVA zohledňující investiční náklady a náklady na financování. Pro účely výpočtu této AVA již nelze přesně odpovídající kompenzující aktiva a závazky oceňované reálnou hodnotou, které jsou vyloučeny z výpočtu limitu podle čl. 4 odst. 2 nařízení v přenesené pravomoci (EU) 2016/101, považovat za přesně odpovídající a kompenzující. </w:t>
            </w:r>
          </w:p>
          <w:p w14:paraId="0CE2957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Řádek 0070: Absolutní hodnota aktiv a závazků oceňovaných reálnou hodnotou odpovídajících oceňovaným expozicím, u nichž je prokázána nulová hodnota AVA podle čl. 9 odst. 2 nařízení v přenesené pravomoci (EU) 2016/101. </w:t>
            </w:r>
          </w:p>
          <w:p w14:paraId="6B8CFF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Řádek 0080: Absolutní hodnota aktiv a závazků oceňovaných reálnou hodnotou odpovídajících oceňovaným expozicím, u nichž je prokázána nulová hodnota AVA podle čl. 10 odst. 2 a 3 nařízení v přenesené pravomoci (EU) 2016/101. </w:t>
            </w:r>
          </w:p>
          <w:p w14:paraId="1B21632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Řádky 0090 až 0130: Absolutní hodnota aktiv a závazků oceňovaných reálnou hodnotou rozdělených, jak je uvedeno níže (viz pokyny pro odpovídající řádky), v souladu s následujícími kategoriemi rizik: úrokové riziko, měnové riziko, úvěrové riziko, akciové riziko, komoditní riziko.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w:t>
            </w:r>
          </w:p>
          <w:p w14:paraId="6AE48E8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Řádek 0180: Absolutní hodnota aktiv a závazků oceňovaných reálnou hodnotou </w:t>
            </w:r>
            <w:proofErr w:type="gramStart"/>
            <w:r>
              <w:rPr>
                <w:rFonts w:ascii="Times New Roman" w:hAnsi="Times New Roman"/>
                <w:sz w:val="24"/>
              </w:rPr>
              <w:t>odpovídajících portfoliím</w:t>
            </w:r>
            <w:proofErr w:type="gramEnd"/>
            <w:r>
              <w:rPr>
                <w:rFonts w:ascii="Times New Roman" w:hAnsi="Times New Roman"/>
                <w:sz w:val="24"/>
              </w:rPr>
              <w:t xml:space="preserve">, na něž se vztahuje záložní postup.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OCEŇOVANÁ REÁLNOU HODNOTOU</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Absolutní hodnota aktiv oceňovaných </w:t>
            </w:r>
            <w:r>
              <w:rPr>
                <w:rStyle w:val="InstructionsTabelleberschrift"/>
                <w:rFonts w:ascii="Times New Roman" w:hAnsi="Times New Roman"/>
                <w:b w:val="0"/>
                <w:sz w:val="24"/>
                <w:u w:val="none"/>
              </w:rPr>
              <w:t>reálnou hodnotou odpovídajících různým řádkům, jak je vysvětleno v pokynech ke sloupcům 0130 až 0140 výše.</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ZÁVAZKY OCEŇOVANÉ REÁLNOU HODNOTOU</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Absolutní hodnota závazků oceňovaných </w:t>
            </w:r>
            <w:r>
              <w:rPr>
                <w:rStyle w:val="InstructionsTabelleberschrift"/>
                <w:rFonts w:ascii="Times New Roman" w:hAnsi="Times New Roman"/>
                <w:b w:val="0"/>
                <w:sz w:val="24"/>
                <w:u w:val="none"/>
              </w:rPr>
              <w:t>reálnou hodnotou odpovídajících různým řádkům, jak je vysvětleno v pokynech ke sloupcům 0130 až 0140 výše.</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ČTVRTLETNÍ PŘÍJEM</w:t>
            </w:r>
          </w:p>
          <w:p w14:paraId="0694DBC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Čtvrtletní příjmy („čtvrtletní příjem“) od posledního data vykazování přiřazené aktivům a závazkům oceňovaným reálnou hodnotou </w:t>
            </w:r>
            <w:r>
              <w:rPr>
                <w:rStyle w:val="InstructionsTabelleberschrift"/>
                <w:rFonts w:ascii="Times New Roman" w:hAnsi="Times New Roman"/>
                <w:b w:val="0"/>
                <w:sz w:val="24"/>
                <w:u w:val="none"/>
              </w:rPr>
              <w:t>odpovídajícím různým řádkům, jak je vysvětleno v pokynech ke sloupcům 0130 až 0140 výše, je-li příslušné přiřazení nebo zaokrouhlení založeno na odborném úsudku</w:t>
            </w:r>
            <w:r>
              <w:rPr>
                <w:rFonts w:ascii="Times New Roman" w:hAnsi="Times New Roman"/>
                <w:sz w:val="24"/>
              </w:rPr>
              <w:t>.</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Součet neupravených hodnot rozdílů („rozdíly z nezávislého ověřování“) napříč všemi pozicemi a rizikovými faktory vypočtený na konci měsíce nejbližšího k datu vykazování postupem nezávislého ověřování cen provedeným podle čl. 105 odst. 8 </w:t>
            </w:r>
            <w:r>
              <w:rPr>
                <w:rFonts w:ascii="Times New Roman" w:hAnsi="Times New Roman"/>
                <w:sz w:val="24"/>
              </w:rPr>
              <w:t>nařízení (EU) č. 575/2013</w:t>
            </w:r>
            <w:r>
              <w:rPr>
                <w:rStyle w:val="InstructionsTabelleberschrift"/>
                <w:rFonts w:ascii="Times New Roman" w:hAnsi="Times New Roman"/>
                <w:b w:val="0"/>
                <w:sz w:val="24"/>
                <w:u w:val="none"/>
              </w:rPr>
              <w:t xml:space="preserve"> s ohledem na nejkvalitnější nezávislé údaje pro příslušnou pozici nebo rizikový faktor.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Neupravené hodnoty rozdílů se vztahují k neupraveným rozdílům mezi oceněním získaným ze systému obchodování a oceněním vyhodnoceným v rámci měsíčního postupu nezávislého ověřování cen.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ÚPRAVY REÁLNÉ HODNOTY</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Úpravy, někdy označované za „rezervy“, případně uplatněné na účetní reálnou hodnotu instituce, které se provádějí mimo model oceňování používaný ke generování účetních hodnot (kromě Odkladu zisků a ztrát prvního dne) a lze mít za to, že </w:t>
            </w:r>
            <w:proofErr w:type="gramStart"/>
            <w:r>
              <w:rPr>
                <w:rStyle w:val="InstructionsTabelleberschrift"/>
                <w:rFonts w:ascii="Times New Roman" w:hAnsi="Times New Roman"/>
                <w:b w:val="0"/>
                <w:sz w:val="24"/>
                <w:u w:val="none"/>
              </w:rPr>
              <w:t>řeší</w:t>
            </w:r>
            <w:proofErr w:type="gramEnd"/>
            <w:r>
              <w:rPr>
                <w:rStyle w:val="InstructionsTabelleberschrift"/>
                <w:rFonts w:ascii="Times New Roman" w:hAnsi="Times New Roman"/>
                <w:b w:val="0"/>
                <w:sz w:val="24"/>
                <w:u w:val="none"/>
              </w:rPr>
              <w:t xml:space="preserve"> stejný zdroj nejistoty oceňování jako příslušná AVA. Mohly by odrážet rizikové faktory, které nebyly zachyceny technikami oceňování, které mají podobu rizikové přirážky nebo výstupních nákladů a odpovídají definici reálné hodnoty. Účastníci trhu je však zohledňují při stanovení cen. (IFRS 13 odst. 9 a IFRS 13 odst. 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NEJISTOTA TRŽNÍCH CEN</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Úprava uplatněná na reálnou hodnotu instituce pro zohlednění rizikové přirážky plynoucí z existence škály pozorovaných cen ekvivalentních nástrojů nebo, v případě vstupního údaje u tržního parametru v modelu oceňování, nástrojů, jejichž vstupní údaj byl kalibrován, a u níž proto lze mít za to, že </w:t>
            </w:r>
            <w:proofErr w:type="gramStart"/>
            <w:r>
              <w:rPr>
                <w:rStyle w:val="InstructionsTabelleberschrift"/>
                <w:rFonts w:ascii="Times New Roman" w:hAnsi="Times New Roman"/>
                <w:b w:val="0"/>
                <w:sz w:val="24"/>
                <w:u w:val="none"/>
              </w:rPr>
              <w:t>řeší</w:t>
            </w:r>
            <w:proofErr w:type="gramEnd"/>
            <w:r>
              <w:rPr>
                <w:rStyle w:val="InstructionsTabelleberschrift"/>
                <w:rFonts w:ascii="Times New Roman" w:hAnsi="Times New Roman"/>
                <w:b w:val="0"/>
                <w:sz w:val="24"/>
                <w:u w:val="none"/>
              </w:rPr>
              <w:t xml:space="preserve"> stejný zdroj nejistoty oceňování jako dodatečná úprava ocenění z důvodu nejistoty tržních cen.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NÁKLADY NA UZAVŘENÍ POZICE</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Úprava uplatněná na reálnou hodnotu instituce pro zohlednění skutečnosti, že ocenění úrovně pozice neodráží výstupní cenu pozice nebo portfolia, zejména pokud jsou taková ocenění kalibrována na cenu střed, a u níž proto lze mít za to, že </w:t>
            </w:r>
            <w:proofErr w:type="gramStart"/>
            <w:r>
              <w:rPr>
                <w:rStyle w:val="InstructionsTabelleberschrift"/>
                <w:rFonts w:ascii="Times New Roman" w:hAnsi="Times New Roman"/>
                <w:b w:val="0"/>
                <w:sz w:val="24"/>
                <w:u w:val="none"/>
              </w:rPr>
              <w:t>řeší</w:t>
            </w:r>
            <w:proofErr w:type="gramEnd"/>
            <w:r>
              <w:rPr>
                <w:rStyle w:val="InstructionsTabelleberschrift"/>
                <w:rFonts w:ascii="Times New Roman" w:hAnsi="Times New Roman"/>
                <w:b w:val="0"/>
                <w:sz w:val="24"/>
                <w:u w:val="none"/>
              </w:rPr>
              <w:t xml:space="preserve"> stejný zdroj nejistoty oceňování jako</w:t>
            </w:r>
            <w:r>
              <w:rPr>
                <w:rFonts w:ascii="Times New Roman" w:hAnsi="Times New Roman"/>
                <w:sz w:val="24"/>
              </w:rPr>
              <w:t xml:space="preserve"> dodatečná úprava ocenění z důvodů nákladů na uzavření pozice</w:t>
            </w:r>
            <w:r>
              <w:rPr>
                <w:rStyle w:val="InstructionsTabelleberschrift"/>
                <w:rFonts w:ascii="Times New Roman" w:hAnsi="Times New Roman"/>
                <w:b w:val="0"/>
                <w:sz w:val="24"/>
                <w:u w:val="none"/>
              </w:rPr>
              <w:t>.</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RIZIKO MODELŮ</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 xml:space="preserve">Úprava uplatněná na reálnou hodnotu instituce pro zohlednění faktorů, které souvisejí s trhem nebo produktem a nejsou zachyceny modelem, který se používá k výpočtu denních hodnot a rizik pozic („model oceňování“), nebo pro zajištění příslušné úrovně obezřetnosti kvůli nejistotě plynoucí z existence několika dalších platných modelů a jejich kalibrací, a u níž proto lze mít za to, že </w:t>
            </w:r>
            <w:proofErr w:type="gramStart"/>
            <w:r>
              <w:rPr>
                <w:rStyle w:val="InstructionsTabelleberschrift"/>
                <w:rFonts w:ascii="Times New Roman" w:hAnsi="Times New Roman"/>
                <w:b w:val="0"/>
                <w:sz w:val="24"/>
                <w:u w:val="none"/>
              </w:rPr>
              <w:t>řeší</w:t>
            </w:r>
            <w:proofErr w:type="gramEnd"/>
            <w:r>
              <w:rPr>
                <w:rStyle w:val="InstructionsTabelleberschrift"/>
                <w:rFonts w:ascii="Times New Roman" w:hAnsi="Times New Roman"/>
                <w:b w:val="0"/>
                <w:sz w:val="24"/>
                <w:u w:val="none"/>
              </w:rPr>
              <w:t xml:space="preserve"> stejný zdroj nejistoty oceňování jako</w:t>
            </w:r>
            <w:r>
              <w:rPr>
                <w:rFonts w:ascii="Times New Roman" w:hAnsi="Times New Roman"/>
                <w:sz w:val="24"/>
              </w:rPr>
              <w:t xml:space="preserve"> dodatečná úprava ocenění zohledňující riziko modelů</w:t>
            </w:r>
            <w:r>
              <w:rPr>
                <w:rStyle w:val="InstructionsTabelleberschrift"/>
                <w:rFonts w:ascii="Times New Roman" w:hAnsi="Times New Roman"/>
                <w:b w:val="0"/>
                <w:sz w:val="24"/>
                <w:u w:val="none"/>
              </w:rPr>
              <w:t>.</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KONCENTROVANÉ POZICE</w:t>
            </w:r>
          </w:p>
          <w:p w14:paraId="05646A0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 xml:space="preserve"> </w:t>
            </w:r>
            <w:r>
              <w:rPr>
                <w:rStyle w:val="InstructionsTabelleberschrift"/>
                <w:rFonts w:ascii="Times New Roman" w:hAnsi="Times New Roman"/>
                <w:b w:val="0"/>
                <w:sz w:val="24"/>
                <w:u w:val="none"/>
              </w:rPr>
              <w:t>Úprava uplatněná na reálnou hodnotu instituce pro zohlednění skutečnosti, že agregovaná pozice držená institucí je větší než běžně obchodovaný objem nebo větší než velikosti pozic, na nichž se zakládají pozorovatelné nabídky cen nebo transakce, které se používají ke kalibraci cen nebo vstupních údajů používaných v modelech hodnocení, a</w:t>
            </w:r>
            <w:r>
              <w:rPr>
                <w:rStyle w:val="InstructionsTabelleberschrift"/>
                <w:rFonts w:ascii="Times New Roman" w:hAnsi="Times New Roman"/>
                <w:sz w:val="24"/>
                <w:u w:val="none"/>
              </w:rPr>
              <w:t xml:space="preserve"> </w:t>
            </w:r>
            <w:r>
              <w:rPr>
                <w:rStyle w:val="InstructionsTabelleberschrift"/>
                <w:rFonts w:ascii="Times New Roman" w:hAnsi="Times New Roman"/>
                <w:b w:val="0"/>
                <w:sz w:val="24"/>
                <w:u w:val="none"/>
              </w:rPr>
              <w:t xml:space="preserve">u níž proto lze mít za to, že </w:t>
            </w:r>
            <w:proofErr w:type="gramStart"/>
            <w:r>
              <w:rPr>
                <w:rStyle w:val="InstructionsTabelleberschrift"/>
                <w:rFonts w:ascii="Times New Roman" w:hAnsi="Times New Roman"/>
                <w:b w:val="0"/>
                <w:sz w:val="24"/>
                <w:u w:val="none"/>
              </w:rPr>
              <w:t>řeší</w:t>
            </w:r>
            <w:proofErr w:type="gramEnd"/>
            <w:r>
              <w:rPr>
                <w:rStyle w:val="InstructionsTabelleberschrift"/>
                <w:rFonts w:ascii="Times New Roman" w:hAnsi="Times New Roman"/>
                <w:b w:val="0"/>
                <w:sz w:val="24"/>
                <w:u w:val="none"/>
              </w:rPr>
              <w:t xml:space="preserve"> stejný zdroj nejistoty oceňování jako dodatečná úprava ocenění zohledňující </w:t>
            </w:r>
            <w:r>
              <w:rPr>
                <w:rFonts w:ascii="Times New Roman" w:hAnsi="Times New Roman"/>
                <w:sz w:val="24"/>
              </w:rPr>
              <w:t>koncentrované pozice</w:t>
            </w:r>
            <w:r>
              <w:rPr>
                <w:rStyle w:val="InstructionsTabelleberschrift"/>
                <w:rFonts w:ascii="Times New Roman" w:hAnsi="Times New Roman"/>
                <w:b w:val="0"/>
                <w:sz w:val="24"/>
                <w:u w:val="none"/>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NEPODCHYCENÁ ÚVĚROVÁ ROZPĚTÍ</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Úprava uplatněná na reálnou hodnotu instituce k pokrytí ztrát očekávaných z důvodu selhání protistrany u derivátových pozic (tedy riziko úvěrových úprav v ocenění „CVA“ na úrovni instituce).</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INVESTIČNÍ NÁKLADY A NÁKLADY NA FINANCOVÁNÍ</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Úprava uplatněná na reálnou hodnotu instituce ke kompenzaci případů, v nichž modely hodnocení plně neodrážejí náklady na financování, které by účastníci trhu začlenili do výstupní ceny pozice nebo portfolia (tedy celková úprava ocenění financování na úrovni instituce, pokud instituce takovou úpravu počítá, nebo případně rovnocenná úprava).</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BUDOUCÍ ADMINISTRATIVNÍ NÁKLADY</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Úprava uplatněná na reálnou hodnotu instituce pro zohlednění administrativních nákladů, které souvisejí s portfoliem nebo pozicí, ale nejsou zachyceny v modelu oceňování ani v cenách, které se používají ke kalibraci vstupních údajů daného modelu, a u níž proto lze mít za to, že </w:t>
            </w:r>
            <w:proofErr w:type="gramStart"/>
            <w:r>
              <w:rPr>
                <w:rStyle w:val="InstructionsTabelleberschrift"/>
                <w:rFonts w:ascii="Times New Roman" w:hAnsi="Times New Roman"/>
                <w:b w:val="0"/>
                <w:sz w:val="24"/>
                <w:u w:val="none"/>
              </w:rPr>
              <w:t>řeší</w:t>
            </w:r>
            <w:proofErr w:type="gramEnd"/>
            <w:r>
              <w:rPr>
                <w:rStyle w:val="InstructionsTabelleberschrift"/>
                <w:rFonts w:ascii="Times New Roman" w:hAnsi="Times New Roman"/>
                <w:b w:val="0"/>
                <w:sz w:val="24"/>
                <w:u w:val="none"/>
              </w:rPr>
              <w:t xml:space="preserve"> stejný zdroj nejistoty oceňování jako dodatečná úprava ocenění zohledňující budoucí administrativní náklady.</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PŘEDČASNÉ UKONČENÍ</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Úpravy uplatněné na reálnou hodnotu instituce pro zohlednění očekávání smluvního nebo mimosmluvního předčasného ukončení, které není zachyceno v modelu oceňování, a u nichž proto lze mít za to, že </w:t>
            </w:r>
            <w:proofErr w:type="gramStart"/>
            <w:r>
              <w:rPr>
                <w:rStyle w:val="InstructionsTabelleberschrift"/>
                <w:rFonts w:ascii="Times New Roman" w:hAnsi="Times New Roman"/>
                <w:b w:val="0"/>
                <w:sz w:val="24"/>
                <w:u w:val="none"/>
              </w:rPr>
              <w:t>řeší</w:t>
            </w:r>
            <w:proofErr w:type="gramEnd"/>
            <w:r>
              <w:rPr>
                <w:rStyle w:val="InstructionsTabelleberschrift"/>
                <w:rFonts w:ascii="Times New Roman" w:hAnsi="Times New Roman"/>
                <w:b w:val="0"/>
                <w:sz w:val="24"/>
                <w:u w:val="none"/>
              </w:rPr>
              <w:t xml:space="preserve"> stejný zdroj nejistoty oceňování jako dodatečná úprava ocenění zohledňující předčasné ukončení.</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OPERAČNÍ RIZIKO</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Úpravy uplatněné na reálnou hodnotu instituce pro zohlednění rizikové přirážky, kterou by účastníci trhu vyžadovali jako kompenzaci operačních rizik plynoucích ze zajišťování, správy a vypořádání smluv portfolia, a u nichž proto lze mít za to, </w:t>
            </w:r>
            <w:r>
              <w:rPr>
                <w:rStyle w:val="InstructionsTabelleberschrift"/>
                <w:rFonts w:ascii="Times New Roman" w:hAnsi="Times New Roman"/>
                <w:b w:val="0"/>
                <w:sz w:val="24"/>
                <w:u w:val="none"/>
              </w:rPr>
              <w:lastRenderedPageBreak/>
              <w:t xml:space="preserve">že </w:t>
            </w:r>
            <w:proofErr w:type="gramStart"/>
            <w:r>
              <w:rPr>
                <w:rStyle w:val="InstructionsTabelleberschrift"/>
                <w:rFonts w:ascii="Times New Roman" w:hAnsi="Times New Roman"/>
                <w:b w:val="0"/>
                <w:sz w:val="24"/>
                <w:u w:val="none"/>
              </w:rPr>
              <w:t>řeší</w:t>
            </w:r>
            <w:proofErr w:type="gramEnd"/>
            <w:r>
              <w:rPr>
                <w:rStyle w:val="InstructionsTabelleberschrift"/>
                <w:rFonts w:ascii="Times New Roman" w:hAnsi="Times New Roman"/>
                <w:b w:val="0"/>
                <w:sz w:val="24"/>
                <w:u w:val="none"/>
              </w:rPr>
              <w:t xml:space="preserve"> stejný zdroj nejistoty oceňování jako dodatečná úprava ocenění zohledňující operační riziko.</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ZISKY A ZTRÁTY PRVNÍHO DNE</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Úpravy pro zohlednění případů, kdy model oceňování spolu se všemi ostatními příslušnými úpravami reálné hodnoty použitelnými na pozici nebo portfolio neodrážel cenu zaplacenou nebo přijatou v prvním dni zaúčtování, tedy odklad zisků a ztrát prvního dne (IFRS 9 B odst. 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VYSVĚTLUJÍCÍ POPIS</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Fonts w:ascii="Times New Roman" w:hAnsi="Times New Roman"/>
                <w:sz w:val="24"/>
              </w:rPr>
              <w:t>Popis pozic, na něž se vztahovalo zacházení podle čl. 7 odst. 2 písm. b) nařízení v přenesené pravomoci (EU) 2016/101, a důvody, proč nebylo možné použít články 9 až 17 uvedeného nařízení.</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28"/>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Řádky</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4E034D5D" w14:textId="5717CC4F"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 ZÁKLADNÍ </w:t>
            </w:r>
            <w:r w:rsidR="006D130F">
              <w:rPr>
                <w:rFonts w:ascii="Times New Roman" w:hAnsi="Times New Roman"/>
                <w:b/>
                <w:sz w:val="24"/>
                <w:u w:val="single"/>
              </w:rPr>
              <w:t>PŘÍSTUP</w:t>
            </w:r>
            <w:r>
              <w:rPr>
                <w:rFonts w:ascii="Times New Roman" w:hAnsi="Times New Roman"/>
                <w:b/>
                <w:sz w:val="24"/>
                <w:u w:val="single"/>
              </w:rPr>
              <w:t xml:space="preserve"> CELKEM </w:t>
            </w:r>
          </w:p>
          <w:p w14:paraId="6FBBC7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 7 odst. 2 nařízení v přenesené pravomoci (EU) 2016/101</w:t>
            </w:r>
          </w:p>
          <w:p w14:paraId="11E6DD2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U každé příslušné kategorie AVA uvedené ve sloupcích 0010 až 0110 celkové AVA vypočtené podle základního postupu, který je stanoven v kapitole 3 nařízení v přenesené pravomoci (EU) 2016/101, pro aktiva a závazky oceňované reálnou hodnotou zahrnuté do výpočtu limitu podle čl. 4 odst. 1 uvedeného nařízení. Jsou zahrnuty výhody diverzifikace vykázané v řádku 0140 podle čl. 9 odst. 6, čl. 10 odst. 7 a čl. 11 odst. 7 nařízení v přenesené pravomoci (EU) 2016/101.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Z TOHO: OBCHODNÍ PORTFOLIO </w:t>
            </w:r>
          </w:p>
          <w:p w14:paraId="0FEC762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Čl. 7 odst. 2 nařízení v přenesené pravomoci (EU) 2016/101</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 xml:space="preserve">U každé příslušné kategorie AVA uvedené ve sloupcích 0010 až 0110 podíl celkové AVA vykázané v řádku 0010, který plyne </w:t>
            </w:r>
            <w:proofErr w:type="gramStart"/>
            <w:r>
              <w:rPr>
                <w:rFonts w:ascii="Times New Roman" w:hAnsi="Times New Roman"/>
                <w:sz w:val="24"/>
              </w:rPr>
              <w:t>z</w:t>
            </w:r>
            <w:proofErr w:type="gramEnd"/>
            <w:r>
              <w:rPr>
                <w:rFonts w:ascii="Times New Roman" w:hAnsi="Times New Roman"/>
                <w:sz w:val="24"/>
              </w:rPr>
              <w:t xml:space="preserve"> pozicí obchodního portfolia (absolutní hodnota).</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617544D0" w14:textId="40208774"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PORTFOLIA PODLE ČLÁNKŮ 9 AŽ 17 NAŘÍZENÍ KOMISE V PŘENESENÉ PRAVOMOCI (EU) 2016/101 – CELKOVÁ AVA NA ÚROVNI KATEGORIE PO DIVERZIFIKACI </w:t>
            </w:r>
          </w:p>
          <w:p w14:paraId="6ADDDC7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Ustanovení čl. 7 odst. 2 písm. a) nařízení v přenesené pravomoci (EU) 2016/101.</w:t>
            </w:r>
          </w:p>
          <w:p w14:paraId="5C5FB9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U každé příslušné kategorie AVA uvedené ve sloupcích 0010 až 0110 celkovou AVA vypočtenou podle článků 9 až 17 nařízení v přenesené pravomoci (EU) 2016/101 pro aktiva a závazky oceňované reálnou hodnotou zahrnuté do výpočtu limitu podle čl. 4 odst. 1 uvedeného nařízení, kromě aktiv a závazků oceňovaných reálnou hodnotou, na které se vztahuje zacházení popsané v čl. 7 odst. 2 písm. b) nařízení v přenesené pravomoci (EU) 2016/101. </w:t>
            </w:r>
          </w:p>
          <w:p w14:paraId="5F5EBEB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Jsou zahrnuty AVA vypočtené podle článků 12 a 13 nařízení v přenesené pravomoci (EU) 2016/101, které jsou vykázané v řádcích 0050 a 0060 a zahrnuté do AVA zohledňujících nejistotu tržních cen, náklady na uzavření pozic a rizika modelů podle čl. 12 odst. 2 a čl. 13 odst. 2 uvedeného nařízení. </w:t>
            </w:r>
          </w:p>
          <w:p w14:paraId="50C7B1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Jsou zahrnuty výhody diverzifikace vykázané v řádku 0140 podle čl. 9 odst. 6, čl. 10 odst. 7 a čl. 11 odst. 7 nařízení v přenesené pravomoci (EU) 2016/101. </w:t>
            </w:r>
          </w:p>
          <w:p w14:paraId="17E7A94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Řádek 0030 je rozdílem mezi řádky 0040 a 0140.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0040–0130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 AVA NA ÚROVNI CELKOVÉ KATEGORIE PŘED DIVERZIFIKACÍ</w:t>
            </w:r>
          </w:p>
          <w:p w14:paraId="25B7DFE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U řádků 0090 až 0130 instituce přiřadí svá aktiva a závazky oceňované reálnou hodnotou zahrnuté do výpočtu limitu podle čl. 4 odst. 1 nařízení v přenesené pravomoci (EU) 2016/101 (obchodní a investiční portfolio) k následujícím kategoriím rizik: úrokové riziko, měnové riziko, úvěrové riziko, akciové riziko, komoditní riziko. </w:t>
            </w:r>
          </w:p>
          <w:p w14:paraId="1A152C4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Instituce pro tento účel vycházejí ze své interní struktury řízení rizik a na základě mapování provedeného odborným úsudkem přidělí své linie podnikání nebo obchodní útvary k nejvhodnější kategorii rizik. AVA, úpravy reálné hodnoty a další požadované informace, které odpovídají přiřazeným liniím podnikání nebo obchodním útvarům, se přiřadí ke stejné příslušné kategorii rizik, aby se na úrovni řádku získal u každé kategorie rizik konzistentní přehled úprav uplatněných jak pro obezřetnostní, tak pro účetní účely, i indikace velikosti dotčených pozic (z hlediska aktiv a závazků oceňovaných reálnou hodnotou). Pokud se AVA nebo jiné úpravy počítají na různých úrovních agregace, zejména na úrovni podniků, vyvine instituce metodiku přiřazování AVA k příslušným souborům pozic. Metodika přiřazování vede k tomu, že řádek 0040 bude součtem řádků 0050 až 0130 u sloupců 0010 až 0100. </w:t>
            </w:r>
          </w:p>
          <w:p w14:paraId="39519D8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Bez ohledu na použitý přístup musí být vykázané informace co nejvíce konzistentní na úrovni řádků, protože právě na této úrovni se budou poskytnuté informace porovnávat (hodnota AVA, vzestupná nejistota, reálné hodnoty a jejich případné úpravy). </w:t>
            </w:r>
          </w:p>
          <w:p w14:paraId="0B1615A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Z rozčlenění v řádcích 0090 až 0130 jsou vyloučeny AVA vypočtené podle článků 12 a 13 nařízení v přenesené pravomoci (EU) 2016/101, které jsou vykázané v řádcích 0050 a 0060 a zahrnuté do AVA zohledňujících nejistotu tržních cen, náklady na uzavření pozic a rizika modelů podle čl. 12 odst. 2 a čl. 13 odst. 2 uvedeného nařízení.</w:t>
            </w:r>
          </w:p>
          <w:p w14:paraId="694A2D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Výhody diverzifikace se vykazují v řádku 0140 podle čl. 9 odst. 6, čl. 10 odst. 7 a čl. 11 odst. 7 nařízení v přenesené pravomoci (EU) 2016/101, a proto jsou z řádků 0040 až 0130 vyloučeny.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Z TOHO: AVA ZOHLEDŇUJÍCÍ NEPODCHYCENÁ ÚVĚROVÁ ROZPĚTÍ</w:t>
            </w:r>
          </w:p>
          <w:p w14:paraId="1478E2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Ustanovení čl. 105 odst. 10 nařízení (EU) č. 575/2013 a článku 12 nařízení v přenesené pravomoci (EU) 2016/101</w:t>
            </w:r>
          </w:p>
          <w:p w14:paraId="7CA2D21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 xml:space="preserve">Celková AVA vypočtená pro nepodchycená úvěrová rozpětí („AVA z CVA“) a její přidělení k AVA zohledňujícím nejistotu tržních cen, náklady na uzavření pozice nebo rizika modelů podle článku 12 nařízení v přenesené pravomoci (EU) 2016/101. </w:t>
            </w:r>
          </w:p>
          <w:p w14:paraId="0D632F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Sloupec 0110: Celková AVA se uvádí pouze pro informaci, protože její přidělení k AVA zohledňujícím nejistotu tržních cen, náklady na uzavření pozice nebo rizika modelů vede k jejímu zařazení – po zohlednění všech výhod diverzifikace – do příslušných AVA na úrovni kategorie. </w:t>
            </w:r>
          </w:p>
          <w:p w14:paraId="3127C5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Sloupce 0130 a 0140: Absolutní hodnota aktiv a závazků oceňovaných reálnou hodnotou zahrnutých do rozsahu výpočtu AVA zohledňujících nepodchycená úvěrová rozpětí. Pro účely výpočtu této AVA se již přesně odpovídající kompenzující aktiva a závazky oceňované reálnou hodnotou, které jsou vyloučeny z výpočtu limitu podle čl. 4 odst. 2 nařízení v přenesené pravomoci (EU) 2016/101, nepovažují za přesně odpovídající a kompenzující.</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Z TOHO: AVA ZOHLEDŇUJÍCÍ INVESTIČNÍ NÁKLADY A NÁKLADY NA FINANCOVÁNÍ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Pr>
                <w:rFonts w:ascii="Times New Roman" w:hAnsi="Times New Roman"/>
                <w:sz w:val="24"/>
              </w:rPr>
              <w:t>Ustanovení čl. 105 odst. 10 nařízení (EU) č. 575/2013 a článku 17 nařízení v přenesené pravomoci (EU) 2016/101</w:t>
            </w:r>
          </w:p>
          <w:p w14:paraId="62DDD25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Celková AVA vypočtená pro investiční náklady a náklady na financování a její přidělení k AVA zohledňujícím nejistotu tržních cen, náklady na uzavření pozice nebo rizika modelů podle článku 13 nařízení v přenesené pravomoci (EU) 2016/101. </w:t>
            </w:r>
          </w:p>
          <w:p w14:paraId="72DC102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Sloupec 0110: Celková AVA se uvádí pouze pro informaci, protože její přidělení k AVA zohledňujícím nejistotu tržních cen, náklady na uzavření pozice nebo rizika modelů vede k jejímu zařazení – po zohlednění všech výhod diverzifikace – do příslušných AVA na úrovni kategorie. </w:t>
            </w:r>
          </w:p>
          <w:p w14:paraId="7F6578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Sloupce 0130 a 0140: Absolutní hodnota aktiv a závazků oceňovaných reálnou hodnotou zahrnutých do rozsahu výpočtu AVA zohledňující investiční náklady a náklady na financování. Pro účely výpočtu této AVA se již přesně odpovídající kompenzující aktiva a závazky oceňované reálnou hodnotou, které jsou vyloučeny z výpočtu limitu podle čl. 4 odst. 2 nařízení v přenesené pravomoci (EU) 2016/101, nepovažují za přesně odpovídající a kompenzující.</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Z TOHO: AVA OCENĚNÁ NULOVOU HODNOTOU PODLE ČL. 9 ODST. 2</w:t>
            </w:r>
            <w:r>
              <w:rPr>
                <w:rFonts w:ascii="Times New Roman" w:hAnsi="Times New Roman"/>
                <w:sz w:val="24"/>
              </w:rPr>
              <w:t xml:space="preserve"> </w:t>
            </w:r>
            <w:r>
              <w:rPr>
                <w:rFonts w:ascii="Times New Roman" w:hAnsi="Times New Roman"/>
                <w:b/>
                <w:caps/>
                <w:sz w:val="24"/>
              </w:rPr>
              <w:t>nařízení v přenesené pravomoci (EU) 2016/101</w:t>
            </w:r>
          </w:p>
          <w:p w14:paraId="342CE43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Absolutní hodnota aktiv a závazků oceňovaných reálnou hodnotou odpovídajících oceňovaným expozicím, u nichž je prokázána nulová hodnota AVA podle čl. 9 odst. 2 nařízení v přenesené pravomoci (EU) 2016/101.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Z TOHO: AVA OCENĚNÁ NULOVOU HODNOTOU PODLE ČL. 10 ODST. 2 A 3</w:t>
            </w:r>
            <w:r>
              <w:rPr>
                <w:rFonts w:ascii="Times New Roman" w:hAnsi="Times New Roman"/>
                <w:sz w:val="24"/>
              </w:rPr>
              <w:t xml:space="preserve"> </w:t>
            </w:r>
            <w:r>
              <w:rPr>
                <w:rFonts w:ascii="Times New Roman" w:hAnsi="Times New Roman"/>
                <w:b/>
                <w:caps/>
                <w:sz w:val="24"/>
              </w:rPr>
              <w:t>nařízení v přenesené pravomoci (EU) 2016/101</w:t>
            </w:r>
          </w:p>
          <w:p w14:paraId="71172EF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Absolutní hodnota aktiv a závazků oceňovaných reálnou hodnotou odpovídajících oceňovaným expozicím, u nichž je prokázána nulová hodnota </w:t>
            </w:r>
            <w:r>
              <w:rPr>
                <w:rFonts w:ascii="Times New Roman" w:hAnsi="Times New Roman"/>
                <w:sz w:val="24"/>
              </w:rPr>
              <w:lastRenderedPageBreak/>
              <w:t>dodatečné úpravy ocenění podle čl. 10 odst. 2 nebo čl. 10 odst. 3 nařízení v přenesené pravomoci (EU)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1.1.1.1 ÚROKOVÉ SAZBY</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7AF7273B" w14:textId="68EC0D98"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1.1.1.2 CIZÍ MĚN</w:t>
            </w:r>
            <w:r w:rsidR="009C5137">
              <w:rPr>
                <w:rFonts w:ascii="Times New Roman" w:hAnsi="Times New Roman"/>
                <w:b/>
                <w:sz w:val="24"/>
                <w:u w:val="single"/>
              </w:rPr>
              <w:t>Y</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2B7DB9EB" w14:textId="42D27AF4"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ÚVĚR</w:t>
            </w:r>
            <w:r w:rsidR="009C5137">
              <w:rPr>
                <w:rFonts w:ascii="Times New Roman" w:hAnsi="Times New Roman"/>
                <w:b/>
                <w:sz w:val="24"/>
                <w:u w:val="single"/>
              </w:rPr>
              <w:t>Y</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1.1.1.4 AKCIE</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1.1.1.5 KOMODITY</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625B3AE7" w14:textId="57D7211B"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1.1.2 (−) </w:t>
            </w:r>
            <w:r w:rsidR="009C5137">
              <w:rPr>
                <w:rFonts w:ascii="Times New Roman" w:hAnsi="Times New Roman"/>
                <w:b/>
                <w:caps/>
                <w:sz w:val="24"/>
                <w:u w:val="single"/>
              </w:rPr>
              <w:t>PŘÍNOSY</w:t>
            </w:r>
            <w:r>
              <w:rPr>
                <w:rFonts w:ascii="Times New Roman" w:hAnsi="Times New Roman"/>
                <w:b/>
                <w:caps/>
                <w:sz w:val="24"/>
                <w:u w:val="single"/>
              </w:rPr>
              <w:t xml:space="preserve"> diverzifikace</w:t>
            </w:r>
          </w:p>
          <w:p w14:paraId="60EF9B10" w14:textId="0A79C56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Celkové </w:t>
            </w:r>
            <w:r w:rsidR="009C5137">
              <w:rPr>
                <w:rFonts w:ascii="Times New Roman" w:hAnsi="Times New Roman"/>
                <w:sz w:val="24"/>
              </w:rPr>
              <w:t>přínosy</w:t>
            </w:r>
            <w:r>
              <w:rPr>
                <w:rFonts w:ascii="Times New Roman" w:hAnsi="Times New Roman"/>
                <w:sz w:val="24"/>
              </w:rPr>
              <w:t xml:space="preserve"> diverzifikace. Součet hodnot uvedených v řádcích 0150 a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7B3CDB3A" w14:textId="5106A07B"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1.1.2.1 (−) </w:t>
            </w:r>
            <w:r w:rsidR="009C5137">
              <w:rPr>
                <w:rFonts w:ascii="Times New Roman" w:hAnsi="Times New Roman"/>
                <w:b/>
                <w:caps/>
                <w:sz w:val="24"/>
                <w:u w:val="single"/>
              </w:rPr>
              <w:t>PŘÍNOSY</w:t>
            </w:r>
            <w:r>
              <w:rPr>
                <w:rFonts w:ascii="Times New Roman" w:hAnsi="Times New Roman"/>
                <w:b/>
                <w:caps/>
                <w:sz w:val="24"/>
                <w:u w:val="single"/>
              </w:rPr>
              <w:t xml:space="preserve"> diverzifikace </w:t>
            </w:r>
            <w:r w:rsidR="009C5137">
              <w:rPr>
                <w:rFonts w:ascii="Times New Roman" w:hAnsi="Times New Roman"/>
                <w:b/>
                <w:caps/>
                <w:sz w:val="24"/>
                <w:u w:val="single"/>
              </w:rPr>
              <w:t>VYPOČÍTANÉ</w:t>
            </w:r>
            <w:r>
              <w:rPr>
                <w:rFonts w:ascii="Times New Roman" w:hAnsi="Times New Roman"/>
                <w:b/>
                <w:caps/>
                <w:sz w:val="24"/>
                <w:u w:val="single"/>
              </w:rPr>
              <w:t xml:space="preserve"> metodou 1</w:t>
            </w:r>
          </w:p>
          <w:p w14:paraId="68B32A5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 kategorií dodatečných úprav ocenění agregovaných metodou 1 podle čl. 9 odst. 6, čl. 10 odst. 7 a čl. 11 odst. 6 nařízení v přenesené pravomoci (EU) 2016/101 rozdíl mezi součtem jednotlivých dodatečných úprav ocenění a celkovou dodatečnou úpravou ocenění na úrovni kategorie po zohlednění agregace.</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3CB3557" w14:textId="71A487BB"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1.1.2.2 (−) </w:t>
            </w:r>
            <w:r w:rsidR="009C5137">
              <w:rPr>
                <w:rFonts w:ascii="Times New Roman" w:hAnsi="Times New Roman"/>
                <w:b/>
                <w:caps/>
                <w:sz w:val="24"/>
                <w:u w:val="single"/>
              </w:rPr>
              <w:t>PŘÍNOSY</w:t>
            </w:r>
            <w:r>
              <w:rPr>
                <w:rFonts w:ascii="Times New Roman" w:hAnsi="Times New Roman"/>
                <w:b/>
                <w:caps/>
                <w:sz w:val="24"/>
                <w:u w:val="single"/>
              </w:rPr>
              <w:t xml:space="preserve"> diverzifikace </w:t>
            </w:r>
            <w:r w:rsidR="009C5137">
              <w:rPr>
                <w:rFonts w:ascii="Times New Roman" w:hAnsi="Times New Roman"/>
                <w:b/>
                <w:caps/>
                <w:sz w:val="24"/>
                <w:u w:val="single"/>
              </w:rPr>
              <w:t>VYPOČÍTANÉ</w:t>
            </w:r>
            <w:r>
              <w:rPr>
                <w:rFonts w:ascii="Times New Roman" w:hAnsi="Times New Roman"/>
                <w:b/>
                <w:caps/>
                <w:sz w:val="24"/>
                <w:u w:val="single"/>
              </w:rPr>
              <w:t xml:space="preserve"> metodou 2</w:t>
            </w:r>
          </w:p>
          <w:p w14:paraId="65CA133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 kategorií dodatečných úprav ocenění agregovaných metodou 2 podle čl. 9 odst. 6, čl. 10 odst. 7 a čl. 11 odst. 6 nařízení v přenesené pravomoci (EU) 2016/101 rozdíl mezi součtem jednotlivých dodatečných úprav ocenění a celkovou dodatečnou úpravou ocenění na úrovni kategorie po zohlednění agregace.</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1.1.2.2* Doplňková položka: AVA před diverzifikací snížené o více než 90 % diverzifikací podle metody 2</w:t>
            </w:r>
          </w:p>
          <w:p w14:paraId="11C46EE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V terminologii metody 2 součet FV–PV pro všechny oceňované expozice, u nichž je APVA </w:t>
            </w:r>
            <w:proofErr w:type="gramStart"/>
            <w:r>
              <w:rPr>
                <w:rFonts w:ascii="Times New Roman" w:hAnsi="Times New Roman"/>
                <w:sz w:val="24"/>
              </w:rPr>
              <w:t>&lt; 10</w:t>
            </w:r>
            <w:proofErr w:type="gramEnd"/>
            <w:r>
              <w:rPr>
                <w:rFonts w:ascii="Times New Roman" w:hAnsi="Times New Roman"/>
                <w:sz w:val="24"/>
              </w:rPr>
              <w:t> %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1FAEFC72" w14:textId="218BAB23"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 Portfolia podle záložního </w:t>
            </w:r>
            <w:r w:rsidR="009C5137">
              <w:rPr>
                <w:rFonts w:ascii="Times New Roman" w:hAnsi="Times New Roman"/>
                <w:b/>
                <w:caps/>
                <w:sz w:val="24"/>
                <w:u w:val="single"/>
              </w:rPr>
              <w:t>PŘÍSTUPU</w:t>
            </w:r>
          </w:p>
          <w:p w14:paraId="17176A9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Ustanovení čl. 7 odst. 2 písm. b) nařízení v přenesené pravomoci (EU) 2016/101.</w:t>
            </w:r>
          </w:p>
          <w:p w14:paraId="78621AFE" w14:textId="69CA6FFC"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U portfolií, na něž se vztahuje záložní </w:t>
            </w:r>
            <w:r w:rsidR="009C5137">
              <w:rPr>
                <w:rFonts w:ascii="Times New Roman" w:hAnsi="Times New Roman"/>
                <w:sz w:val="24"/>
              </w:rPr>
              <w:t>přístup</w:t>
            </w:r>
            <w:r>
              <w:rPr>
                <w:rFonts w:ascii="Times New Roman" w:hAnsi="Times New Roman"/>
                <w:sz w:val="24"/>
              </w:rPr>
              <w:t xml:space="preserve"> podle čl. 7 odst. 2 písm. b) nařízení v přenesené pravomoci (EU) 2016/101, se celková dodatečná úprava ocenění vypočte jako součet řádků 0190, 0200 a 0210. </w:t>
            </w:r>
          </w:p>
          <w:p w14:paraId="66B27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Relevantní informace z rozvahy a další kontextuální informace se uvádějí ve sloupcích 0130 až 0260. Popis pozic a odůvodnění, proč nebylo možné použít články 9 až 17 nařízení v přenesené pravomoci (EU) 2016/101, se uvedou ve sloupci 0270.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696330D7" w14:textId="65488359"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1.2.1 Záložní </w:t>
            </w:r>
            <w:r w:rsidR="009C5137">
              <w:rPr>
                <w:rFonts w:ascii="Times New Roman" w:hAnsi="Times New Roman"/>
                <w:b/>
                <w:caps/>
                <w:sz w:val="24"/>
                <w:u w:val="single"/>
              </w:rPr>
              <w:t>PŘÍSTUP</w:t>
            </w:r>
            <w:r>
              <w:rPr>
                <w:rFonts w:ascii="Times New Roman" w:hAnsi="Times New Roman"/>
                <w:b/>
                <w:caps/>
                <w:sz w:val="24"/>
                <w:u w:val="single"/>
              </w:rPr>
              <w:t>; 100 % nerealizovaného zisku</w:t>
            </w:r>
          </w:p>
          <w:p w14:paraId="1D558F8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Ustanovení čl. 7 odst. 2 písm. b) bodu i) nařízení v přenesené pravomoci (EU)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87" w:type="dxa"/>
          </w:tcPr>
          <w:p w14:paraId="7DC88A2D" w14:textId="216F5941"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1.2.2 Záložní </w:t>
            </w:r>
            <w:r w:rsidR="009C5137">
              <w:rPr>
                <w:rFonts w:ascii="Times New Roman" w:hAnsi="Times New Roman"/>
                <w:b/>
                <w:caps/>
                <w:sz w:val="24"/>
                <w:u w:val="single"/>
              </w:rPr>
              <w:t>PŘÍSTUP</w:t>
            </w:r>
            <w:r>
              <w:rPr>
                <w:rFonts w:ascii="Times New Roman" w:hAnsi="Times New Roman"/>
                <w:b/>
                <w:caps/>
                <w:sz w:val="24"/>
                <w:u w:val="single"/>
              </w:rPr>
              <w:t>; 10 % pomyslné hodnoty</w:t>
            </w:r>
          </w:p>
          <w:p w14:paraId="1169C8C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Ustanovení čl. 7 odst. 2 písm. b) bodu </w:t>
            </w:r>
            <w:proofErr w:type="spellStart"/>
            <w:r>
              <w:rPr>
                <w:rFonts w:ascii="Times New Roman" w:hAnsi="Times New Roman"/>
                <w:sz w:val="24"/>
              </w:rPr>
              <w:t>ii</w:t>
            </w:r>
            <w:proofErr w:type="spellEnd"/>
            <w:r>
              <w:rPr>
                <w:rFonts w:ascii="Times New Roman" w:hAnsi="Times New Roman"/>
                <w:sz w:val="24"/>
              </w:rPr>
              <w:t>) nařízení v přenesené pravomoci (EU)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5BF149DB" w14:textId="69232EE9" w:rsidR="001332E7" w:rsidRPr="002A677E" w:rsidRDefault="001332E7" w:rsidP="00B80002">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1.2.3 Záložní </w:t>
            </w:r>
            <w:r w:rsidR="009C5137">
              <w:rPr>
                <w:rFonts w:ascii="Times New Roman" w:hAnsi="Times New Roman"/>
                <w:b/>
                <w:caps/>
                <w:sz w:val="24"/>
                <w:u w:val="single"/>
              </w:rPr>
              <w:t>PŘÍSTUP</w:t>
            </w:r>
            <w:r>
              <w:rPr>
                <w:rFonts w:ascii="Times New Roman" w:hAnsi="Times New Roman"/>
                <w:b/>
                <w:caps/>
                <w:sz w:val="24"/>
                <w:u w:val="single"/>
              </w:rPr>
              <w:t>; 25 % počáteční hodnoty</w:t>
            </w:r>
          </w:p>
          <w:p w14:paraId="52AB4D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Ustanovení čl. 7 odst. 2 písm. b) bodu </w:t>
            </w:r>
            <w:proofErr w:type="spellStart"/>
            <w:r>
              <w:rPr>
                <w:rFonts w:ascii="Times New Roman" w:hAnsi="Times New Roman"/>
                <w:sz w:val="24"/>
              </w:rPr>
              <w:t>iii</w:t>
            </w:r>
            <w:proofErr w:type="spellEnd"/>
            <w:r>
              <w:rPr>
                <w:rFonts w:ascii="Times New Roman" w:hAnsi="Times New Roman"/>
                <w:sz w:val="24"/>
              </w:rPr>
              <w:t>) nařízení v přenesené pravomoci (EU)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rPr>
      </w:pPr>
      <w:bookmarkStart w:id="7" w:name="_Toc117766059"/>
      <w:r>
        <w:rPr>
          <w:rFonts w:ascii="Times New Roman" w:hAnsi="Times New Roman"/>
          <w:sz w:val="24"/>
          <w:u w:val="none"/>
        </w:rPr>
        <w:t xml:space="preserve">6.3 </w:t>
      </w:r>
      <w:r>
        <w:rPr>
          <w:rFonts w:ascii="Times New Roman" w:hAnsi="Times New Roman"/>
          <w:sz w:val="24"/>
        </w:rPr>
        <w:t>C 32.03 – Obezřetné oceňování AVA zohledňující riziko modelů (</w:t>
      </w:r>
      <w:proofErr w:type="spellStart"/>
      <w:r>
        <w:rPr>
          <w:rFonts w:ascii="Times New Roman" w:hAnsi="Times New Roman"/>
          <w:sz w:val="24"/>
        </w:rPr>
        <w:t>PruVal</w:t>
      </w:r>
      <w:proofErr w:type="spellEnd"/>
      <w:r>
        <w:rPr>
          <w:rFonts w:ascii="Times New Roman" w:hAnsi="Times New Roman"/>
          <w:sz w:val="24"/>
        </w:rPr>
        <w:t xml:space="preserve">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8" w:name="_Toc117766060"/>
      <w:r>
        <w:rPr>
          <w:rFonts w:ascii="Times New Roman" w:hAnsi="Times New Roman"/>
          <w:sz w:val="24"/>
          <w:u w:val="none"/>
        </w:rPr>
        <w:t>6.3.1</w:t>
      </w:r>
      <w:r>
        <w:tab/>
      </w:r>
      <w:r>
        <w:rPr>
          <w:rFonts w:ascii="Times New Roman" w:hAnsi="Times New Roman"/>
          <w:sz w:val="24"/>
        </w:rPr>
        <w:t>Obecné poznámky</w:t>
      </w:r>
      <w:bookmarkEnd w:id="8"/>
      <w:r>
        <w:rPr>
          <w:rFonts w:ascii="Times New Roman" w:hAnsi="Times New Roman"/>
          <w:sz w:val="24"/>
          <w:u w:val="none"/>
        </w:rPr>
        <w:t xml:space="preserve"> </w:t>
      </w:r>
    </w:p>
    <w:p w14:paraId="4A814A6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181</w:t>
      </w:r>
      <w:r>
        <w:fldChar w:fldCharType="end"/>
      </w:r>
      <w:r>
        <w:t>. Tuto šablonu vyplňují pouze instituce, které překračují prahovou hodnotu podle čl. 4 odst. 1 nařízení v přenesené pravomoci (EU) 2016/101. Instituce, které jsou součástí skupiny, která limit překračuje na konsolidovaném základě, jsou povinny tuto šablonu vykázat pouze v případě, že překračují limit i na své úrovni.</w:t>
      </w:r>
    </w:p>
    <w:p w14:paraId="5D109DAC"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182</w:t>
      </w:r>
      <w:r>
        <w:fldChar w:fldCharType="end"/>
      </w:r>
      <w:r>
        <w:t>. Tato šablona se použije k vykázání podrobných údajů o dvaceti nejvýznamnějších individuálních AVA zohledňujících rizika modelů v podobě objemu AVA, který přispívá k celkové AVA zohledňující riziko modelů na úrovni kategorie vypočtené podle článku 11 nařízení v přenesené pravomoci (EU) 2016/101. Tato informace odpovídá informaci vykázané ve sloupci 0050 šablony C 32.02.</w:t>
      </w:r>
    </w:p>
    <w:p w14:paraId="617DAF2B"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183</w:t>
      </w:r>
      <w:r>
        <w:fldChar w:fldCharType="end"/>
      </w:r>
      <w:r>
        <w:t xml:space="preserve">. Dvacet nejvýznamnějších individuálních AVA zohledňujících rizika modelů a odpovídající informace o produktech se vykazují v klesajícím pořadí počínaje nejvýznamnější individuální AVA zohledňující riziko modelů. </w:t>
      </w:r>
    </w:p>
    <w:p w14:paraId="2DB5DCBD"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184</w:t>
      </w:r>
      <w:r>
        <w:fldChar w:fldCharType="end"/>
      </w:r>
      <w:r>
        <w:t xml:space="preserve">. Produkty, které odpovídají těmto nejvýznamnějším individuálním AVA zohledňujícím rizika modelů, se vykazují za použití seznamu produktů vyžadovaného čl. 19 odst. 3 písm. a) nařízení v přenesené pravomoci (EU) 2016/101. </w:t>
      </w:r>
    </w:p>
    <w:p w14:paraId="34E20984"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185</w:t>
      </w:r>
      <w:r>
        <w:fldChar w:fldCharType="end"/>
      </w:r>
      <w:r>
        <w:t xml:space="preserve">. Jsou-li produkty dostatečně homogenní z hlediska modelu oceňování a AVA zohledňující riziko modelů, sloučí se a </w:t>
      </w:r>
      <w:proofErr w:type="gramStart"/>
      <w:r>
        <w:t>vykáží</w:t>
      </w:r>
      <w:proofErr w:type="gramEnd"/>
      <w:r>
        <w:t xml:space="preserve"> na jednom řádku, aby tato šablona zajistila co nejvyšší pokrytí celkové AVA zohledňující riziko modelů na úrovni kategorie dané instituce.</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rPr>
      </w:pPr>
      <w:bookmarkStart w:id="9" w:name="_Toc117766061"/>
      <w:r>
        <w:rPr>
          <w:rFonts w:ascii="Times New Roman" w:hAnsi="Times New Roman"/>
          <w:sz w:val="24"/>
          <w:u w:val="none"/>
        </w:rPr>
        <w:t>6.3.2</w:t>
      </w:r>
      <w:r>
        <w:tab/>
      </w:r>
      <w:r>
        <w:rPr>
          <w:rFonts w:ascii="Times New Roman" w:hAnsi="Times New Roman"/>
          <w:sz w:val="24"/>
        </w:rPr>
        <w:t>Pokyny pro konkrétní pozice</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Sloupce</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POŘADÍ</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lastRenderedPageBreak/>
              <w:t>Pořadí je identifikátorem řádku a je pro každý řádek šablony jedinečné. Pořadí má číselnou podobu 1, 2, 3 atd., přičemž číslo 1 je přiřazeno nejvýznamnější individuální ACA zohledňující riziko modelů, číslo 2 druhé nejvýznamnější atd.</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Interní (alfanumerický) název modelu, který instituce používá k identifikaci modelu.</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KATEGORIE RIZIKA</w:t>
            </w:r>
          </w:p>
          <w:p w14:paraId="016E728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Kategorie rizika (úrokové, měnové, úvěrové, akciové, komoditní), která nejlépe charakterizuje produkt nebo skupinu produktů vyvolávajících AVA zohledňující riziko modelů.</w:t>
            </w:r>
          </w:p>
          <w:p w14:paraId="052C4AA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Instituce vykazují tyto kódy:</w:t>
            </w:r>
          </w:p>
          <w:p w14:paraId="0F38EFE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úroky</w:t>
            </w:r>
          </w:p>
          <w:p w14:paraId="1658C40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cizí měna</w:t>
            </w:r>
          </w:p>
          <w:p w14:paraId="6664F6D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úvěr</w:t>
            </w:r>
          </w:p>
          <w:p w14:paraId="4A5EB89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akcie</w:t>
            </w:r>
          </w:p>
          <w:p w14:paraId="2EDCF33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komodity</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PRODUKT</w:t>
            </w:r>
          </w:p>
          <w:p w14:paraId="5C86584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Interní (alfanumerický) název produktu nebo skupiny produktů v souladu se seznamem produktů vyžadovaným podle čl. 19 odst. 3 písm. a) nařízení v přenesené pravomoci (EU) 2016/101, pro jejichž oceňování se používá daný model.</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POZOROVATELNOST</w:t>
            </w:r>
          </w:p>
          <w:p w14:paraId="428C9CB5" w14:textId="77777777" w:rsidR="001332E7" w:rsidRPr="002A677E" w:rsidRDefault="001332E7" w:rsidP="00B80002">
            <w:pPr>
              <w:pStyle w:val="CommentText"/>
              <w:rPr>
                <w:rFonts w:ascii="Times New Roman" w:hAnsi="Times New Roman"/>
                <w:sz w:val="24"/>
                <w:szCs w:val="24"/>
              </w:rPr>
            </w:pPr>
            <w:r>
              <w:rPr>
                <w:rFonts w:ascii="Times New Roman" w:hAnsi="Times New Roman"/>
                <w:sz w:val="24"/>
              </w:rPr>
              <w:t>Počet pozorovaných cen produktu nebo skupiny produktů v posledních dvanácti měsících, které splňují některé z následujících kritérií:</w:t>
            </w:r>
          </w:p>
          <w:p w14:paraId="276496C2"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pozorovaná cena je cena, za niž instituce provedla transakci,</w:t>
            </w:r>
          </w:p>
          <w:p w14:paraId="58F8637F"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je to ověřitelná cena pro skutečnou transakci mezi třetími stranami,</w:t>
            </w:r>
          </w:p>
          <w:p w14:paraId="4C0DE2DE" w14:textId="77777777" w:rsidR="001332E7" w:rsidRPr="002A677E" w:rsidRDefault="001332E7" w:rsidP="00ED0382">
            <w:pPr>
              <w:pStyle w:val="CommentText"/>
              <w:numPr>
                <w:ilvl w:val="0"/>
                <w:numId w:val="29"/>
              </w:numPr>
              <w:rPr>
                <w:rFonts w:ascii="Times New Roman" w:hAnsi="Times New Roman"/>
                <w:sz w:val="24"/>
                <w:szCs w:val="24"/>
              </w:rPr>
            </w:pPr>
            <w:r>
              <w:rPr>
                <w:rFonts w:ascii="Times New Roman" w:hAnsi="Times New Roman"/>
                <w:sz w:val="24"/>
              </w:rPr>
              <w:t>cena se získá z pevné nabídky.</w:t>
            </w:r>
          </w:p>
          <w:p w14:paraId="4BC52F6C" w14:textId="77777777" w:rsidR="001332E7" w:rsidRPr="002A677E" w:rsidRDefault="001332E7" w:rsidP="00B80002">
            <w:pPr>
              <w:pStyle w:val="CommentText"/>
              <w:rPr>
                <w:rStyle w:val="InstructionsTabelleberschrift"/>
                <w:rFonts w:ascii="Times New Roman" w:hAnsi="Times New Roman"/>
                <w:b w:val="0"/>
                <w:sz w:val="24"/>
                <w:szCs w:val="24"/>
              </w:rPr>
            </w:pPr>
            <w:r>
              <w:rPr>
                <w:rFonts w:ascii="Times New Roman" w:hAnsi="Times New Roman"/>
                <w:sz w:val="24"/>
              </w:rPr>
              <w:t>Instituce vykazují jednu z těchto hodnot: „žádná“,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ZOHLEDŇUJÍCÍ RIZIKO MODELŮ</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Čl. 11 odst. 1</w:t>
            </w:r>
            <w:r>
              <w:rPr>
                <w:rFonts w:ascii="Times New Roman" w:hAnsi="Times New Roman"/>
                <w:sz w:val="24"/>
              </w:rPr>
              <w:t xml:space="preserve"> nařízení v přenesené pravomoci (EU) 2016/101.</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Individuální AVA zohledňující riziko modelů před výhodou diverzifikace, ale po započtení portfolia v příslušných případech.</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NA ZÁKLADĚ ODBORNÉHO ÚSUDKU</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Hodnoty ve sloupci 0050, které byly vypočteny na základě odborného úsudku podle čl. 11 odst. 4 nařízení v přenesené pravomoci (EU)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AGREGOVANÉ METODOU 2</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Hodnoty ve sloupci 0050, které byly agregovány podle metody 2 uvedené v příloze nařízení v přenesené pravomoci (EU) 2016/101. Tyto hodnoty odpovídají FV – PV v terminologii uvedené přílohy.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AGREGOVANÁ AVA VYPOČÍTANÁ METODOU 2</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Příspěvek k celkové AVA zohledňující riziko modelů na úrovni kategorie, který byl vypočítaný podle čl. 11 odst. 7</w:t>
            </w:r>
            <w:r>
              <w:rPr>
                <w:rFonts w:ascii="Times New Roman" w:hAnsi="Times New Roman"/>
                <w:sz w:val="24"/>
              </w:rPr>
              <w:t xml:space="preserve"> nařízení v přenesené pravomoci (EU) 2016/101, </w:t>
            </w:r>
            <w:r>
              <w:rPr>
                <w:rStyle w:val="InstructionsTabelleberschrift"/>
                <w:rFonts w:ascii="Times New Roman" w:hAnsi="Times New Roman"/>
                <w:b w:val="0"/>
                <w:sz w:val="24"/>
                <w:u w:val="none"/>
              </w:rPr>
              <w:t>k individuálním AVA zohledňujícím rizika modelů, které jsou agregovány metodou 2 stanovenou v příloze</w:t>
            </w:r>
            <w:r>
              <w:rPr>
                <w:rFonts w:ascii="Times New Roman" w:hAnsi="Times New Roman"/>
                <w:sz w:val="24"/>
              </w:rPr>
              <w:t xml:space="preserve"> uvedeného nařízení (EU)</w:t>
            </w:r>
            <w:r>
              <w:rPr>
                <w:rStyle w:val="InstructionsTabelleberschrift"/>
                <w:rFonts w:ascii="Times New Roman" w:hAnsi="Times New Roman"/>
                <w:b w:val="0"/>
                <w:sz w:val="24"/>
                <w:u w:val="none"/>
              </w:rPr>
              <w:t xml:space="preserve">. </w:t>
            </w:r>
            <w:r>
              <w:rPr>
                <w:rFonts w:ascii="Times New Roman" w:hAnsi="Times New Roman"/>
                <w:sz w:val="24"/>
              </w:rPr>
              <w:t>Uvedená hodnota odpovídá APVA v terminologii přílohy.</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proofErr w:type="gramStart"/>
            <w:r>
              <w:rPr>
                <w:rFonts w:ascii="Times New Roman" w:hAnsi="Times New Roman"/>
                <w:sz w:val="24"/>
              </w:rPr>
              <w:t>0090 – 0100</w:t>
            </w:r>
            <w:proofErr w:type="gramEnd"/>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A ZÁVAZKY OCEŇOVANÉ REÁLNOU HODNOTOU</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Absolutní hodnota aktiv a závazků oceňovaných reálnou hodnotou za použití modelu uvedeného ve sloupci 0010, jak je vykázána v účetní závěrce v souladu s použitelným účetním rámcem.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OCEŇOVANÁ REÁLNOU HODNOTOU</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Absolutní hodnota aktiv oceňovaných reálnou hodnotou za použití modelu uvedeného ve sloupci 0010, jak je vykázána v účetní závěrce v souladu s použitelným účetním rámcem</w:t>
            </w:r>
            <w:r>
              <w:rPr>
                <w:rStyle w:val="InstructionsTabelleberschrift"/>
                <w:rFonts w:ascii="Times New Roman" w:hAnsi="Times New Roman"/>
                <w:b w:val="0"/>
                <w:sz w:val="24"/>
                <w:u w:val="none"/>
              </w:rPr>
              <w:t>.</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ZÁVAZKY OCEŇOVANÉ REÁLNOU HODNOTOU</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Absolutní hodnota závazků oceňovaných reálnou hodnotou za použití modelu uvedeného ve sloupci 0010, jak je vykázána v účetní závěrce v souladu s použitelným účetním rámcem.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 (TESTOVÁNÍ VÝSTUPNÍCH ÚDAJŮ)</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Součet neupravených hodnot rozdílů („rozdíly z nezávislého ověřování cen“) vypočítaných na konci měsíce nejbližšího k datu vykazování postupem nezávislého ověřování cen provedeným podle čl. 105 odst. 8 </w:t>
            </w:r>
            <w:r>
              <w:rPr>
                <w:rFonts w:ascii="Times New Roman" w:hAnsi="Times New Roman"/>
                <w:sz w:val="24"/>
              </w:rPr>
              <w:t>nařízení (EU) č. 575/2013</w:t>
            </w:r>
            <w:r>
              <w:rPr>
                <w:rStyle w:val="InstructionsTabelleberschrift"/>
                <w:rFonts w:ascii="Times New Roman" w:hAnsi="Times New Roman"/>
                <w:b w:val="0"/>
                <w:sz w:val="24"/>
                <w:u w:val="none"/>
              </w:rPr>
              <w:t xml:space="preserve"> s ohledem na nejkvalitnější nezávislé údaje pro odpovídající produkt nebo skupinu produktů.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Neupravené hodnoty rozdílů se vztahují k neupraveným rozdílům mezi oceněním získaným ze systému obchodování a oceněním vyhodnoceným v rámci měsíčního postupu nezávislého ověřování cen.</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Zahrnou se sem pouze výsledky, které byly kalibrovány z cen nástrojů, které by byly vztaženy k témuž produktu (testování výstupů). Do výpočtu se nezahrnou výsledky testů vstupních údajů, v nichž jsou vstupní údaje z trhu testovány oproti úrovním, které byly kalibrovány z různých produktů.</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POKRYTÍ NEZÁVISLÉHO OVĚŘOVÁNÍ CEN (TESTOVÁNÍ VÝSTUPNÍCH ÚDAJŮ)</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Procento pozic vztažených k modelu vážených AVA zohledňující riziko modelů, které je pokryto výsledky testování výstupních údajů pro nezávislé ověřování cen podle sloupce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ÚPRAVY REÁLNÉ HODNOTY</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Úpravy reálné hodnoty uvedené ve sloupcích 0190 a 0240 šablony C 32.02, které byly použity na pozice vztahující se k</w:t>
            </w:r>
            <w:r>
              <w:rPr>
                <w:rFonts w:ascii="Times New Roman" w:hAnsi="Times New Roman"/>
                <w:sz w:val="24"/>
              </w:rPr>
              <w:t xml:space="preserve"> modelu ve sloupci 0010</w:t>
            </w:r>
            <w:r>
              <w:rPr>
                <w:rStyle w:val="InstructionsTabelleberschrift"/>
                <w:rFonts w:ascii="Times New Roman" w:hAnsi="Times New Roman"/>
                <w:b w:val="0"/>
                <w:sz w:val="24"/>
                <w:u w:val="none"/>
              </w:rPr>
              <w:t>.</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ZISKY A ZTRÁTY PRVNÍHO DNE</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Úpravy vymezené ve sloupci 0260 šablony C 32.02, které byly použity na pozice vztahující se k</w:t>
            </w:r>
            <w:r>
              <w:rPr>
                <w:rFonts w:ascii="Times New Roman" w:hAnsi="Times New Roman"/>
                <w:sz w:val="24"/>
              </w:rPr>
              <w:t xml:space="preserve"> modelu ve sloupci 0010</w:t>
            </w:r>
            <w:r>
              <w:rPr>
                <w:rStyle w:val="InstructionsTabelleberschrift"/>
                <w:rFonts w:ascii="Times New Roman" w:hAnsi="Times New Roman"/>
                <w:sz w:val="24"/>
                <w:u w:val="none"/>
              </w:rPr>
              <w:t>.</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Pr>
          <w:rFonts w:ascii="Times New Roman" w:hAnsi="Times New Roman"/>
          <w:sz w:val="24"/>
          <w:u w:val="none"/>
        </w:rPr>
        <w:t xml:space="preserve">6.4 </w:t>
      </w:r>
      <w:r>
        <w:rPr>
          <w:rFonts w:ascii="Times New Roman" w:hAnsi="Times New Roman"/>
          <w:sz w:val="24"/>
        </w:rPr>
        <w:t>C 32.04 - Obezřetné oceňování: AVA zohledňující koncentrované pozice (</w:t>
      </w:r>
      <w:proofErr w:type="spellStart"/>
      <w:r>
        <w:rPr>
          <w:rFonts w:ascii="Times New Roman" w:hAnsi="Times New Roman"/>
          <w:sz w:val="24"/>
        </w:rPr>
        <w:t>PruVal</w:t>
      </w:r>
      <w:proofErr w:type="spellEnd"/>
      <w:r>
        <w:rPr>
          <w:rFonts w:ascii="Times New Roman" w:hAnsi="Times New Roman"/>
          <w:sz w:val="24"/>
        </w:rPr>
        <w:t xml:space="preserve">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1" w:name="_Toc117766063"/>
      <w:r>
        <w:rPr>
          <w:rFonts w:ascii="Times New Roman" w:hAnsi="Times New Roman"/>
          <w:sz w:val="24"/>
          <w:u w:val="none"/>
        </w:rPr>
        <w:t>6.4.1</w:t>
      </w:r>
      <w:r>
        <w:tab/>
      </w:r>
      <w:r>
        <w:rPr>
          <w:rFonts w:ascii="Times New Roman" w:hAnsi="Times New Roman"/>
          <w:sz w:val="24"/>
        </w:rPr>
        <w:t>Obecné poznámky</w:t>
      </w:r>
      <w:bookmarkEnd w:id="11"/>
      <w:r>
        <w:rPr>
          <w:rFonts w:ascii="Times New Roman" w:hAnsi="Times New Roman"/>
          <w:sz w:val="24"/>
          <w:u w:val="none"/>
        </w:rPr>
        <w:t xml:space="preserve"> </w:t>
      </w:r>
    </w:p>
    <w:p w14:paraId="6D7DC64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186</w:t>
      </w:r>
      <w:r>
        <w:fldChar w:fldCharType="end"/>
      </w:r>
      <w:r>
        <w:t>. Tuto šablonu vyplňují pouze instituce, které překračují prahovou hodnotu podle čl. 4 odst. 1 nařízení v přenesené pravomoci (EU) 2016/101. Instituce, které jsou součástí skupiny, která prahovou hodnotu překračuje na konsolidovaném základě, vykazují tuto šablonu pouze v případě, že ji překračují i na své úrovni.</w:t>
      </w:r>
    </w:p>
    <w:p w14:paraId="0D2CFCEC"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187</w:t>
      </w:r>
      <w:r>
        <w:fldChar w:fldCharType="end"/>
      </w:r>
      <w:r>
        <w:t xml:space="preserve">. Tato šablona se použije k vykázání podrobných údajů o dvaceti nejvýznamnějších individuálních AVA zohledňujících koncentrované pozice v podobě objemu AVA, který přispívá k celkové AVA zohledňující koncentrované pozice na úrovni kategorie vypočtené podle článku 14 nařízení v přenesené pravomoci (EU) 2016/101. Tyto údaje odpovídají údajům vykázaným ve sloupci 0070 šablony C 32.02. </w:t>
      </w:r>
    </w:p>
    <w:p w14:paraId="11EF9CEA"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188</w:t>
      </w:r>
      <w:r>
        <w:fldChar w:fldCharType="end"/>
      </w:r>
      <w:r>
        <w:t>. Dvacet nejvýznamnějších individuálních AVA zohledňujících koncentrované pozice a odpovídající informace o produktech se vykazují v klesajícím pořadí počínaje nejvýznamnější individuální AVA zohledňující koncentrované pozice.</w:t>
      </w:r>
    </w:p>
    <w:p w14:paraId="306372CF"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189</w:t>
      </w:r>
      <w:r>
        <w:fldChar w:fldCharType="end"/>
      </w:r>
      <w:r>
        <w:t>. Produkty, které odpovídají těmto nejvýznamnějším individuálním AVA zohledňujícím koncentrované pozice, se vykazují za použití seznamu produktů vyžadovaného čl. 19 odst. 3 písm. a) nařízení v přenesené pravomoci (EU) 2016/101.</w:t>
      </w:r>
    </w:p>
    <w:p w14:paraId="723832B5" w14:textId="77777777" w:rsidR="001332E7" w:rsidRPr="002A677E" w:rsidRDefault="001332E7" w:rsidP="001332E7">
      <w:pPr>
        <w:pStyle w:val="InstructionsText2"/>
        <w:numPr>
          <w:ilvl w:val="0"/>
          <w:numId w:val="0"/>
        </w:numPr>
        <w:ind w:left="1353" w:hanging="360"/>
      </w:pPr>
      <w:r>
        <w:fldChar w:fldCharType="begin"/>
      </w:r>
      <w:r>
        <w:instrText xml:space="preserve"> seq paragraphs </w:instrText>
      </w:r>
      <w:r>
        <w:fldChar w:fldCharType="separate"/>
      </w:r>
      <w:r>
        <w:t>190</w:t>
      </w:r>
      <w:r>
        <w:fldChar w:fldCharType="end"/>
      </w:r>
      <w:r>
        <w:t>. Pozice, které jsou homogenní z hlediska metodiky výpočtu AVA, se, je-li to možné, agregují, aby se pokrytí touto šablonou zvýšilo na maximum.</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rPr>
      </w:pPr>
      <w:bookmarkStart w:id="12" w:name="_Toc117766064"/>
      <w:r>
        <w:rPr>
          <w:rFonts w:ascii="Times New Roman" w:hAnsi="Times New Roman"/>
          <w:sz w:val="24"/>
          <w:u w:val="none"/>
        </w:rPr>
        <w:t>6.4.2</w:t>
      </w:r>
      <w:r>
        <w:tab/>
      </w:r>
      <w:r>
        <w:rPr>
          <w:rFonts w:ascii="Times New Roman" w:hAnsi="Times New Roman"/>
          <w:sz w:val="24"/>
        </w:rPr>
        <w:t>Pokyny pro konkrétní pozice</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Pr>
                <w:rFonts w:ascii="Times New Roman" w:hAnsi="Times New Roman"/>
                <w:b/>
                <w:sz w:val="24"/>
              </w:rPr>
              <w:t>Sloupce</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POŘADÍ</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Pr>
                <w:rFonts w:ascii="Times New Roman" w:hAnsi="Times New Roman"/>
                <w:sz w:val="24"/>
              </w:rPr>
              <w:t>Pořadí je identifikátorem řádku a je pro každý řádek šablony jedinečné. Pořadí má číselnou podobu 1, 2, 3 atd., přičemž číslo 1 je přiřazeno nejvýznamnější individuální AVA zohledňující koncentrované pozice, číslo 2 druhé nejvýznamnější atd.</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KATEGORIE RIZIKA</w:t>
            </w:r>
          </w:p>
          <w:p w14:paraId="5047CF0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Kategorie rizika (úrokové, měnové, úvěrové, akciové, komoditní), které nejlépe charakterizuje pozici.</w:t>
            </w:r>
          </w:p>
          <w:p w14:paraId="6DDE3D0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Instituce vykazují tyto kódy:</w:t>
            </w:r>
          </w:p>
          <w:p w14:paraId="01D8D8B8"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IR – úroky</w:t>
            </w:r>
          </w:p>
          <w:p w14:paraId="76FEB8EC"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FX – cizí měna</w:t>
            </w:r>
          </w:p>
          <w:p w14:paraId="25092AC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CR – úvěr</w:t>
            </w:r>
          </w:p>
          <w:p w14:paraId="6BBAD43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EQ – akcie</w:t>
            </w:r>
          </w:p>
          <w:p w14:paraId="796BCCC4"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CO – komodity</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14:paraId="71775EB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Interní název produktu nebo skupiny produktů v souladu se seznamem produktů vyžadovaným podle čl. 19 odst. 3 písm. a) nařízení v přenesené pravomoci (EU)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PODKLADOVÝ NÁSTROJ</w:t>
            </w:r>
          </w:p>
          <w:p w14:paraId="30C12F1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 xml:space="preserve">Interní název podkladového nástroje nebo podkladových nástrojů v případě derivátů nebo nástrojů v případě </w:t>
            </w:r>
            <w:proofErr w:type="spellStart"/>
            <w:r>
              <w:rPr>
                <w:rFonts w:ascii="Times New Roman" w:hAnsi="Times New Roman"/>
                <w:sz w:val="24"/>
              </w:rPr>
              <w:t>nederivátů</w:t>
            </w:r>
            <w:proofErr w:type="spellEnd"/>
            <w:r>
              <w:rPr>
                <w:rFonts w:ascii="Times New Roman" w:hAnsi="Times New Roman"/>
                <w:sz w:val="24"/>
              </w:rPr>
              <w:t>.</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VELIKOST KONCENTROVANÉ POZICE</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Velikost individuální koncentrované oceňované pozice podle čl. 14 odst. 1 písm. a) nařízení v přenesené pravomoci (EU) 2016/101 vyjádřená v jednotkách popsaných ve sloupci 0050.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JEDNOTKA PRO MĚŘENÍ VELIKOSTI</w:t>
            </w:r>
          </w:p>
          <w:p w14:paraId="28CECA6A" w14:textId="77777777" w:rsidR="001332E7" w:rsidRPr="001332E7" w:rsidRDefault="001332E7" w:rsidP="00B80002">
            <w:pPr>
              <w:spacing w:beforeLines="60" w:before="144" w:afterLines="60" w:after="144"/>
              <w:rPr>
                <w:rFonts w:ascii="Times New Roman" w:hAnsi="Times New Roman"/>
                <w:sz w:val="24"/>
              </w:rPr>
            </w:pPr>
            <w:r>
              <w:rPr>
                <w:rFonts w:ascii="Times New Roman" w:hAnsi="Times New Roman"/>
                <w:sz w:val="24"/>
              </w:rPr>
              <w:t xml:space="preserve">Jednotka pro měření velikosti, která se používá interně v rámci identifikace ověřované koncentrované pozice pro výpočet koncentrované pozice uvedené ve sloupci 0040. </w:t>
            </w:r>
          </w:p>
          <w:p w14:paraId="203801F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 případě pozic v dluhopisech nebo akciích vykažte prosím jednotky používané</w:t>
            </w:r>
            <w:r>
              <w:rPr>
                <w:rFonts w:ascii="Times New Roman" w:hAnsi="Times New Roman"/>
                <w:sz w:val="24"/>
              </w:rPr>
              <w:t xml:space="preserve"> pro ‚interní řízení rizik, </w:t>
            </w:r>
            <w:r>
              <w:rPr>
                <w:rStyle w:val="InstructionsTabelleberschrift"/>
                <w:rFonts w:ascii="Times New Roman" w:hAnsi="Times New Roman"/>
                <w:b w:val="0"/>
                <w:sz w:val="24"/>
                <w:u w:val="none"/>
              </w:rPr>
              <w:t xml:space="preserve">například „počet dluhopisů“, „počet akcií“ nebo „tržní hodnota“. </w:t>
            </w:r>
          </w:p>
          <w:p w14:paraId="1FAF9F05"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Pr>
                <w:rFonts w:ascii="Times New Roman" w:hAnsi="Times New Roman"/>
                <w:sz w:val="24"/>
              </w:rPr>
              <w:t xml:space="preserve">V případě pozic v derivátech vykažte jednotky používané pro interní řízení rizik, například „PV01: EUR na jeden základní bod paralelního posunu výnosové křivky“.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TRŽNÍ HODNOTA</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Tržní hodnota pozice.</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OBEZŘETNÉ OBDOBÍ PRO UZAVŘENÍ POZICE</w:t>
            </w:r>
          </w:p>
          <w:p w14:paraId="336CAC47"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Obezřetné období pro uzavření pozice v počtu dní odhadnuté v souladu s čl. 14 odst. 1 písm. b)</w:t>
            </w:r>
            <w:r>
              <w:rPr>
                <w:rFonts w:ascii="Times New Roman" w:hAnsi="Times New Roman"/>
                <w:sz w:val="24"/>
              </w:rPr>
              <w:t xml:space="preserve"> </w:t>
            </w:r>
            <w:r>
              <w:rPr>
                <w:rStyle w:val="InstructionsTabelleberschrift"/>
                <w:rFonts w:ascii="Times New Roman" w:hAnsi="Times New Roman"/>
                <w:b w:val="0"/>
                <w:sz w:val="24"/>
                <w:u w:val="none"/>
              </w:rPr>
              <w:t>nařízení</w:t>
            </w:r>
            <w:r>
              <w:rPr>
                <w:rFonts w:ascii="Times New Roman" w:hAnsi="Times New Roman"/>
                <w:sz w:val="24"/>
              </w:rPr>
              <w:t xml:space="preserve"> v přenesené pravomoci (EU) 2016/101</w:t>
            </w:r>
            <w:r>
              <w:rPr>
                <w:rStyle w:val="InstructionsTabelleberschrift"/>
                <w:rFonts w:ascii="Times New Roman" w:hAnsi="Times New Roman"/>
                <w:b w:val="0"/>
                <w:sz w:val="24"/>
                <w:u w:val="none"/>
              </w:rPr>
              <w:t>.</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ZOHLEDŇUJÍCÍ KONCENTROVANÉ POZICE</w:t>
            </w:r>
          </w:p>
          <w:p w14:paraId="29C06589"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Objem AVA zohledňující koncentrované pozice vypočtený podle čl. 14 odst. 1</w:t>
            </w:r>
            <w:r>
              <w:rPr>
                <w:rFonts w:ascii="Times New Roman" w:hAnsi="Times New Roman"/>
                <w:sz w:val="24"/>
              </w:rPr>
              <w:t xml:space="preserve"> nařízení v přenesené pravomoci (EU) 2016/101</w:t>
            </w:r>
            <w:r>
              <w:rPr>
                <w:rStyle w:val="InstructionsTabelleberschrift"/>
                <w:rFonts w:ascii="Times New Roman" w:hAnsi="Times New Roman"/>
                <w:b w:val="0"/>
                <w:sz w:val="24"/>
                <w:u w:val="none"/>
              </w:rPr>
              <w:t xml:space="preserve"> pro dané individuální koncentrované oceňované pozice.</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ÚPRAVA REÁLNÉ HODNOTY KONCENTROVANÉ POZICE</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Hodnota veškerých úprav reálné hodnoty uplatněných pro zohlednění skutečnosti, že agregovaná pozice držená institucí je větší než běžně obchodovaný objem nebo větší než velikosti pozic, na nichž se zakládají nabídky cen nebo transakce, které se používají ke kalibraci cen nebo vstupních údajů používaných v modelech hodnocení.</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Vykázaná hodnota odpovídá hodnotě, která byla použita na příslušnou individuální koncentrovanou oceňovanou pozici.</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Součet neupravených hodnot rozdílů („rozdíly z nezávislého ověřování cen“) vypočítaných na konci měsíce nejbližšího k datu vykazování postupem nezávislého ověřování cen provedeným podle čl. 105 odst. 8 </w:t>
            </w:r>
            <w:r>
              <w:rPr>
                <w:rFonts w:ascii="Times New Roman" w:hAnsi="Times New Roman"/>
                <w:sz w:val="24"/>
              </w:rPr>
              <w:t xml:space="preserve">nařízení (EU) č. 575/2013 </w:t>
            </w:r>
            <w:r>
              <w:rPr>
                <w:rStyle w:val="InstructionsTabelleberschrift"/>
                <w:rFonts w:ascii="Times New Roman" w:hAnsi="Times New Roman"/>
                <w:b w:val="0"/>
                <w:sz w:val="24"/>
                <w:u w:val="none"/>
              </w:rPr>
              <w:t xml:space="preserve">s ohledem na nejkvalitnější nezávislé údaje pro příslušnou individuální koncentrovanou oceňovanou pozici.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Neupravené hodnoty rozdílů se vztahují k neupraveným rozdílům mezi oceněním získaným ze systému obchodování a oceněním vyhodnoceným v rámci měsíčního postupu nezávislého ověřování cen.</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Nařízení Komise v přenesené pravomoci (EU) 2016/101 ze dne 26. října 2015, kterým se doplňuje nařízení Evropského parlamentu a Rady (EU) č. 575/2013, pokud jde o regulační technické normy ohledně obezřetného oceňování podle čl. 105 odst. 14 (Úř. věst. L 21, 28.1.2016, s.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Pr>
          <w:rStyle w:val="FootnoteReference"/>
          <w:sz w:val="20"/>
          <w:szCs w:val="20"/>
        </w:rPr>
        <w:footnoteRef/>
      </w:r>
      <w:r>
        <w:rPr>
          <w:sz w:val="20"/>
        </w:rPr>
        <w:t xml:space="preserve"> </w:t>
      </w:r>
      <w:r>
        <w:tab/>
      </w:r>
      <w:r>
        <w:rPr>
          <w:sz w:val="20"/>
        </w:rPr>
        <w:t>Nařízení Evropského parlamentu a Rady (ES) č. 1606/2002 ze dne 19. července 2002 o uplatňování mezinárodních účetních standardů (</w:t>
      </w:r>
      <w:r>
        <w:rPr>
          <w:rStyle w:val="Emphasis"/>
          <w:sz w:val="20"/>
        </w:rPr>
        <w:t>Úř. věst. L 243, 11.9.2002, s.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Směrnice Evropského parlamentu a Rady 2013/34/EU o ročních účetních závěrkách, konsolidovaných účetních závěrkách a souvisejících zprávách některých forem podniků, o změně směrnice Evropského parlamentu a Rady 2006/43/ES a o zrušení směrnic Rady 78/660/EHS a 83/349/EHS (Úř. věst. L 182, 29.6.2013, s.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E866" w14:textId="69896133" w:rsidR="00897334" w:rsidRDefault="00897334">
    <w:pPr>
      <w:pStyle w:val="Header"/>
    </w:pPr>
    <w:r>
      <w:rPr>
        <w:noProof/>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EEC0" w14:textId="28A18C43" w:rsidR="00897334" w:rsidRDefault="00897334">
    <w:pPr>
      <w:pStyle w:val="Header"/>
    </w:pPr>
    <w:r>
      <w:rPr>
        <w:noProof/>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03FC" w14:textId="3C9FE412" w:rsidR="00897334" w:rsidRDefault="00897334">
    <w:pPr>
      <w:pStyle w:val="Header"/>
    </w:pPr>
    <w:r>
      <w:rPr>
        <w:noProof/>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337A8A"/>
    <w:rsid w:val="00562A06"/>
    <w:rsid w:val="006178F7"/>
    <w:rsid w:val="00631623"/>
    <w:rsid w:val="006D130F"/>
    <w:rsid w:val="00897334"/>
    <w:rsid w:val="00992E36"/>
    <w:rsid w:val="009C5137"/>
    <w:rsid w:val="00A6002C"/>
    <w:rsid w:val="00AB40DB"/>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cs-CZ"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cs-CZ"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cs-CZ"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cs-CZ"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cs-CZ"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cs-CZ"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cs-CZ"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cs-CZ"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cs-CZ"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cs-CZ"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97334"/>
    <w:pPr>
      <w:numPr>
        <w:numId w:val="22"/>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cs-CZ"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0E62E559-46BA-414C-8C38-469C757F95AB}"/>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Normal.dotm</Template>
  <TotalTime>41</TotalTime>
  <Pages>22</Pages>
  <Words>6894</Words>
  <Characters>39158</Characters>
  <Application>Microsoft Office Word</Application>
  <DocSecurity>0</DocSecurity>
  <Lines>932</Lines>
  <Paragraphs>554</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YAGHMOUROVA Zita (DGT)</cp:lastModifiedBy>
  <cp:revision>11</cp:revision>
  <dcterms:created xsi:type="dcterms:W3CDTF">2024-05-28T10:37:00Z</dcterms:created>
  <dcterms:modified xsi:type="dcterms:W3CDTF">2024-12-09T13:40:00Z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2024-10-11T09:53:19Z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d5b9fc7b-c50f-49b9-8172-d64ed6ceaaac</vt:lpwstr>
  </property>
  <property fmtid="{D5CDD505-2E9C-101B-9397-08002B2CF9AE}" pid="12" name="MSIP_Label_6bd9ddd1-4d20-43f6-abfa-fc3c07406f94_ContentBits">
    <vt:lpwstr>0</vt:lpwstr>
  </property>
</Properties>
</file>