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B806" w14:textId="07000D86" w:rsidR="009E7D0C" w:rsidRPr="00824EA2" w:rsidRDefault="009E7D0C" w:rsidP="00A33695">
      <w:pPr>
        <w:jc w:val="center"/>
        <w:rPr>
          <w:rFonts w:ascii="Times New Roman" w:hAnsi="Times New Roman"/>
          <w:sz w:val="24"/>
        </w:rPr>
      </w:pPr>
      <w:bookmarkStart w:id="0" w:name="_Toc262568021"/>
      <w:bookmarkStart w:id="1" w:name="_Toc295829847"/>
      <w:r w:rsidRPr="00824EA2">
        <w:rPr>
          <w:rFonts w:ascii="Times New Roman" w:hAnsi="Times New Roman"/>
          <w:sz w:val="24"/>
        </w:rPr>
        <w:t>BG</w:t>
      </w:r>
    </w:p>
    <w:p w14:paraId="2704A83C" w14:textId="77777777" w:rsidR="009E7D0C" w:rsidRPr="00824EA2" w:rsidRDefault="009E7D0C" w:rsidP="00A33695">
      <w:pPr>
        <w:jc w:val="center"/>
        <w:rPr>
          <w:rFonts w:ascii="Times New Roman" w:hAnsi="Times New Roman"/>
          <w:sz w:val="24"/>
        </w:rPr>
      </w:pPr>
    </w:p>
    <w:p w14:paraId="24333E7A" w14:textId="5D6FD9D5" w:rsidR="008D696E" w:rsidRPr="00824EA2" w:rsidRDefault="008D696E" w:rsidP="00A33695">
      <w:pPr>
        <w:jc w:val="center"/>
        <w:rPr>
          <w:rFonts w:ascii="Times New Roman" w:hAnsi="Times New Roman"/>
          <w:sz w:val="24"/>
        </w:rPr>
      </w:pPr>
      <w:r w:rsidRPr="00824EA2">
        <w:rPr>
          <w:rFonts w:ascii="Times New Roman" w:hAnsi="Times New Roman"/>
          <w:sz w:val="24"/>
        </w:rPr>
        <w:t>ПРИЛОЖЕНИЕ II</w:t>
      </w:r>
    </w:p>
    <w:p w14:paraId="37362007" w14:textId="6FB5EC15" w:rsidR="002648B0" w:rsidRPr="00824EA2" w:rsidRDefault="008D696E" w:rsidP="00A33695">
      <w:pPr>
        <w:jc w:val="center"/>
        <w:rPr>
          <w:rFonts w:ascii="Times New Roman" w:hAnsi="Times New Roman"/>
          <w:sz w:val="24"/>
        </w:rPr>
      </w:pPr>
      <w:r w:rsidRPr="00824EA2">
        <w:rPr>
          <w:rFonts w:ascii="Times New Roman" w:hAnsi="Times New Roman"/>
          <w:sz w:val="24"/>
        </w:rPr>
        <w:t>ПРИЛОЖЕНИЕ II</w:t>
      </w:r>
    </w:p>
    <w:p w14:paraId="1330A6A8" w14:textId="72D1DF29" w:rsidR="000F1AF3" w:rsidRPr="00824EA2" w:rsidRDefault="00D11E4C" w:rsidP="00D41692">
      <w:pPr>
        <w:jc w:val="center"/>
        <w:rPr>
          <w:rFonts w:ascii="Times New Roman" w:hAnsi="Times New Roman"/>
          <w:b/>
          <w:sz w:val="24"/>
        </w:rPr>
      </w:pPr>
      <w:r w:rsidRPr="00824EA2">
        <w:rPr>
          <w:rFonts w:ascii="Times New Roman" w:hAnsi="Times New Roman"/>
          <w:b/>
          <w:sz w:val="24"/>
        </w:rPr>
        <w:t>УКАЗАНИЯ ЗА ПРЕДОСТАВЯНЕ НА ИНФОРМАЦИЯ ЗА СОБСТВЕНИТЕ СРЕДСТВА И КАПИТАЛОВИТЕ ИЗИСКВАНИЯ</w:t>
      </w:r>
      <w:bookmarkStart w:id="2" w:name="_Toc264033192"/>
      <w:bookmarkEnd w:id="0"/>
      <w:bookmarkEnd w:id="1"/>
      <w:bookmarkEnd w:id="2"/>
    </w:p>
    <w:p w14:paraId="4C764596" w14:textId="77777777" w:rsidR="000F1AF3" w:rsidRPr="00824EA2" w:rsidRDefault="000F1AF3" w:rsidP="000F1AF3">
      <w:pPr>
        <w:rPr>
          <w:rFonts w:ascii="Times New Roman" w:hAnsi="Times New Roman"/>
          <w:sz w:val="24"/>
        </w:rPr>
      </w:pPr>
    </w:p>
    <w:p w14:paraId="70585B10" w14:textId="77777777" w:rsidR="000F1AF3" w:rsidRPr="00824EA2" w:rsidRDefault="000F1AF3" w:rsidP="000F1AF3">
      <w:pPr>
        <w:pStyle w:val="Heading2"/>
        <w:rPr>
          <w:rFonts w:ascii="Times New Roman" w:hAnsi="Times New Roman"/>
        </w:rPr>
      </w:pPr>
      <w:bookmarkStart w:id="3" w:name="_Toc360188322"/>
      <w:bookmarkStart w:id="4" w:name="_Toc473560870"/>
      <w:bookmarkStart w:id="5" w:name="_Toc151714358"/>
      <w:r w:rsidRPr="00824EA2">
        <w:rPr>
          <w:rFonts w:ascii="Times New Roman" w:hAnsi="Times New Roman"/>
        </w:rPr>
        <w:t>ЧАСТ II: УКАЗАНИЯ ОТНОСНО ОБРАЗЦИТЕ</w:t>
      </w:r>
      <w:bookmarkEnd w:id="3"/>
      <w:bookmarkEnd w:id="4"/>
      <w:bookmarkEnd w:id="5"/>
    </w:p>
    <w:p w14:paraId="08AA7146" w14:textId="77777777" w:rsidR="000F1AF3" w:rsidRPr="00824EA2" w:rsidRDefault="000F1AF3" w:rsidP="000F1AF3">
      <w:pPr>
        <w:rPr>
          <w:lang w:eastAsia="x-none"/>
        </w:rPr>
      </w:pPr>
    </w:p>
    <w:p w14:paraId="0DC832AB" w14:textId="77777777" w:rsidR="000F1AF3" w:rsidRPr="00824EA2" w:rsidRDefault="000F1AF3" w:rsidP="000F1AF3">
      <w:r w:rsidRPr="00824EA2">
        <w:rPr>
          <w:lang w:eastAsia="x-none"/>
        </w:rPr>
        <w:t>(…)</w:t>
      </w:r>
    </w:p>
    <w:p w14:paraId="7F7A0FD4" w14:textId="77777777" w:rsidR="00FC6275" w:rsidRPr="00824EA2" w:rsidRDefault="00FC6275">
      <w:pPr>
        <w:spacing w:before="0" w:after="0"/>
        <w:jc w:val="left"/>
        <w:rPr>
          <w:rStyle w:val="InstructionsTabelleText"/>
          <w:rFonts w:ascii="Times New Roman" w:hAnsi="Times New Roman"/>
          <w:b/>
          <w:sz w:val="24"/>
        </w:rPr>
      </w:pPr>
    </w:p>
    <w:p w14:paraId="08BE46FC" w14:textId="245D1169" w:rsidR="00AC6255" w:rsidRPr="00824EA2"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824EA2">
        <w:rPr>
          <w:rFonts w:ascii="Times New Roman" w:hAnsi="Times New Roman"/>
          <w:b/>
          <w:sz w:val="24"/>
        </w:rPr>
        <w:t>Образци за операционен риск</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824EA2" w:rsidRDefault="008F3052"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136</w:t>
      </w:r>
      <w:r w:rsidRPr="00824EA2">
        <w:rPr>
          <w:rStyle w:val="DNEx1"/>
        </w:rPr>
        <w:fldChar w:fldCharType="end"/>
      </w:r>
      <w:r w:rsidRPr="00824EA2">
        <w:rPr>
          <w:rStyle w:val="DNEx1"/>
        </w:rPr>
        <w:t>.</w:t>
      </w:r>
      <w:r w:rsidRPr="00824EA2">
        <w:rPr>
          <w:rStyle w:val="DNEx1"/>
        </w:rPr>
        <w:tab/>
      </w:r>
      <w:r w:rsidRPr="00824EA2">
        <w:t>[празно поле]</w:t>
      </w:r>
    </w:p>
    <w:p w14:paraId="4904781C" w14:textId="6F5245AC"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137</w:t>
      </w:r>
      <w:r w:rsidRPr="00824EA2">
        <w:rPr>
          <w:rStyle w:val="DNEx1"/>
        </w:rPr>
        <w:fldChar w:fldCharType="end"/>
      </w:r>
      <w:r w:rsidRPr="00824EA2">
        <w:rPr>
          <w:rStyle w:val="DNEx1"/>
        </w:rPr>
        <w:t>.</w:t>
      </w:r>
      <w:r w:rsidRPr="00824EA2">
        <w:rPr>
          <w:rStyle w:val="DNEx1"/>
        </w:rPr>
        <w:tab/>
      </w:r>
      <w:r w:rsidRPr="00824EA2">
        <w:t>[празно поле]</w:t>
      </w:r>
    </w:p>
    <w:p w14:paraId="4B809D6B" w14:textId="101DE481"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138</w:t>
      </w:r>
      <w:r w:rsidRPr="00824EA2">
        <w:rPr>
          <w:rStyle w:val="DNEx1"/>
        </w:rPr>
        <w:fldChar w:fldCharType="end"/>
      </w:r>
      <w:r w:rsidRPr="00824EA2">
        <w:rPr>
          <w:rStyle w:val="DNEx1"/>
        </w:rPr>
        <w:t>.</w:t>
      </w:r>
      <w:r w:rsidRPr="00824EA2">
        <w:rPr>
          <w:rStyle w:val="DNEx1"/>
        </w:rPr>
        <w:tab/>
      </w:r>
      <w:r w:rsidRPr="00824EA2">
        <w:t>[празно поле]</w:t>
      </w:r>
    </w:p>
    <w:p w14:paraId="2023E425" w14:textId="65D3DC43"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139</w:t>
      </w:r>
      <w:r w:rsidRPr="00824EA2">
        <w:rPr>
          <w:rStyle w:val="DNEx1"/>
        </w:rPr>
        <w:fldChar w:fldCharType="end"/>
      </w:r>
      <w:r w:rsidRPr="00824EA2">
        <w:rPr>
          <w:rStyle w:val="DNEx1"/>
        </w:rPr>
        <w:t>.</w:t>
      </w:r>
      <w:r w:rsidRPr="00824EA2">
        <w:rPr>
          <w:rStyle w:val="DNEx1"/>
        </w:rPr>
        <w:tab/>
      </w:r>
      <w:r w:rsidRPr="00824EA2">
        <w:t>[празно поле]</w:t>
      </w:r>
    </w:p>
    <w:p w14:paraId="1BF423DA" w14:textId="4247CC99"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140</w:t>
      </w:r>
      <w:r w:rsidRPr="00824EA2">
        <w:rPr>
          <w:rStyle w:val="DNEx1"/>
        </w:rPr>
        <w:fldChar w:fldCharType="end"/>
      </w:r>
      <w:r w:rsidRPr="00824EA2">
        <w:rPr>
          <w:rStyle w:val="DNEx1"/>
        </w:rPr>
        <w:t>.</w:t>
      </w:r>
      <w:r w:rsidRPr="00824EA2">
        <w:rPr>
          <w:rStyle w:val="DNEx1"/>
        </w:rPr>
        <w:tab/>
      </w:r>
      <w:r w:rsidRPr="00824EA2">
        <w:t>[празно поле]</w:t>
      </w:r>
    </w:p>
    <w:p w14:paraId="001035D2" w14:textId="7F939878" w:rsidR="00AC6255" w:rsidRPr="00824EA2" w:rsidRDefault="00362BB4" w:rsidP="00E434A1">
      <w:pPr>
        <w:pStyle w:val="InstructionsText2"/>
        <w:numPr>
          <w:ilvl w:val="0"/>
          <w:numId w:val="0"/>
        </w:numPr>
      </w:pPr>
      <w:r w:rsidRPr="00824EA2">
        <w:rPr>
          <w:rStyle w:val="DNEx1"/>
        </w:rPr>
        <w:fldChar w:fldCharType="begin"/>
      </w:r>
      <w:r w:rsidRPr="00824EA2">
        <w:rPr>
          <w:rStyle w:val="DNEx1"/>
        </w:rPr>
        <w:instrText xml:space="preserve"> seq paragraphs </w:instrText>
      </w:r>
      <w:r w:rsidRPr="00824EA2">
        <w:rPr>
          <w:rStyle w:val="DNEx1"/>
        </w:rPr>
        <w:fldChar w:fldCharType="separate"/>
      </w:r>
      <w:r w:rsidR="00771068" w:rsidRPr="00824EA2">
        <w:rPr>
          <w:rStyle w:val="DNEx1"/>
        </w:rPr>
        <w:t>141</w:t>
      </w:r>
      <w:r w:rsidRPr="00824EA2">
        <w:rPr>
          <w:rStyle w:val="DNEx1"/>
        </w:rPr>
        <w:fldChar w:fldCharType="end"/>
      </w:r>
      <w:r w:rsidRPr="00824EA2">
        <w:rPr>
          <w:rStyle w:val="DNEx1"/>
        </w:rPr>
        <w:t>.</w:t>
      </w:r>
      <w:r w:rsidRPr="00824EA2">
        <w:rPr>
          <w:rStyle w:val="DNEx1"/>
        </w:rPr>
        <w:tab/>
      </w:r>
      <w:r w:rsidRPr="00824EA2">
        <w:t>[празно поле]</w:t>
      </w:r>
    </w:p>
    <w:p w14:paraId="23737963" w14:textId="4E4DFDEB" w:rsidR="0062765D" w:rsidRPr="00824EA2"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824EA2">
        <w:rPr>
          <w:rFonts w:ascii="Times New Roman" w:hAnsi="Times New Roman"/>
          <w:b/>
          <w:sz w:val="24"/>
          <w:u w:val="single"/>
        </w:rPr>
        <w:t>Докладване на капиталовите изисквания за операционен риск</w:t>
      </w:r>
      <w:bookmarkEnd w:id="18"/>
    </w:p>
    <w:p w14:paraId="200487A9" w14:textId="75383504" w:rsidR="0062765D" w:rsidRPr="00824EA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824EA2">
        <w:rPr>
          <w:rFonts w:ascii="Times New Roman" w:hAnsi="Times New Roman"/>
          <w:b/>
          <w:sz w:val="24"/>
          <w:u w:val="single"/>
        </w:rPr>
        <w:t>Общи бележки</w:t>
      </w:r>
      <w:bookmarkEnd w:id="19"/>
    </w:p>
    <w:p w14:paraId="60C67A56" w14:textId="5F0C19D1" w:rsidR="0062765D" w:rsidRPr="00824EA2" w:rsidRDefault="0062765D" w:rsidP="00855EF0">
      <w:pPr>
        <w:spacing w:before="0" w:after="240"/>
        <w:ind w:left="360" w:hanging="360"/>
        <w:rPr>
          <w:rFonts w:ascii="Times New Roman" w:hAnsi="Times New Roman"/>
          <w:noProof/>
          <w:sz w:val="24"/>
        </w:rPr>
      </w:pPr>
      <w:r w:rsidRPr="00824EA2">
        <w:rPr>
          <w:rStyle w:val="DNEx2"/>
        </w:rPr>
        <w:t xml:space="preserve">141a. </w:t>
      </w:r>
      <w:r w:rsidRPr="00824EA2">
        <w:rPr>
          <w:rFonts w:ascii="Times New Roman" w:hAnsi="Times New Roman"/>
          <w:sz w:val="24"/>
        </w:rPr>
        <w:t>Образец C 16.01 отразява капиталовите изисквания (OFR) за операционен риск по компонента на бизнес индикатора (BIC) и свързания бизнес индикатор (BI) съгласно членове 312—314 от Регламент (ЕС) № 575/2013.</w:t>
      </w:r>
    </w:p>
    <w:p w14:paraId="45817266" w14:textId="65B894D4" w:rsidR="004F7163" w:rsidRPr="00824EA2" w:rsidRDefault="004F7163" w:rsidP="004F7163">
      <w:pPr>
        <w:spacing w:before="0" w:after="240"/>
        <w:ind w:left="360" w:hanging="360"/>
        <w:rPr>
          <w:rFonts w:ascii="Times New Roman" w:hAnsi="Times New Roman"/>
          <w:noProof/>
          <w:sz w:val="24"/>
        </w:rPr>
      </w:pPr>
      <w:r w:rsidRPr="00824EA2">
        <w:rPr>
          <w:rStyle w:val="DNEx2"/>
        </w:rPr>
        <w:t>141aa.</w:t>
      </w:r>
      <w:r w:rsidRPr="00824EA2">
        <w:rPr>
          <w:rFonts w:ascii="Times New Roman" w:hAnsi="Times New Roman"/>
          <w:sz w:val="24"/>
        </w:rPr>
        <w:t xml:space="preserve"> Образец C 16.02 предоставя подробна информация за подкомпонентите на бизнес индикатора (BI) от образец C 16.01: подкомпонентите за компонента на лихвите, лизинга и дивидентите (</w:t>
      </w:r>
      <w:r w:rsidR="00174CCC">
        <w:rPr>
          <w:rFonts w:ascii="Times New Roman" w:hAnsi="Times New Roman"/>
          <w:b/>
          <w:sz w:val="24"/>
          <w:u w:val="single"/>
        </w:rPr>
        <w:t>КЛЛД</w:t>
      </w:r>
      <w:r w:rsidRPr="00824EA2">
        <w:rPr>
          <w:rFonts w:ascii="Times New Roman" w:hAnsi="Times New Roman"/>
          <w:sz w:val="24"/>
        </w:rPr>
        <w:t>), компонента на услугите (</w:t>
      </w:r>
      <w:r w:rsidR="0044757D">
        <w:rPr>
          <w:rFonts w:ascii="Times New Roman" w:hAnsi="Times New Roman"/>
          <w:sz w:val="24"/>
        </w:rPr>
        <w:t>КУ</w:t>
      </w:r>
      <w:r w:rsidRPr="00824EA2">
        <w:rPr>
          <w:rFonts w:ascii="Times New Roman" w:hAnsi="Times New Roman"/>
          <w:sz w:val="24"/>
        </w:rPr>
        <w:t>) и финансовия компонент (</w:t>
      </w:r>
      <w:r w:rsidR="0044757D">
        <w:rPr>
          <w:rFonts w:ascii="Times New Roman" w:hAnsi="Times New Roman"/>
          <w:sz w:val="24"/>
        </w:rPr>
        <w:t>ФК</w:t>
      </w:r>
      <w:r w:rsidRPr="00824EA2">
        <w:rPr>
          <w:rFonts w:ascii="Times New Roman" w:hAnsi="Times New Roman"/>
          <w:sz w:val="24"/>
        </w:rPr>
        <w:t>) в съответствие с член 314 от Регламент (ЕС) № 575/2013.</w:t>
      </w:r>
    </w:p>
    <w:p w14:paraId="120E86E7" w14:textId="7532835F" w:rsidR="004F7163" w:rsidRPr="00824EA2" w:rsidRDefault="004F7163" w:rsidP="004F7163">
      <w:pPr>
        <w:spacing w:before="0" w:after="240"/>
        <w:ind w:left="360" w:hanging="360"/>
        <w:rPr>
          <w:rFonts w:ascii="Times New Roman" w:hAnsi="Times New Roman"/>
          <w:noProof/>
          <w:sz w:val="24"/>
        </w:rPr>
      </w:pPr>
      <w:r w:rsidRPr="00824EA2">
        <w:rPr>
          <w:rStyle w:val="DNEx2"/>
        </w:rPr>
        <w:t>141a</w:t>
      </w:r>
      <w:r w:rsidR="004178B3" w:rsidRPr="00824EA2">
        <w:rPr>
          <w:rStyle w:val="DNEx2"/>
        </w:rPr>
        <w:t>б</w:t>
      </w:r>
      <w:r w:rsidRPr="00824EA2">
        <w:rPr>
          <w:rStyle w:val="DNEx2"/>
        </w:rPr>
        <w:t>.</w:t>
      </w:r>
      <w:r w:rsidRPr="00824EA2">
        <w:rPr>
          <w:rFonts w:ascii="Times New Roman" w:hAnsi="Times New Roman"/>
          <w:sz w:val="24"/>
        </w:rPr>
        <w:t xml:space="preserve"> Образец C 16.03 предоставя подробна информация за загубите, разходите, провизиите и останалите финансови последици, произтичащи от операционни събития. Общата стойност се включва в изчислението на </w:t>
      </w:r>
      <w:r w:rsidR="0044757D">
        <w:rPr>
          <w:rFonts w:ascii="Times New Roman" w:hAnsi="Times New Roman"/>
          <w:sz w:val="24"/>
        </w:rPr>
        <w:t>КУ</w:t>
      </w:r>
      <w:r w:rsidRPr="00824EA2">
        <w:rPr>
          <w:rFonts w:ascii="Times New Roman" w:hAnsi="Times New Roman"/>
          <w:sz w:val="24"/>
        </w:rPr>
        <w:t>, както е отразено във образец C 16.02.</w:t>
      </w:r>
    </w:p>
    <w:p w14:paraId="06F95D37" w14:textId="29750C75" w:rsidR="001B76EB" w:rsidRPr="00824EA2" w:rsidRDefault="001B76EB" w:rsidP="001B76EB">
      <w:pPr>
        <w:spacing w:before="0" w:after="240"/>
        <w:ind w:left="360" w:hanging="360"/>
        <w:rPr>
          <w:rFonts w:ascii="Times New Roman" w:hAnsi="Times New Roman"/>
          <w:noProof/>
          <w:sz w:val="24"/>
        </w:rPr>
      </w:pPr>
      <w:r w:rsidRPr="00824EA2">
        <w:rPr>
          <w:rStyle w:val="DNEx2"/>
        </w:rPr>
        <w:t>141a</w:t>
      </w:r>
      <w:r w:rsidR="004178B3" w:rsidRPr="00824EA2">
        <w:rPr>
          <w:rStyle w:val="DNEx2"/>
        </w:rPr>
        <w:t>в</w:t>
      </w:r>
      <w:r w:rsidRPr="00824EA2">
        <w:rPr>
          <w:rStyle w:val="DNEx2"/>
        </w:rPr>
        <w:t>.</w:t>
      </w:r>
      <w:r w:rsidRPr="00824EA2">
        <w:rPr>
          <w:rFonts w:ascii="Times New Roman" w:hAnsi="Times New Roman"/>
          <w:sz w:val="24"/>
        </w:rPr>
        <w:t xml:space="preserve"> Образец C16.04 предоставя информация, изчислена на равнището на дъщерните институции, в съответствие с член 314, параграф 3 от Регламент (ЕС) № 575/2013.</w:t>
      </w:r>
    </w:p>
    <w:p w14:paraId="4A6A0C5D" w14:textId="396717C5" w:rsidR="00A33B6E" w:rsidRPr="00824EA2" w:rsidRDefault="00A33B6E" w:rsidP="00855EF0">
      <w:pPr>
        <w:spacing w:before="0" w:after="240"/>
        <w:ind w:left="360" w:hanging="360"/>
        <w:rPr>
          <w:rFonts w:ascii="Times New Roman" w:hAnsi="Times New Roman"/>
          <w:noProof/>
          <w:sz w:val="24"/>
          <w:lang w:eastAsia="de-DE"/>
        </w:rPr>
      </w:pPr>
    </w:p>
    <w:p w14:paraId="2BDF4A3C" w14:textId="0A6BB74E" w:rsidR="00A85FE5" w:rsidRPr="00824EA2" w:rsidRDefault="00DB52C6" w:rsidP="00E52A38">
      <w:pPr>
        <w:spacing w:before="0" w:after="240"/>
        <w:ind w:left="360" w:hanging="360"/>
        <w:rPr>
          <w:rFonts w:ascii="Times New Roman" w:hAnsi="Times New Roman"/>
          <w:noProof/>
          <w:sz w:val="24"/>
        </w:rPr>
      </w:pPr>
      <w:r w:rsidRPr="00824EA2">
        <w:rPr>
          <w:rStyle w:val="DNEx2"/>
        </w:rPr>
        <w:t>141</w:t>
      </w:r>
      <w:r w:rsidR="004178B3" w:rsidRPr="00824EA2">
        <w:rPr>
          <w:rStyle w:val="DNEx2"/>
        </w:rPr>
        <w:t>б</w:t>
      </w:r>
      <w:r w:rsidRPr="00824EA2">
        <w:rPr>
          <w:rStyle w:val="DNEx2"/>
        </w:rPr>
        <w:t>.</w:t>
      </w:r>
      <w:r w:rsidRPr="00824EA2">
        <w:rPr>
          <w:rFonts w:ascii="Times New Roman" w:hAnsi="Times New Roman"/>
          <w:sz w:val="24"/>
        </w:rPr>
        <w:t xml:space="preserve"> Институциите отчитат всички суми въз основа на счетоводната рамка, която използват за отчитане на финансовата информация, освен ако в настоящото приложение не е посочено друго. Препратките към изискванията за отчетност, отразени в приложение V към FINREP на информационно-технологичните (ИТ) решения на ЕБО (</w:t>
      </w:r>
      <w:r w:rsidR="00763680" w:rsidRPr="00824EA2">
        <w:rPr>
          <w:rStyle w:val="FootnoteReference"/>
          <w:noProof/>
          <w:lang w:eastAsia="de-DE"/>
        </w:rPr>
        <w:footnoteReference w:id="2"/>
      </w:r>
      <w:r w:rsidRPr="00824EA2">
        <w:rPr>
          <w:rFonts w:ascii="Times New Roman" w:hAnsi="Times New Roman"/>
          <w:sz w:val="24"/>
        </w:rPr>
        <w:t>), са отразени в указанията поради тясната връзка между отчитането на операционния риск и финансовите отчети на институцията. Когато е счетено за необходимо да се дадат пояснения в указанията, са добавени препратки към съответните МСФО (</w:t>
      </w:r>
      <w:r w:rsidR="00F4005E" w:rsidRPr="00824EA2">
        <w:rPr>
          <w:rStyle w:val="FootnoteReference"/>
          <w:noProof/>
          <w:lang w:eastAsia="de-DE"/>
        </w:rPr>
        <w:footnoteReference w:id="3"/>
      </w:r>
      <w:r w:rsidRPr="00824EA2">
        <w:rPr>
          <w:rFonts w:ascii="Times New Roman" w:hAnsi="Times New Roman"/>
          <w:sz w:val="24"/>
        </w:rPr>
        <w:t>) и към НОСП (</w:t>
      </w:r>
      <w:r w:rsidR="00464DC4" w:rsidRPr="00824EA2">
        <w:rPr>
          <w:rStyle w:val="FootnoteReference"/>
          <w:noProof/>
          <w:lang w:eastAsia="de-DE"/>
        </w:rPr>
        <w:footnoteReference w:id="4"/>
      </w:r>
      <w:r w:rsidRPr="00824EA2">
        <w:rPr>
          <w:rFonts w:ascii="Times New Roman" w:hAnsi="Times New Roman"/>
          <w:sz w:val="24"/>
        </w:rPr>
        <w:t>).</w:t>
      </w:r>
    </w:p>
    <w:p w14:paraId="25C2C2DF" w14:textId="017A9B43" w:rsidR="00A50632" w:rsidRPr="00824EA2" w:rsidRDefault="00A50632" w:rsidP="00A50632">
      <w:pPr>
        <w:spacing w:before="0" w:after="240"/>
        <w:ind w:left="360" w:hanging="360"/>
        <w:rPr>
          <w:rFonts w:ascii="Times New Roman" w:hAnsi="Times New Roman"/>
          <w:sz w:val="24"/>
        </w:rPr>
      </w:pPr>
      <w:r w:rsidRPr="00824EA2">
        <w:rPr>
          <w:rStyle w:val="DNEx2"/>
        </w:rPr>
        <w:t>141</w:t>
      </w:r>
      <w:r w:rsidR="004178B3" w:rsidRPr="00824EA2">
        <w:rPr>
          <w:rStyle w:val="DNEx2"/>
        </w:rPr>
        <w:t>б</w:t>
      </w:r>
      <w:r w:rsidRPr="00824EA2">
        <w:rPr>
          <w:rStyle w:val="DNEx2"/>
        </w:rPr>
        <w:t>a.</w:t>
      </w:r>
      <w:r w:rsidRPr="00824EA2">
        <w:rPr>
          <w:rFonts w:ascii="Times New Roman" w:hAnsi="Times New Roman"/>
          <w:sz w:val="24"/>
        </w:rPr>
        <w:t xml:space="preserve"> Установените практики при използването на знаци, използвани в настоящото приложение, са в съответствие с установените практики, отразени в приложение V към ИТ решенията на ЕБО: използването на скоби в обозначението на дадена позиция в образеца означава, че тази позиция трябва да бъде извадена, за да се получи общата сума, но това не означава, че трябва да бъде отчетена като отрицателна.</w:t>
      </w:r>
      <w:r w:rsidRPr="00824EA2">
        <w:rPr>
          <w:rFonts w:ascii="Arial" w:hAnsi="Arial"/>
          <w:sz w:val="22"/>
        </w:rPr>
        <w:t xml:space="preserve"> </w:t>
      </w:r>
      <w:r w:rsidRPr="00824EA2">
        <w:rPr>
          <w:rFonts w:ascii="Times New Roman" w:hAnsi="Times New Roman"/>
          <w:sz w:val="24"/>
        </w:rPr>
        <w:t>Позициите, които трябва да бъдат отчетени с отрицателен знак, са посочени в обозначенията на образците чрез включване на „(–)“ в началото на обозначението.</w:t>
      </w:r>
    </w:p>
    <w:p w14:paraId="3F5B8138" w14:textId="57A30625" w:rsidR="0062765D" w:rsidRPr="00824EA2" w:rsidRDefault="00DB52C6" w:rsidP="0062765D">
      <w:pPr>
        <w:spacing w:before="0" w:after="240"/>
        <w:ind w:left="360" w:hanging="360"/>
        <w:rPr>
          <w:rFonts w:ascii="Times New Roman" w:hAnsi="Times New Roman"/>
          <w:noProof/>
          <w:sz w:val="24"/>
        </w:rPr>
      </w:pPr>
      <w:r w:rsidRPr="00824EA2">
        <w:rPr>
          <w:rStyle w:val="DNEx2"/>
        </w:rPr>
        <w:t>141</w:t>
      </w:r>
      <w:r w:rsidR="004178B3" w:rsidRPr="00824EA2">
        <w:rPr>
          <w:rStyle w:val="DNEx2"/>
        </w:rPr>
        <w:t>в</w:t>
      </w:r>
      <w:r w:rsidRPr="00824EA2">
        <w:rPr>
          <w:rStyle w:val="DNEx2"/>
        </w:rPr>
        <w:t>.</w:t>
      </w:r>
      <w:r w:rsidRPr="00824EA2">
        <w:rPr>
          <w:rFonts w:ascii="Times New Roman" w:hAnsi="Times New Roman"/>
          <w:sz w:val="24"/>
        </w:rPr>
        <w:t xml:space="preserve"> Институциите изчисляват своите капиталови изисквания (OFR) и докладват данните в образците въз основа на информацията, налична към края на финансовата година. Следователно се използват последните три дванадесетмесечни стойности, започващи от края на финансовата година (например за отчетни дати „декември Y-1, март Y, юни Y, септември Y“ и край на финансовата година „31 декември“ изчисленията се основават на финансовото състояние към „31 декември“, като се използват целите финансови години Y-1, Y-2 и Y-3).</w:t>
      </w:r>
    </w:p>
    <w:p w14:paraId="34790AA0" w14:textId="242FAB1C" w:rsidR="0062765D" w:rsidRPr="00824EA2" w:rsidRDefault="00DB52C6" w:rsidP="3B06A011">
      <w:pPr>
        <w:spacing w:before="0" w:after="240"/>
        <w:ind w:left="360" w:hanging="360"/>
        <w:rPr>
          <w:rFonts w:ascii="Times New Roman" w:hAnsi="Times New Roman"/>
          <w:sz w:val="24"/>
        </w:rPr>
      </w:pPr>
      <w:r w:rsidRPr="00824EA2">
        <w:rPr>
          <w:rStyle w:val="DNEx2"/>
        </w:rPr>
        <w:t>141</w:t>
      </w:r>
      <w:r w:rsidR="004178B3" w:rsidRPr="00824EA2">
        <w:rPr>
          <w:rStyle w:val="DNEx2"/>
        </w:rPr>
        <w:t>г</w:t>
      </w:r>
      <w:r w:rsidRPr="00824EA2">
        <w:rPr>
          <w:rStyle w:val="DNEx2"/>
        </w:rPr>
        <w:t>.</w:t>
      </w:r>
      <w:r w:rsidRPr="00824EA2">
        <w:rPr>
          <w:rFonts w:ascii="Times New Roman" w:hAnsi="Times New Roman"/>
          <w:sz w:val="24"/>
        </w:rPr>
        <w:t xml:space="preserve"> Когато няма одитирани данни, институциите могат да използват приблизителни бизнес оценки. Когато се използват одитирани данни, институциите докладват одитираните данни, които се очаква да останат непроменени. Възможни са отклонения от принципа за „непроменени“ данни в съответствие с член 315, параграфи 1 и 2 от Регламент (ЕС) № 575/2013.</w:t>
      </w:r>
    </w:p>
    <w:p w14:paraId="27F080A5" w14:textId="53C4252A" w:rsidR="00FA5064" w:rsidRPr="00824EA2" w:rsidRDefault="00DB52C6" w:rsidP="3B06A011">
      <w:pPr>
        <w:spacing w:before="0" w:after="240"/>
        <w:ind w:left="360" w:hanging="360"/>
        <w:rPr>
          <w:rFonts w:ascii="Times New Roman" w:hAnsi="Times New Roman"/>
          <w:sz w:val="24"/>
        </w:rPr>
      </w:pPr>
      <w:r w:rsidRPr="00824EA2">
        <w:rPr>
          <w:rStyle w:val="DNEx2"/>
        </w:rPr>
        <w:t>141</w:t>
      </w:r>
      <w:r w:rsidR="001C00F3" w:rsidRPr="00824EA2">
        <w:rPr>
          <w:rStyle w:val="DNEx2"/>
        </w:rPr>
        <w:t>д</w:t>
      </w:r>
      <w:r w:rsidRPr="00824EA2">
        <w:rPr>
          <w:rStyle w:val="DNEx2"/>
        </w:rPr>
        <w:t>.</w:t>
      </w:r>
      <w:r w:rsidRPr="00824EA2">
        <w:rPr>
          <w:rFonts w:ascii="Times New Roman" w:hAnsi="Times New Roman"/>
          <w:sz w:val="24"/>
        </w:rPr>
        <w:t xml:space="preserve"> Институциите не включват в отчитането данни, отнасящи се до позиции, определени в съответствие с член 314, параграф 7 от Регламент (ЕС) № 575/2013 и както е посочено допълнително в регулаторните технически стандарти (РТС), които следва да бъдат разработени съгласно член 314, параграф 9.</w:t>
      </w:r>
    </w:p>
    <w:p w14:paraId="65A130C3" w14:textId="26D2ADDA" w:rsidR="008E3C30" w:rsidRPr="00824EA2" w:rsidRDefault="00DB52C6" w:rsidP="3B06A011">
      <w:pPr>
        <w:spacing w:before="0" w:after="240"/>
        <w:ind w:left="360" w:hanging="360"/>
        <w:rPr>
          <w:rFonts w:ascii="Times New Roman" w:hAnsi="Times New Roman"/>
          <w:sz w:val="24"/>
        </w:rPr>
      </w:pPr>
      <w:r w:rsidRPr="00824EA2">
        <w:rPr>
          <w:rStyle w:val="DNEx2"/>
        </w:rPr>
        <w:t>141</w:t>
      </w:r>
      <w:r w:rsidR="001C00F3" w:rsidRPr="00824EA2">
        <w:rPr>
          <w:rStyle w:val="DNEx2"/>
        </w:rPr>
        <w:t>е</w:t>
      </w:r>
      <w:r w:rsidRPr="00824EA2">
        <w:rPr>
          <w:rStyle w:val="DNEx2"/>
        </w:rPr>
        <w:t>.</w:t>
      </w:r>
      <w:r w:rsidRPr="00824EA2">
        <w:t xml:space="preserve"> </w:t>
      </w:r>
      <w:r w:rsidRPr="00824EA2">
        <w:rPr>
          <w:rFonts w:ascii="Times New Roman" w:hAnsi="Times New Roman"/>
          <w:sz w:val="24"/>
        </w:rPr>
        <w:t>За изчисляването на BI (например в случая на институции, които имат дъщерни предприятия с валута, различна от отчетната валута на институцията) институциите прилагат съответния обменен курс за всяка от трите години, въз основа на който се изчислява BI съгласно приложимата счетоводна рамка. Следователно обменният курс, използван през съответната година, не се актуализира на всяка отчетна дата.</w:t>
      </w:r>
    </w:p>
    <w:p w14:paraId="06A7780A" w14:textId="7B6445C1" w:rsidR="006E63FF" w:rsidRPr="00824EA2" w:rsidRDefault="008E3C30" w:rsidP="001A7684">
      <w:pPr>
        <w:spacing w:before="0" w:after="240"/>
        <w:ind w:left="360" w:hanging="360"/>
        <w:rPr>
          <w:rFonts w:ascii="Times New Roman" w:hAnsi="Times New Roman"/>
          <w:sz w:val="24"/>
        </w:rPr>
      </w:pPr>
      <w:r w:rsidRPr="00824EA2">
        <w:rPr>
          <w:rStyle w:val="DNEx2"/>
        </w:rPr>
        <w:lastRenderedPageBreak/>
        <w:t>141</w:t>
      </w:r>
      <w:r w:rsidR="001C00F3" w:rsidRPr="00824EA2">
        <w:rPr>
          <w:rStyle w:val="DNEx2"/>
        </w:rPr>
        <w:t>ж</w:t>
      </w:r>
      <w:r w:rsidRPr="00824EA2">
        <w:rPr>
          <w:rStyle w:val="DNEx2"/>
        </w:rPr>
        <w:t>.</w:t>
      </w:r>
      <w:r w:rsidRPr="00824EA2">
        <w:rPr>
          <w:rFonts w:ascii="Times New Roman" w:hAnsi="Times New Roman"/>
          <w:sz w:val="24"/>
        </w:rPr>
        <w:t xml:space="preserve"> По отношение на прилагането на праговете за изчисляване на BIC съгласно член 313 от Регламент (ЕС) № 575/2013 институциите извън еврозоната, които отчитат информацията по надзора в местната си валута, използват средния обменен курс за периода, за който се изчислява BIC (средната стойност за последните три финансови години) съгласно счетоводната рамка, за преобразуване на прага в местна валута.</w:t>
      </w:r>
    </w:p>
    <w:p w14:paraId="031BD6E8" w14:textId="208E0079" w:rsidR="008803F1" w:rsidRPr="00824EA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824EA2">
        <w:rPr>
          <w:rFonts w:ascii="Times New Roman" w:hAnsi="Times New Roman"/>
          <w:b/>
          <w:sz w:val="24"/>
          <w:u w:val="single"/>
        </w:rPr>
        <w:t>C 16.01 Операционен риск — капиталови изисквания (OPR OFR)</w:t>
      </w:r>
      <w:bookmarkEnd w:id="20"/>
    </w:p>
    <w:p w14:paraId="37EA392E" w14:textId="50D4FAD8" w:rsidR="0060540A" w:rsidRPr="00824EA2" w:rsidRDefault="006B71D2" w:rsidP="00F83296">
      <w:pPr>
        <w:spacing w:before="0" w:after="240"/>
        <w:ind w:left="360" w:hanging="360"/>
        <w:rPr>
          <w:rFonts w:ascii="Times New Roman" w:eastAsia="Arial" w:hAnsi="Times New Roman"/>
          <w:sz w:val="24"/>
          <w:u w:val="single"/>
        </w:rPr>
      </w:pPr>
      <w:r w:rsidRPr="00824EA2">
        <w:rPr>
          <w:rStyle w:val="DNEx2"/>
        </w:rPr>
        <w:t>141</w:t>
      </w:r>
      <w:r w:rsidR="001C00F3" w:rsidRPr="00824EA2">
        <w:rPr>
          <w:rStyle w:val="DNEx2"/>
        </w:rPr>
        <w:t>з</w:t>
      </w:r>
      <w:r w:rsidRPr="00824EA2">
        <w:rPr>
          <w:rStyle w:val="DNEx2"/>
        </w:rPr>
        <w:t>.</w:t>
      </w:r>
      <w:r w:rsidRPr="00824EA2">
        <w:rPr>
          <w:rFonts w:ascii="Times New Roman" w:hAnsi="Times New Roman"/>
          <w:sz w:val="24"/>
        </w:rPr>
        <w:t xml:space="preserve"> Информацията в този образец се изчислява, като се вземат предвид сумите за последните три финансови години.</w:t>
      </w:r>
    </w:p>
    <w:p w14:paraId="4A1DC110" w14:textId="03CEE5BE" w:rsidR="0062765D" w:rsidRPr="00824EA2" w:rsidRDefault="0062765D" w:rsidP="00C86126">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824EA2" w14:paraId="3FE9FB08" w14:textId="77777777" w:rsidTr="3B06A011">
        <w:trPr>
          <w:trHeight w:val="300"/>
        </w:trPr>
        <w:tc>
          <w:tcPr>
            <w:tcW w:w="1225" w:type="dxa"/>
            <w:shd w:val="clear" w:color="auto" w:fill="BFBFBF" w:themeFill="background1" w:themeFillShade="BF"/>
          </w:tcPr>
          <w:p w14:paraId="72846797" w14:textId="77777777" w:rsidR="0062765D" w:rsidRPr="00824EA2" w:rsidRDefault="0062765D" w:rsidP="0062765D">
            <w:pPr>
              <w:spacing w:before="0" w:after="0"/>
              <w:rPr>
                <w:rFonts w:ascii="Times New Roman" w:hAnsi="Times New Roman"/>
                <w:sz w:val="24"/>
              </w:rPr>
            </w:pPr>
            <w:r w:rsidRPr="00824EA2">
              <w:rPr>
                <w:rFonts w:ascii="Times New Roman" w:hAnsi="Times New Roman"/>
                <w:b/>
                <w:sz w:val="24"/>
              </w:rPr>
              <w:t>Колони</w:t>
            </w:r>
          </w:p>
        </w:tc>
        <w:tc>
          <w:tcPr>
            <w:tcW w:w="7789" w:type="dxa"/>
            <w:shd w:val="clear" w:color="auto" w:fill="BFBFBF" w:themeFill="background1" w:themeFillShade="BF"/>
          </w:tcPr>
          <w:p w14:paraId="5C86F175" w14:textId="77777777" w:rsidR="0062765D" w:rsidRPr="00824EA2" w:rsidRDefault="0062765D" w:rsidP="0062765D">
            <w:pPr>
              <w:spacing w:before="0" w:after="0"/>
              <w:jc w:val="left"/>
              <w:rPr>
                <w:rFonts w:ascii="Times New Roman" w:hAnsi="Times New Roman"/>
                <w:b/>
                <w:bCs/>
                <w:sz w:val="24"/>
                <w:u w:val="single"/>
              </w:rPr>
            </w:pPr>
            <w:r w:rsidRPr="00824EA2">
              <w:rPr>
                <w:rFonts w:ascii="Times New Roman" w:hAnsi="Times New Roman"/>
                <w:b/>
                <w:sz w:val="24"/>
                <w:u w:val="single"/>
              </w:rPr>
              <w:t>Препратки към нормативни актове и указания</w:t>
            </w:r>
          </w:p>
        </w:tc>
      </w:tr>
      <w:tr w:rsidR="0062765D" w:rsidRPr="00824EA2" w14:paraId="757FFFEF" w14:textId="77777777" w:rsidTr="3B06A011">
        <w:trPr>
          <w:trHeight w:val="300"/>
        </w:trPr>
        <w:tc>
          <w:tcPr>
            <w:tcW w:w="1225" w:type="dxa"/>
          </w:tcPr>
          <w:p w14:paraId="0E504078" w14:textId="53BA8AFE" w:rsidR="0062765D" w:rsidRPr="00824EA2" w:rsidRDefault="00132A53" w:rsidP="0062765D">
            <w:pPr>
              <w:jc w:val="left"/>
              <w:rPr>
                <w:rFonts w:ascii="Times New Roman" w:hAnsi="Times New Roman"/>
                <w:bCs/>
                <w:sz w:val="24"/>
                <w:u w:val="single"/>
              </w:rPr>
            </w:pPr>
            <w:r w:rsidRPr="00824EA2">
              <w:rPr>
                <w:rFonts w:ascii="Times New Roman" w:hAnsi="Times New Roman"/>
                <w:sz w:val="24"/>
                <w:lang w:eastAsia="nl-BE"/>
              </w:rPr>
              <w:t>0010</w:t>
            </w:r>
          </w:p>
        </w:tc>
        <w:tc>
          <w:tcPr>
            <w:tcW w:w="7789" w:type="dxa"/>
          </w:tcPr>
          <w:p w14:paraId="37C5F7E9" w14:textId="77777777"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Стойност</w:t>
            </w:r>
          </w:p>
          <w:p w14:paraId="40C487F3" w14:textId="052416E6" w:rsidR="0062765D" w:rsidRPr="00824EA2" w:rsidRDefault="0062765D" w:rsidP="0062765D">
            <w:pPr>
              <w:jc w:val="left"/>
              <w:rPr>
                <w:rFonts w:ascii="Times New Roman" w:hAnsi="Times New Roman"/>
                <w:sz w:val="24"/>
              </w:rPr>
            </w:pPr>
            <w:r w:rsidRPr="00824EA2">
              <w:rPr>
                <w:rFonts w:ascii="Times New Roman" w:hAnsi="Times New Roman"/>
                <w:sz w:val="24"/>
              </w:rPr>
              <w:t xml:space="preserve">Стойността на BI и трите му компонента: </w:t>
            </w:r>
            <w:r w:rsidR="0044757D">
              <w:rPr>
                <w:rFonts w:ascii="Times New Roman" w:hAnsi="Times New Roman"/>
                <w:sz w:val="24"/>
              </w:rPr>
              <w:t>КЛЛД</w:t>
            </w:r>
            <w:r w:rsidRPr="00824EA2">
              <w:rPr>
                <w:rFonts w:ascii="Times New Roman" w:hAnsi="Times New Roman"/>
                <w:sz w:val="24"/>
              </w:rPr>
              <w:t xml:space="preserve">, </w:t>
            </w:r>
            <w:r w:rsidR="0044757D">
              <w:rPr>
                <w:rFonts w:ascii="Times New Roman" w:hAnsi="Times New Roman"/>
                <w:sz w:val="24"/>
              </w:rPr>
              <w:t>КУ</w:t>
            </w:r>
            <w:r w:rsidR="0044757D" w:rsidRPr="00824EA2">
              <w:rPr>
                <w:rFonts w:ascii="Times New Roman" w:hAnsi="Times New Roman"/>
                <w:sz w:val="24"/>
              </w:rPr>
              <w:t xml:space="preserve"> </w:t>
            </w:r>
            <w:r w:rsidRPr="00824EA2">
              <w:rPr>
                <w:rFonts w:ascii="Times New Roman" w:hAnsi="Times New Roman"/>
                <w:sz w:val="24"/>
              </w:rPr>
              <w:t xml:space="preserve">и </w:t>
            </w:r>
            <w:r w:rsidR="0044757D">
              <w:rPr>
                <w:rFonts w:ascii="Times New Roman" w:hAnsi="Times New Roman"/>
                <w:sz w:val="24"/>
              </w:rPr>
              <w:t>ФК</w:t>
            </w:r>
            <w:r w:rsidRPr="00824EA2">
              <w:rPr>
                <w:rFonts w:ascii="Times New Roman" w:hAnsi="Times New Roman"/>
                <w:sz w:val="24"/>
              </w:rPr>
              <w:t>.</w:t>
            </w:r>
          </w:p>
          <w:p w14:paraId="4EA05B1B" w14:textId="77777777" w:rsidR="0062765D" w:rsidRPr="00824EA2" w:rsidRDefault="0062765D" w:rsidP="3B06A011">
            <w:pPr>
              <w:jc w:val="left"/>
              <w:rPr>
                <w:rFonts w:ascii="Times New Roman" w:hAnsi="Times New Roman"/>
                <w:sz w:val="24"/>
              </w:rPr>
            </w:pPr>
            <w:r w:rsidRPr="00824EA2">
              <w:rPr>
                <w:rFonts w:ascii="Times New Roman" w:hAnsi="Times New Roman"/>
                <w:sz w:val="24"/>
              </w:rPr>
              <w:t>Стойността включва корекциите, дължащи се на въздействието на сливания, придобивания и освобождавания в съответствие с член 315, параграфи 1 и 2 от Регламент (ЕС) № 575/2013.</w:t>
            </w:r>
          </w:p>
          <w:p w14:paraId="160B8F2D" w14:textId="548F237C" w:rsidR="00BC5ECA" w:rsidRPr="00824EA2" w:rsidRDefault="00BC5ECA" w:rsidP="3B06A011">
            <w:pPr>
              <w:jc w:val="left"/>
              <w:rPr>
                <w:rFonts w:ascii="Times New Roman" w:hAnsi="Times New Roman"/>
                <w:sz w:val="24"/>
              </w:rPr>
            </w:pPr>
            <w:r w:rsidRPr="00824EA2">
              <w:rPr>
                <w:rFonts w:ascii="Times New Roman" w:hAnsi="Times New Roman"/>
                <w:sz w:val="24"/>
              </w:rPr>
              <w:t xml:space="preserve">В случая на </w:t>
            </w:r>
            <w:r w:rsidR="0044757D">
              <w:rPr>
                <w:rFonts w:ascii="Times New Roman" w:hAnsi="Times New Roman"/>
                <w:sz w:val="24"/>
              </w:rPr>
              <w:t>ФК</w:t>
            </w:r>
            <w:r w:rsidR="0044757D" w:rsidRPr="00824EA2">
              <w:rPr>
                <w:rFonts w:ascii="Times New Roman" w:hAnsi="Times New Roman"/>
                <w:sz w:val="24"/>
              </w:rPr>
              <w:t xml:space="preserve"> </w:t>
            </w:r>
            <w:r w:rsidRPr="00824EA2">
              <w:rPr>
                <w:rFonts w:ascii="Times New Roman" w:hAnsi="Times New Roman"/>
                <w:sz w:val="24"/>
              </w:rPr>
              <w:t>стойността трябва да отразява или счетоводната стойност, определена чрез счетоводния подход, или счетоводната стойност, определена чрез подхода на пруденциалната граница (Prudential Boundary Approach — PBA) за идентифициране на позициите в търговския портфейл и банковия портфейл. Информацията за използвания подход се отчита на ред 0110.</w:t>
            </w:r>
          </w:p>
          <w:p w14:paraId="78D3EEE0" w14:textId="54806951" w:rsidR="00DC6108" w:rsidRPr="00824EA2" w:rsidRDefault="00DC6108" w:rsidP="0062765D">
            <w:pPr>
              <w:jc w:val="left"/>
              <w:rPr>
                <w:rFonts w:ascii="Times New Roman" w:hAnsi="Times New Roman"/>
                <w:sz w:val="24"/>
              </w:rPr>
            </w:pPr>
          </w:p>
        </w:tc>
      </w:tr>
      <w:tr w:rsidR="0062765D" w:rsidRPr="00824EA2" w14:paraId="7AE3F4FB" w14:textId="77777777" w:rsidTr="3B06A011">
        <w:trPr>
          <w:trHeight w:val="300"/>
        </w:trPr>
        <w:tc>
          <w:tcPr>
            <w:tcW w:w="1225" w:type="dxa"/>
          </w:tcPr>
          <w:p w14:paraId="4A8A57B4" w14:textId="12513327" w:rsidR="0062765D" w:rsidRPr="00824EA2" w:rsidRDefault="00132A53" w:rsidP="0062765D">
            <w:pPr>
              <w:rPr>
                <w:rFonts w:ascii="Times New Roman" w:hAnsi="Times New Roman"/>
                <w:sz w:val="24"/>
              </w:rPr>
            </w:pPr>
            <w:r w:rsidRPr="00824EA2">
              <w:rPr>
                <w:rFonts w:ascii="Times New Roman" w:hAnsi="Times New Roman"/>
                <w:sz w:val="24"/>
                <w:lang w:eastAsia="nl-BE"/>
              </w:rPr>
              <w:t>0020</w:t>
            </w:r>
          </w:p>
        </w:tc>
        <w:tc>
          <w:tcPr>
            <w:tcW w:w="7789" w:type="dxa"/>
          </w:tcPr>
          <w:p w14:paraId="3853732D" w14:textId="5024103F" w:rsidR="0062765D" w:rsidRPr="00824EA2" w:rsidRDefault="00174CCC" w:rsidP="00C86126">
            <w:pPr>
              <w:keepNext/>
              <w:jc w:val="left"/>
              <w:rPr>
                <w:rFonts w:ascii="Times New Roman" w:hAnsi="Times New Roman"/>
                <w:b/>
                <w:bCs/>
                <w:sz w:val="24"/>
                <w:u w:val="single"/>
              </w:rPr>
            </w:pPr>
            <w:r>
              <w:rPr>
                <w:rFonts w:ascii="Times New Roman" w:hAnsi="Times New Roman"/>
                <w:b/>
                <w:sz w:val="24"/>
                <w:u w:val="single"/>
              </w:rPr>
              <w:t>В т.ч.</w:t>
            </w:r>
            <w:r w:rsidR="0062765D" w:rsidRPr="00824EA2">
              <w:rPr>
                <w:rFonts w:ascii="Times New Roman" w:hAnsi="Times New Roman"/>
                <w:b/>
                <w:sz w:val="24"/>
                <w:u w:val="single"/>
              </w:rPr>
              <w:t>: корекции, дължащи се на сливане/придобиване на субекти или дейности</w:t>
            </w:r>
          </w:p>
          <w:p w14:paraId="74765691" w14:textId="77777777" w:rsidR="0062765D" w:rsidRPr="00824EA2" w:rsidRDefault="0062765D" w:rsidP="0062765D">
            <w:pPr>
              <w:jc w:val="left"/>
              <w:rPr>
                <w:rFonts w:ascii="Times New Roman" w:hAnsi="Times New Roman"/>
                <w:bCs/>
                <w:sz w:val="24"/>
              </w:rPr>
            </w:pPr>
            <w:r w:rsidRPr="00824EA2">
              <w:rPr>
                <w:rFonts w:ascii="Times New Roman" w:hAnsi="Times New Roman"/>
                <w:sz w:val="24"/>
              </w:rPr>
              <w:t>Частта от стойността, посочена в колона 0010, съответстваща на компонентите на BI, която се дължи на слети или придобити субекти или дейности в съответствие с член 315, параграф 1 от Регламент (ЕС) № 575/2013.</w:t>
            </w:r>
          </w:p>
        </w:tc>
      </w:tr>
      <w:tr w:rsidR="0062765D" w:rsidRPr="00824EA2" w14:paraId="6B1C004B" w14:textId="77777777" w:rsidTr="3B06A011">
        <w:trPr>
          <w:trHeight w:val="300"/>
        </w:trPr>
        <w:tc>
          <w:tcPr>
            <w:tcW w:w="1225" w:type="dxa"/>
          </w:tcPr>
          <w:p w14:paraId="6F365896" w14:textId="129019C1" w:rsidR="0062765D" w:rsidRPr="00824EA2" w:rsidRDefault="00132A53" w:rsidP="0062765D">
            <w:pPr>
              <w:rPr>
                <w:rFonts w:ascii="Times New Roman" w:hAnsi="Times New Roman"/>
                <w:sz w:val="24"/>
                <w:lang w:eastAsia="nl-BE"/>
              </w:rPr>
            </w:pPr>
            <w:r w:rsidRPr="00824EA2">
              <w:rPr>
                <w:rFonts w:ascii="Times New Roman" w:hAnsi="Times New Roman"/>
                <w:sz w:val="24"/>
                <w:lang w:eastAsia="nl-BE"/>
              </w:rPr>
              <w:t>0030</w:t>
            </w:r>
          </w:p>
          <w:p w14:paraId="163A2836" w14:textId="18682A95" w:rsidR="00132A53" w:rsidRPr="00824EA2" w:rsidRDefault="00132A53" w:rsidP="00132A53">
            <w:pPr>
              <w:rPr>
                <w:rFonts w:ascii="Times New Roman" w:hAnsi="Times New Roman"/>
                <w:sz w:val="24"/>
              </w:rPr>
            </w:pPr>
          </w:p>
        </w:tc>
        <w:tc>
          <w:tcPr>
            <w:tcW w:w="7789" w:type="dxa"/>
          </w:tcPr>
          <w:p w14:paraId="5025702A" w14:textId="3D38C4ED"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 xml:space="preserve">(Корекции вследствие на </w:t>
            </w:r>
            <w:r w:rsidR="00174CCC">
              <w:rPr>
                <w:rFonts w:ascii="Times New Roman" w:hAnsi="Times New Roman"/>
                <w:b/>
                <w:sz w:val="24"/>
                <w:u w:val="single"/>
              </w:rPr>
              <w:t>продажба</w:t>
            </w:r>
            <w:r w:rsidR="00506C7A">
              <w:rPr>
                <w:rFonts w:ascii="Times New Roman" w:hAnsi="Times New Roman"/>
                <w:b/>
                <w:sz w:val="24"/>
                <w:u w:val="single"/>
              </w:rPr>
              <w:t xml:space="preserve"> </w:t>
            </w:r>
            <w:r w:rsidR="00174CCC">
              <w:rPr>
                <w:rFonts w:ascii="Times New Roman" w:hAnsi="Times New Roman"/>
                <w:b/>
                <w:sz w:val="24"/>
                <w:u w:val="single"/>
              </w:rPr>
              <w:t>на</w:t>
            </w:r>
            <w:r w:rsidRPr="00824EA2">
              <w:rPr>
                <w:rFonts w:ascii="Times New Roman" w:hAnsi="Times New Roman"/>
                <w:b/>
                <w:sz w:val="24"/>
                <w:u w:val="single"/>
              </w:rPr>
              <w:t xml:space="preserve"> субекти или дейности)</w:t>
            </w:r>
          </w:p>
          <w:p w14:paraId="474CDF36" w14:textId="77777777" w:rsidR="0062765D" w:rsidRPr="00824EA2" w:rsidRDefault="0062765D" w:rsidP="0062765D">
            <w:pPr>
              <w:jc w:val="left"/>
              <w:rPr>
                <w:rFonts w:ascii="Times New Roman" w:hAnsi="Times New Roman"/>
                <w:b/>
                <w:bCs/>
                <w:sz w:val="24"/>
                <w:u w:val="single"/>
              </w:rPr>
            </w:pPr>
            <w:r w:rsidRPr="00824EA2">
              <w:rPr>
                <w:rFonts w:ascii="Times New Roman" w:hAnsi="Times New Roman"/>
                <w:color w:val="000000" w:themeColor="text1"/>
                <w:sz w:val="24"/>
              </w:rPr>
              <w:t>Сумата, изключена от компонентите на BI, свързани с прехвърлени субекти или дейности съгласно член 315, параграф 2 от Регламент (ЕС) № 575/2013.</w:t>
            </w:r>
          </w:p>
        </w:tc>
      </w:tr>
      <w:tr w:rsidR="0062765D" w:rsidRPr="00824EA2" w14:paraId="29E6E185" w14:textId="77777777" w:rsidTr="3B06A011">
        <w:trPr>
          <w:trHeight w:val="300"/>
        </w:trPr>
        <w:tc>
          <w:tcPr>
            <w:tcW w:w="1225" w:type="dxa"/>
          </w:tcPr>
          <w:p w14:paraId="2C4429BE" w14:textId="45E77A56" w:rsidR="0062765D" w:rsidRPr="00824EA2" w:rsidRDefault="00132A53" w:rsidP="0062765D">
            <w:pPr>
              <w:rPr>
                <w:rFonts w:ascii="Times New Roman" w:hAnsi="Times New Roman"/>
                <w:sz w:val="24"/>
              </w:rPr>
            </w:pPr>
            <w:r w:rsidRPr="00824EA2">
              <w:rPr>
                <w:rFonts w:ascii="Times New Roman" w:hAnsi="Times New Roman"/>
                <w:sz w:val="24"/>
                <w:lang w:eastAsia="nl-BE"/>
              </w:rPr>
              <w:t>0040</w:t>
            </w:r>
          </w:p>
        </w:tc>
        <w:tc>
          <w:tcPr>
            <w:tcW w:w="7789" w:type="dxa"/>
          </w:tcPr>
          <w:p w14:paraId="4E023876" w14:textId="4513D957" w:rsidR="0062765D" w:rsidRPr="00824EA2" w:rsidRDefault="0062765D" w:rsidP="00C86126">
            <w:pPr>
              <w:keepNext/>
              <w:rPr>
                <w:rFonts w:ascii="Times New Roman" w:hAnsi="Times New Roman"/>
                <w:b/>
                <w:bCs/>
                <w:sz w:val="24"/>
                <w:u w:val="single"/>
              </w:rPr>
            </w:pPr>
            <w:r w:rsidRPr="00824EA2">
              <w:rPr>
                <w:rFonts w:ascii="Times New Roman" w:hAnsi="Times New Roman"/>
                <w:b/>
                <w:sz w:val="24"/>
                <w:u w:val="single"/>
              </w:rPr>
              <w:t>Капиталови изисквания</w:t>
            </w:r>
          </w:p>
          <w:p w14:paraId="035197F4" w14:textId="37420E0A" w:rsidR="0062765D" w:rsidRPr="00824EA2" w:rsidRDefault="0062765D" w:rsidP="3B06A011">
            <w:pPr>
              <w:rPr>
                <w:rFonts w:ascii="Times New Roman" w:hAnsi="Times New Roman"/>
                <w:sz w:val="24"/>
              </w:rPr>
            </w:pPr>
            <w:r w:rsidRPr="00824EA2">
              <w:rPr>
                <w:rFonts w:ascii="Times New Roman" w:hAnsi="Times New Roman"/>
                <w:sz w:val="24"/>
              </w:rPr>
              <w:t>OFR се изчисляват в съответствие с членове 312—314 от Регламент (ЕС) № 575/2013 (BIC).</w:t>
            </w:r>
          </w:p>
          <w:p w14:paraId="459E44D5" w14:textId="55B6F345" w:rsidR="00C44D1A" w:rsidRPr="00824EA2" w:rsidRDefault="00C44D1A" w:rsidP="00C44D1A">
            <w:pPr>
              <w:rPr>
                <w:rFonts w:ascii="Times New Roman" w:hAnsi="Times New Roman"/>
                <w:sz w:val="24"/>
              </w:rPr>
            </w:pPr>
            <w:r w:rsidRPr="00824EA2">
              <w:rPr>
                <w:rFonts w:ascii="Times New Roman" w:hAnsi="Times New Roman"/>
                <w:sz w:val="24"/>
              </w:rPr>
              <w:t xml:space="preserve">Когато дадена институция подлежи на дерогацията, посочена в член 314, параграф 4 от Регламент (ЕС) № 575/2013, институцията добавя капиталовите изисквания, изчислени съгласно ASA, към капиталовите изисквания, изчислени съгласно BIC, за дейностите по банкиране на </w:t>
            </w:r>
            <w:r w:rsidRPr="00824EA2">
              <w:rPr>
                <w:rFonts w:ascii="Times New Roman" w:hAnsi="Times New Roman"/>
                <w:sz w:val="24"/>
              </w:rPr>
              <w:lastRenderedPageBreak/>
              <w:t>дребно и/или търговско банкиране, които са предмет на дерогацията (тъй като те не са част от рамката за изчисляване на BIC).</w:t>
            </w:r>
          </w:p>
          <w:p w14:paraId="463CE9EC" w14:textId="2BBB634A" w:rsidR="001D111F" w:rsidRPr="00824EA2" w:rsidRDefault="001D111F" w:rsidP="0062765D">
            <w:pPr>
              <w:rPr>
                <w:rFonts w:ascii="Times New Roman" w:hAnsi="Times New Roman"/>
                <w:sz w:val="24"/>
              </w:rPr>
            </w:pPr>
          </w:p>
        </w:tc>
      </w:tr>
      <w:tr w:rsidR="0062765D" w:rsidRPr="00824EA2" w14:paraId="11E50E11" w14:textId="77777777" w:rsidTr="3B06A011">
        <w:trPr>
          <w:trHeight w:val="300"/>
        </w:trPr>
        <w:tc>
          <w:tcPr>
            <w:tcW w:w="1225" w:type="dxa"/>
          </w:tcPr>
          <w:p w14:paraId="19667C8B" w14:textId="5C4CFE98" w:rsidR="0062765D" w:rsidRPr="00824EA2" w:rsidRDefault="00132A53" w:rsidP="0062765D">
            <w:pPr>
              <w:rPr>
                <w:rFonts w:ascii="Times New Roman" w:hAnsi="Times New Roman"/>
                <w:sz w:val="24"/>
              </w:rPr>
            </w:pPr>
            <w:r w:rsidRPr="00824EA2">
              <w:rPr>
                <w:rFonts w:ascii="Times New Roman" w:hAnsi="Times New Roman"/>
                <w:sz w:val="24"/>
                <w:lang w:eastAsia="nl-BE"/>
              </w:rPr>
              <w:lastRenderedPageBreak/>
              <w:t>0050</w:t>
            </w:r>
          </w:p>
        </w:tc>
        <w:tc>
          <w:tcPr>
            <w:tcW w:w="7789" w:type="dxa"/>
          </w:tcPr>
          <w:p w14:paraId="0BC49014" w14:textId="179FE56B" w:rsidR="0062765D" w:rsidRPr="00824EA2" w:rsidRDefault="0062765D" w:rsidP="00C86126">
            <w:pPr>
              <w:keepNext/>
              <w:rPr>
                <w:rFonts w:ascii="Times New Roman" w:hAnsi="Times New Roman"/>
                <w:b/>
                <w:bCs/>
                <w:sz w:val="24"/>
                <w:u w:val="single"/>
              </w:rPr>
            </w:pPr>
            <w:r w:rsidRPr="00824EA2">
              <w:rPr>
                <w:rFonts w:ascii="Times New Roman" w:hAnsi="Times New Roman"/>
                <w:b/>
                <w:sz w:val="24"/>
                <w:u w:val="single"/>
              </w:rPr>
              <w:t>Размер на рисков</w:t>
            </w:r>
            <w:r w:rsidR="00174CCC">
              <w:rPr>
                <w:rFonts w:ascii="Times New Roman" w:hAnsi="Times New Roman"/>
                <w:b/>
                <w:sz w:val="24"/>
                <w:u w:val="single"/>
              </w:rPr>
              <w:t>ата</w:t>
            </w:r>
            <w:r w:rsidRPr="00824EA2">
              <w:rPr>
                <w:rFonts w:ascii="Times New Roman" w:hAnsi="Times New Roman"/>
                <w:b/>
                <w:sz w:val="24"/>
                <w:u w:val="single"/>
              </w:rPr>
              <w:t xml:space="preserve"> експозици</w:t>
            </w:r>
            <w:r w:rsidR="00174CCC">
              <w:rPr>
                <w:rFonts w:ascii="Times New Roman" w:hAnsi="Times New Roman"/>
                <w:b/>
                <w:sz w:val="24"/>
                <w:u w:val="single"/>
              </w:rPr>
              <w:t>я</w:t>
            </w:r>
          </w:p>
          <w:p w14:paraId="0ED80FDB" w14:textId="3CD083EE" w:rsidR="0062765D" w:rsidRPr="00824EA2" w:rsidRDefault="0062765D" w:rsidP="3B06A011">
            <w:pPr>
              <w:rPr>
                <w:rFonts w:ascii="Times New Roman" w:hAnsi="Times New Roman"/>
                <w:sz w:val="24"/>
              </w:rPr>
            </w:pPr>
            <w:r w:rsidRPr="00824EA2">
              <w:rPr>
                <w:rFonts w:ascii="Times New Roman" w:hAnsi="Times New Roman"/>
                <w:sz w:val="24"/>
              </w:rPr>
              <w:t>Общата рискова експозиция (TREA) се изчислява в съответствие с член 92 от Регламент (ЕС) № 575/2013.</w:t>
            </w:r>
          </w:p>
        </w:tc>
      </w:tr>
    </w:tbl>
    <w:p w14:paraId="1B595CEC" w14:textId="77777777" w:rsidR="0062765D" w:rsidRPr="00824EA2" w:rsidRDefault="0062765D" w:rsidP="0062765D">
      <w:pPr>
        <w:spacing w:before="0" w:after="240"/>
        <w:rPr>
          <w:rFonts w:ascii="Times New Roman" w:hAnsi="Times New Roman"/>
          <w:sz w:val="24"/>
          <w:lang w:eastAsia="de-DE"/>
        </w:rPr>
      </w:pPr>
    </w:p>
    <w:p w14:paraId="4E4E8CCB" w14:textId="77777777" w:rsidR="0062765D" w:rsidRPr="00824EA2" w:rsidRDefault="0062765D" w:rsidP="00C86126">
      <w:pPr>
        <w:keepNext/>
        <w:spacing w:before="0" w:after="240"/>
        <w:rPr>
          <w:rFonts w:ascii="Times New Roman" w:hAnsi="Times New Roman"/>
          <w:b/>
          <w:sz w:val="24"/>
        </w:rPr>
      </w:pPr>
      <w:r w:rsidRPr="00824EA2">
        <w:rPr>
          <w:rFonts w:ascii="Times New Roman" w:hAnsi="Times New Roman"/>
          <w:b/>
          <w:sz w:val="24"/>
        </w:rPr>
        <w:t>Указания по редове:</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824EA2"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824EA2" w:rsidRDefault="0062765D" w:rsidP="0062765D">
            <w:pPr>
              <w:spacing w:before="0" w:after="0"/>
              <w:rPr>
                <w:rFonts w:ascii="Times New Roman" w:hAnsi="Times New Roman"/>
                <w:b/>
                <w:bCs/>
                <w:sz w:val="24"/>
              </w:rPr>
            </w:pPr>
            <w:r w:rsidRPr="00824EA2">
              <w:rPr>
                <w:rFonts w:ascii="Times New Roman" w:hAnsi="Times New Roman"/>
                <w:b/>
                <w:sz w:val="24"/>
              </w:rPr>
              <w:t>Редове</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824EA2" w:rsidRDefault="0062765D" w:rsidP="0062765D">
            <w:pPr>
              <w:spacing w:before="0" w:after="0"/>
              <w:jc w:val="left"/>
              <w:rPr>
                <w:rFonts w:ascii="Times New Roman" w:hAnsi="Times New Roman"/>
                <w:sz w:val="24"/>
              </w:rPr>
            </w:pPr>
            <w:r w:rsidRPr="00824EA2">
              <w:rPr>
                <w:rFonts w:ascii="Times New Roman" w:hAnsi="Times New Roman"/>
                <w:b/>
                <w:sz w:val="24"/>
                <w:u w:val="single"/>
              </w:rPr>
              <w:t>Препратки към нормативни актове и указания</w:t>
            </w:r>
          </w:p>
        </w:tc>
      </w:tr>
      <w:tr w:rsidR="00324845" w:rsidRPr="00824EA2"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669F920E" w:rsidR="00324845" w:rsidRPr="00824EA2" w:rsidRDefault="00324845" w:rsidP="00324845">
            <w:pPr>
              <w:rPr>
                <w:rFonts w:ascii="Times New Roman" w:hAnsi="Times New Roman"/>
                <w:sz w:val="24"/>
              </w:rPr>
            </w:pPr>
            <w:r w:rsidRPr="00824EA2">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6C310266"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 xml:space="preserve">Компонент на бизнес индикатора и </w:t>
            </w:r>
            <w:r w:rsidR="00174CCC">
              <w:rPr>
                <w:rFonts w:ascii="Times New Roman" w:hAnsi="Times New Roman"/>
                <w:b/>
                <w:sz w:val="24"/>
                <w:u w:val="single"/>
              </w:rPr>
              <w:t>АСП</w:t>
            </w:r>
          </w:p>
          <w:p w14:paraId="66A9A1ED" w14:textId="73BDAEB6" w:rsidR="00324845" w:rsidRPr="00824EA2" w:rsidRDefault="00324845" w:rsidP="00324845">
            <w:pPr>
              <w:jc w:val="left"/>
              <w:rPr>
                <w:rFonts w:ascii="Times New Roman" w:hAnsi="Times New Roman"/>
                <w:b/>
                <w:bCs/>
                <w:sz w:val="24"/>
                <w:u w:val="single"/>
              </w:rPr>
            </w:pPr>
            <w:r w:rsidRPr="00824EA2">
              <w:rPr>
                <w:rFonts w:ascii="Times New Roman" w:hAnsi="Times New Roman"/>
                <w:sz w:val="24"/>
              </w:rPr>
              <w:t>Член 313 и член 314, параграф 4 от Регламент (ЕС) № 575/2013.</w:t>
            </w:r>
          </w:p>
        </w:tc>
      </w:tr>
      <w:tr w:rsidR="00324845" w:rsidRPr="00824EA2"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12B303D2" w:rsidR="00324845" w:rsidRPr="00824EA2" w:rsidRDefault="00324845" w:rsidP="00324845">
            <w:pPr>
              <w:rPr>
                <w:rFonts w:ascii="Times New Roman" w:hAnsi="Times New Roman"/>
                <w:sz w:val="24"/>
              </w:rPr>
            </w:pPr>
            <w:r w:rsidRPr="00824EA2">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Бизнес индикатор</w:t>
            </w:r>
          </w:p>
          <w:p w14:paraId="75392277" w14:textId="77777777" w:rsidR="00324845" w:rsidRPr="00824EA2" w:rsidRDefault="00324845" w:rsidP="00324845">
            <w:pPr>
              <w:jc w:val="left"/>
              <w:rPr>
                <w:rFonts w:ascii="Times New Roman" w:hAnsi="Times New Roman"/>
                <w:sz w:val="24"/>
              </w:rPr>
            </w:pPr>
            <w:r w:rsidRPr="00824EA2">
              <w:rPr>
                <w:rFonts w:ascii="Times New Roman" w:hAnsi="Times New Roman"/>
                <w:sz w:val="24"/>
              </w:rPr>
              <w:t>Стойността на BI, изчислена в съответствие с член 314, параграф 1 от Регламент (ЕС) № 575/2013.</w:t>
            </w:r>
          </w:p>
          <w:p w14:paraId="2D2342A6" w14:textId="6A52FA99" w:rsidR="00324845" w:rsidRPr="00824EA2" w:rsidRDefault="00324845" w:rsidP="00324845">
            <w:pPr>
              <w:jc w:val="left"/>
              <w:rPr>
                <w:rFonts w:ascii="Times New Roman" w:hAnsi="Times New Roman"/>
                <w:sz w:val="24"/>
              </w:rPr>
            </w:pPr>
            <w:r w:rsidRPr="00824EA2">
              <w:rPr>
                <w:rFonts w:ascii="Times New Roman" w:hAnsi="Times New Roman"/>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324845" w:rsidRPr="00824EA2"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8A655DE" w:rsidR="00324845" w:rsidRPr="00824EA2" w:rsidRDefault="00324845" w:rsidP="00324845">
            <w:pPr>
              <w:rPr>
                <w:rFonts w:ascii="Times New Roman" w:hAnsi="Times New Roman"/>
                <w:sz w:val="24"/>
              </w:rPr>
            </w:pPr>
            <w:r w:rsidRPr="00824EA2">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0837B3F1"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 xml:space="preserve">Компонент </w:t>
            </w:r>
            <w:r w:rsidR="00174CCC">
              <w:rPr>
                <w:rFonts w:ascii="Times New Roman" w:hAnsi="Times New Roman"/>
                <w:b/>
                <w:sz w:val="24"/>
                <w:u w:val="single"/>
              </w:rPr>
              <w:t>“Л</w:t>
            </w:r>
            <w:r w:rsidRPr="00824EA2">
              <w:rPr>
                <w:rFonts w:ascii="Times New Roman" w:hAnsi="Times New Roman"/>
                <w:b/>
                <w:sz w:val="24"/>
                <w:u w:val="single"/>
              </w:rPr>
              <w:t>ихви, лизинг и дивиденти</w:t>
            </w:r>
            <w:r w:rsidR="00174CCC">
              <w:rPr>
                <w:rFonts w:ascii="Times New Roman" w:hAnsi="Times New Roman"/>
                <w:b/>
                <w:sz w:val="24"/>
                <w:u w:val="single"/>
              </w:rPr>
              <w:t>“</w:t>
            </w:r>
          </w:p>
          <w:p w14:paraId="47773943" w14:textId="5BFECD4F" w:rsidR="00324845" w:rsidRPr="00824EA2" w:rsidRDefault="00324845" w:rsidP="00324845">
            <w:pPr>
              <w:jc w:val="left"/>
              <w:rPr>
                <w:rFonts w:ascii="Times New Roman" w:hAnsi="Times New Roman"/>
                <w:b/>
                <w:bCs/>
                <w:sz w:val="24"/>
                <w:u w:val="single"/>
              </w:rPr>
            </w:pPr>
            <w:r w:rsidRPr="00824EA2">
              <w:rPr>
                <w:rFonts w:ascii="Times New Roman" w:hAnsi="Times New Roman"/>
                <w:color w:val="000000" w:themeColor="text1"/>
                <w:sz w:val="24"/>
              </w:rPr>
              <w:t xml:space="preserve">Общата стойност на </w:t>
            </w:r>
            <w:r w:rsidR="00174CCC">
              <w:rPr>
                <w:rFonts w:ascii="Times New Roman" w:hAnsi="Times New Roman"/>
                <w:b/>
                <w:sz w:val="24"/>
                <w:u w:val="single"/>
              </w:rPr>
              <w:t>КЛЛД</w:t>
            </w:r>
            <w:r w:rsidRPr="00824EA2">
              <w:rPr>
                <w:rFonts w:ascii="Times New Roman" w:hAnsi="Times New Roman"/>
                <w:color w:val="000000" w:themeColor="text1"/>
                <w:sz w:val="24"/>
              </w:rPr>
              <w:t xml:space="preserve"> се изчислява в съответствие с член 314, параграф 2 от Регламент (ЕС) № 575/2013 и, когато е приложимо, член 314, параграф 3. </w:t>
            </w:r>
          </w:p>
        </w:tc>
      </w:tr>
      <w:tr w:rsidR="00324845" w:rsidRPr="00824EA2"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203929E6" w:rsidR="00324845" w:rsidRPr="00824EA2" w:rsidRDefault="00324845" w:rsidP="00324845">
            <w:pPr>
              <w:rPr>
                <w:rFonts w:ascii="Times New Roman" w:hAnsi="Times New Roman"/>
                <w:sz w:val="24"/>
              </w:rPr>
            </w:pPr>
            <w:r w:rsidRPr="00824EA2">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45111EBE" w:rsidR="00324845" w:rsidRPr="00824EA2" w:rsidRDefault="00174CCC" w:rsidP="00324845">
            <w:pPr>
              <w:keepNext/>
              <w:jc w:val="left"/>
              <w:rPr>
                <w:rFonts w:ascii="Times New Roman" w:hAnsi="Times New Roman"/>
                <w:b/>
                <w:bCs/>
                <w:sz w:val="24"/>
                <w:u w:val="single"/>
              </w:rPr>
            </w:pPr>
            <w:r>
              <w:rPr>
                <w:rFonts w:ascii="Times New Roman" w:hAnsi="Times New Roman"/>
                <w:b/>
                <w:sz w:val="24"/>
                <w:u w:val="single"/>
              </w:rPr>
              <w:t>КЛЛД</w:t>
            </w:r>
            <w:r w:rsidR="00324845" w:rsidRPr="00824EA2">
              <w:rPr>
                <w:rFonts w:ascii="Times New Roman" w:hAnsi="Times New Roman"/>
                <w:b/>
                <w:sz w:val="24"/>
                <w:u w:val="single"/>
              </w:rPr>
              <w:t xml:space="preserve">, </w:t>
            </w:r>
            <w:r w:rsidR="003E19D9">
              <w:rPr>
                <w:rFonts w:ascii="Times New Roman" w:hAnsi="Times New Roman"/>
                <w:b/>
                <w:sz w:val="24"/>
                <w:u w:val="single"/>
              </w:rPr>
              <w:t>отнасящ се до</w:t>
            </w:r>
            <w:r w:rsidR="00324845" w:rsidRPr="00824EA2">
              <w:rPr>
                <w:rFonts w:ascii="Times New Roman" w:hAnsi="Times New Roman"/>
                <w:b/>
                <w:sz w:val="24"/>
                <w:u w:val="single"/>
              </w:rPr>
              <w:t xml:space="preserve"> отделната институция/консолидираната група (</w:t>
            </w:r>
            <w:r w:rsidR="003E19D9">
              <w:rPr>
                <w:rFonts w:ascii="Times New Roman" w:hAnsi="Times New Roman"/>
                <w:b/>
                <w:sz w:val="24"/>
                <w:u w:val="single"/>
              </w:rPr>
              <w:t>без</w:t>
            </w:r>
            <w:r w:rsidR="00324845" w:rsidRPr="00824EA2">
              <w:rPr>
                <w:rFonts w:ascii="Times New Roman" w:hAnsi="Times New Roman"/>
                <w:b/>
                <w:sz w:val="24"/>
                <w:u w:val="single"/>
              </w:rPr>
              <w:t xml:space="preserve"> субектите, посочени в член 314, параграф 3)</w:t>
            </w:r>
          </w:p>
          <w:p w14:paraId="20179C90" w14:textId="3CD52FB9" w:rsidR="00324845" w:rsidRPr="00824EA2" w:rsidRDefault="00174CCC" w:rsidP="00324845">
            <w:pPr>
              <w:jc w:val="left"/>
              <w:rPr>
                <w:rFonts w:ascii="Times New Roman" w:hAnsi="Times New Roman"/>
                <w:color w:val="000000" w:themeColor="text1"/>
                <w:sz w:val="24"/>
              </w:rPr>
            </w:pPr>
            <w:r>
              <w:rPr>
                <w:rFonts w:ascii="Times New Roman" w:hAnsi="Times New Roman"/>
                <w:b/>
                <w:sz w:val="24"/>
                <w:u w:val="single"/>
              </w:rPr>
              <w:t>КЛЛД</w:t>
            </w:r>
            <w:r w:rsidR="00324845" w:rsidRPr="00824EA2">
              <w:rPr>
                <w:rFonts w:ascii="Times New Roman" w:hAnsi="Times New Roman"/>
                <w:color w:val="000000" w:themeColor="text1"/>
                <w:sz w:val="24"/>
              </w:rPr>
              <w:t xml:space="preserve"> се изчислява в съответствие с член 314, параграф 2 от Регламент (ЕС) № 575/2013.</w:t>
            </w:r>
          </w:p>
          <w:p w14:paraId="44DE0AF1" w14:textId="599497BC"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 xml:space="preserve">В случай на консолидирано отчитане, когато дадена институция подлежи на дерогацията, посочена в член 314, параграф 3 от Регламент (ЕС) № 575/2013, институцията не включва никакви данни, които са част от изчислението на </w:t>
            </w:r>
            <w:r w:rsidR="0044757D">
              <w:rPr>
                <w:rFonts w:ascii="Times New Roman" w:hAnsi="Times New Roman"/>
                <w:sz w:val="24"/>
              </w:rPr>
              <w:t>КЛЛД</w:t>
            </w:r>
            <w:r w:rsidRPr="00824EA2">
              <w:rPr>
                <w:rFonts w:ascii="Times New Roman" w:hAnsi="Times New Roman"/>
                <w:color w:val="000000" w:themeColor="text1"/>
                <w:sz w:val="24"/>
              </w:rPr>
              <w:t>, извършено отделно за тези конкретни дъщерни институции. Вътрешнофирмените салда между дъщерните предприятия, обхванати от този член, и останалата част от групата се премахват.</w:t>
            </w:r>
          </w:p>
          <w:p w14:paraId="35C8E8B1" w14:textId="45CFC125"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62765D" w:rsidRPr="00824EA2"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348DE4BC" w:rsidR="0062765D" w:rsidRPr="00824EA2" w:rsidRDefault="00324845" w:rsidP="0062765D">
            <w:pPr>
              <w:rPr>
                <w:rFonts w:ascii="Times New Roman" w:hAnsi="Times New Roman"/>
                <w:sz w:val="24"/>
              </w:rPr>
            </w:pPr>
            <w:r w:rsidRPr="00824EA2">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2DC2031C" w:rsidR="0062765D" w:rsidRPr="00824EA2" w:rsidRDefault="00174CCC" w:rsidP="00C86126">
            <w:pPr>
              <w:keepNext/>
              <w:jc w:val="left"/>
              <w:rPr>
                <w:rFonts w:ascii="Times New Roman" w:hAnsi="Times New Roman"/>
                <w:b/>
                <w:bCs/>
                <w:sz w:val="24"/>
                <w:u w:val="single"/>
              </w:rPr>
            </w:pPr>
            <w:r>
              <w:rPr>
                <w:rFonts w:ascii="Times New Roman" w:hAnsi="Times New Roman"/>
                <w:b/>
                <w:sz w:val="24"/>
                <w:u w:val="single"/>
              </w:rPr>
              <w:t>КЛЛД</w:t>
            </w:r>
            <w:r w:rsidR="0062765D" w:rsidRPr="00824EA2">
              <w:rPr>
                <w:rFonts w:ascii="Times New Roman" w:hAnsi="Times New Roman"/>
                <w:b/>
                <w:sz w:val="24"/>
                <w:u w:val="single"/>
              </w:rPr>
              <w:t xml:space="preserve"> за субекти, посочени в член 314, параграф 3</w:t>
            </w:r>
          </w:p>
          <w:p w14:paraId="574F1C29" w14:textId="3201A1EB" w:rsidR="0062765D" w:rsidRPr="00824EA2" w:rsidRDefault="0062765D" w:rsidP="0062765D">
            <w:pPr>
              <w:jc w:val="left"/>
              <w:rPr>
                <w:rFonts w:ascii="Times New Roman" w:hAnsi="Times New Roman"/>
                <w:color w:val="000000" w:themeColor="text1"/>
                <w:sz w:val="24"/>
              </w:rPr>
            </w:pPr>
            <w:r w:rsidRPr="00824EA2">
              <w:rPr>
                <w:rFonts w:ascii="Times New Roman" w:hAnsi="Times New Roman"/>
                <w:color w:val="000000" w:themeColor="text1"/>
                <w:sz w:val="24"/>
              </w:rPr>
              <w:t xml:space="preserve">В случай на консолидирано отчитане, когато дадена институция попада в обхвата на дерогацията, посочена в член 314, параграф 3, тя отчита сбора от </w:t>
            </w:r>
            <w:r w:rsidR="0044757D">
              <w:rPr>
                <w:rFonts w:ascii="Times New Roman" w:hAnsi="Times New Roman"/>
                <w:sz w:val="24"/>
              </w:rPr>
              <w:t>КЛЛД</w:t>
            </w:r>
            <w:r w:rsidRPr="00824EA2">
              <w:rPr>
                <w:rFonts w:ascii="Times New Roman" w:hAnsi="Times New Roman"/>
                <w:color w:val="000000" w:themeColor="text1"/>
                <w:sz w:val="24"/>
              </w:rPr>
              <w:t xml:space="preserve"> за тези конкретни дъщерни институции, за които се изчисляват отделни </w:t>
            </w:r>
            <w:r w:rsidR="0044757D" w:rsidRPr="0044757D">
              <w:rPr>
                <w:rFonts w:ascii="Times New Roman" w:hAnsi="Times New Roman"/>
                <w:color w:val="000000" w:themeColor="text1"/>
                <w:sz w:val="24"/>
              </w:rPr>
              <w:t>КЛЛД</w:t>
            </w:r>
            <w:r w:rsidRPr="00824EA2">
              <w:rPr>
                <w:rFonts w:ascii="Times New Roman" w:hAnsi="Times New Roman"/>
                <w:color w:val="000000" w:themeColor="text1"/>
                <w:sz w:val="24"/>
              </w:rPr>
              <w:t xml:space="preserve">. При изчисляване на отделните </w:t>
            </w:r>
            <w:r w:rsidR="0044757D" w:rsidRPr="0044757D">
              <w:rPr>
                <w:rFonts w:ascii="Times New Roman" w:hAnsi="Times New Roman"/>
                <w:color w:val="000000" w:themeColor="text1"/>
                <w:sz w:val="24"/>
              </w:rPr>
              <w:t>КЛЛД</w:t>
            </w:r>
            <w:r w:rsidRPr="00824EA2">
              <w:rPr>
                <w:rFonts w:ascii="Times New Roman" w:hAnsi="Times New Roman"/>
                <w:color w:val="000000" w:themeColor="text1"/>
                <w:sz w:val="24"/>
              </w:rPr>
              <w:t xml:space="preserve"> се премахват вътрешнофирмените салда между дъщерните предприятия и останалата част от групата.</w:t>
            </w:r>
          </w:p>
        </w:tc>
      </w:tr>
      <w:tr w:rsidR="0062765D" w:rsidRPr="00824EA2"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03AD7C15" w:rsidR="0062765D" w:rsidRPr="00824EA2" w:rsidRDefault="00324845" w:rsidP="0062765D">
            <w:pPr>
              <w:rPr>
                <w:rFonts w:ascii="Times New Roman" w:hAnsi="Times New Roman"/>
                <w:sz w:val="24"/>
              </w:rPr>
            </w:pPr>
            <w:r w:rsidRPr="00824EA2">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44D0F9BB"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 xml:space="preserve">Компонент </w:t>
            </w:r>
            <w:r w:rsidR="00174CCC">
              <w:rPr>
                <w:rFonts w:ascii="Times New Roman" w:hAnsi="Times New Roman"/>
                <w:b/>
                <w:sz w:val="24"/>
                <w:u w:val="single"/>
              </w:rPr>
              <w:t>„У</w:t>
            </w:r>
            <w:r w:rsidRPr="00824EA2">
              <w:rPr>
                <w:rFonts w:ascii="Times New Roman" w:hAnsi="Times New Roman"/>
                <w:b/>
                <w:sz w:val="24"/>
                <w:u w:val="single"/>
              </w:rPr>
              <w:t>слуги</w:t>
            </w:r>
            <w:r w:rsidR="00174CCC">
              <w:rPr>
                <w:rFonts w:ascii="Times New Roman" w:hAnsi="Times New Roman"/>
                <w:b/>
                <w:sz w:val="24"/>
                <w:u w:val="single"/>
              </w:rPr>
              <w:t>“</w:t>
            </w:r>
          </w:p>
          <w:p w14:paraId="68E6D128" w14:textId="742461BD" w:rsidR="0062765D" w:rsidRPr="00824EA2" w:rsidRDefault="0062765D" w:rsidP="0062765D">
            <w:pPr>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услугите се изчислява в съответствие с член 314, параграф 5 от Регламент (ЕС) № 575/2013.</w:t>
            </w:r>
          </w:p>
          <w:p w14:paraId="79F2D39A" w14:textId="5C460560" w:rsidR="0062765D" w:rsidRPr="00824EA2" w:rsidRDefault="00F26CC7" w:rsidP="3B06A011">
            <w:pPr>
              <w:jc w:val="left"/>
              <w:rPr>
                <w:rFonts w:ascii="Times New Roman" w:hAnsi="Times New Roman"/>
                <w:color w:val="000000" w:themeColor="text1"/>
                <w:sz w:val="24"/>
              </w:rPr>
            </w:pPr>
            <w:r w:rsidRPr="00824EA2">
              <w:rPr>
                <w:rFonts w:ascii="Times New Roman" w:hAnsi="Times New Roman"/>
                <w:color w:val="000000" w:themeColor="text1"/>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62765D" w:rsidRPr="00824EA2"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20096196" w:rsidR="0062765D" w:rsidRPr="00824EA2" w:rsidRDefault="00324845" w:rsidP="0062765D">
            <w:pPr>
              <w:rPr>
                <w:rFonts w:ascii="Times New Roman" w:hAnsi="Times New Roman"/>
                <w:sz w:val="24"/>
              </w:rPr>
            </w:pPr>
            <w:r w:rsidRPr="00824EA2">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824EA2" w:rsidRDefault="0062765D" w:rsidP="00C86126">
            <w:pPr>
              <w:keepNext/>
              <w:jc w:val="left"/>
              <w:rPr>
                <w:rFonts w:ascii="Times New Roman" w:hAnsi="Times New Roman"/>
                <w:b/>
                <w:bCs/>
                <w:sz w:val="24"/>
                <w:u w:val="single"/>
              </w:rPr>
            </w:pPr>
            <w:r w:rsidRPr="00824EA2">
              <w:rPr>
                <w:rFonts w:ascii="Times New Roman" w:hAnsi="Times New Roman"/>
                <w:b/>
                <w:sz w:val="24"/>
                <w:u w:val="single"/>
              </w:rPr>
              <w:t>Финансов компонент</w:t>
            </w:r>
          </w:p>
          <w:p w14:paraId="25D11A82" w14:textId="58FD16C4" w:rsidR="004A5A87" w:rsidRPr="00824EA2" w:rsidRDefault="004A5A87" w:rsidP="0062765D">
            <w:pPr>
              <w:jc w:val="left"/>
              <w:rPr>
                <w:rFonts w:ascii="Times New Roman" w:hAnsi="Times New Roman"/>
                <w:color w:val="000000" w:themeColor="text1"/>
                <w:sz w:val="24"/>
              </w:rPr>
            </w:pPr>
            <w:r w:rsidRPr="00824EA2">
              <w:rPr>
                <w:rFonts w:ascii="Times New Roman" w:hAnsi="Times New Roman"/>
                <w:color w:val="000000" w:themeColor="text1"/>
                <w:sz w:val="24"/>
              </w:rPr>
              <w:t>Финансовият компонент се изчислява в съответствие с член 314, параграф 6 от Регламент (ЕС) № 575/2013.</w:t>
            </w:r>
          </w:p>
          <w:p w14:paraId="7BCC8437" w14:textId="6365A030" w:rsidR="0062765D" w:rsidRPr="00824EA2" w:rsidRDefault="00F26CC7" w:rsidP="0062765D">
            <w:pPr>
              <w:jc w:val="left"/>
              <w:rPr>
                <w:rFonts w:ascii="Times New Roman" w:hAnsi="Times New Roman"/>
                <w:color w:val="000000" w:themeColor="text1"/>
                <w:sz w:val="24"/>
              </w:rPr>
            </w:pPr>
            <w:r w:rsidRPr="00824EA2">
              <w:rPr>
                <w:rFonts w:ascii="Times New Roman" w:hAnsi="Times New Roman"/>
                <w:color w:val="000000" w:themeColor="text1"/>
                <w:sz w:val="24"/>
              </w:rPr>
              <w:t>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които попадат в обхвата на дерогацията.</w:t>
            </w:r>
          </w:p>
        </w:tc>
      </w:tr>
      <w:tr w:rsidR="00F86288" w:rsidRPr="00824EA2"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22F18B7D" w:rsidR="00F86288" w:rsidRPr="00824EA2" w:rsidRDefault="00324845" w:rsidP="0062765D">
            <w:pPr>
              <w:rPr>
                <w:rFonts w:ascii="Times New Roman" w:hAnsi="Times New Roman"/>
                <w:sz w:val="24"/>
              </w:rPr>
            </w:pPr>
            <w:r w:rsidRPr="00824EA2">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1BC22625" w:rsidR="00F86288" w:rsidRPr="00824EA2" w:rsidRDefault="00174CCC" w:rsidP="00C86126">
            <w:pPr>
              <w:keepNext/>
              <w:jc w:val="left"/>
              <w:rPr>
                <w:rFonts w:ascii="Times New Roman" w:hAnsi="Times New Roman"/>
                <w:b/>
                <w:bCs/>
                <w:sz w:val="24"/>
                <w:u w:val="single"/>
              </w:rPr>
            </w:pPr>
            <w:r>
              <w:rPr>
                <w:rFonts w:ascii="Times New Roman" w:hAnsi="Times New Roman"/>
                <w:b/>
                <w:sz w:val="24"/>
                <w:u w:val="single"/>
              </w:rPr>
              <w:t>АСП</w:t>
            </w:r>
            <w:r w:rsidR="00A8279E" w:rsidRPr="00824EA2">
              <w:rPr>
                <w:rFonts w:ascii="Times New Roman" w:hAnsi="Times New Roman"/>
                <w:b/>
                <w:sz w:val="24"/>
                <w:u w:val="single"/>
              </w:rPr>
              <w:t xml:space="preserve"> </w:t>
            </w:r>
            <w:r w:rsidR="00D21094">
              <w:rPr>
                <w:rFonts w:ascii="Times New Roman" w:hAnsi="Times New Roman"/>
                <w:b/>
                <w:sz w:val="24"/>
                <w:u w:val="single"/>
              </w:rPr>
              <w:t xml:space="preserve">по </w:t>
            </w:r>
            <w:r w:rsidR="00A8279E" w:rsidRPr="00824EA2">
              <w:rPr>
                <w:rFonts w:ascii="Times New Roman" w:hAnsi="Times New Roman"/>
                <w:b/>
                <w:sz w:val="24"/>
                <w:u w:val="single"/>
              </w:rPr>
              <w:t xml:space="preserve"> член 314, параграф 4 (банкиране на дребно)</w:t>
            </w:r>
          </w:p>
          <w:p w14:paraId="35824B06" w14:textId="79A2A47B" w:rsidR="00452946" w:rsidRPr="00824EA2" w:rsidRDefault="00452946" w:rsidP="0062765D">
            <w:pPr>
              <w:jc w:val="left"/>
              <w:rPr>
                <w:rFonts w:ascii="Times New Roman" w:hAnsi="Times New Roman"/>
                <w:sz w:val="24"/>
                <w:u w:val="single"/>
              </w:rPr>
            </w:pPr>
            <w:r w:rsidRPr="00824EA2">
              <w:rPr>
                <w:rFonts w:ascii="Times New Roman" w:hAnsi="Times New Roman"/>
                <w:sz w:val="24"/>
                <w:u w:val="single"/>
              </w:rPr>
              <w:t>Член 314, параграф 4 за групата дейности „банкиране на дребно“</w:t>
            </w:r>
          </w:p>
        </w:tc>
      </w:tr>
      <w:tr w:rsidR="00324845" w:rsidRPr="00824EA2"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4C0926F5" w:rsidR="00324845" w:rsidRPr="00824EA2" w:rsidRDefault="00324845" w:rsidP="00324845">
            <w:pPr>
              <w:rPr>
                <w:rFonts w:ascii="Times New Roman" w:hAnsi="Times New Roman"/>
                <w:sz w:val="24"/>
              </w:rPr>
            </w:pPr>
            <w:r w:rsidRPr="00824EA2">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21238950" w:rsidR="00324845" w:rsidRPr="00824EA2" w:rsidRDefault="00174CCC" w:rsidP="00324845">
            <w:pPr>
              <w:keepNext/>
              <w:jc w:val="left"/>
              <w:rPr>
                <w:rFonts w:ascii="Times New Roman" w:hAnsi="Times New Roman"/>
                <w:b/>
                <w:bCs/>
                <w:sz w:val="24"/>
                <w:u w:val="single"/>
              </w:rPr>
            </w:pPr>
            <w:r>
              <w:rPr>
                <w:rFonts w:ascii="Times New Roman" w:hAnsi="Times New Roman"/>
                <w:b/>
                <w:sz w:val="24"/>
                <w:u w:val="single"/>
              </w:rPr>
              <w:t>АСП</w:t>
            </w:r>
            <w:r w:rsidR="00324845" w:rsidRPr="00824EA2">
              <w:rPr>
                <w:rFonts w:ascii="Times New Roman" w:hAnsi="Times New Roman"/>
                <w:b/>
                <w:sz w:val="24"/>
                <w:u w:val="single"/>
              </w:rPr>
              <w:t xml:space="preserve"> </w:t>
            </w:r>
            <w:r w:rsidR="00D21094">
              <w:rPr>
                <w:rFonts w:ascii="Times New Roman" w:hAnsi="Times New Roman"/>
                <w:b/>
                <w:sz w:val="24"/>
                <w:u w:val="single"/>
              </w:rPr>
              <w:t>по</w:t>
            </w:r>
            <w:r w:rsidR="00324845" w:rsidRPr="00824EA2">
              <w:rPr>
                <w:rFonts w:ascii="Times New Roman" w:hAnsi="Times New Roman"/>
                <w:b/>
                <w:sz w:val="24"/>
                <w:u w:val="single"/>
              </w:rPr>
              <w:t xml:space="preserve"> член 314, параграф 4 (търговско банкиране)</w:t>
            </w:r>
          </w:p>
          <w:p w14:paraId="03643C1A" w14:textId="1F6FF309" w:rsidR="00324845" w:rsidRPr="00824EA2" w:rsidRDefault="00324845" w:rsidP="00324845">
            <w:pPr>
              <w:jc w:val="left"/>
              <w:rPr>
                <w:rFonts w:ascii="Times New Roman" w:hAnsi="Times New Roman"/>
                <w:sz w:val="24"/>
              </w:rPr>
            </w:pPr>
            <w:r w:rsidRPr="00824EA2">
              <w:rPr>
                <w:rFonts w:ascii="Times New Roman" w:hAnsi="Times New Roman"/>
                <w:sz w:val="24"/>
              </w:rPr>
              <w:t>Член 314, параграф 4 за групата дейности „търговско банкиране“</w:t>
            </w:r>
          </w:p>
        </w:tc>
      </w:tr>
      <w:tr w:rsidR="00324845" w:rsidRPr="00824EA2"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16286D02" w:rsidR="00324845" w:rsidRPr="00824EA2" w:rsidRDefault="00324845" w:rsidP="00324845">
            <w:pPr>
              <w:rPr>
                <w:rFonts w:ascii="Times New Roman" w:hAnsi="Times New Roman"/>
                <w:sz w:val="24"/>
              </w:rPr>
            </w:pPr>
            <w:r w:rsidRPr="00824EA2">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1855D481" w:rsidR="00324845" w:rsidRPr="00824EA2" w:rsidRDefault="00324845" w:rsidP="00324845">
            <w:pPr>
              <w:keepNext/>
              <w:jc w:val="left"/>
              <w:rPr>
                <w:rFonts w:ascii="Times New Roman" w:hAnsi="Times New Roman"/>
                <w:b/>
                <w:bCs/>
                <w:sz w:val="24"/>
                <w:u w:val="single"/>
              </w:rPr>
            </w:pPr>
            <w:r w:rsidRPr="00824EA2">
              <w:rPr>
                <w:rFonts w:ascii="Times New Roman" w:hAnsi="Times New Roman"/>
                <w:b/>
                <w:sz w:val="24"/>
                <w:u w:val="single"/>
              </w:rPr>
              <w:t xml:space="preserve">Поясняваща позиция: </w:t>
            </w:r>
            <w:r w:rsidR="00174CCC">
              <w:rPr>
                <w:rFonts w:ascii="Times New Roman" w:hAnsi="Times New Roman"/>
                <w:b/>
                <w:sz w:val="24"/>
                <w:u w:val="single"/>
              </w:rPr>
              <w:t>КЛЛД</w:t>
            </w:r>
            <w:r w:rsidRPr="00824EA2">
              <w:rPr>
                <w:rFonts w:ascii="Times New Roman" w:hAnsi="Times New Roman"/>
                <w:b/>
                <w:sz w:val="24"/>
                <w:u w:val="single"/>
              </w:rPr>
              <w:t xml:space="preserve">, </w:t>
            </w:r>
            <w:r w:rsidR="003E19D9">
              <w:rPr>
                <w:rFonts w:ascii="Times New Roman" w:hAnsi="Times New Roman"/>
                <w:b/>
                <w:sz w:val="24"/>
                <w:u w:val="single"/>
              </w:rPr>
              <w:t>отнасящ се до</w:t>
            </w:r>
            <w:r w:rsidRPr="00824EA2">
              <w:rPr>
                <w:rFonts w:ascii="Times New Roman" w:hAnsi="Times New Roman"/>
                <w:b/>
                <w:sz w:val="24"/>
                <w:u w:val="single"/>
              </w:rPr>
              <w:t xml:space="preserve"> отделната институция/консолидираната група (включително субектите, посочени в член 314, параграф 3)</w:t>
            </w:r>
          </w:p>
          <w:p w14:paraId="0A3600F0" w14:textId="2FC61CD3" w:rsidR="00324845" w:rsidRPr="00824EA2" w:rsidRDefault="00324845" w:rsidP="00324845">
            <w:pPr>
              <w:jc w:val="left"/>
              <w:rPr>
                <w:rFonts w:ascii="Times New Roman" w:hAnsi="Times New Roman"/>
                <w:bCs/>
                <w:sz w:val="24"/>
              </w:rPr>
            </w:pPr>
            <w:r w:rsidRPr="00824EA2">
              <w:rPr>
                <w:rFonts w:ascii="Times New Roman" w:hAnsi="Times New Roman"/>
                <w:sz w:val="24"/>
              </w:rPr>
              <w:t xml:space="preserve">Когато дадена институция е обект на дерогацията, посочена в член 314, параграф 3, тя отчита теоретичните индивидуални или консолидирани </w:t>
            </w:r>
            <w:r w:rsidR="0044757D" w:rsidRPr="0044757D">
              <w:rPr>
                <w:rFonts w:ascii="Times New Roman" w:hAnsi="Times New Roman"/>
                <w:sz w:val="24"/>
              </w:rPr>
              <w:t>КЛЛД</w:t>
            </w:r>
            <w:r w:rsidRPr="00824EA2">
              <w:rPr>
                <w:rFonts w:ascii="Times New Roman" w:hAnsi="Times New Roman"/>
                <w:sz w:val="24"/>
              </w:rPr>
              <w:t>, изчислени в съответствие с член 314, параграф 2 от Регламент (ЕС) № 575/2013, така както ако институцията не прилагаше дерогацията.</w:t>
            </w:r>
          </w:p>
        </w:tc>
      </w:tr>
      <w:tr w:rsidR="00324845" w:rsidRPr="00824EA2"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27EA9DB3" w:rsidR="00324845" w:rsidRPr="00824EA2" w:rsidRDefault="00324845" w:rsidP="00324845">
            <w:pPr>
              <w:rPr>
                <w:rFonts w:ascii="Times New Roman" w:hAnsi="Times New Roman"/>
                <w:sz w:val="24"/>
              </w:rPr>
            </w:pPr>
            <w:r w:rsidRPr="00824EA2">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13F95DE9" w:rsidR="00324845" w:rsidRPr="00824EA2" w:rsidRDefault="003E19D9" w:rsidP="00324845">
            <w:pPr>
              <w:keepNext/>
              <w:jc w:val="left"/>
              <w:rPr>
                <w:rFonts w:ascii="Times New Roman" w:hAnsi="Times New Roman"/>
                <w:b/>
                <w:bCs/>
                <w:sz w:val="24"/>
                <w:u w:val="single"/>
              </w:rPr>
            </w:pPr>
            <w:r>
              <w:rPr>
                <w:rFonts w:ascii="Times New Roman" w:hAnsi="Times New Roman"/>
                <w:b/>
                <w:sz w:val="24"/>
                <w:u w:val="single"/>
              </w:rPr>
              <w:t>П</w:t>
            </w:r>
            <w:r w:rsidR="00324845" w:rsidRPr="00824EA2">
              <w:rPr>
                <w:rFonts w:ascii="Times New Roman" w:hAnsi="Times New Roman"/>
                <w:b/>
                <w:sz w:val="24"/>
                <w:u w:val="single"/>
              </w:rPr>
              <w:t>одход</w:t>
            </w:r>
            <w:r>
              <w:rPr>
                <w:rFonts w:ascii="Times New Roman" w:hAnsi="Times New Roman"/>
                <w:b/>
                <w:sz w:val="24"/>
                <w:u w:val="single"/>
              </w:rPr>
              <w:t>, използван</w:t>
            </w:r>
            <w:r w:rsidR="00324845" w:rsidRPr="00824EA2">
              <w:rPr>
                <w:rFonts w:ascii="Times New Roman" w:hAnsi="Times New Roman"/>
                <w:b/>
                <w:sz w:val="24"/>
                <w:u w:val="single"/>
              </w:rPr>
              <w:t xml:space="preserve"> за изчисляване на </w:t>
            </w:r>
            <w:r w:rsidR="00174CCC">
              <w:rPr>
                <w:rFonts w:ascii="Times New Roman" w:hAnsi="Times New Roman"/>
                <w:b/>
                <w:sz w:val="24"/>
                <w:u w:val="single"/>
              </w:rPr>
              <w:t>ФК</w:t>
            </w:r>
          </w:p>
          <w:p w14:paraId="6D07D0F8" w14:textId="609477E7" w:rsidR="00324845" w:rsidRPr="00824EA2" w:rsidRDefault="00324845" w:rsidP="00324845">
            <w:pPr>
              <w:jc w:val="left"/>
              <w:rPr>
                <w:rFonts w:ascii="Times New Roman" w:hAnsi="Times New Roman"/>
                <w:color w:val="000000" w:themeColor="text1"/>
                <w:sz w:val="24"/>
              </w:rPr>
            </w:pPr>
            <w:r w:rsidRPr="00824EA2">
              <w:rPr>
                <w:rFonts w:ascii="Times New Roman" w:hAnsi="Times New Roman"/>
                <w:color w:val="000000" w:themeColor="text1"/>
                <w:sz w:val="24"/>
              </w:rPr>
              <w:t xml:space="preserve">Институциите докладват използвания от тях подход (счетоводния подход или подхода на пруденциалната граница) за изчисляване на </w:t>
            </w:r>
            <w:r w:rsidR="0044757D">
              <w:rPr>
                <w:rFonts w:ascii="Times New Roman" w:hAnsi="Times New Roman"/>
                <w:color w:val="000000" w:themeColor="text1"/>
                <w:sz w:val="24"/>
              </w:rPr>
              <w:t>ФК</w:t>
            </w:r>
            <w:r w:rsidR="0044757D" w:rsidRPr="00824EA2">
              <w:rPr>
                <w:rFonts w:ascii="Times New Roman" w:hAnsi="Times New Roman"/>
                <w:color w:val="000000" w:themeColor="text1"/>
                <w:sz w:val="24"/>
              </w:rPr>
              <w:t xml:space="preserve"> </w:t>
            </w:r>
            <w:r w:rsidRPr="00824EA2">
              <w:rPr>
                <w:rFonts w:ascii="Times New Roman" w:hAnsi="Times New Roman"/>
                <w:color w:val="000000" w:themeColor="text1"/>
                <w:sz w:val="24"/>
              </w:rPr>
              <w:t>в съответствие с член 314, параграф 6 от Регламент (ЕС) № 575/2013.</w:t>
            </w:r>
          </w:p>
        </w:tc>
      </w:tr>
    </w:tbl>
    <w:p w14:paraId="705ACE51" w14:textId="77777777" w:rsidR="00C601CA" w:rsidRPr="00824EA2"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824EA2">
        <w:rPr>
          <w:rFonts w:ascii="Times New Roman" w:hAnsi="Times New Roman"/>
          <w:b/>
          <w:sz w:val="24"/>
        </w:rPr>
        <w:lastRenderedPageBreak/>
        <w:t>C 16.02 Операционен риск — компонент на бизнес индикатора (OPR BIC)</w:t>
      </w:r>
    </w:p>
    <w:p w14:paraId="66A9EB3D" w14:textId="6EB0A9CD" w:rsidR="00C601CA" w:rsidRPr="00824EA2" w:rsidRDefault="00C601CA" w:rsidP="3B06A011">
      <w:pPr>
        <w:spacing w:before="0" w:after="240"/>
        <w:ind w:left="360" w:hanging="360"/>
        <w:rPr>
          <w:rFonts w:ascii="Times New Roman" w:hAnsi="Times New Roman"/>
          <w:sz w:val="24"/>
        </w:rPr>
      </w:pPr>
      <w:r w:rsidRPr="00824EA2">
        <w:rPr>
          <w:rStyle w:val="DNEx2"/>
        </w:rPr>
        <w:t xml:space="preserve">141 </w:t>
      </w:r>
      <w:r w:rsidR="001C00F3" w:rsidRPr="00824EA2">
        <w:rPr>
          <w:rStyle w:val="DNEx2"/>
        </w:rPr>
        <w:t>и</w:t>
      </w:r>
      <w:r w:rsidRPr="00824EA2">
        <w:rPr>
          <w:rStyle w:val="DNEx2"/>
        </w:rPr>
        <w:t>.</w:t>
      </w:r>
      <w:r w:rsidRPr="00824EA2">
        <w:rPr>
          <w:rFonts w:ascii="Times New Roman" w:hAnsi="Times New Roman"/>
          <w:sz w:val="24"/>
        </w:rPr>
        <w:t xml:space="preserve"> Институциите докладват подробна информация за всяка от последните три финансови години относно сумите по съответния списък с позиции, които следва да бъдат включени в изчисляването на подкомпонентите на BI, които допринасят за изчисляването на OFR за операционен риск. Когато е приложимо, се изчисляват средните стойности за целия период (обхващащ последните три финансови години), за да се определят компонентите на BI, които се включват в изчислението на OFR, както е представено в C 16.01.</w:t>
      </w:r>
    </w:p>
    <w:p w14:paraId="1FB28011" w14:textId="0A6F0C25" w:rsidR="00C601CA" w:rsidRPr="00824EA2" w:rsidRDefault="00C601CA" w:rsidP="3B06A011">
      <w:pPr>
        <w:spacing w:before="0" w:after="240"/>
        <w:ind w:left="360" w:hanging="360"/>
        <w:rPr>
          <w:rFonts w:ascii="Times New Roman" w:hAnsi="Times New Roman"/>
          <w:sz w:val="24"/>
        </w:rPr>
      </w:pPr>
      <w:r w:rsidRPr="00824EA2">
        <w:rPr>
          <w:rStyle w:val="DNEx2"/>
        </w:rPr>
        <w:t xml:space="preserve">141 </w:t>
      </w:r>
      <w:r w:rsidR="001C00F3" w:rsidRPr="00824EA2">
        <w:rPr>
          <w:rStyle w:val="DNEx2"/>
        </w:rPr>
        <w:t>и</w:t>
      </w:r>
      <w:r w:rsidRPr="00824EA2">
        <w:rPr>
          <w:rStyle w:val="DNEx2"/>
        </w:rPr>
        <w:t>a.</w:t>
      </w:r>
      <w:r w:rsidRPr="00824EA2">
        <w:rPr>
          <w:rFonts w:ascii="Times New Roman" w:hAnsi="Times New Roman"/>
          <w:sz w:val="24"/>
        </w:rPr>
        <w:t xml:space="preserve"> В съответствие с член 314, параграф 8 от Регламент (ЕС) № 575/2013, когато няма налични исторически данни, институциите отчитат насочени към бъдещето приблизителни бизнес оценки. Когато институцията разполага с налични данни за по-малко от 3 години, свързани с подробните позиции, които се включват в компонентите на BI, наличните исторически данни (одитирани данни) се отнасят по приоритет към съответните колони в образеца. Когато институцията разполага с исторически данни, свързани с компонентите на BI, само за една година, стойностите се отчитат в колоната, съответстваща на последната година (напр. „миналата година“), а насочените към бъдещето приблизителни бизнес оценки се включват съответно в година -2 и година -3, докато тези данни станат налични.</w:t>
      </w:r>
    </w:p>
    <w:p w14:paraId="1DE7DE26" w14:textId="43390EB9" w:rsidR="00C601CA" w:rsidRPr="00824EA2" w:rsidRDefault="00C601CA" w:rsidP="3B06A011">
      <w:pPr>
        <w:spacing w:before="0" w:after="240"/>
        <w:ind w:left="360" w:hanging="360"/>
        <w:rPr>
          <w:rFonts w:ascii="Times New Roman" w:hAnsi="Times New Roman"/>
          <w:sz w:val="24"/>
        </w:rPr>
      </w:pPr>
      <w:r w:rsidRPr="00824EA2">
        <w:rPr>
          <w:rStyle w:val="DNEx2"/>
        </w:rPr>
        <w:t xml:space="preserve">141 </w:t>
      </w:r>
      <w:r w:rsidR="001C00F3" w:rsidRPr="00824EA2">
        <w:rPr>
          <w:rStyle w:val="DNEx2"/>
        </w:rPr>
        <w:t>иб</w:t>
      </w:r>
      <w:r w:rsidRPr="00824EA2">
        <w:rPr>
          <w:rStyle w:val="DNEx2"/>
        </w:rPr>
        <w:t>.</w:t>
      </w:r>
      <w:r w:rsidRPr="00824EA2">
        <w:rPr>
          <w:rFonts w:ascii="Times New Roman" w:hAnsi="Times New Roman"/>
          <w:sz w:val="24"/>
        </w:rPr>
        <w:t xml:space="preserve"> В случай на консолидирано отчитане, когато дадена институция е обект на дерогацията, посочена в член 314, параграф 3, тя не включва в подпозициите, които са част от изчислението на </w:t>
      </w:r>
      <w:r w:rsidR="0044757D" w:rsidRPr="0044757D">
        <w:rPr>
          <w:rFonts w:ascii="Times New Roman" w:hAnsi="Times New Roman"/>
          <w:sz w:val="24"/>
        </w:rPr>
        <w:t>КЛЛД</w:t>
      </w:r>
      <w:r w:rsidRPr="00824EA2">
        <w:rPr>
          <w:rFonts w:ascii="Times New Roman" w:hAnsi="Times New Roman"/>
          <w:sz w:val="24"/>
        </w:rPr>
        <w:t xml:space="preserve"> (в редове 0010—0210), никакви данни, свързани с конкретните дъщерни институции, чиито </w:t>
      </w:r>
      <w:r w:rsidR="0044757D" w:rsidRPr="0044757D">
        <w:rPr>
          <w:rFonts w:ascii="Times New Roman" w:hAnsi="Times New Roman"/>
          <w:sz w:val="24"/>
        </w:rPr>
        <w:t>КЛЛД</w:t>
      </w:r>
      <w:r w:rsidRPr="00824EA2">
        <w:rPr>
          <w:rFonts w:ascii="Times New Roman" w:hAnsi="Times New Roman"/>
          <w:sz w:val="24"/>
        </w:rPr>
        <w:t xml:space="preserve"> се изчисляват отделно. </w:t>
      </w:r>
      <w:bookmarkStart w:id="58" w:name="_Hlk156469703"/>
      <w:r w:rsidRPr="00824EA2">
        <w:rPr>
          <w:rFonts w:ascii="Times New Roman" w:hAnsi="Times New Roman"/>
          <w:sz w:val="24"/>
        </w:rPr>
        <w:t>Вътрешнофирмените салда между дъщерното предприятие, обхванато от този член, и останалата част от групата се премахват.</w:t>
      </w:r>
      <w:bookmarkEnd w:id="58"/>
    </w:p>
    <w:p w14:paraId="634226B4" w14:textId="48B4A829" w:rsidR="00C601CA" w:rsidRPr="00824EA2" w:rsidRDefault="00C601CA" w:rsidP="00C601CA">
      <w:pPr>
        <w:spacing w:before="0" w:after="240"/>
        <w:ind w:left="360" w:hanging="360"/>
        <w:rPr>
          <w:rFonts w:ascii="Times New Roman" w:hAnsi="Times New Roman"/>
          <w:sz w:val="24"/>
        </w:rPr>
      </w:pPr>
      <w:r w:rsidRPr="00824EA2">
        <w:rPr>
          <w:rStyle w:val="DNEx2"/>
        </w:rPr>
        <w:t xml:space="preserve">141 </w:t>
      </w:r>
      <w:r w:rsidR="001C00F3" w:rsidRPr="00824EA2">
        <w:rPr>
          <w:rStyle w:val="DNEx2"/>
        </w:rPr>
        <w:t>ив</w:t>
      </w:r>
      <w:r w:rsidRPr="00824EA2">
        <w:rPr>
          <w:rStyle w:val="DNEx2"/>
        </w:rPr>
        <w:t>.</w:t>
      </w:r>
      <w:r w:rsidRPr="00824EA2">
        <w:rPr>
          <w:rFonts w:ascii="Times New Roman" w:hAnsi="Times New Roman"/>
          <w:sz w:val="24"/>
        </w:rPr>
        <w:t xml:space="preserve"> Когато дадена институция е обект на дерогацията, посочена в член 314, параграф 4 от Регламент (ЕС) № 575/2013, институцията не включва никакви данни от дейностите по банкиране на дребно и/или търговско банкиране в този образец.</w:t>
      </w:r>
    </w:p>
    <w:p w14:paraId="28DA4CC5" w14:textId="77777777" w:rsidR="00F11F65" w:rsidRPr="00824EA2" w:rsidRDefault="00F11F65" w:rsidP="00C86126">
      <w:pPr>
        <w:keepNext/>
        <w:spacing w:before="0" w:after="240"/>
        <w:ind w:left="36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824EA2" w14:paraId="2FDB9FF0" w14:textId="77777777" w:rsidTr="3B06A011">
        <w:trPr>
          <w:trHeight w:val="300"/>
        </w:trPr>
        <w:tc>
          <w:tcPr>
            <w:tcW w:w="1260" w:type="dxa"/>
            <w:shd w:val="clear" w:color="auto" w:fill="BFBFBF" w:themeFill="background1" w:themeFillShade="BF"/>
          </w:tcPr>
          <w:p w14:paraId="58528F69" w14:textId="77777777" w:rsidR="00084CC2" w:rsidRPr="00824EA2" w:rsidRDefault="00084CC2">
            <w:pPr>
              <w:autoSpaceDE w:val="0"/>
              <w:autoSpaceDN w:val="0"/>
              <w:adjustRightInd w:val="0"/>
              <w:spacing w:before="0" w:after="0"/>
              <w:rPr>
                <w:rFonts w:ascii="Times New Roman" w:hAnsi="Times New Roman"/>
                <w:b/>
                <w:sz w:val="24"/>
              </w:rPr>
            </w:pPr>
            <w:r w:rsidRPr="00824EA2">
              <w:rPr>
                <w:rFonts w:ascii="Times New Roman" w:hAnsi="Times New Roman"/>
                <w:b/>
                <w:sz w:val="24"/>
              </w:rPr>
              <w:t>Колони</w:t>
            </w:r>
          </w:p>
        </w:tc>
        <w:tc>
          <w:tcPr>
            <w:tcW w:w="7756" w:type="dxa"/>
            <w:shd w:val="clear" w:color="auto" w:fill="BFBFBF" w:themeFill="background1" w:themeFillShade="BF"/>
          </w:tcPr>
          <w:p w14:paraId="72548768" w14:textId="77777777" w:rsidR="00084CC2" w:rsidRPr="00824EA2" w:rsidDel="00B46ADB" w:rsidRDefault="00084CC2">
            <w:pPr>
              <w:autoSpaceDE w:val="0"/>
              <w:autoSpaceDN w:val="0"/>
              <w:adjustRightInd w:val="0"/>
              <w:spacing w:before="0" w:after="0"/>
              <w:jc w:val="left"/>
              <w:rPr>
                <w:rFonts w:ascii="Times New Roman" w:hAnsi="Times New Roman"/>
                <w:bCs/>
                <w:sz w:val="24"/>
                <w:u w:val="single"/>
              </w:rPr>
            </w:pPr>
            <w:r w:rsidRPr="00824EA2">
              <w:rPr>
                <w:rFonts w:ascii="Times New Roman" w:hAnsi="Times New Roman"/>
                <w:b/>
                <w:sz w:val="24"/>
              </w:rPr>
              <w:t>Препратки към нормативни актове и указания</w:t>
            </w:r>
          </w:p>
        </w:tc>
      </w:tr>
      <w:tr w:rsidR="00084CC2" w:rsidRPr="00824EA2" w14:paraId="36E0086D" w14:textId="77777777" w:rsidTr="3B06A011">
        <w:trPr>
          <w:trHeight w:val="300"/>
        </w:trPr>
        <w:tc>
          <w:tcPr>
            <w:tcW w:w="1260" w:type="dxa"/>
          </w:tcPr>
          <w:p w14:paraId="7E39705F" w14:textId="77777777" w:rsidR="00BF5737" w:rsidRPr="00824EA2" w:rsidRDefault="00BF5737" w:rsidP="00BF5737">
            <w:pPr>
              <w:autoSpaceDE w:val="0"/>
              <w:autoSpaceDN w:val="0"/>
              <w:adjustRightInd w:val="0"/>
              <w:rPr>
                <w:rFonts w:ascii="Times New Roman" w:hAnsi="Times New Roman"/>
                <w:bCs/>
                <w:sz w:val="24"/>
                <w:lang w:eastAsia="nl-BE"/>
              </w:rPr>
            </w:pPr>
            <w:r w:rsidRPr="00824EA2">
              <w:rPr>
                <w:rFonts w:ascii="Times New Roman" w:hAnsi="Times New Roman"/>
                <w:bCs/>
                <w:sz w:val="24"/>
                <w:lang w:eastAsia="nl-BE"/>
              </w:rPr>
              <w:t xml:space="preserve">0010, </w:t>
            </w:r>
          </w:p>
          <w:p w14:paraId="7C98F8B3" w14:textId="77777777" w:rsidR="00BF5737" w:rsidRPr="00824EA2" w:rsidRDefault="00BF5737" w:rsidP="00BF5737">
            <w:pPr>
              <w:autoSpaceDE w:val="0"/>
              <w:autoSpaceDN w:val="0"/>
              <w:adjustRightInd w:val="0"/>
              <w:rPr>
                <w:rFonts w:ascii="Times New Roman" w:hAnsi="Times New Roman"/>
                <w:bCs/>
                <w:sz w:val="24"/>
                <w:lang w:eastAsia="nl-BE"/>
              </w:rPr>
            </w:pPr>
            <w:r w:rsidRPr="00824EA2">
              <w:rPr>
                <w:rFonts w:ascii="Times New Roman" w:hAnsi="Times New Roman"/>
                <w:bCs/>
                <w:sz w:val="24"/>
                <w:lang w:eastAsia="nl-BE"/>
              </w:rPr>
              <w:t xml:space="preserve">0030, </w:t>
            </w:r>
          </w:p>
          <w:p w14:paraId="1B0A4794" w14:textId="346CEC9E" w:rsidR="00084CC2" w:rsidRPr="00824EA2" w:rsidRDefault="00BF5737">
            <w:pPr>
              <w:autoSpaceDE w:val="0"/>
              <w:autoSpaceDN w:val="0"/>
              <w:adjustRightInd w:val="0"/>
              <w:rPr>
                <w:rFonts w:ascii="Times New Roman" w:hAnsi="Times New Roman"/>
                <w:bCs/>
                <w:sz w:val="24"/>
              </w:rPr>
            </w:pPr>
            <w:r w:rsidRPr="00824EA2">
              <w:rPr>
                <w:rFonts w:ascii="Times New Roman" w:hAnsi="Times New Roman"/>
                <w:bCs/>
                <w:sz w:val="24"/>
                <w:lang w:eastAsia="nl-BE"/>
              </w:rPr>
              <w:t>0050</w:t>
            </w:r>
          </w:p>
        </w:tc>
        <w:tc>
          <w:tcPr>
            <w:tcW w:w="7756" w:type="dxa"/>
          </w:tcPr>
          <w:p w14:paraId="7468A977" w14:textId="497D171E" w:rsidR="00084CC2" w:rsidRPr="00824EA2" w:rsidRDefault="00084CC2" w:rsidP="00C86126">
            <w:pPr>
              <w:keepNext/>
              <w:autoSpaceDE w:val="0"/>
              <w:autoSpaceDN w:val="0"/>
              <w:adjustRightInd w:val="0"/>
              <w:jc w:val="left"/>
              <w:rPr>
                <w:rFonts w:ascii="Times New Roman" w:hAnsi="Times New Roman"/>
                <w:sz w:val="24"/>
              </w:rPr>
            </w:pPr>
            <w:r w:rsidRPr="00824EA2">
              <w:rPr>
                <w:rFonts w:ascii="Times New Roman" w:hAnsi="Times New Roman"/>
                <w:b/>
                <w:sz w:val="24"/>
                <w:u w:val="single"/>
              </w:rPr>
              <w:t>Счетоводна стойност</w:t>
            </w:r>
          </w:p>
          <w:p w14:paraId="6E3A3CFA" w14:textId="502027D5" w:rsidR="00084CC2" w:rsidRPr="00824EA2" w:rsidRDefault="00084CC2" w:rsidP="3B06A011">
            <w:pPr>
              <w:autoSpaceDE w:val="0"/>
              <w:autoSpaceDN w:val="0"/>
              <w:adjustRightInd w:val="0"/>
              <w:rPr>
                <w:rFonts w:ascii="Times New Roman" w:hAnsi="Times New Roman"/>
                <w:sz w:val="24"/>
              </w:rPr>
            </w:pPr>
            <w:r w:rsidRPr="00824EA2">
              <w:rPr>
                <w:rFonts w:ascii="Times New Roman" w:hAnsi="Times New Roman"/>
                <w:sz w:val="24"/>
              </w:rPr>
              <w:t>Стойността съгласно счетоводния стандарт за списъка от позиции, които са включени в подкомпонентите и компонентите (</w:t>
            </w:r>
            <w:r w:rsidR="0044757D" w:rsidRPr="0044757D">
              <w:rPr>
                <w:rFonts w:ascii="Times New Roman" w:hAnsi="Times New Roman"/>
                <w:sz w:val="24"/>
              </w:rPr>
              <w:t>КЛЛД</w:t>
            </w:r>
            <w:r w:rsidRPr="00824EA2">
              <w:rPr>
                <w:rFonts w:ascii="Times New Roman" w:hAnsi="Times New Roman"/>
                <w:sz w:val="24"/>
              </w:rPr>
              <w:t xml:space="preserve">, </w:t>
            </w:r>
            <w:r w:rsidR="0044757D">
              <w:rPr>
                <w:rFonts w:ascii="Times New Roman" w:hAnsi="Times New Roman"/>
                <w:sz w:val="24"/>
              </w:rPr>
              <w:t>КУ</w:t>
            </w:r>
            <w:r w:rsidR="0044757D" w:rsidRPr="00824EA2">
              <w:rPr>
                <w:rFonts w:ascii="Times New Roman" w:hAnsi="Times New Roman"/>
                <w:sz w:val="24"/>
              </w:rPr>
              <w:t xml:space="preserve"> </w:t>
            </w:r>
            <w:r w:rsidRPr="00824EA2">
              <w:rPr>
                <w:rFonts w:ascii="Times New Roman" w:hAnsi="Times New Roman"/>
                <w:sz w:val="24"/>
              </w:rPr>
              <w:t xml:space="preserve">и </w:t>
            </w:r>
            <w:r w:rsidR="0044757D">
              <w:rPr>
                <w:rFonts w:ascii="Times New Roman" w:hAnsi="Times New Roman"/>
                <w:sz w:val="24"/>
              </w:rPr>
              <w:t>ФК</w:t>
            </w:r>
            <w:r w:rsidRPr="00824EA2">
              <w:rPr>
                <w:rFonts w:ascii="Times New Roman" w:hAnsi="Times New Roman"/>
                <w:sz w:val="24"/>
              </w:rPr>
              <w:t>), формиращи част от изчислението на BI за всяка от последните три финансови години.</w:t>
            </w:r>
          </w:p>
          <w:p w14:paraId="4B4241AC" w14:textId="77777777" w:rsidR="00084CC2" w:rsidRPr="00824EA2" w:rsidRDefault="00084CC2" w:rsidP="3B06A011">
            <w:pPr>
              <w:rPr>
                <w:rFonts w:ascii="Times New Roman" w:hAnsi="Times New Roman"/>
                <w:sz w:val="24"/>
              </w:rPr>
            </w:pPr>
            <w:r w:rsidRPr="00824EA2">
              <w:rPr>
                <w:rFonts w:ascii="Times New Roman" w:hAnsi="Times New Roman"/>
                <w:sz w:val="24"/>
              </w:rPr>
              <w:t>Институциите редовно преразглеждат счетоводните стойности, отчетени в колони 0010 и 0030, и когато е приложимо, ги коригират, за да отразят въздействието на сливания, придобивания и освобождавания в съответствие с член 315, параграфи 1 и 2 от Регламент (ЕС) № 575/2013.</w:t>
            </w:r>
          </w:p>
          <w:p w14:paraId="47DE5141" w14:textId="60D98C68" w:rsidR="00084CC2" w:rsidRPr="00824EA2" w:rsidRDefault="00084CC2">
            <w:pPr>
              <w:rPr>
                <w:rFonts w:ascii="Times New Roman" w:hAnsi="Times New Roman"/>
                <w:bCs/>
                <w:sz w:val="24"/>
              </w:rPr>
            </w:pPr>
            <w:r w:rsidRPr="00824EA2">
              <w:rPr>
                <w:rFonts w:ascii="Times New Roman" w:hAnsi="Times New Roman"/>
                <w:sz w:val="24"/>
              </w:rPr>
              <w:t xml:space="preserve">В случай на позиции, които са част от подкомпонентите за изчисление на </w:t>
            </w:r>
            <w:r w:rsidR="0044757D">
              <w:rPr>
                <w:rFonts w:ascii="Times New Roman" w:hAnsi="Times New Roman"/>
                <w:sz w:val="24"/>
              </w:rPr>
              <w:t>ФК</w:t>
            </w:r>
            <w:r w:rsidRPr="00824EA2">
              <w:rPr>
                <w:rFonts w:ascii="Times New Roman" w:hAnsi="Times New Roman"/>
                <w:sz w:val="24"/>
              </w:rPr>
              <w:t xml:space="preserve">, стойността съгласно счетоводния подход за определяне на позициите от търговския портфейл и банковия портфейл следва да се отчита дори ако институцията изчислява </w:t>
            </w:r>
            <w:r w:rsidR="0044757D">
              <w:rPr>
                <w:rFonts w:ascii="Times New Roman" w:hAnsi="Times New Roman"/>
                <w:sz w:val="24"/>
              </w:rPr>
              <w:t>ФК</w:t>
            </w:r>
            <w:r w:rsidR="0044757D" w:rsidRPr="00824EA2">
              <w:rPr>
                <w:rFonts w:ascii="Times New Roman" w:hAnsi="Times New Roman"/>
                <w:sz w:val="24"/>
              </w:rPr>
              <w:t xml:space="preserve"> </w:t>
            </w:r>
            <w:r w:rsidRPr="00824EA2">
              <w:rPr>
                <w:rFonts w:ascii="Times New Roman" w:hAnsi="Times New Roman"/>
                <w:sz w:val="24"/>
              </w:rPr>
              <w:t xml:space="preserve">съгласно пруденциалния подход за определяне на тези позиции (подход на пруденциална граница (PBA)). </w:t>
            </w:r>
          </w:p>
        </w:tc>
      </w:tr>
      <w:tr w:rsidR="00BF5737" w:rsidRPr="00824EA2" w14:paraId="46E17FC3" w14:textId="77777777" w:rsidTr="3B06A011">
        <w:trPr>
          <w:trHeight w:val="300"/>
        </w:trPr>
        <w:tc>
          <w:tcPr>
            <w:tcW w:w="1260" w:type="dxa"/>
          </w:tcPr>
          <w:p w14:paraId="4BB000F5" w14:textId="55A4126C" w:rsidR="00BF5737" w:rsidRPr="00824EA2" w:rsidRDefault="00BF5737" w:rsidP="00BF5737">
            <w:pPr>
              <w:autoSpaceDE w:val="0"/>
              <w:autoSpaceDN w:val="0"/>
              <w:adjustRightInd w:val="0"/>
              <w:rPr>
                <w:rFonts w:ascii="Times New Roman" w:hAnsi="Times New Roman"/>
                <w:bCs/>
                <w:sz w:val="24"/>
              </w:rPr>
            </w:pPr>
            <w:r w:rsidRPr="00824EA2">
              <w:rPr>
                <w:rFonts w:ascii="Times New Roman" w:hAnsi="Times New Roman"/>
                <w:bCs/>
                <w:sz w:val="24"/>
                <w:lang w:eastAsia="nl-BE"/>
              </w:rPr>
              <w:lastRenderedPageBreak/>
              <w:t>0020, 0040, 0060</w:t>
            </w:r>
          </w:p>
        </w:tc>
        <w:tc>
          <w:tcPr>
            <w:tcW w:w="7756" w:type="dxa"/>
          </w:tcPr>
          <w:p w14:paraId="3A219C28" w14:textId="53A5FE0C" w:rsidR="00BF5737" w:rsidRPr="00824EA2" w:rsidRDefault="00BF5737" w:rsidP="00BF5737">
            <w:pPr>
              <w:keepNext/>
              <w:autoSpaceDE w:val="0"/>
              <w:autoSpaceDN w:val="0"/>
              <w:adjustRightInd w:val="0"/>
              <w:rPr>
                <w:rFonts w:ascii="Times New Roman" w:hAnsi="Times New Roman"/>
                <w:sz w:val="24"/>
              </w:rPr>
            </w:pPr>
            <w:r w:rsidRPr="00824EA2">
              <w:rPr>
                <w:rFonts w:ascii="Times New Roman" w:hAnsi="Times New Roman"/>
                <w:b/>
                <w:sz w:val="24"/>
                <w:u w:val="single"/>
              </w:rPr>
              <w:t>Стойност — подход на пруденциална</w:t>
            </w:r>
            <w:r w:rsidR="003E19D9">
              <w:rPr>
                <w:rFonts w:ascii="Times New Roman" w:hAnsi="Times New Roman"/>
                <w:b/>
                <w:sz w:val="24"/>
                <w:u w:val="single"/>
              </w:rPr>
              <w:t>та</w:t>
            </w:r>
            <w:r w:rsidRPr="00824EA2">
              <w:rPr>
                <w:rFonts w:ascii="Times New Roman" w:hAnsi="Times New Roman"/>
                <w:b/>
                <w:sz w:val="24"/>
                <w:u w:val="single"/>
              </w:rPr>
              <w:t xml:space="preserve"> граница</w:t>
            </w:r>
          </w:p>
          <w:p w14:paraId="36708C9D" w14:textId="14EC6732"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 xml:space="preserve">Стойността съгласно счетоводния стандарт за списъка от позиции, които се включват в изчислението на подкомпонентите на </w:t>
            </w:r>
            <w:r w:rsidR="0044757D">
              <w:rPr>
                <w:rFonts w:ascii="Times New Roman" w:hAnsi="Times New Roman"/>
                <w:sz w:val="24"/>
              </w:rPr>
              <w:t>ФК</w:t>
            </w:r>
            <w:r w:rsidRPr="00824EA2">
              <w:rPr>
                <w:rFonts w:ascii="Times New Roman" w:hAnsi="Times New Roman"/>
                <w:sz w:val="24"/>
              </w:rPr>
              <w:t>, изчислени съгласно пруденциалния подход (PBA), за определяне на позициите на търговския портфейл и банковия портфейл за всяка от последните три финансови години.</w:t>
            </w:r>
          </w:p>
          <w:p w14:paraId="16CF33F6" w14:textId="37510702"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Не се отчитат стойности, когато институцията не използва PBA (или е избрала да се върне към счетоводния подход).</w:t>
            </w:r>
          </w:p>
          <w:p w14:paraId="26091E70" w14:textId="77777777"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Институциите редовно преразглеждат стойностите, отчетени в колони 0020 и 0040, и когато е приложимо, ги коригират, за да отразят въздействието на сливания, придобивания и освобождавания в съответствие с член 315, параграфи 1 и 2 от Регламент (ЕС) № 575/2013.</w:t>
            </w:r>
          </w:p>
        </w:tc>
      </w:tr>
      <w:tr w:rsidR="00BF5737" w:rsidRPr="00824EA2" w14:paraId="186E3B5C" w14:textId="77777777" w:rsidTr="3B06A011">
        <w:trPr>
          <w:trHeight w:val="300"/>
        </w:trPr>
        <w:tc>
          <w:tcPr>
            <w:tcW w:w="1260" w:type="dxa"/>
          </w:tcPr>
          <w:p w14:paraId="53EF23D8" w14:textId="4C3FB4D7" w:rsidR="00BF5737" w:rsidRPr="00824EA2" w:rsidRDefault="00BF5737" w:rsidP="00BF5737">
            <w:pPr>
              <w:autoSpaceDE w:val="0"/>
              <w:autoSpaceDN w:val="0"/>
              <w:adjustRightInd w:val="0"/>
              <w:rPr>
                <w:rFonts w:ascii="Times New Roman" w:hAnsi="Times New Roman"/>
                <w:bCs/>
                <w:sz w:val="24"/>
              </w:rPr>
            </w:pPr>
            <w:r w:rsidRPr="00824EA2">
              <w:rPr>
                <w:rFonts w:ascii="Times New Roman" w:hAnsi="Times New Roman"/>
                <w:bCs/>
                <w:sz w:val="24"/>
                <w:lang w:eastAsia="nl-BE"/>
              </w:rPr>
              <w:t>0</w:t>
            </w:r>
            <w:r w:rsidRPr="00824EA2">
              <w:rPr>
                <w:rFonts w:ascii="Times New Roman" w:hAnsi="Times New Roman"/>
                <w:sz w:val="24"/>
                <w:lang w:eastAsia="nl-BE"/>
              </w:rPr>
              <w:t>070</w:t>
            </w:r>
          </w:p>
        </w:tc>
        <w:tc>
          <w:tcPr>
            <w:tcW w:w="7756" w:type="dxa"/>
          </w:tcPr>
          <w:p w14:paraId="183F04AA" w14:textId="5F9F3852" w:rsidR="00BF5737" w:rsidRPr="00824EA2" w:rsidRDefault="00BF5737" w:rsidP="00BF5737">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Средн</w:t>
            </w:r>
            <w:r w:rsidR="00185ED5">
              <w:rPr>
                <w:rFonts w:ascii="Times New Roman" w:hAnsi="Times New Roman"/>
                <w:b/>
                <w:sz w:val="24"/>
                <w:u w:val="single"/>
              </w:rPr>
              <w:t>а</w:t>
            </w:r>
            <w:r w:rsidRPr="00824EA2">
              <w:rPr>
                <w:rFonts w:ascii="Times New Roman" w:hAnsi="Times New Roman"/>
                <w:b/>
                <w:sz w:val="24"/>
                <w:u w:val="single"/>
              </w:rPr>
              <w:t xml:space="preserve"> стойност</w:t>
            </w:r>
          </w:p>
          <w:p w14:paraId="44A2B683" w14:textId="1FC6D3C4" w:rsidR="00BF5737" w:rsidRPr="00824EA2" w:rsidRDefault="00BF5737" w:rsidP="00BF5737">
            <w:pPr>
              <w:autoSpaceDE w:val="0"/>
              <w:autoSpaceDN w:val="0"/>
              <w:adjustRightInd w:val="0"/>
              <w:jc w:val="left"/>
              <w:rPr>
                <w:rFonts w:ascii="Times New Roman" w:hAnsi="Times New Roman"/>
                <w:sz w:val="24"/>
              </w:rPr>
            </w:pPr>
            <w:r w:rsidRPr="00824EA2">
              <w:rPr>
                <w:rFonts w:ascii="Times New Roman" w:hAnsi="Times New Roman"/>
                <w:sz w:val="24"/>
              </w:rPr>
              <w:t xml:space="preserve">Средните стойности за последните 3 финансови години на подкомпонентите, използвани при изчисляването на </w:t>
            </w:r>
            <w:r w:rsidR="0044757D" w:rsidRPr="0044757D">
              <w:rPr>
                <w:rFonts w:ascii="Times New Roman" w:hAnsi="Times New Roman"/>
                <w:sz w:val="24"/>
              </w:rPr>
              <w:t>КЛЛД</w:t>
            </w:r>
            <w:r w:rsidRPr="00824EA2">
              <w:rPr>
                <w:rFonts w:ascii="Times New Roman" w:hAnsi="Times New Roman"/>
                <w:sz w:val="24"/>
              </w:rPr>
              <w:t xml:space="preserve">, </w:t>
            </w:r>
            <w:r w:rsidR="0044757D">
              <w:rPr>
                <w:rFonts w:ascii="Times New Roman" w:hAnsi="Times New Roman"/>
                <w:sz w:val="24"/>
              </w:rPr>
              <w:t>КУ</w:t>
            </w:r>
            <w:r w:rsidR="0044757D" w:rsidRPr="00824EA2">
              <w:rPr>
                <w:rFonts w:ascii="Times New Roman" w:hAnsi="Times New Roman"/>
                <w:sz w:val="24"/>
              </w:rPr>
              <w:t xml:space="preserve"> </w:t>
            </w:r>
            <w:r w:rsidRPr="00824EA2">
              <w:rPr>
                <w:rFonts w:ascii="Times New Roman" w:hAnsi="Times New Roman"/>
                <w:sz w:val="24"/>
              </w:rPr>
              <w:t xml:space="preserve">и </w:t>
            </w:r>
            <w:r w:rsidR="0044757D">
              <w:rPr>
                <w:rFonts w:ascii="Times New Roman" w:hAnsi="Times New Roman"/>
                <w:sz w:val="24"/>
              </w:rPr>
              <w:t>ФК</w:t>
            </w:r>
            <w:r w:rsidRPr="00824EA2">
              <w:rPr>
                <w:rFonts w:ascii="Times New Roman" w:hAnsi="Times New Roman"/>
                <w:sz w:val="24"/>
              </w:rPr>
              <w:t>.</w:t>
            </w:r>
          </w:p>
          <w:p w14:paraId="3140A7BE" w14:textId="29B6C5E5" w:rsidR="00BF5737" w:rsidRPr="00824EA2" w:rsidRDefault="00BF5737" w:rsidP="00BF5737">
            <w:pPr>
              <w:autoSpaceDE w:val="0"/>
              <w:autoSpaceDN w:val="0"/>
              <w:adjustRightInd w:val="0"/>
              <w:jc w:val="left"/>
              <w:rPr>
                <w:rFonts w:ascii="Times New Roman" w:hAnsi="Times New Roman"/>
                <w:sz w:val="24"/>
              </w:rPr>
            </w:pPr>
            <w:r w:rsidRPr="00824EA2">
              <w:rPr>
                <w:rFonts w:ascii="Times New Roman" w:hAnsi="Times New Roman"/>
                <w:sz w:val="24"/>
              </w:rPr>
              <w:t xml:space="preserve">Когато дадена институция използва PBA при изчисляването на </w:t>
            </w:r>
            <w:r w:rsidR="0044757D">
              <w:rPr>
                <w:rFonts w:ascii="Times New Roman" w:hAnsi="Times New Roman"/>
                <w:sz w:val="24"/>
              </w:rPr>
              <w:t>ФК</w:t>
            </w:r>
            <w:r w:rsidRPr="00824EA2">
              <w:rPr>
                <w:rFonts w:ascii="Times New Roman" w:hAnsi="Times New Roman"/>
                <w:sz w:val="24"/>
              </w:rPr>
              <w:t>, средната стойност ще отразява счетоводните стойности, определени посредством PBA, за последните 3 финансови години в съответствие с член 314, параграф 6 от Регламент (ЕС) № 575/2013 вместо стойностите, изчислени съгласно счетоводния подход.</w:t>
            </w:r>
          </w:p>
          <w:p w14:paraId="186FE9EF" w14:textId="63371EA8" w:rsidR="00BF5737" w:rsidRPr="00824EA2" w:rsidRDefault="00BF5737" w:rsidP="00BF5737">
            <w:pPr>
              <w:autoSpaceDE w:val="0"/>
              <w:autoSpaceDN w:val="0"/>
              <w:adjustRightInd w:val="0"/>
              <w:jc w:val="left"/>
              <w:rPr>
                <w:rFonts w:ascii="Times New Roman" w:hAnsi="Times New Roman"/>
                <w:sz w:val="24"/>
              </w:rPr>
            </w:pPr>
            <w:r w:rsidRPr="00824EA2">
              <w:rPr>
                <w:rFonts w:ascii="Times New Roman" w:hAnsi="Times New Roman"/>
                <w:sz w:val="24"/>
              </w:rPr>
              <w:t>Когато е необходимо, средната стойност ще се изчислява, като се вземат предвид абсолютните стойности за годината съгласно указанията, определени на ниво ред.</w:t>
            </w:r>
          </w:p>
        </w:tc>
      </w:tr>
    </w:tbl>
    <w:p w14:paraId="1F54B3B2" w14:textId="77777777" w:rsidR="00956D86" w:rsidRPr="00824EA2" w:rsidRDefault="00956D86" w:rsidP="00956D86">
      <w:pPr>
        <w:spacing w:before="0" w:after="240"/>
        <w:rPr>
          <w:rFonts w:ascii="Times New Roman" w:hAnsi="Times New Roman"/>
          <w:sz w:val="24"/>
          <w:u w:val="single"/>
          <w:lang w:eastAsia="de-DE"/>
        </w:rPr>
      </w:pPr>
    </w:p>
    <w:p w14:paraId="18AFA035" w14:textId="79F3F6EC" w:rsidR="0054223D" w:rsidRPr="00824EA2" w:rsidRDefault="00956D86" w:rsidP="00C86126">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824EA2"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824EA2" w:rsidRDefault="00706701">
            <w:pPr>
              <w:jc w:val="center"/>
              <w:rPr>
                <w:rFonts w:ascii="Times New Roman" w:hAnsi="Times New Roman"/>
                <w:b/>
                <w:sz w:val="24"/>
              </w:rPr>
            </w:pPr>
            <w:r w:rsidRPr="00824EA2">
              <w:rPr>
                <w:rFonts w:ascii="Times New Roman" w:hAnsi="Times New Roman"/>
                <w:b/>
                <w:sz w:val="24"/>
              </w:rPr>
              <w:t>Редове</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824EA2" w:rsidRDefault="00706701">
            <w:pPr>
              <w:jc w:val="left"/>
              <w:rPr>
                <w:rFonts w:ascii="Times New Roman" w:hAnsi="Times New Roman"/>
                <w:b/>
                <w:sz w:val="24"/>
              </w:rPr>
            </w:pPr>
            <w:r w:rsidRPr="00824EA2">
              <w:rPr>
                <w:rFonts w:ascii="Times New Roman" w:hAnsi="Times New Roman"/>
                <w:b/>
                <w:sz w:val="24"/>
              </w:rPr>
              <w:t>Препратки към нормативни актове и указания</w:t>
            </w:r>
          </w:p>
        </w:tc>
      </w:tr>
      <w:tr w:rsidR="00132A53" w:rsidRPr="00824EA2"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126397CC" w:rsidR="00132A53" w:rsidRPr="00824EA2" w:rsidRDefault="00132A53" w:rsidP="00132A53">
            <w:pPr>
              <w:jc w:val="center"/>
              <w:rPr>
                <w:rFonts w:ascii="Times New Roman" w:hAnsi="Times New Roman"/>
                <w:b/>
                <w:bCs/>
                <w:sz w:val="24"/>
              </w:rPr>
            </w:pPr>
            <w:bookmarkStart w:id="59" w:name="_Hlk141696448"/>
            <w:r w:rsidRPr="00824EA2">
              <w:rPr>
                <w:rFonts w:ascii="Times New Roman" w:hAnsi="Times New Roman"/>
                <w:b/>
                <w:bCs/>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27423CD8" w:rsidR="00132A53" w:rsidRPr="00824EA2" w:rsidRDefault="00132A53" w:rsidP="00132A53">
            <w:pPr>
              <w:pStyle w:val="ListParagraph"/>
              <w:numPr>
                <w:ilvl w:val="0"/>
                <w:numId w:val="42"/>
              </w:numPr>
              <w:ind w:hanging="720"/>
              <w:jc w:val="left"/>
              <w:rPr>
                <w:rFonts w:ascii="Times New Roman" w:hAnsi="Times New Roman"/>
                <w:b/>
                <w:bCs/>
                <w:sz w:val="24"/>
              </w:rPr>
            </w:pPr>
            <w:r w:rsidRPr="00824EA2">
              <w:rPr>
                <w:rFonts w:ascii="Times New Roman" w:hAnsi="Times New Roman"/>
                <w:b/>
                <w:sz w:val="24"/>
              </w:rPr>
              <w:t xml:space="preserve">Компонент </w:t>
            </w:r>
            <w:r w:rsidR="00D14711">
              <w:rPr>
                <w:rFonts w:ascii="Times New Roman" w:hAnsi="Times New Roman"/>
                <w:b/>
                <w:sz w:val="24"/>
              </w:rPr>
              <w:t>“Л</w:t>
            </w:r>
            <w:r w:rsidRPr="00824EA2">
              <w:rPr>
                <w:rFonts w:ascii="Times New Roman" w:hAnsi="Times New Roman"/>
                <w:b/>
                <w:sz w:val="24"/>
              </w:rPr>
              <w:t>ихви, лизинг и дивиденти</w:t>
            </w:r>
            <w:r w:rsidR="00D14711">
              <w:rPr>
                <w:rFonts w:ascii="Times New Roman" w:hAnsi="Times New Roman"/>
                <w:b/>
                <w:sz w:val="24"/>
              </w:rPr>
              <w:t>“</w:t>
            </w:r>
            <w:r w:rsidRPr="00824EA2">
              <w:rPr>
                <w:rFonts w:ascii="Times New Roman" w:hAnsi="Times New Roman"/>
                <w:b/>
                <w:sz w:val="24"/>
              </w:rPr>
              <w:t xml:space="preserve"> (</w:t>
            </w:r>
            <w:r w:rsidR="00874E58">
              <w:rPr>
                <w:rFonts w:ascii="Times New Roman" w:hAnsi="Times New Roman"/>
                <w:b/>
                <w:sz w:val="24"/>
              </w:rPr>
              <w:t>КЛЛД</w:t>
            </w:r>
            <w:r w:rsidRPr="00824EA2">
              <w:rPr>
                <w:rFonts w:ascii="Times New Roman" w:hAnsi="Times New Roman"/>
                <w:b/>
                <w:sz w:val="24"/>
              </w:rPr>
              <w:t xml:space="preserve">) </w:t>
            </w:r>
          </w:p>
        </w:tc>
      </w:tr>
      <w:bookmarkEnd w:id="59"/>
      <w:tr w:rsidR="00BF5737" w:rsidRPr="00824EA2"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11C3296E"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29353526" w:rsidR="00BF5737" w:rsidRPr="00824EA2" w:rsidRDefault="00BF5737" w:rsidP="00BF5737">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Компонент </w:t>
            </w:r>
            <w:r w:rsidR="00D14711">
              <w:rPr>
                <w:rFonts w:ascii="Times New Roman" w:hAnsi="Times New Roman"/>
                <w:b/>
                <w:sz w:val="24"/>
                <w:u w:val="single"/>
              </w:rPr>
              <w:t>“Л</w:t>
            </w:r>
            <w:r w:rsidRPr="00824EA2">
              <w:rPr>
                <w:rFonts w:ascii="Times New Roman" w:hAnsi="Times New Roman"/>
                <w:b/>
                <w:sz w:val="24"/>
                <w:u w:val="single"/>
              </w:rPr>
              <w:t>ихви</w:t>
            </w:r>
            <w:r w:rsidR="00D14711">
              <w:rPr>
                <w:rFonts w:ascii="Times New Roman" w:hAnsi="Times New Roman"/>
                <w:b/>
                <w:sz w:val="24"/>
                <w:u w:val="single"/>
              </w:rPr>
              <w:t>“</w:t>
            </w:r>
          </w:p>
          <w:p w14:paraId="46B8D5AA" w14:textId="77777777" w:rsidR="00BF5737" w:rsidRPr="00824EA2" w:rsidRDefault="00BF5737" w:rsidP="00BF5737">
            <w:pPr>
              <w:jc w:val="left"/>
              <w:rPr>
                <w:rFonts w:ascii="Times New Roman" w:hAnsi="Times New Roman"/>
                <w:color w:val="000000" w:themeColor="text1"/>
                <w:sz w:val="24"/>
              </w:rPr>
            </w:pPr>
            <w:r w:rsidRPr="00824EA2">
              <w:rPr>
                <w:rFonts w:ascii="Times New Roman" w:hAnsi="Times New Roman"/>
                <w:sz w:val="24"/>
              </w:rPr>
              <w:t>Компонентът на лихвите (IC) се изчислява в съответствие с член 314, параграф 2 от Регламент (ЕС) № 575/2013.</w:t>
            </w:r>
          </w:p>
        </w:tc>
      </w:tr>
      <w:tr w:rsidR="00BF5737" w:rsidRPr="00824EA2"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07191CE8"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A838021" w:rsidR="00BF5737" w:rsidRPr="00824EA2" w:rsidRDefault="00BF5737" w:rsidP="00BF5737">
            <w:pPr>
              <w:keepNext/>
              <w:jc w:val="left"/>
              <w:rPr>
                <w:rFonts w:ascii="Times New Roman" w:hAnsi="Times New Roman"/>
                <w:sz w:val="24"/>
              </w:rPr>
            </w:pPr>
            <w:r w:rsidRPr="00824EA2">
              <w:rPr>
                <w:rFonts w:ascii="Times New Roman" w:hAnsi="Times New Roman"/>
                <w:b/>
                <w:sz w:val="24"/>
                <w:u w:val="single"/>
              </w:rPr>
              <w:t>Нетн</w:t>
            </w:r>
            <w:r w:rsidR="003E19D9">
              <w:rPr>
                <w:rFonts w:ascii="Times New Roman" w:hAnsi="Times New Roman"/>
                <w:b/>
                <w:sz w:val="24"/>
                <w:u w:val="single"/>
              </w:rPr>
              <w:t>и</w:t>
            </w:r>
            <w:r w:rsidRPr="00824EA2">
              <w:rPr>
                <w:rFonts w:ascii="Times New Roman" w:hAnsi="Times New Roman"/>
                <w:b/>
                <w:sz w:val="24"/>
                <w:u w:val="single"/>
              </w:rPr>
              <w:t xml:space="preserve"> </w:t>
            </w:r>
            <w:r w:rsidR="003E19D9">
              <w:rPr>
                <w:rFonts w:ascii="Times New Roman" w:hAnsi="Times New Roman"/>
                <w:b/>
                <w:sz w:val="24"/>
                <w:u w:val="single"/>
              </w:rPr>
              <w:t>приходи</w:t>
            </w:r>
          </w:p>
          <w:p w14:paraId="3377C483" w14:textId="4CAC8A0C" w:rsidR="00BF5737" w:rsidRPr="00824EA2" w:rsidRDefault="00BF5737" w:rsidP="00BF5737">
            <w:pPr>
              <w:jc w:val="left"/>
              <w:rPr>
                <w:rFonts w:ascii="Times New Roman" w:hAnsi="Times New Roman"/>
                <w:sz w:val="24"/>
              </w:rPr>
            </w:pPr>
            <w:r w:rsidRPr="00824EA2">
              <w:rPr>
                <w:rFonts w:ascii="Times New Roman" w:hAnsi="Times New Roman"/>
                <w:sz w:val="24"/>
              </w:rPr>
              <w:t>Нетни</w:t>
            </w:r>
            <w:r w:rsidR="003E19D9">
              <w:rPr>
                <w:rFonts w:ascii="Times New Roman" w:hAnsi="Times New Roman"/>
                <w:sz w:val="24"/>
              </w:rPr>
              <w:t>те</w:t>
            </w:r>
            <w:r w:rsidRPr="00824EA2">
              <w:rPr>
                <w:rFonts w:ascii="Times New Roman" w:hAnsi="Times New Roman"/>
                <w:sz w:val="24"/>
              </w:rPr>
              <w:t xml:space="preserve"> </w:t>
            </w:r>
            <w:r w:rsidR="003E19D9">
              <w:rPr>
                <w:rFonts w:ascii="Times New Roman" w:hAnsi="Times New Roman"/>
                <w:sz w:val="24"/>
              </w:rPr>
              <w:t>приходи</w:t>
            </w:r>
            <w:r w:rsidRPr="00824EA2">
              <w:rPr>
                <w:rFonts w:ascii="Times New Roman" w:hAnsi="Times New Roman"/>
                <w:sz w:val="24"/>
              </w:rPr>
              <w:t xml:space="preserve"> </w:t>
            </w:r>
            <w:r w:rsidR="003E19D9">
              <w:rPr>
                <w:rFonts w:ascii="Times New Roman" w:hAnsi="Times New Roman"/>
                <w:sz w:val="24"/>
              </w:rPr>
              <w:t>са</w:t>
            </w:r>
            <w:r w:rsidRPr="00824EA2">
              <w:rPr>
                <w:rFonts w:ascii="Times New Roman" w:hAnsi="Times New Roman"/>
                <w:sz w:val="24"/>
              </w:rPr>
              <w:t xml:space="preserve"> разликата между доходите от лихви (включително от отдадени на лизинг активи) и разходите за лихви (включително от отдадени на лизинг активи).</w:t>
            </w:r>
          </w:p>
        </w:tc>
      </w:tr>
      <w:tr w:rsidR="00BF5737" w:rsidRPr="00824EA2"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6976AFBE"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lastRenderedPageBreak/>
              <w:t>0030</w:t>
            </w:r>
          </w:p>
        </w:tc>
        <w:tc>
          <w:tcPr>
            <w:tcW w:w="7963" w:type="dxa"/>
            <w:tcBorders>
              <w:top w:val="nil"/>
              <w:left w:val="nil"/>
              <w:bottom w:val="single" w:sz="4" w:space="0" w:color="auto"/>
              <w:right w:val="single" w:sz="4" w:space="0" w:color="auto"/>
            </w:tcBorders>
            <w:vAlign w:val="center"/>
            <w:hideMark/>
          </w:tcPr>
          <w:p w14:paraId="615203B9" w14:textId="49CD20B1" w:rsidR="00BF5737" w:rsidRPr="00824EA2" w:rsidRDefault="00D14711" w:rsidP="00BF5737">
            <w:pPr>
              <w:keepNext/>
              <w:autoSpaceDE w:val="0"/>
              <w:autoSpaceDN w:val="0"/>
              <w:adjustRightInd w:val="0"/>
              <w:jc w:val="left"/>
              <w:rPr>
                <w:rFonts w:ascii="Times New Roman" w:hAnsi="Times New Roman"/>
                <w:sz w:val="24"/>
              </w:rPr>
            </w:pPr>
            <w:r>
              <w:rPr>
                <w:rFonts w:ascii="Times New Roman" w:hAnsi="Times New Roman"/>
                <w:b/>
                <w:sz w:val="24"/>
                <w:u w:val="single"/>
              </w:rPr>
              <w:t>Приходи</w:t>
            </w:r>
            <w:r w:rsidR="00BF5737" w:rsidRPr="00824EA2">
              <w:rPr>
                <w:rFonts w:ascii="Times New Roman" w:hAnsi="Times New Roman"/>
                <w:b/>
                <w:sz w:val="24"/>
                <w:u w:val="single"/>
              </w:rPr>
              <w:t xml:space="preserve"> от лихви (включително от отдадени на лизинг активи финансов и оператив</w:t>
            </w:r>
            <w:r w:rsidR="00DC5DB8">
              <w:rPr>
                <w:rFonts w:ascii="Times New Roman" w:hAnsi="Times New Roman"/>
                <w:b/>
                <w:sz w:val="24"/>
                <w:u w:val="single"/>
              </w:rPr>
              <w:t>е</w:t>
            </w:r>
            <w:r w:rsidR="00BF5737" w:rsidRPr="00824EA2">
              <w:rPr>
                <w:rFonts w:ascii="Times New Roman" w:hAnsi="Times New Roman"/>
                <w:b/>
                <w:sz w:val="24"/>
                <w:u w:val="single"/>
              </w:rPr>
              <w:t>н)</w:t>
            </w:r>
          </w:p>
          <w:p w14:paraId="368622FE" w14:textId="005FC713" w:rsidR="00BF5737" w:rsidRPr="00824EA2" w:rsidRDefault="00BF5737" w:rsidP="00BF5737">
            <w:pPr>
              <w:jc w:val="left"/>
              <w:rPr>
                <w:rFonts w:ascii="Times New Roman" w:hAnsi="Times New Roman"/>
                <w:sz w:val="24"/>
              </w:rPr>
            </w:pPr>
            <w:r w:rsidRPr="00824EA2">
              <w:rPr>
                <w:rFonts w:ascii="Times New Roman" w:hAnsi="Times New Roman"/>
                <w:sz w:val="24"/>
              </w:rPr>
              <w:t>Сборът от доходите от лихви, доходите от отдадени на лизинг активи, различни от доходите от лихви, и печалбите от отдадени на лизинг активи.</w:t>
            </w:r>
          </w:p>
        </w:tc>
      </w:tr>
      <w:tr w:rsidR="00BF5737" w:rsidRPr="00824EA2"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09410676"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5D6C0BE7" w:rsidR="00BF5737" w:rsidRPr="00824EA2" w:rsidRDefault="00D14711" w:rsidP="00BF5737">
            <w:pPr>
              <w:keepNext/>
              <w:autoSpaceDE w:val="0"/>
              <w:autoSpaceDN w:val="0"/>
              <w:adjustRightInd w:val="0"/>
              <w:rPr>
                <w:rFonts w:ascii="Times New Roman" w:hAnsi="Times New Roman"/>
                <w:b/>
                <w:bCs/>
                <w:sz w:val="24"/>
                <w:u w:val="single"/>
              </w:rPr>
            </w:pPr>
            <w:r>
              <w:rPr>
                <w:rFonts w:ascii="Times New Roman" w:hAnsi="Times New Roman"/>
                <w:b/>
                <w:sz w:val="24"/>
                <w:u w:val="single"/>
              </w:rPr>
              <w:t>Приходи</w:t>
            </w:r>
            <w:r w:rsidR="00BF5737" w:rsidRPr="00824EA2">
              <w:rPr>
                <w:rFonts w:ascii="Times New Roman" w:hAnsi="Times New Roman"/>
                <w:b/>
                <w:sz w:val="24"/>
                <w:u w:val="single"/>
              </w:rPr>
              <w:t xml:space="preserve"> от лихви</w:t>
            </w:r>
          </w:p>
          <w:p w14:paraId="7868AC51" w14:textId="5BC62DF9" w:rsidR="00BF5737" w:rsidRPr="00824EA2" w:rsidRDefault="00BF5737" w:rsidP="00BF5737">
            <w:pPr>
              <w:autoSpaceDE w:val="0"/>
              <w:autoSpaceDN w:val="0"/>
              <w:adjustRightInd w:val="0"/>
              <w:rPr>
                <w:rFonts w:ascii="Times New Roman" w:hAnsi="Times New Roman"/>
                <w:sz w:val="24"/>
              </w:rPr>
            </w:pPr>
            <w:r w:rsidRPr="00824EA2">
              <w:rPr>
                <w:rFonts w:ascii="Times New Roman" w:hAnsi="Times New Roman"/>
                <w:sz w:val="24"/>
              </w:rPr>
              <w:t xml:space="preserve">Институциите докладват </w:t>
            </w:r>
            <w:r w:rsidR="005C24BD">
              <w:rPr>
                <w:rFonts w:ascii="Times New Roman" w:hAnsi="Times New Roman"/>
                <w:sz w:val="24"/>
              </w:rPr>
              <w:t>приходите</w:t>
            </w:r>
            <w:r w:rsidR="00E82C23" w:rsidRPr="00AE3337">
              <w:rPr>
                <w:rFonts w:ascii="Times New Roman" w:hAnsi="Times New Roman"/>
                <w:sz w:val="24"/>
              </w:rPr>
              <w:t xml:space="preserve"> </w:t>
            </w:r>
            <w:r w:rsidRPr="00824EA2">
              <w:rPr>
                <w:rFonts w:ascii="Times New Roman" w:hAnsi="Times New Roman"/>
                <w:sz w:val="24"/>
              </w:rPr>
              <w:t>от лихви в съответствие с приложение V, част 2, параграф 31 от ИТ решенията на ЕБО и съгласно допълнителните спецификации от приложение V, част 2, параграфи 187, 189 и 194ii от ИТ решенията на ЕБО.</w:t>
            </w:r>
          </w:p>
        </w:tc>
      </w:tr>
      <w:tr w:rsidR="00BF5737" w:rsidRPr="00824EA2"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1EA188B4"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49EA2403" w:rsidR="00BF5737" w:rsidRPr="00824EA2" w:rsidRDefault="00D14711" w:rsidP="00BF5737">
            <w:pPr>
              <w:keepNext/>
              <w:autoSpaceDE w:val="0"/>
              <w:autoSpaceDN w:val="0"/>
              <w:adjustRightInd w:val="0"/>
              <w:rPr>
                <w:rFonts w:ascii="Times New Roman" w:hAnsi="Times New Roman"/>
                <w:b/>
                <w:sz w:val="24"/>
                <w:u w:val="single"/>
              </w:rPr>
            </w:pPr>
            <w:r>
              <w:rPr>
                <w:rFonts w:ascii="Times New Roman" w:hAnsi="Times New Roman"/>
                <w:b/>
                <w:sz w:val="24"/>
                <w:u w:val="single"/>
              </w:rPr>
              <w:t>Приходи</w:t>
            </w:r>
            <w:r w:rsidR="00BF5737" w:rsidRPr="00824EA2">
              <w:rPr>
                <w:rFonts w:ascii="Times New Roman" w:hAnsi="Times New Roman"/>
                <w:b/>
                <w:sz w:val="24"/>
                <w:u w:val="single"/>
              </w:rPr>
              <w:t xml:space="preserve"> от отдадени на лизинг активи (финансов и оператив</w:t>
            </w:r>
            <w:r w:rsidR="005C24BD">
              <w:rPr>
                <w:rFonts w:ascii="Times New Roman" w:hAnsi="Times New Roman"/>
                <w:b/>
                <w:sz w:val="24"/>
                <w:u w:val="single"/>
              </w:rPr>
              <w:t>е</w:t>
            </w:r>
            <w:r w:rsidR="00BF5737" w:rsidRPr="00824EA2">
              <w:rPr>
                <w:rFonts w:ascii="Times New Roman" w:hAnsi="Times New Roman"/>
                <w:b/>
                <w:sz w:val="24"/>
                <w:u w:val="single"/>
              </w:rPr>
              <w:t xml:space="preserve">н), различни от </w:t>
            </w:r>
            <w:r w:rsidR="005C24BD">
              <w:rPr>
                <w:rFonts w:ascii="Times New Roman" w:hAnsi="Times New Roman"/>
                <w:b/>
                <w:sz w:val="24"/>
                <w:u w:val="single"/>
              </w:rPr>
              <w:t>приходи</w:t>
            </w:r>
            <w:r w:rsidR="00BF5737" w:rsidRPr="00824EA2">
              <w:rPr>
                <w:rFonts w:ascii="Times New Roman" w:hAnsi="Times New Roman"/>
                <w:b/>
                <w:sz w:val="24"/>
                <w:u w:val="single"/>
              </w:rPr>
              <w:t xml:space="preserve"> от лихви</w:t>
            </w:r>
          </w:p>
          <w:p w14:paraId="3C1E42C0" w14:textId="36745949" w:rsidR="00BF5737" w:rsidRPr="00824EA2" w:rsidRDefault="00BF5737" w:rsidP="00BF5737">
            <w:pPr>
              <w:keepNext/>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 xml:space="preserve">Институциите докладват </w:t>
            </w:r>
            <w:r w:rsidR="005C24BD">
              <w:rPr>
                <w:rFonts w:ascii="Times New Roman" w:hAnsi="Times New Roman"/>
                <w:color w:val="000000" w:themeColor="text1"/>
                <w:sz w:val="24"/>
              </w:rPr>
              <w:t>приходите</w:t>
            </w:r>
            <w:r w:rsidRPr="00824EA2">
              <w:rPr>
                <w:rFonts w:ascii="Times New Roman" w:hAnsi="Times New Roman"/>
                <w:color w:val="000000" w:themeColor="text1"/>
                <w:sz w:val="24"/>
              </w:rPr>
              <w:t xml:space="preserve"> в съответствие с приложение V, част 2, параграфи 314 и 315 от ИТ решенията на ЕБО, свързани с лизинги, които представляват:</w:t>
            </w:r>
          </w:p>
          <w:p w14:paraId="6FF3A068" w14:textId="08A1030C"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доходи от промени в справедливата стойност на инвестиционни имоти, които генерират ренти и се оценяват по модела на справедливата стойност;</w:t>
            </w:r>
          </w:p>
          <w:p w14:paraId="2D8595F3" w14:textId="4A13D1E6"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доходи от оперативен лизинг, включително доходи от наем от инвестиционни имоти.</w:t>
            </w:r>
          </w:p>
        </w:tc>
      </w:tr>
      <w:tr w:rsidR="00BF5737" w:rsidRPr="00824EA2"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36061ED5"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0A482CE6" w:rsidR="00BF5737" w:rsidRPr="00824EA2" w:rsidRDefault="00BF5737" w:rsidP="00BF5737">
            <w:pPr>
              <w:keepNext/>
              <w:rPr>
                <w:rFonts w:ascii="Times New Roman" w:hAnsi="Times New Roman"/>
                <w:b/>
                <w:sz w:val="24"/>
                <w:u w:val="single"/>
              </w:rPr>
            </w:pPr>
            <w:r w:rsidRPr="00824EA2">
              <w:rPr>
                <w:rFonts w:ascii="Times New Roman" w:hAnsi="Times New Roman"/>
                <w:b/>
                <w:sz w:val="24"/>
                <w:u w:val="single"/>
              </w:rPr>
              <w:t>Печалби от отдадени на лизинг активи (финансов и оператив</w:t>
            </w:r>
            <w:r w:rsidR="005C24BD">
              <w:rPr>
                <w:rFonts w:ascii="Times New Roman" w:hAnsi="Times New Roman"/>
                <w:b/>
                <w:sz w:val="24"/>
                <w:u w:val="single"/>
              </w:rPr>
              <w:t>е</w:t>
            </w:r>
            <w:r w:rsidRPr="00824EA2">
              <w:rPr>
                <w:rFonts w:ascii="Times New Roman" w:hAnsi="Times New Roman"/>
                <w:b/>
                <w:sz w:val="24"/>
                <w:u w:val="single"/>
              </w:rPr>
              <w:t>н)</w:t>
            </w:r>
          </w:p>
          <w:p w14:paraId="2D6DD1F1" w14:textId="77777777" w:rsidR="00BF5737" w:rsidRPr="00824EA2" w:rsidRDefault="00BF5737" w:rsidP="00BF5737">
            <w:pPr>
              <w:keepNext/>
              <w:rPr>
                <w:rFonts w:ascii="Times New Roman" w:hAnsi="Times New Roman"/>
                <w:color w:val="000000" w:themeColor="text1"/>
                <w:sz w:val="24"/>
              </w:rPr>
            </w:pPr>
            <w:r w:rsidRPr="00824EA2">
              <w:rPr>
                <w:rFonts w:ascii="Times New Roman" w:hAnsi="Times New Roman"/>
                <w:color w:val="000000" w:themeColor="text1"/>
                <w:sz w:val="24"/>
              </w:rPr>
              <w:t>Институциите отчитат:</w:t>
            </w:r>
          </w:p>
          <w:p w14:paraId="691BE117" w14:textId="2D1116E8"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печалбите от изменения на договори за лизинг в съответствие с приложение V, част 2, параграф 49 от ИТ решенията на ЕБО;</w:t>
            </w:r>
          </w:p>
          <w:p w14:paraId="5ADA8033" w14:textId="214DF7F8" w:rsidR="00BF5737" w:rsidRPr="00824EA2" w:rsidRDefault="00BF5737" w:rsidP="00BF5737">
            <w:pPr>
              <w:numPr>
                <w:ilvl w:val="0"/>
                <w:numId w:val="33"/>
              </w:numPr>
              <w:autoSpaceDE w:val="0"/>
              <w:autoSpaceDN w:val="0"/>
              <w:adjustRightInd w:val="0"/>
              <w:rPr>
                <w:rFonts w:ascii="Times New Roman" w:hAnsi="Times New Roman"/>
                <w:color w:val="000000" w:themeColor="text1"/>
                <w:sz w:val="24"/>
              </w:rPr>
            </w:pPr>
            <w:r w:rsidRPr="00824EA2">
              <w:rPr>
                <w:rFonts w:ascii="Times New Roman" w:hAnsi="Times New Roman"/>
                <w:color w:val="000000" w:themeColor="text1"/>
                <w:sz w:val="24"/>
              </w:rPr>
              <w:t>останалата част от други оперативни доходи (Други оперативни доходи. Други) в съответствие с приложение V, част 2, параграфи 314 и 316 от ИТ решенията на ЕБО, ако са свързани с отдадени на лизинг активи.</w:t>
            </w:r>
          </w:p>
        </w:tc>
      </w:tr>
      <w:tr w:rsidR="00BF5737" w:rsidRPr="00824EA2"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23D9A91F"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6826ACC5" w:rsidR="00BF5737" w:rsidRPr="00824EA2" w:rsidRDefault="00BF5737" w:rsidP="00BF5737">
            <w:pPr>
              <w:keepNext/>
              <w:autoSpaceDE w:val="0"/>
              <w:autoSpaceDN w:val="0"/>
              <w:adjustRightInd w:val="0"/>
              <w:rPr>
                <w:rFonts w:ascii="Times New Roman" w:hAnsi="Times New Roman"/>
                <w:b/>
                <w:bCs/>
                <w:sz w:val="24"/>
                <w:u w:val="single"/>
              </w:rPr>
            </w:pPr>
            <w:r w:rsidRPr="00824EA2">
              <w:rPr>
                <w:rFonts w:ascii="Times New Roman" w:hAnsi="Times New Roman"/>
                <w:b/>
                <w:sz w:val="24"/>
                <w:u w:val="single"/>
              </w:rPr>
              <w:t>(</w:t>
            </w:r>
            <w:r w:rsidR="005C24BD">
              <w:rPr>
                <w:rFonts w:ascii="Times New Roman" w:hAnsi="Times New Roman"/>
                <w:b/>
                <w:sz w:val="24"/>
                <w:u w:val="single"/>
              </w:rPr>
              <w:t>Л</w:t>
            </w:r>
            <w:r w:rsidRPr="00824EA2">
              <w:rPr>
                <w:rFonts w:ascii="Times New Roman" w:hAnsi="Times New Roman"/>
                <w:b/>
                <w:sz w:val="24"/>
                <w:u w:val="single"/>
              </w:rPr>
              <w:t>ихв</w:t>
            </w:r>
            <w:r w:rsidR="005C24BD">
              <w:rPr>
                <w:rFonts w:ascii="Times New Roman" w:hAnsi="Times New Roman"/>
                <w:b/>
                <w:sz w:val="24"/>
                <w:u w:val="single"/>
              </w:rPr>
              <w:t>ени</w:t>
            </w:r>
            <w:r w:rsidRPr="00824EA2">
              <w:rPr>
                <w:rFonts w:ascii="Times New Roman" w:hAnsi="Times New Roman"/>
                <w:b/>
                <w:sz w:val="24"/>
                <w:u w:val="single"/>
              </w:rPr>
              <w:t xml:space="preserve"> </w:t>
            </w:r>
            <w:r w:rsidR="005C24BD">
              <w:rPr>
                <w:rFonts w:ascii="Times New Roman" w:hAnsi="Times New Roman"/>
                <w:b/>
                <w:sz w:val="24"/>
                <w:u w:val="single"/>
              </w:rPr>
              <w:t xml:space="preserve">разходи </w:t>
            </w:r>
            <w:r w:rsidRPr="00824EA2">
              <w:rPr>
                <w:rFonts w:ascii="Times New Roman" w:hAnsi="Times New Roman"/>
                <w:b/>
                <w:sz w:val="24"/>
                <w:u w:val="single"/>
              </w:rPr>
              <w:t>(включително от отдадени на лизинг активи</w:t>
            </w:r>
            <w:r w:rsidR="006B3D64">
              <w:rPr>
                <w:rFonts w:ascii="Times New Roman" w:hAnsi="Times New Roman"/>
                <w:b/>
                <w:sz w:val="24"/>
                <w:u w:val="single"/>
              </w:rPr>
              <w:t xml:space="preserve"> -</w:t>
            </w:r>
            <w:r w:rsidRPr="00824EA2">
              <w:rPr>
                <w:rFonts w:ascii="Times New Roman" w:hAnsi="Times New Roman"/>
                <w:b/>
                <w:sz w:val="24"/>
                <w:u w:val="single"/>
              </w:rPr>
              <w:t xml:space="preserve"> финансов и оператив</w:t>
            </w:r>
            <w:r w:rsidR="002050FD">
              <w:rPr>
                <w:rFonts w:ascii="Times New Roman" w:hAnsi="Times New Roman"/>
                <w:b/>
                <w:sz w:val="24"/>
                <w:u w:val="single"/>
              </w:rPr>
              <w:t>е</w:t>
            </w:r>
            <w:r w:rsidRPr="00824EA2">
              <w:rPr>
                <w:rFonts w:ascii="Times New Roman" w:hAnsi="Times New Roman"/>
                <w:b/>
                <w:sz w:val="24"/>
                <w:u w:val="single"/>
              </w:rPr>
              <w:t>н)</w:t>
            </w:r>
          </w:p>
          <w:p w14:paraId="6AA3E45C" w14:textId="472EB33E" w:rsidR="00BF5737" w:rsidRPr="00824EA2" w:rsidRDefault="00BF5737" w:rsidP="00BF5737">
            <w:pPr>
              <w:rPr>
                <w:rFonts w:ascii="Times New Roman" w:hAnsi="Times New Roman"/>
                <w:sz w:val="24"/>
              </w:rPr>
            </w:pPr>
            <w:r w:rsidRPr="00824EA2">
              <w:rPr>
                <w:rFonts w:ascii="Times New Roman" w:hAnsi="Times New Roman"/>
                <w:sz w:val="24"/>
              </w:rPr>
              <w:t>Сборът от разходите за лихви, разходите от отдадени на лизинг активи, различни от разходите за лихви, и загубите от отдадени на оперативен лизинг активи.</w:t>
            </w:r>
          </w:p>
        </w:tc>
      </w:tr>
      <w:tr w:rsidR="00BF5737" w:rsidRPr="00824EA2"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039D8A2"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2EBEFABA" w:rsidR="00BF5737" w:rsidRPr="00824EA2" w:rsidRDefault="00BF5737" w:rsidP="00BF5737">
            <w:pPr>
              <w:keepNext/>
              <w:autoSpaceDE w:val="0"/>
              <w:autoSpaceDN w:val="0"/>
              <w:adjustRightInd w:val="0"/>
              <w:rPr>
                <w:rFonts w:ascii="Times New Roman" w:hAnsi="Times New Roman"/>
                <w:b/>
                <w:bCs/>
                <w:sz w:val="24"/>
              </w:rPr>
            </w:pPr>
            <w:r w:rsidRPr="00824EA2">
              <w:rPr>
                <w:rFonts w:ascii="Times New Roman" w:hAnsi="Times New Roman"/>
                <w:b/>
                <w:sz w:val="24"/>
                <w:u w:val="single"/>
              </w:rPr>
              <w:t>(</w:t>
            </w:r>
            <w:r w:rsidR="002050FD">
              <w:rPr>
                <w:rFonts w:ascii="Times New Roman" w:hAnsi="Times New Roman"/>
                <w:b/>
                <w:sz w:val="24"/>
                <w:u w:val="single"/>
              </w:rPr>
              <w:t>Л</w:t>
            </w:r>
            <w:r w:rsidRPr="00824EA2">
              <w:rPr>
                <w:rFonts w:ascii="Times New Roman" w:hAnsi="Times New Roman"/>
                <w:b/>
                <w:sz w:val="24"/>
                <w:u w:val="single"/>
              </w:rPr>
              <w:t>ихв</w:t>
            </w:r>
            <w:r w:rsidR="002050FD">
              <w:rPr>
                <w:rFonts w:ascii="Times New Roman" w:hAnsi="Times New Roman"/>
                <w:b/>
                <w:sz w:val="24"/>
                <w:u w:val="single"/>
              </w:rPr>
              <w:t>ен</w:t>
            </w:r>
            <w:r w:rsidRPr="00824EA2">
              <w:rPr>
                <w:rFonts w:ascii="Times New Roman" w:hAnsi="Times New Roman"/>
                <w:b/>
                <w:sz w:val="24"/>
                <w:u w:val="single"/>
              </w:rPr>
              <w:t>и</w:t>
            </w:r>
            <w:r w:rsidR="002050FD">
              <w:rPr>
                <w:rFonts w:ascii="Times New Roman" w:hAnsi="Times New Roman"/>
                <w:b/>
                <w:sz w:val="24"/>
                <w:u w:val="single"/>
              </w:rPr>
              <w:t xml:space="preserve"> разходи</w:t>
            </w:r>
            <w:r w:rsidRPr="00824EA2">
              <w:rPr>
                <w:rFonts w:ascii="Times New Roman" w:hAnsi="Times New Roman"/>
                <w:b/>
                <w:sz w:val="24"/>
                <w:u w:val="single"/>
              </w:rPr>
              <w:t>)</w:t>
            </w:r>
          </w:p>
          <w:p w14:paraId="344C922F" w14:textId="3760ED23" w:rsidR="00BF5737" w:rsidRPr="00824EA2" w:rsidRDefault="00BF5737" w:rsidP="00BF5737">
            <w:pPr>
              <w:rPr>
                <w:rFonts w:ascii="Times New Roman" w:hAnsi="Times New Roman"/>
                <w:sz w:val="24"/>
              </w:rPr>
            </w:pPr>
            <w:r w:rsidRPr="00824EA2">
              <w:rPr>
                <w:rFonts w:ascii="Times New Roman" w:hAnsi="Times New Roman"/>
                <w:sz w:val="24"/>
              </w:rPr>
              <w:t>Институциите отчитат разходите за лихви в съответствие с приложение V, част 2, параграф 31 от ИТ решенията на ЕБО и съгласно допълнителните спецификации от приложение V, част 2, параграфи 188, 190 и 194ii от ИТ решенията на ЕБО.</w:t>
            </w:r>
          </w:p>
          <w:p w14:paraId="672B06B8" w14:textId="659F3CAB" w:rsidR="00BF5737" w:rsidRPr="00824EA2" w:rsidRDefault="00BF5737" w:rsidP="00BF5737">
            <w:pPr>
              <w:rPr>
                <w:rFonts w:ascii="Times New Roman" w:hAnsi="Times New Roman"/>
                <w:sz w:val="24"/>
              </w:rPr>
            </w:pPr>
            <w:r w:rsidRPr="00824EA2">
              <w:rPr>
                <w:rFonts w:ascii="Times New Roman" w:hAnsi="Times New Roman"/>
                <w:sz w:val="24"/>
              </w:rPr>
              <w:t xml:space="preserve">Разходите за лихви, произтичащи от операционни събития, не се отчитат тук. Вместо това те се отчитат в компонента на услугите (в рамките на „Общи загуби, разходи, провизии и други финансови последици в резултат </w:t>
            </w:r>
            <w:r w:rsidRPr="00824EA2">
              <w:rPr>
                <w:rFonts w:ascii="Times New Roman" w:hAnsi="Times New Roman"/>
                <w:sz w:val="24"/>
              </w:rPr>
              <w:lastRenderedPageBreak/>
              <w:t>на операционни събития“) в съответствие с член 314, параграф 5 от Регламент (ЕС) № 575/2013.</w:t>
            </w:r>
          </w:p>
        </w:tc>
      </w:tr>
      <w:tr w:rsidR="00BF5737" w:rsidRPr="00824EA2"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638BEE7" w:rsidR="00BF5737" w:rsidRPr="00824EA2" w:rsidRDefault="00BF5737" w:rsidP="00BF5737">
            <w:pPr>
              <w:jc w:val="center"/>
              <w:rPr>
                <w:rFonts w:ascii="Times New Roman" w:hAnsi="Times New Roman"/>
                <w:sz w:val="24"/>
              </w:rPr>
            </w:pPr>
            <w:r w:rsidRPr="00824EA2">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3B3B7FD4" w:rsidR="00BF5737" w:rsidRPr="00824EA2" w:rsidRDefault="00BF5737" w:rsidP="00BF5737">
            <w:pPr>
              <w:keepNext/>
              <w:autoSpaceDE w:val="0"/>
              <w:autoSpaceDN w:val="0"/>
              <w:adjustRightInd w:val="0"/>
              <w:rPr>
                <w:rFonts w:ascii="Times New Roman" w:hAnsi="Times New Roman"/>
                <w:bCs/>
                <w:sz w:val="24"/>
                <w:u w:val="single"/>
              </w:rPr>
            </w:pPr>
            <w:r w:rsidRPr="00824EA2">
              <w:rPr>
                <w:rFonts w:ascii="Times New Roman" w:hAnsi="Times New Roman"/>
                <w:b/>
                <w:sz w:val="24"/>
                <w:u w:val="single"/>
              </w:rPr>
              <w:t xml:space="preserve">(Разходи </w:t>
            </w:r>
            <w:r w:rsidR="00E82C23">
              <w:rPr>
                <w:rFonts w:ascii="Times New Roman" w:hAnsi="Times New Roman"/>
                <w:b/>
                <w:sz w:val="24"/>
                <w:u w:val="single"/>
              </w:rPr>
              <w:t>за</w:t>
            </w:r>
            <w:r w:rsidR="00E82C23" w:rsidRPr="00824EA2">
              <w:rPr>
                <w:rFonts w:ascii="Times New Roman" w:hAnsi="Times New Roman"/>
                <w:b/>
                <w:sz w:val="24"/>
                <w:u w:val="single"/>
              </w:rPr>
              <w:t xml:space="preserve"> </w:t>
            </w:r>
            <w:r w:rsidRPr="00824EA2">
              <w:rPr>
                <w:rFonts w:ascii="Times New Roman" w:hAnsi="Times New Roman"/>
                <w:b/>
                <w:sz w:val="24"/>
                <w:u w:val="single"/>
              </w:rPr>
              <w:t xml:space="preserve">отдадени на оперативен лизинг активи, различни от </w:t>
            </w:r>
            <w:r w:rsidR="00E82C23">
              <w:rPr>
                <w:rFonts w:ascii="Times New Roman" w:hAnsi="Times New Roman"/>
                <w:b/>
                <w:sz w:val="24"/>
                <w:u w:val="single"/>
              </w:rPr>
              <w:t xml:space="preserve">лихвени </w:t>
            </w:r>
            <w:r w:rsidRPr="00824EA2">
              <w:rPr>
                <w:rFonts w:ascii="Times New Roman" w:hAnsi="Times New Roman"/>
                <w:b/>
                <w:sz w:val="24"/>
                <w:u w:val="single"/>
              </w:rPr>
              <w:t>разходи)</w:t>
            </w:r>
          </w:p>
          <w:p w14:paraId="10725118" w14:textId="571F764A" w:rsidR="00BF5737" w:rsidRPr="00824EA2" w:rsidRDefault="00BF5737" w:rsidP="00BF5737">
            <w:pPr>
              <w:keepNext/>
              <w:autoSpaceDE w:val="0"/>
              <w:autoSpaceDN w:val="0"/>
              <w:adjustRightInd w:val="0"/>
              <w:rPr>
                <w:rFonts w:ascii="Times New Roman" w:hAnsi="Times New Roman"/>
                <w:sz w:val="24"/>
              </w:rPr>
            </w:pPr>
            <w:r w:rsidRPr="00824EA2">
              <w:rPr>
                <w:rFonts w:ascii="Times New Roman" w:hAnsi="Times New Roman"/>
                <w:sz w:val="24"/>
              </w:rPr>
              <w:t>Сборът от разходите, представляващи амортизация, обезценка или (–) възстановяване на обезценки за отдадени на оперативен лизинг активи и други административни разходи, свързани с отдадени на лизинг активи, както е посочено по-долу:</w:t>
            </w:r>
          </w:p>
          <w:p w14:paraId="0C9DC8A2" w14:textId="7A008E17" w:rsidR="00BF5737" w:rsidRPr="00824EA2" w:rsidRDefault="00BF5737" w:rsidP="00BF5737">
            <w:pPr>
              <w:pStyle w:val="ListParagraph"/>
              <w:numPr>
                <w:ilvl w:val="0"/>
                <w:numId w:val="30"/>
              </w:numPr>
              <w:spacing w:before="0" w:after="0"/>
              <w:rPr>
                <w:rFonts w:ascii="Times New Roman" w:hAnsi="Times New Roman"/>
                <w:sz w:val="24"/>
              </w:rPr>
            </w:pPr>
            <w:r w:rsidRPr="00824EA2">
              <w:rPr>
                <w:rFonts w:ascii="Times New Roman" w:hAnsi="Times New Roman"/>
                <w:b/>
                <w:sz w:val="24"/>
                <w:u w:val="single"/>
              </w:rPr>
              <w:t>(Амортизация на отдадени на оперативен лизинг активи):</w:t>
            </w:r>
            <w:r w:rsidRPr="00824EA2">
              <w:rPr>
                <w:rFonts w:ascii="Times New Roman" w:hAnsi="Times New Roman"/>
                <w:b/>
                <w:sz w:val="24"/>
              </w:rPr>
              <w:t xml:space="preserve"> </w:t>
            </w:r>
            <w:r w:rsidRPr="00824EA2">
              <w:rPr>
                <w:rFonts w:ascii="Times New Roman" w:hAnsi="Times New Roman"/>
                <w:sz w:val="24"/>
              </w:rPr>
              <w:t>институциите отчитат разходите от отдадени на лизинг активи, които представляват разходи за амортизация, отчетени в съответствие с Международните счетоводни стандарти (МСС) 1, параграфи 102 и 104, но само от отдадени на оперативен лизинг активи, приходите или разходите за които са включени в изчисляването на компонента на лихвите.</w:t>
            </w:r>
          </w:p>
          <w:p w14:paraId="1C26AA33" w14:textId="0257F109" w:rsidR="00BF5737" w:rsidRPr="00824EA2" w:rsidRDefault="00BF5737" w:rsidP="00BF5737">
            <w:pPr>
              <w:pStyle w:val="ListParagraph"/>
              <w:numPr>
                <w:ilvl w:val="0"/>
                <w:numId w:val="30"/>
              </w:numPr>
              <w:spacing w:before="0" w:after="0"/>
              <w:rPr>
                <w:rFonts w:ascii="Times New Roman" w:hAnsi="Times New Roman"/>
                <w:strike/>
                <w:sz w:val="24"/>
              </w:rPr>
            </w:pPr>
            <w:r w:rsidRPr="00824EA2">
              <w:rPr>
                <w:rFonts w:ascii="Times New Roman" w:hAnsi="Times New Roman"/>
                <w:b/>
                <w:sz w:val="24"/>
                <w:u w:val="single"/>
              </w:rPr>
              <w:t>(Обезценка или (–) възстановяване на обезценки на отдадени на оперативен лизинг активи):</w:t>
            </w:r>
            <w:r w:rsidRPr="00824EA2">
              <w:rPr>
                <w:rFonts w:ascii="Times New Roman" w:hAnsi="Times New Roman"/>
                <w:b/>
                <w:sz w:val="24"/>
              </w:rPr>
              <w:t xml:space="preserve"> </w:t>
            </w:r>
            <w:r w:rsidRPr="00824EA2">
              <w:rPr>
                <w:rFonts w:ascii="Times New Roman" w:hAnsi="Times New Roman"/>
                <w:sz w:val="24"/>
              </w:rPr>
              <w:t>институциите отчитат разходите от отдадени на оперативен лизинг активи, които представляват обезценка или възстановяване на обезценки съгласно МСС 36, параграф 126, букви а) и б) на отдадени на оперативен лизинг активи.</w:t>
            </w:r>
          </w:p>
          <w:p w14:paraId="125C149D" w14:textId="02C6904F" w:rsidR="00BF5737" w:rsidRPr="00824EA2" w:rsidRDefault="00BF5737" w:rsidP="00BF5737">
            <w:pPr>
              <w:pStyle w:val="ListParagraph"/>
              <w:keepNext/>
              <w:numPr>
                <w:ilvl w:val="0"/>
                <w:numId w:val="30"/>
              </w:numPr>
              <w:spacing w:before="0" w:after="0"/>
              <w:rPr>
                <w:rFonts w:ascii="Times New Roman" w:hAnsi="Times New Roman"/>
                <w:sz w:val="24"/>
              </w:rPr>
            </w:pPr>
            <w:r w:rsidRPr="00824EA2">
              <w:rPr>
                <w:rFonts w:ascii="Times New Roman" w:hAnsi="Times New Roman"/>
                <w:b/>
                <w:sz w:val="24"/>
                <w:u w:val="single"/>
              </w:rPr>
              <w:t>(Разходи от оперативни лизинги, включително други административни разходи, свързани с отдадени на оперативен лизинг активи):</w:t>
            </w:r>
            <w:r w:rsidRPr="00824EA2">
              <w:rPr>
                <w:rFonts w:ascii="Times New Roman" w:hAnsi="Times New Roman"/>
                <w:sz w:val="24"/>
              </w:rPr>
              <w:t xml:space="preserve"> </w:t>
            </w:r>
            <w:r w:rsidR="00D821AF" w:rsidRPr="00824EA2">
              <w:rPr>
                <w:rFonts w:ascii="Times New Roman" w:hAnsi="Times New Roman"/>
                <w:sz w:val="24"/>
              </w:rPr>
              <w:t>и</w:t>
            </w:r>
            <w:r w:rsidRPr="00824EA2">
              <w:rPr>
                <w:rFonts w:ascii="Times New Roman" w:hAnsi="Times New Roman"/>
                <w:sz w:val="24"/>
              </w:rPr>
              <w:t>нституциите отчитат разходите в съответствие с приложение V, част 2, параграфи 314 и 315 от ИТ решенията на ЕБО, свързани с оперативни лизинги, които представляват:</w:t>
            </w:r>
          </w:p>
          <w:p w14:paraId="718F7358" w14:textId="75A5342A" w:rsidR="00BF5737" w:rsidRPr="00824EA2" w:rsidRDefault="00BF5737" w:rsidP="00BF5737">
            <w:pPr>
              <w:pStyle w:val="ListParagraph"/>
              <w:numPr>
                <w:ilvl w:val="0"/>
                <w:numId w:val="31"/>
              </w:numPr>
              <w:spacing w:before="0" w:after="0"/>
              <w:ind w:left="1440"/>
              <w:rPr>
                <w:rFonts w:ascii="Times New Roman" w:hAnsi="Times New Roman"/>
                <w:sz w:val="24"/>
              </w:rPr>
            </w:pPr>
            <w:r w:rsidRPr="00824EA2">
              <w:rPr>
                <w:rFonts w:ascii="Times New Roman" w:hAnsi="Times New Roman"/>
                <w:sz w:val="24"/>
              </w:rPr>
              <w:t>разходи от промени в справедливата стойност на инвестиционни имоти, които генерират ренти и се оценяват по модела на справедливата стойност, от отдадени на оперативен лизинг активи;</w:t>
            </w:r>
          </w:p>
          <w:p w14:paraId="2748EC88" w14:textId="5DCF269E" w:rsidR="00BF5737" w:rsidRPr="00824EA2" w:rsidRDefault="00BF5737" w:rsidP="00BF5737">
            <w:pPr>
              <w:pStyle w:val="ListParagraph"/>
              <w:numPr>
                <w:ilvl w:val="0"/>
                <w:numId w:val="31"/>
              </w:numPr>
              <w:spacing w:before="0" w:after="0"/>
              <w:ind w:left="1440"/>
              <w:rPr>
                <w:rFonts w:ascii="Times New Roman" w:hAnsi="Times New Roman"/>
                <w:sz w:val="24"/>
              </w:rPr>
            </w:pPr>
            <w:r w:rsidRPr="00824EA2">
              <w:rPr>
                <w:rFonts w:ascii="Times New Roman" w:hAnsi="Times New Roman"/>
                <w:sz w:val="24"/>
              </w:rPr>
              <w:t>разходи за оперативни лизинги, включително преки оперативни разходи от инвестиционни имоти, които генерират ренти.</w:t>
            </w:r>
          </w:p>
          <w:p w14:paraId="33A6F719" w14:textId="77777777" w:rsidR="00BF5737" w:rsidRPr="00824EA2" w:rsidRDefault="00BF5737" w:rsidP="00BF5737">
            <w:pPr>
              <w:spacing w:before="0" w:after="0"/>
              <w:ind w:left="708"/>
              <w:rPr>
                <w:rFonts w:ascii="Times New Roman" w:hAnsi="Times New Roman"/>
                <w:sz w:val="24"/>
              </w:rPr>
            </w:pPr>
          </w:p>
          <w:p w14:paraId="27623DD2" w14:textId="17A8CADF" w:rsidR="00BF5737" w:rsidRPr="00824EA2" w:rsidRDefault="00BF5737" w:rsidP="00BF5737">
            <w:pPr>
              <w:rPr>
                <w:rFonts w:ascii="Times New Roman" w:hAnsi="Times New Roman"/>
                <w:sz w:val="24"/>
              </w:rPr>
            </w:pPr>
            <w:r w:rsidRPr="00824EA2">
              <w:rPr>
                <w:rFonts w:ascii="Times New Roman" w:hAnsi="Times New Roman"/>
                <w:sz w:val="24"/>
              </w:rPr>
              <w:t>В допълнение тук институциите следва да отчитат други административни разходи от отдадени на оперативен лизинг активи в съответствие с приложение V, част 2, параграф 208ix от ИТ решенията на ЕБО.</w:t>
            </w:r>
          </w:p>
          <w:p w14:paraId="5B3CD38B" w14:textId="2339E1D0" w:rsidR="00BF5737" w:rsidRPr="00824EA2" w:rsidRDefault="00BF5737" w:rsidP="00BF5737">
            <w:pPr>
              <w:rPr>
                <w:rFonts w:ascii="Times New Roman" w:hAnsi="Times New Roman"/>
                <w:sz w:val="24"/>
              </w:rPr>
            </w:pPr>
            <w:r w:rsidRPr="00824EA2">
              <w:rPr>
                <w:rFonts w:ascii="Times New Roman" w:hAnsi="Times New Roman"/>
                <w:sz w:val="24"/>
              </w:rPr>
              <w:t>Разходите, които се дължат на операционни събития, не се отчитат тук. Вместо това те се отчитат в компонента на услугите (в рамките на „Общи загуби, разходи, провизии и други финансови последици в резултат на операционни събития“) в съответствие с член 314, параграф 5 от Регламент (ЕС) № 575/2013.</w:t>
            </w:r>
          </w:p>
        </w:tc>
      </w:tr>
      <w:tr w:rsidR="00BF5737" w:rsidRPr="00824EA2"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74A3B976" w:rsidR="00BF5737" w:rsidRPr="00824EA2" w:rsidRDefault="00D821AF" w:rsidP="00BF5737">
            <w:pPr>
              <w:jc w:val="center"/>
              <w:rPr>
                <w:rFonts w:ascii="Times New Roman" w:hAnsi="Times New Roman"/>
                <w:sz w:val="24"/>
              </w:rPr>
            </w:pPr>
            <w:r w:rsidRPr="00824EA2">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BF5737" w:rsidRPr="00824EA2" w:rsidRDefault="00BF5737" w:rsidP="00BF5737">
            <w:pPr>
              <w:keepNext/>
              <w:rPr>
                <w:rFonts w:ascii="Times New Roman" w:hAnsi="Times New Roman"/>
                <w:b/>
                <w:bCs/>
                <w:sz w:val="24"/>
                <w:u w:val="single"/>
              </w:rPr>
            </w:pPr>
            <w:r w:rsidRPr="00824EA2">
              <w:rPr>
                <w:rFonts w:ascii="Times New Roman" w:hAnsi="Times New Roman"/>
                <w:b/>
                <w:sz w:val="24"/>
                <w:u w:val="single"/>
              </w:rPr>
              <w:t>(Загуби от отдадени на оперативен лизинг активи)</w:t>
            </w:r>
          </w:p>
          <w:p w14:paraId="40649E77" w14:textId="77777777" w:rsidR="00BF5737" w:rsidRPr="00824EA2" w:rsidRDefault="00BF5737" w:rsidP="00BF5737">
            <w:pPr>
              <w:keepNext/>
              <w:rPr>
                <w:rFonts w:ascii="Times New Roman" w:hAnsi="Times New Roman"/>
                <w:sz w:val="24"/>
              </w:rPr>
            </w:pPr>
            <w:r w:rsidRPr="00824EA2">
              <w:rPr>
                <w:rFonts w:ascii="Times New Roman" w:hAnsi="Times New Roman"/>
                <w:sz w:val="24"/>
              </w:rPr>
              <w:t>Институциите отчитат:</w:t>
            </w:r>
          </w:p>
          <w:p w14:paraId="3DA6FBC5" w14:textId="3CB78DA8" w:rsidR="00BF5737" w:rsidRPr="00824EA2" w:rsidRDefault="00BF5737" w:rsidP="00BF5737">
            <w:pPr>
              <w:numPr>
                <w:ilvl w:val="0"/>
                <w:numId w:val="34"/>
              </w:numPr>
              <w:rPr>
                <w:rFonts w:ascii="Times New Roman" w:hAnsi="Times New Roman"/>
                <w:sz w:val="24"/>
              </w:rPr>
            </w:pPr>
            <w:r w:rsidRPr="00824EA2">
              <w:rPr>
                <w:rFonts w:ascii="Times New Roman" w:hAnsi="Times New Roman"/>
                <w:sz w:val="24"/>
              </w:rPr>
              <w:t>останалите други оперативни разходи (Други оперативни разходи. Други) в съответствие с приложение V, част 2, раздел 29.3, параграф 316 от ИТ решенията на ЕБО, ако са свързани с отдадени на оперативен лизинг активи.</w:t>
            </w:r>
          </w:p>
          <w:p w14:paraId="6F639438" w14:textId="7E98AE78" w:rsidR="00BF5737" w:rsidRPr="00824EA2" w:rsidRDefault="00BF5737" w:rsidP="00BF5737">
            <w:pPr>
              <w:rPr>
                <w:rFonts w:ascii="Times New Roman" w:hAnsi="Times New Roman"/>
                <w:sz w:val="24"/>
              </w:rPr>
            </w:pPr>
            <w:r w:rsidRPr="00824EA2">
              <w:rPr>
                <w:rFonts w:ascii="Times New Roman" w:hAnsi="Times New Roman"/>
                <w:sz w:val="24"/>
              </w:rPr>
              <w:t>Загубите, дължащи се на операционни събития, не се отчитат тук. Вместо това те се отчитат в компонента на услугите (в рамките на „Общи загуби, разходи, провизии и други финансови последици в резултат на операционни събития“) в съответствие с член 314, параграф 5 от Регламент (ЕС) № 575/2013.</w:t>
            </w:r>
          </w:p>
        </w:tc>
      </w:tr>
      <w:tr w:rsidR="00D821AF" w:rsidRPr="00824EA2"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169AD65C"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7B1D1D3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Компонент </w:t>
            </w:r>
            <w:r w:rsidR="00D14711">
              <w:rPr>
                <w:rFonts w:ascii="Times New Roman" w:hAnsi="Times New Roman"/>
                <w:b/>
                <w:sz w:val="24"/>
                <w:u w:val="single"/>
              </w:rPr>
              <w:t>“А</w:t>
            </w:r>
            <w:r w:rsidRPr="00824EA2">
              <w:rPr>
                <w:rFonts w:ascii="Times New Roman" w:hAnsi="Times New Roman"/>
                <w:b/>
                <w:sz w:val="24"/>
                <w:u w:val="single"/>
              </w:rPr>
              <w:t>ктиви</w:t>
            </w:r>
            <w:r w:rsidR="00D14711">
              <w:rPr>
                <w:rFonts w:ascii="Times New Roman" w:hAnsi="Times New Roman"/>
                <w:b/>
                <w:sz w:val="24"/>
                <w:u w:val="single"/>
              </w:rPr>
              <w:t>“</w:t>
            </w:r>
          </w:p>
          <w:p w14:paraId="394E55B5" w14:textId="426A1D7E" w:rsidR="00D821AF" w:rsidRPr="00824EA2" w:rsidRDefault="00D821AF" w:rsidP="00D821A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Компонентът на активите (AC) се изчислява в съответствие с член 314, параграф 2 от Регламент (ЕС) № 575/2013.</w:t>
            </w:r>
          </w:p>
        </w:tc>
      </w:tr>
      <w:tr w:rsidR="00D821AF" w:rsidRPr="00824EA2"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4D1E3F9D"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26F6C5E9" w:rsidR="00D821AF" w:rsidRPr="00824EA2" w:rsidRDefault="00D821AF" w:rsidP="00D821AF">
            <w:pPr>
              <w:keepNext/>
              <w:jc w:val="left"/>
              <w:rPr>
                <w:rFonts w:ascii="Times New Roman" w:hAnsi="Times New Roman"/>
                <w:b/>
                <w:bCs/>
                <w:sz w:val="24"/>
                <w:u w:val="single"/>
              </w:rPr>
            </w:pPr>
            <w:r w:rsidRPr="00824EA2">
              <w:rPr>
                <w:rFonts w:ascii="Times New Roman" w:hAnsi="Times New Roman"/>
                <w:b/>
                <w:sz w:val="24"/>
                <w:u w:val="single"/>
              </w:rPr>
              <w:t>Общ</w:t>
            </w:r>
            <w:r w:rsidR="00394CA3">
              <w:rPr>
                <w:rFonts w:ascii="Times New Roman" w:hAnsi="Times New Roman"/>
                <w:b/>
                <w:sz w:val="24"/>
                <w:u w:val="single"/>
              </w:rPr>
              <w:t>о активи</w:t>
            </w:r>
          </w:p>
          <w:p w14:paraId="3A1B8717" w14:textId="7BFA33D3" w:rsidR="00D821AF" w:rsidRPr="00824EA2" w:rsidRDefault="00D821AF" w:rsidP="00D821AF">
            <w:pPr>
              <w:jc w:val="left"/>
              <w:rPr>
                <w:rFonts w:ascii="Times New Roman" w:hAnsi="Times New Roman"/>
                <w:sz w:val="24"/>
              </w:rPr>
            </w:pPr>
            <w:r w:rsidRPr="00824EA2">
              <w:rPr>
                <w:rFonts w:ascii="Times New Roman" w:hAnsi="Times New Roman"/>
                <w:sz w:val="24"/>
              </w:rPr>
              <w:t>Сборът от брутната балансова стойност на паричните салда при централни банки и други депозити на виждане, дългови ценни книжа, кредити и аванси, както и балансовата стойност на деривати и активи, предмет на лизинг.</w:t>
            </w:r>
          </w:p>
        </w:tc>
      </w:tr>
      <w:tr w:rsidR="00D821AF" w:rsidRPr="00824EA2"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1C7B4518"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D821AF" w:rsidRPr="00824EA2" w:rsidRDefault="00D821AF" w:rsidP="00D821AF">
            <w:pPr>
              <w:keepNext/>
              <w:autoSpaceDE w:val="0"/>
              <w:autoSpaceDN w:val="0"/>
              <w:adjustRightInd w:val="0"/>
              <w:jc w:val="left"/>
              <w:rPr>
                <w:rFonts w:ascii="Times New Roman" w:hAnsi="Times New Roman"/>
                <w:b/>
                <w:bCs/>
                <w:sz w:val="24"/>
              </w:rPr>
            </w:pPr>
            <w:r w:rsidRPr="00824EA2">
              <w:rPr>
                <w:rFonts w:ascii="Times New Roman" w:hAnsi="Times New Roman"/>
                <w:b/>
                <w:sz w:val="24"/>
                <w:u w:val="single"/>
              </w:rPr>
              <w:t>Парични салда при централни банки и други депозити на виждане</w:t>
            </w:r>
          </w:p>
          <w:p w14:paraId="4188D5D9" w14:textId="48A329AD"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брутната балансова стойност на паричните салда при централни банки и други депозити на виждане в съответствие с приложение V, част 2, параграфи 2 и 3 от ИТ решенията на ЕБО.</w:t>
            </w:r>
          </w:p>
        </w:tc>
      </w:tr>
      <w:tr w:rsidR="00D821AF" w:rsidRPr="00824EA2"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40166FED"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Дългови ценни книжа</w:t>
            </w:r>
          </w:p>
          <w:p w14:paraId="2C34543A" w14:textId="54A010C3"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брутната балансова стойност на дълговите ценни книжа в съответствие с приложение V, част 1, параграфи 31 и 34 от ИТ решенията на ЕБО.</w:t>
            </w:r>
          </w:p>
        </w:tc>
      </w:tr>
      <w:tr w:rsidR="00D821AF" w:rsidRPr="00824EA2"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37D0B881"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Кредити и аванси</w:t>
            </w:r>
          </w:p>
          <w:p w14:paraId="66A4F90F" w14:textId="3682ADC9"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брутната балансова стойност на кредитите и авансите в съответствие с приложение V, част 1, параграфи 32 и 34 от ИТ решенията на ЕБО.</w:t>
            </w:r>
          </w:p>
        </w:tc>
      </w:tr>
      <w:tr w:rsidR="00D821AF" w:rsidRPr="00824EA2"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5D430BCC" w:rsidR="00D821AF" w:rsidRPr="00824EA2" w:rsidRDefault="00D821AF" w:rsidP="00D821AF">
            <w:pPr>
              <w:jc w:val="center"/>
              <w:rPr>
                <w:rFonts w:ascii="Times New Roman" w:hAnsi="Times New Roman"/>
                <w:sz w:val="24"/>
                <w:highlight w:val="yellow"/>
              </w:rPr>
            </w:pPr>
            <w:r w:rsidRPr="00824EA2">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Деривати</w:t>
            </w:r>
          </w:p>
          <w:p w14:paraId="47BBB2C1" w14:textId="4E51CCFD" w:rsidR="00D821AF" w:rsidRPr="00824EA2" w:rsidRDefault="00D821AF" w:rsidP="00D821AF">
            <w:pPr>
              <w:autoSpaceDE w:val="0"/>
              <w:autoSpaceDN w:val="0"/>
              <w:adjustRightInd w:val="0"/>
              <w:jc w:val="left"/>
              <w:rPr>
                <w:rFonts w:ascii="Times New Roman" w:hAnsi="Times New Roman"/>
                <w:sz w:val="24"/>
              </w:rPr>
            </w:pPr>
            <w:r w:rsidRPr="00824EA2">
              <w:rPr>
                <w:rFonts w:ascii="Times New Roman" w:hAnsi="Times New Roman"/>
                <w:sz w:val="24"/>
              </w:rPr>
              <w:t>Сборът от балансовата стойност на дериватите, които са обект на търгуване и отчитане на хеджиране.</w:t>
            </w:r>
          </w:p>
        </w:tc>
      </w:tr>
      <w:tr w:rsidR="00D821AF" w:rsidRPr="00824EA2"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0287044"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D821AF" w:rsidRPr="00824EA2" w:rsidRDefault="00D821AF" w:rsidP="00D821AF">
            <w:pPr>
              <w:keepNext/>
              <w:autoSpaceDE w:val="0"/>
              <w:autoSpaceDN w:val="0"/>
              <w:adjustRightInd w:val="0"/>
              <w:jc w:val="left"/>
              <w:rPr>
                <w:rFonts w:ascii="Times New Roman" w:hAnsi="Times New Roman"/>
                <w:sz w:val="24"/>
                <w:u w:val="single"/>
              </w:rPr>
            </w:pPr>
            <w:r w:rsidRPr="00824EA2">
              <w:rPr>
                <w:rFonts w:ascii="Times New Roman" w:hAnsi="Times New Roman"/>
                <w:b/>
                <w:sz w:val="24"/>
                <w:u w:val="single"/>
              </w:rPr>
              <w:t>Търговия и икономическо хеджиране</w:t>
            </w:r>
          </w:p>
          <w:p w14:paraId="19E4F11B" w14:textId="7C3CDC20" w:rsidR="00D821AF" w:rsidRPr="00824EA2" w:rsidRDefault="00D821AF" w:rsidP="00D821AF">
            <w:pPr>
              <w:autoSpaceDE w:val="0"/>
              <w:autoSpaceDN w:val="0"/>
              <w:adjustRightInd w:val="0"/>
              <w:rPr>
                <w:rFonts w:ascii="Times New Roman" w:hAnsi="Times New Roman"/>
                <w:sz w:val="24"/>
              </w:rPr>
            </w:pPr>
            <w:r w:rsidRPr="00824EA2">
              <w:rPr>
                <w:rFonts w:ascii="Times New Roman" w:hAnsi="Times New Roman"/>
                <w:sz w:val="24"/>
              </w:rPr>
              <w:t xml:space="preserve">Институциите отчитат балансовата стойност на дериватите, държани за търгуване и икономическо хеджиране, както се отчитат съгласно допълнение А към МСФО 9 или съгласно НОСП, в съответствие с приложение V, част 1, параграфи 17 и 27 от ИТ решенията на ЕБО, при </w:t>
            </w:r>
            <w:r w:rsidRPr="00824EA2">
              <w:rPr>
                <w:rFonts w:ascii="Times New Roman" w:hAnsi="Times New Roman"/>
                <w:sz w:val="24"/>
              </w:rPr>
              <w:lastRenderedPageBreak/>
              <w:t>условие че тези деривати са генерирали лихви или подобни потоци през финансовата година, които са признати за доходи от лихви или разходи за лихви.</w:t>
            </w:r>
          </w:p>
        </w:tc>
      </w:tr>
      <w:tr w:rsidR="00D821AF" w:rsidRPr="00824EA2"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5A67D4C4"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Отчитане на хеджирането</w:t>
            </w:r>
          </w:p>
          <w:p w14:paraId="7F517CA2" w14:textId="574313CE" w:rsidR="00D821AF" w:rsidRPr="00824EA2" w:rsidRDefault="00D821AF" w:rsidP="00D821AF">
            <w:pPr>
              <w:autoSpaceDE w:val="0"/>
              <w:autoSpaceDN w:val="0"/>
              <w:adjustRightInd w:val="0"/>
              <w:rPr>
                <w:rFonts w:ascii="Times New Roman" w:hAnsi="Times New Roman"/>
                <w:sz w:val="24"/>
              </w:rPr>
            </w:pPr>
            <w:r w:rsidRPr="00824EA2">
              <w:rPr>
                <w:rFonts w:ascii="Times New Roman" w:hAnsi="Times New Roman"/>
                <w:sz w:val="24"/>
              </w:rPr>
              <w:t>Институциите отчитат балансовата стойност на дериватите, подлежащи на отчитане на хеджирането, в съответствие с приложение V, част 1, параграфи 22 и 27 от ИТ решенията на ЕБО, ако тези деривати са генерирали лихви или подобни потоци, които са признати за доходи от лихви или разходи за лихви.</w:t>
            </w:r>
          </w:p>
        </w:tc>
      </w:tr>
      <w:tr w:rsidR="00D821AF" w:rsidRPr="00824EA2"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5C5A4AFA"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Активи, предмет на лизинг</w:t>
            </w:r>
          </w:p>
          <w:p w14:paraId="0B5B103E" w14:textId="77777777" w:rsidR="00D821AF" w:rsidRPr="00824EA2" w:rsidRDefault="00D821AF" w:rsidP="00D821AF">
            <w:pPr>
              <w:keepNext/>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балансовата стойност на всички активи, предмет на лизинг, които включват следното:</w:t>
            </w:r>
          </w:p>
          <w:p w14:paraId="3F8AD3D8" w14:textId="0EFB489E" w:rsidR="00D821AF" w:rsidRPr="00824EA2" w:rsidRDefault="00D821AF" w:rsidP="00D821AF">
            <w:pPr>
              <w:numPr>
                <w:ilvl w:val="0"/>
                <w:numId w:val="32"/>
              </w:numPr>
              <w:autoSpaceDE w:val="0"/>
              <w:autoSpaceDN w:val="0"/>
              <w:adjustRightInd w:val="0"/>
              <w:jc w:val="left"/>
              <w:rPr>
                <w:rFonts w:ascii="Times New Roman" w:hAnsi="Times New Roman"/>
                <w:sz w:val="24"/>
              </w:rPr>
            </w:pPr>
            <w:r w:rsidRPr="00824EA2">
              <w:rPr>
                <w:rFonts w:ascii="Times New Roman" w:hAnsi="Times New Roman"/>
                <w:sz w:val="24"/>
              </w:rPr>
              <w:t>имоти, машини и съоръжения в съответствие с МСС 16, параграфи 6 и 29, и МСС 1, параграф 54, буква а);</w:t>
            </w:r>
          </w:p>
          <w:p w14:paraId="4BEDDD96" w14:textId="591D892C" w:rsidR="00D821AF" w:rsidRPr="00824EA2" w:rsidRDefault="00D821AF" w:rsidP="00D821AF">
            <w:pPr>
              <w:numPr>
                <w:ilvl w:val="0"/>
                <w:numId w:val="32"/>
              </w:numPr>
              <w:autoSpaceDE w:val="0"/>
              <w:autoSpaceDN w:val="0"/>
              <w:adjustRightInd w:val="0"/>
              <w:jc w:val="left"/>
              <w:rPr>
                <w:rFonts w:ascii="Times New Roman" w:hAnsi="Times New Roman"/>
                <w:sz w:val="24"/>
              </w:rPr>
            </w:pPr>
            <w:r w:rsidRPr="00824EA2">
              <w:rPr>
                <w:rFonts w:ascii="Times New Roman" w:hAnsi="Times New Roman"/>
                <w:sz w:val="24"/>
              </w:rPr>
              <w:t>инвестиционни имоти в съответствие с МСС 40, параграфи 5 и 30, и с МСС 1, параграф 54, буква б);</w:t>
            </w:r>
          </w:p>
          <w:p w14:paraId="7F5A8E58" w14:textId="5D244A87" w:rsidR="00D821AF" w:rsidRPr="00824EA2" w:rsidRDefault="00D821AF" w:rsidP="00D821AF">
            <w:pPr>
              <w:numPr>
                <w:ilvl w:val="0"/>
                <w:numId w:val="32"/>
              </w:numPr>
              <w:autoSpaceDE w:val="0"/>
              <w:autoSpaceDN w:val="0"/>
              <w:adjustRightInd w:val="0"/>
              <w:jc w:val="left"/>
              <w:rPr>
                <w:rFonts w:ascii="Times New Roman" w:hAnsi="Times New Roman"/>
                <w:sz w:val="24"/>
              </w:rPr>
            </w:pPr>
            <w:r w:rsidRPr="00824EA2">
              <w:rPr>
                <w:rFonts w:ascii="Times New Roman" w:hAnsi="Times New Roman"/>
                <w:sz w:val="24"/>
              </w:rPr>
              <w:t>други нематериални активи в съответствие с МСС 38, параграфи 8, 118 и 122, както и с приложение V, част 2, параграф 303 от ИТ решенията на ЕБО.</w:t>
            </w:r>
          </w:p>
        </w:tc>
      </w:tr>
      <w:tr w:rsidR="00D821AF" w:rsidRPr="00824EA2"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544C0C50"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68D457DA" w:rsidR="00D821AF" w:rsidRPr="00824EA2" w:rsidRDefault="00D821AF" w:rsidP="00D821AF">
            <w:pPr>
              <w:keepNext/>
              <w:jc w:val="left"/>
              <w:rPr>
                <w:rFonts w:ascii="Times New Roman" w:hAnsi="Times New Roman"/>
                <w:b/>
                <w:bCs/>
                <w:sz w:val="24"/>
                <w:u w:val="single"/>
              </w:rPr>
            </w:pPr>
            <w:r w:rsidRPr="00824EA2">
              <w:rPr>
                <w:rFonts w:ascii="Times New Roman" w:hAnsi="Times New Roman"/>
                <w:b/>
                <w:sz w:val="24"/>
                <w:u w:val="single"/>
              </w:rPr>
              <w:t xml:space="preserve">Компонент </w:t>
            </w:r>
            <w:r w:rsidR="000A36C6">
              <w:rPr>
                <w:rFonts w:ascii="Times New Roman" w:hAnsi="Times New Roman"/>
                <w:b/>
                <w:sz w:val="24"/>
                <w:u w:val="single"/>
              </w:rPr>
              <w:t>„Д</w:t>
            </w:r>
            <w:r w:rsidRPr="00824EA2">
              <w:rPr>
                <w:rFonts w:ascii="Times New Roman" w:hAnsi="Times New Roman"/>
                <w:b/>
                <w:sz w:val="24"/>
                <w:u w:val="single"/>
              </w:rPr>
              <w:t>ивиденти</w:t>
            </w:r>
            <w:r w:rsidR="000A36C6">
              <w:rPr>
                <w:rFonts w:ascii="Times New Roman" w:hAnsi="Times New Roman"/>
                <w:b/>
                <w:sz w:val="24"/>
                <w:u w:val="single"/>
              </w:rPr>
              <w:t>“</w:t>
            </w:r>
          </w:p>
          <w:p w14:paraId="4B4463D0" w14:textId="589CD086" w:rsidR="00D821AF" w:rsidRPr="00824EA2" w:rsidRDefault="00D821AF" w:rsidP="00D821A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Компонентът на дивидентите (DC) се изчислява в съответствие с член 314, параграф 2 от Регламент (ЕС) № 575/2013.</w:t>
            </w:r>
          </w:p>
        </w:tc>
      </w:tr>
      <w:tr w:rsidR="00D821AF" w:rsidRPr="00824EA2"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048128CA" w:rsidR="00D821AF" w:rsidRPr="00824EA2" w:rsidRDefault="00D821AF" w:rsidP="00D821AF">
            <w:pPr>
              <w:jc w:val="center"/>
              <w:rPr>
                <w:rFonts w:ascii="Times New Roman" w:hAnsi="Times New Roman"/>
                <w:sz w:val="24"/>
              </w:rPr>
            </w:pPr>
            <w:r w:rsidRPr="00824EA2">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D821AF" w:rsidRPr="00824EA2" w:rsidRDefault="00D821AF" w:rsidP="00D821A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Приходи от дивиденти</w:t>
            </w:r>
          </w:p>
          <w:p w14:paraId="5A3CA3F0" w14:textId="12F893E0" w:rsidR="00D821AF" w:rsidRPr="00824EA2" w:rsidRDefault="00D821AF" w:rsidP="00D821AF">
            <w:pPr>
              <w:jc w:val="left"/>
              <w:rPr>
                <w:rFonts w:ascii="Times New Roman" w:hAnsi="Times New Roman"/>
                <w:sz w:val="24"/>
              </w:rPr>
            </w:pPr>
            <w:r w:rsidRPr="00824EA2">
              <w:rPr>
                <w:rFonts w:ascii="Times New Roman" w:hAnsi="Times New Roman"/>
                <w:sz w:val="24"/>
              </w:rPr>
              <w:t>Институциите отчитат приходите от дивиденти в съответствие с приложение V, част 2, параграфи 40—42 от ИТ решенията на ЕБО.</w:t>
            </w:r>
          </w:p>
        </w:tc>
      </w:tr>
      <w:tr w:rsidR="004E57EF" w:rsidRPr="00824EA2"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6A068B0C" w:rsidR="004E57EF" w:rsidRPr="00824EA2" w:rsidRDefault="004E57EF" w:rsidP="004E57EF">
            <w:pPr>
              <w:jc w:val="center"/>
              <w:rPr>
                <w:rFonts w:ascii="Times New Roman" w:hAnsi="Times New Roman"/>
                <w:b/>
                <w:bCs/>
                <w:sz w:val="24"/>
              </w:rPr>
            </w:pPr>
            <w:r w:rsidRPr="00824EA2">
              <w:rPr>
                <w:rFonts w:ascii="Times New Roman" w:hAnsi="Times New Roman"/>
                <w:b/>
                <w:bCs/>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C4509E1" w:rsidR="004E57EF" w:rsidRPr="00824EA2" w:rsidRDefault="004E57EF" w:rsidP="004E57EF">
            <w:pPr>
              <w:pStyle w:val="ListParagraph"/>
              <w:numPr>
                <w:ilvl w:val="0"/>
                <w:numId w:val="42"/>
              </w:numPr>
              <w:ind w:hanging="720"/>
              <w:jc w:val="left"/>
              <w:rPr>
                <w:rFonts w:ascii="Times New Roman" w:hAnsi="Times New Roman"/>
                <w:b/>
                <w:bCs/>
                <w:sz w:val="24"/>
              </w:rPr>
            </w:pPr>
            <w:r w:rsidRPr="00824EA2">
              <w:rPr>
                <w:rFonts w:ascii="Times New Roman" w:hAnsi="Times New Roman"/>
                <w:b/>
                <w:sz w:val="24"/>
              </w:rPr>
              <w:t xml:space="preserve">Компонент </w:t>
            </w:r>
            <w:r w:rsidR="00E82C23">
              <w:rPr>
                <w:rFonts w:ascii="Times New Roman" w:hAnsi="Times New Roman"/>
                <w:b/>
                <w:sz w:val="24"/>
              </w:rPr>
              <w:t>„</w:t>
            </w:r>
            <w:r w:rsidR="000A36C6">
              <w:rPr>
                <w:rFonts w:ascii="Times New Roman" w:hAnsi="Times New Roman"/>
                <w:b/>
                <w:sz w:val="24"/>
              </w:rPr>
              <w:t>У</w:t>
            </w:r>
            <w:r w:rsidRPr="00824EA2">
              <w:rPr>
                <w:rFonts w:ascii="Times New Roman" w:hAnsi="Times New Roman"/>
                <w:b/>
                <w:sz w:val="24"/>
              </w:rPr>
              <w:t>слуги</w:t>
            </w:r>
            <w:r w:rsidR="000A36C6">
              <w:rPr>
                <w:rFonts w:ascii="Times New Roman" w:hAnsi="Times New Roman"/>
                <w:b/>
                <w:sz w:val="24"/>
              </w:rPr>
              <w:t>“</w:t>
            </w:r>
            <w:r w:rsidRPr="00824EA2">
              <w:rPr>
                <w:rFonts w:ascii="Times New Roman" w:hAnsi="Times New Roman"/>
                <w:b/>
                <w:sz w:val="24"/>
              </w:rPr>
              <w:t xml:space="preserve"> (</w:t>
            </w:r>
            <w:r w:rsidR="000A36C6">
              <w:rPr>
                <w:rFonts w:ascii="Times New Roman" w:hAnsi="Times New Roman"/>
                <w:b/>
                <w:sz w:val="24"/>
              </w:rPr>
              <w:t>КУ</w:t>
            </w:r>
            <w:r w:rsidRPr="00824EA2">
              <w:rPr>
                <w:rFonts w:ascii="Times New Roman" w:hAnsi="Times New Roman"/>
                <w:b/>
                <w:sz w:val="24"/>
              </w:rPr>
              <w:t>)</w:t>
            </w:r>
          </w:p>
        </w:tc>
      </w:tr>
      <w:tr w:rsidR="004E57EF" w:rsidRPr="00824EA2"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18113802" w:rsidR="004E57EF" w:rsidRPr="00824EA2" w:rsidRDefault="004E57EF" w:rsidP="004E57EF">
            <w:pPr>
              <w:jc w:val="center"/>
              <w:rPr>
                <w:rFonts w:ascii="Times New Roman" w:eastAsia="Verdana" w:hAnsi="Times New Roman"/>
                <w:sz w:val="24"/>
              </w:rPr>
            </w:pPr>
            <w:r w:rsidRPr="00824EA2">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Други оперативни приходи</w:t>
            </w:r>
          </w:p>
          <w:p w14:paraId="1DB0DB47" w14:textId="56E6BA92"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Член 314, параграф 5 от Регламент (ЕС) № 575/2013.</w:t>
            </w:r>
          </w:p>
          <w:p w14:paraId="2FA21B44" w14:textId="185CC926"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Възстановяването на административни разходи не следва да се разглежда в съответствие с член 5 от РТС относно компонентите на бизнес индикатора, който предстои да бъде разработен съгласно член 314, параграф 9 от Регламент (ЕС) № 575/2013.</w:t>
            </w:r>
          </w:p>
        </w:tc>
      </w:tr>
      <w:tr w:rsidR="004E57EF" w:rsidRPr="00824EA2"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679E66BC"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0F98C845" w:rsidR="004E57EF" w:rsidRPr="00824EA2" w:rsidRDefault="004E57EF" w:rsidP="004E57EF">
            <w:pPr>
              <w:keepNext/>
              <w:jc w:val="left"/>
              <w:rPr>
                <w:rFonts w:ascii="Times New Roman" w:hAnsi="Times New Roman"/>
                <w:color w:val="000000" w:themeColor="text1"/>
                <w:sz w:val="24"/>
              </w:rPr>
            </w:pPr>
            <w:r w:rsidRPr="00824EA2">
              <w:rPr>
                <w:rFonts w:ascii="Times New Roman" w:hAnsi="Times New Roman"/>
                <w:b/>
                <w:sz w:val="24"/>
                <w:u w:val="single"/>
              </w:rPr>
              <w:t xml:space="preserve">Други оперативни приходи от членове, принадлежащи към същата </w:t>
            </w:r>
            <w:r w:rsidR="00394CA3">
              <w:rPr>
                <w:rFonts w:ascii="Times New Roman" w:hAnsi="Times New Roman"/>
                <w:b/>
                <w:sz w:val="24"/>
                <w:u w:val="single"/>
              </w:rPr>
              <w:t>ИЗС</w:t>
            </w:r>
          </w:p>
          <w:p w14:paraId="3862B978" w14:textId="3A9D6C9B" w:rsidR="004E57EF" w:rsidRPr="00824EA2" w:rsidRDefault="004E57EF" w:rsidP="004E57EF">
            <w:pPr>
              <w:autoSpaceDE w:val="0"/>
              <w:autoSpaceDN w:val="0"/>
              <w:adjustRightInd w:val="0"/>
              <w:jc w:val="left"/>
              <w:rPr>
                <w:rFonts w:ascii="Times New Roman" w:hAnsi="Times New Roman"/>
                <w:b/>
                <w:bCs/>
                <w:sz w:val="24"/>
                <w:highlight w:val="yellow"/>
                <w:u w:val="single"/>
              </w:rPr>
            </w:pPr>
            <w:r w:rsidRPr="00824EA2">
              <w:rPr>
                <w:rFonts w:ascii="Times New Roman" w:hAnsi="Times New Roman"/>
                <w:color w:val="000000" w:themeColor="text1"/>
                <w:sz w:val="24"/>
              </w:rPr>
              <w:t>Размерът на другите оперативни приходи, получени от институции, които са членове на същата институционална защитна схема, в съответствие с член 314, параграф 5 от Регламент (ЕС) № 575/2013.</w:t>
            </w:r>
          </w:p>
        </w:tc>
      </w:tr>
      <w:tr w:rsidR="004E57EF" w:rsidRPr="00824EA2"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42D83B79"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Печалба от нетекущи активи и групи за освобождаване, класифицирани като държани за продажба, които не отговарят на изискванията за преустановени дейности</w:t>
            </w:r>
          </w:p>
          <w:p w14:paraId="0734D115" w14:textId="22088D70" w:rsidR="004E57EF" w:rsidRPr="00824EA2" w:rsidRDefault="004E57EF" w:rsidP="004E57EF">
            <w:pPr>
              <w:jc w:val="left"/>
              <w:rPr>
                <w:rFonts w:ascii="Times New Roman" w:hAnsi="Times New Roman"/>
                <w:sz w:val="24"/>
              </w:rPr>
            </w:pPr>
            <w:r w:rsidRPr="00824EA2">
              <w:rPr>
                <w:rFonts w:ascii="Times New Roman" w:hAnsi="Times New Roman"/>
                <w:sz w:val="24"/>
              </w:rPr>
              <w:t>Институциите отчитат печалбите от нетекущи активи и групи за освобождаване, класифицирани като държани за продажба, които не отговарят на изискванията за преустановени дейности, в съответствие с приложение V, част 2, параграф 55 от ИТ решенията на ЕБО.</w:t>
            </w:r>
          </w:p>
          <w:p w14:paraId="5DDC81DA" w14:textId="445C39D2"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Отчитат се само печалбите. В случай на загуба стойността се третира като нула.</w:t>
            </w:r>
          </w:p>
        </w:tc>
      </w:tr>
      <w:tr w:rsidR="004E57EF" w:rsidRPr="00824EA2"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347B623"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Други</w:t>
            </w:r>
          </w:p>
          <w:p w14:paraId="3FB1D922" w14:textId="659C47D1" w:rsidR="004E57EF" w:rsidRPr="00824EA2" w:rsidRDefault="004E57EF" w:rsidP="004E57EF">
            <w:pPr>
              <w:keepNext/>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другите оперативни приходи в съответствие с приложение V, част 2, параграфи 314 и 316 от ИТ решенията на ЕБО, които представляват:</w:t>
            </w:r>
          </w:p>
          <w:p w14:paraId="24E3BFED" w14:textId="77777777" w:rsidR="004E57EF" w:rsidRPr="00824EA2" w:rsidRDefault="004E57EF" w:rsidP="004E57EF">
            <w:pPr>
              <w:numPr>
                <w:ilvl w:val="0"/>
                <w:numId w:val="35"/>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приходи от промени в справедливата стойност на материални активи, оценени по модела на справедливата стойност, с изключение на приходи от промени в справедливата стойност на инвестиционни имоти, които генерират ренти и се оценяват по модела на справедливата стойност;</w:t>
            </w:r>
          </w:p>
          <w:p w14:paraId="409BFFF4" w14:textId="6ACBBCB8" w:rsidR="004E57EF" w:rsidRPr="00824EA2" w:rsidRDefault="004E57EF" w:rsidP="004E57EF">
            <w:pPr>
              <w:numPr>
                <w:ilvl w:val="0"/>
                <w:numId w:val="35"/>
              </w:num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останалите други оперативни приходи (Други оперативни приходи. Други) в съответствие с приложение V, част 2, параграфи 314 и 316 от ИТ решенията на ЕБО, ако те не са свързани с отдадени на лизинг активи.</w:t>
            </w:r>
          </w:p>
        </w:tc>
      </w:tr>
      <w:tr w:rsidR="004E57EF" w:rsidRPr="00824EA2"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C6E707D"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(Други оперативни разходи)</w:t>
            </w:r>
          </w:p>
          <w:p w14:paraId="2BA9FDC2" w14:textId="2513C14D"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Член 314, параграф 5 от Регламент (ЕС) № 575/2013.</w:t>
            </w:r>
          </w:p>
        </w:tc>
      </w:tr>
      <w:tr w:rsidR="004E57EF" w:rsidRPr="00824EA2"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33DE5BF4"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212349F6"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 xml:space="preserve">(Други оперативни разходи от членове, принадлежащи към същата </w:t>
            </w:r>
            <w:r w:rsidR="005808D4">
              <w:rPr>
                <w:rFonts w:ascii="Times New Roman" w:hAnsi="Times New Roman"/>
                <w:b/>
                <w:sz w:val="24"/>
                <w:u w:val="single"/>
              </w:rPr>
              <w:t>ИЗС</w:t>
            </w:r>
            <w:r w:rsidRPr="00824EA2">
              <w:rPr>
                <w:rFonts w:ascii="Times New Roman" w:hAnsi="Times New Roman"/>
                <w:b/>
                <w:sz w:val="24"/>
                <w:u w:val="single"/>
              </w:rPr>
              <w:t>)</w:t>
            </w:r>
          </w:p>
          <w:p w14:paraId="2738750A" w14:textId="01EB7487"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Размерът на другите оперативни разходи, изплатени на институциите, които са членове на една и съща институционална защитна схема, в съответствие с член 314, параграф 5 от Регламент (ЕС) № 575/2013.</w:t>
            </w:r>
          </w:p>
        </w:tc>
      </w:tr>
      <w:tr w:rsidR="004E57EF" w:rsidRPr="00824EA2"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47A72E2"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1D935E9" w:rsidR="004E57EF" w:rsidRPr="00824EA2" w:rsidRDefault="004E57EF" w:rsidP="004E57EF">
            <w:pPr>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(Общо загуби, разходи, провизии и други финансови последици</w:t>
            </w:r>
            <w:r w:rsidR="005808D4">
              <w:rPr>
                <w:rFonts w:ascii="Times New Roman" w:hAnsi="Times New Roman"/>
                <w:b/>
                <w:sz w:val="24"/>
                <w:u w:val="single"/>
              </w:rPr>
              <w:t xml:space="preserve"> в резултат на</w:t>
            </w:r>
            <w:r w:rsidRPr="00824EA2">
              <w:rPr>
                <w:rFonts w:ascii="Times New Roman" w:hAnsi="Times New Roman"/>
                <w:b/>
                <w:sz w:val="24"/>
                <w:u w:val="single"/>
              </w:rPr>
              <w:t xml:space="preserve"> събития</w:t>
            </w:r>
            <w:r w:rsidR="005808D4">
              <w:rPr>
                <w:rFonts w:ascii="Times New Roman" w:hAnsi="Times New Roman"/>
                <w:b/>
                <w:sz w:val="24"/>
                <w:u w:val="single"/>
              </w:rPr>
              <w:t>, във връзка с операционния риск</w:t>
            </w:r>
            <w:r w:rsidRPr="00824EA2">
              <w:rPr>
                <w:rFonts w:ascii="Times New Roman" w:hAnsi="Times New Roman"/>
                <w:b/>
                <w:sz w:val="24"/>
                <w:u w:val="single"/>
              </w:rPr>
              <w:t>)</w:t>
            </w:r>
          </w:p>
          <w:p w14:paraId="330BA647" w14:textId="40E21272" w:rsidR="004E57EF" w:rsidRPr="00824EA2" w:rsidRDefault="004E57EF" w:rsidP="004E57EF">
            <w:pPr>
              <w:autoSpaceDE w:val="0"/>
              <w:autoSpaceDN w:val="0"/>
              <w:adjustRightInd w:val="0"/>
              <w:jc w:val="left"/>
              <w:rPr>
                <w:rFonts w:ascii="Times New Roman" w:hAnsi="Times New Roman"/>
                <w:sz w:val="24"/>
              </w:rPr>
            </w:pPr>
            <w:r w:rsidRPr="00824EA2">
              <w:rPr>
                <w:rFonts w:ascii="Times New Roman" w:hAnsi="Times New Roman"/>
                <w:sz w:val="24"/>
              </w:rPr>
              <w:t>Сумата, която се отчита на този ред, съответства на сбора от всички загуби, разходи, провизии и други финансови последици, свързани с операционни събития, както е отчетено в ред 0080 от образец C.16.03.</w:t>
            </w:r>
          </w:p>
        </w:tc>
      </w:tr>
      <w:tr w:rsidR="004E57EF" w:rsidRPr="00824EA2"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189640BD"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4E57EF" w:rsidRPr="00824EA2" w:rsidRDefault="004E57EF" w:rsidP="004E57EF">
            <w:pPr>
              <w:keepNext/>
              <w:jc w:val="left"/>
              <w:rPr>
                <w:rFonts w:ascii="Times New Roman" w:hAnsi="Times New Roman"/>
                <w:b/>
                <w:bCs/>
                <w:sz w:val="24"/>
                <w:highlight w:val="yellow"/>
                <w:u w:val="single"/>
              </w:rPr>
            </w:pPr>
            <w:r w:rsidRPr="00824EA2">
              <w:rPr>
                <w:rFonts w:ascii="Times New Roman" w:hAnsi="Times New Roman"/>
                <w:b/>
                <w:sz w:val="24"/>
                <w:u w:val="single"/>
              </w:rPr>
              <w:t>(Загуби от нетекущи активи и групи за освобождаване, класифицирани като държани за продажба, които не отговарят на изискванията за преустановени дейности)</w:t>
            </w:r>
          </w:p>
          <w:p w14:paraId="67A93594" w14:textId="43CF5A55"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 xml:space="preserve">Институциите отчитат загубите, различни от тези, държащи се на операционни събития, от нетекущи активи и групи за освобождаване, класифицирани като държани за продажба, които не отговарят на </w:t>
            </w:r>
            <w:r w:rsidRPr="00824EA2">
              <w:rPr>
                <w:rFonts w:ascii="Times New Roman" w:hAnsi="Times New Roman"/>
                <w:color w:val="000000" w:themeColor="text1"/>
                <w:sz w:val="24"/>
              </w:rPr>
              <w:lastRenderedPageBreak/>
              <w:t>изискванията за преустановени дейности съгласно приложение V, част 2, параграф 55 от ИТ решенията на ЕБО.</w:t>
            </w:r>
          </w:p>
          <w:p w14:paraId="08B1A825" w14:textId="3BEA6A1F"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Отчитат се само загубите. В случай на печалба стойността се третира като нула за целите на този ред.</w:t>
            </w:r>
          </w:p>
        </w:tc>
      </w:tr>
      <w:tr w:rsidR="004E57EF" w:rsidRPr="00824EA2"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573E5738"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64F619CA"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(Друг</w:t>
            </w:r>
            <w:r w:rsidR="005808D4">
              <w:rPr>
                <w:rFonts w:ascii="Times New Roman" w:hAnsi="Times New Roman"/>
                <w:b/>
                <w:sz w:val="24"/>
                <w:u w:val="single"/>
              </w:rPr>
              <w:t>о</w:t>
            </w:r>
            <w:r w:rsidRPr="00824EA2">
              <w:rPr>
                <w:rFonts w:ascii="Times New Roman" w:hAnsi="Times New Roman"/>
                <w:b/>
                <w:sz w:val="24"/>
                <w:u w:val="single"/>
              </w:rPr>
              <w:t>)</w:t>
            </w:r>
          </w:p>
          <w:p w14:paraId="3FBA99EF" w14:textId="2B023A68" w:rsidR="004E57EF" w:rsidRPr="00824EA2" w:rsidRDefault="004E57EF" w:rsidP="004E57EF">
            <w:pPr>
              <w:keepNext/>
              <w:jc w:val="left"/>
              <w:rPr>
                <w:rFonts w:ascii="Times New Roman" w:hAnsi="Times New Roman"/>
                <w:sz w:val="24"/>
              </w:rPr>
            </w:pPr>
            <w:r w:rsidRPr="00824EA2">
              <w:rPr>
                <w:rFonts w:ascii="Times New Roman" w:hAnsi="Times New Roman"/>
                <w:sz w:val="24"/>
              </w:rPr>
              <w:t>Институциите отчитат други оперативни разходи, различни от тези, дължащи се на операционни събития, в съответствие с приложение V, част 2, параграфи 314 и 316 от ИТ решенията на ЕБО, които представляват:</w:t>
            </w:r>
          </w:p>
          <w:p w14:paraId="74B0437B" w14:textId="77777777" w:rsidR="004E57EF" w:rsidRPr="00824EA2" w:rsidRDefault="004E57EF" w:rsidP="004E57EF">
            <w:pPr>
              <w:numPr>
                <w:ilvl w:val="0"/>
                <w:numId w:val="35"/>
              </w:numPr>
              <w:autoSpaceDE w:val="0"/>
              <w:autoSpaceDN w:val="0"/>
              <w:adjustRightInd w:val="0"/>
              <w:jc w:val="left"/>
              <w:rPr>
                <w:rFonts w:ascii="Times New Roman" w:hAnsi="Times New Roman"/>
                <w:sz w:val="24"/>
              </w:rPr>
            </w:pPr>
            <w:r w:rsidRPr="00824EA2">
              <w:rPr>
                <w:rFonts w:ascii="Times New Roman" w:hAnsi="Times New Roman"/>
                <w:sz w:val="24"/>
              </w:rPr>
              <w:t>разходи от промени в справедливата стойност на материални активи, оценени по модела на справедливата стойност, с изключение на разходи от промени в справедливата стойност на инвестиционни имоти, които генерират ренти и се оценяват по модела на справедливата стойност, от отдадени на оперативен лизинг активи;</w:t>
            </w:r>
          </w:p>
          <w:p w14:paraId="5D1423D9" w14:textId="07454CC0" w:rsidR="004E57EF" w:rsidRPr="00824EA2" w:rsidRDefault="004E57EF" w:rsidP="004E57EF">
            <w:pPr>
              <w:numPr>
                <w:ilvl w:val="0"/>
                <w:numId w:val="35"/>
              </w:numPr>
              <w:autoSpaceDE w:val="0"/>
              <w:autoSpaceDN w:val="0"/>
              <w:adjustRightInd w:val="0"/>
              <w:jc w:val="left"/>
              <w:rPr>
                <w:rFonts w:ascii="Times New Roman" w:hAnsi="Times New Roman"/>
                <w:sz w:val="24"/>
              </w:rPr>
            </w:pPr>
            <w:r w:rsidRPr="00824EA2">
              <w:rPr>
                <w:rFonts w:ascii="Times New Roman" w:hAnsi="Times New Roman"/>
                <w:sz w:val="24"/>
              </w:rPr>
              <w:t>останалите други оперативни разходи (Други оперативни разходи. Други) в съответствие с приложение V, част 2, параграфи 314 и 316 от ИТ решенията на ЕБО, ако те не са свързани с отдадени на лизинг активи.</w:t>
            </w:r>
          </w:p>
        </w:tc>
      </w:tr>
      <w:tr w:rsidR="004E57EF" w:rsidRPr="00824EA2"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0DA4E0E7"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504834AC"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Компонент на </w:t>
            </w:r>
            <w:r w:rsidR="000A36C6">
              <w:rPr>
                <w:rFonts w:ascii="Times New Roman" w:hAnsi="Times New Roman"/>
                <w:b/>
                <w:sz w:val="24"/>
                <w:u w:val="single"/>
              </w:rPr>
              <w:t>„Приходи</w:t>
            </w:r>
            <w:r w:rsidRPr="00824EA2">
              <w:rPr>
                <w:rFonts w:ascii="Times New Roman" w:hAnsi="Times New Roman"/>
                <w:b/>
                <w:sz w:val="24"/>
                <w:u w:val="single"/>
              </w:rPr>
              <w:t xml:space="preserve"> от такси и комисиони</w:t>
            </w:r>
          </w:p>
          <w:p w14:paraId="1B909257" w14:textId="7D197F99" w:rsidR="004E57EF" w:rsidRPr="00824EA2" w:rsidRDefault="000A36C6" w:rsidP="004E57EF">
            <w:pPr>
              <w:autoSpaceDE w:val="0"/>
              <w:autoSpaceDN w:val="0"/>
              <w:adjustRightInd w:val="0"/>
              <w:jc w:val="left"/>
              <w:rPr>
                <w:rFonts w:ascii="Times New Roman" w:hAnsi="Times New Roman"/>
                <w:color w:val="000000" w:themeColor="text1"/>
                <w:sz w:val="24"/>
              </w:rPr>
            </w:pPr>
            <w:r>
              <w:rPr>
                <w:rFonts w:ascii="Times New Roman" w:hAnsi="Times New Roman"/>
                <w:sz w:val="24"/>
              </w:rPr>
              <w:t>Приходи</w:t>
            </w:r>
            <w:r w:rsidR="005808D4">
              <w:rPr>
                <w:rFonts w:ascii="Times New Roman" w:hAnsi="Times New Roman"/>
                <w:sz w:val="24"/>
              </w:rPr>
              <w:t>те</w:t>
            </w:r>
            <w:r w:rsidR="004E57EF" w:rsidRPr="00824EA2">
              <w:rPr>
                <w:rFonts w:ascii="Times New Roman" w:hAnsi="Times New Roman"/>
                <w:sz w:val="24"/>
              </w:rPr>
              <w:t xml:space="preserve"> от такси и комисиони се изчисляват в съответствие с член 314, параграф 5 от Регламент (ЕС) № 575/2013.</w:t>
            </w:r>
          </w:p>
        </w:tc>
      </w:tr>
      <w:tr w:rsidR="004E57EF" w:rsidRPr="00824EA2"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0954C46E"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6411DF8" w:rsidR="004E57EF" w:rsidRPr="00824EA2" w:rsidRDefault="000A36C6" w:rsidP="004E57EF">
            <w:pPr>
              <w:keepNext/>
              <w:jc w:val="left"/>
              <w:rPr>
                <w:rFonts w:ascii="Times New Roman" w:hAnsi="Times New Roman"/>
                <w:b/>
                <w:bCs/>
                <w:sz w:val="24"/>
                <w:u w:val="single"/>
              </w:rPr>
            </w:pPr>
            <w:r>
              <w:rPr>
                <w:rFonts w:ascii="Times New Roman" w:hAnsi="Times New Roman"/>
                <w:b/>
                <w:sz w:val="24"/>
                <w:u w:val="single"/>
              </w:rPr>
              <w:t>Приходи</w:t>
            </w:r>
            <w:r w:rsidR="004E57EF" w:rsidRPr="00824EA2">
              <w:rPr>
                <w:rFonts w:ascii="Times New Roman" w:hAnsi="Times New Roman"/>
                <w:b/>
                <w:sz w:val="24"/>
                <w:u w:val="single"/>
              </w:rPr>
              <w:t xml:space="preserve"> от такси и комисиони</w:t>
            </w:r>
          </w:p>
          <w:p w14:paraId="11E6C495" w14:textId="0B9B7860" w:rsidR="004E57EF" w:rsidRPr="00824EA2" w:rsidRDefault="004E57EF" w:rsidP="004E57EF">
            <w:pPr>
              <w:jc w:val="left"/>
              <w:rPr>
                <w:rFonts w:ascii="Times New Roman" w:hAnsi="Times New Roman"/>
                <w:sz w:val="24"/>
              </w:rPr>
            </w:pPr>
            <w:r w:rsidRPr="00824EA2">
              <w:rPr>
                <w:rFonts w:ascii="Times New Roman" w:hAnsi="Times New Roman"/>
                <w:sz w:val="24"/>
              </w:rPr>
              <w:t>Институциите отчитат доходите от такси и комисиони в съответствие с приложение V, част 2, параграфи 281—284 от ИТ решенията на ЕБО.</w:t>
            </w:r>
          </w:p>
          <w:p w14:paraId="5D10316A" w14:textId="322E546D"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Приходите от спомагателни дейности, например ИТ дейности, необходими за изпълнението на финансова услуга, също следва да бъдат включени в тази позиция в съответствие с член 7 от РТС, който предстои да бъде разработен съгласно член 314, параграф 9 от Регламент (ЕС) № 575/2013.</w:t>
            </w:r>
          </w:p>
        </w:tc>
      </w:tr>
      <w:tr w:rsidR="004E57EF" w:rsidRPr="00824EA2"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14006084"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4EF8251A" w:rsidR="004E57EF" w:rsidRPr="00824EA2" w:rsidRDefault="005808D4" w:rsidP="004E57EF">
            <w:pPr>
              <w:keepNext/>
              <w:jc w:val="left"/>
              <w:rPr>
                <w:rFonts w:ascii="Times New Roman" w:hAnsi="Times New Roman"/>
                <w:b/>
                <w:bCs/>
                <w:sz w:val="24"/>
                <w:u w:val="single"/>
              </w:rPr>
            </w:pPr>
            <w:r>
              <w:rPr>
                <w:rFonts w:ascii="Times New Roman" w:hAnsi="Times New Roman"/>
                <w:b/>
                <w:sz w:val="24"/>
                <w:u w:val="single"/>
              </w:rPr>
              <w:t>в т.ч.</w:t>
            </w:r>
            <w:r w:rsidR="004E57EF" w:rsidRPr="00824EA2">
              <w:rPr>
                <w:rFonts w:ascii="Times New Roman" w:hAnsi="Times New Roman"/>
                <w:b/>
                <w:sz w:val="24"/>
                <w:u w:val="single"/>
              </w:rPr>
              <w:t xml:space="preserve">: от членове, принадлежащи към същата </w:t>
            </w:r>
            <w:r>
              <w:rPr>
                <w:rFonts w:ascii="Times New Roman" w:hAnsi="Times New Roman"/>
                <w:b/>
                <w:sz w:val="24"/>
                <w:u w:val="single"/>
              </w:rPr>
              <w:t>ИЗС</w:t>
            </w:r>
          </w:p>
          <w:p w14:paraId="592F6C4C" w14:textId="3669AD85"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Частта от доходите от такси и комисиони, получени от институции, които са членове на същата институционална защитна схема, в съответствие с член 314, параграф 5 от Регламент (ЕС) № 575/2013.</w:t>
            </w:r>
          </w:p>
        </w:tc>
      </w:tr>
      <w:tr w:rsidR="004E57EF" w:rsidRPr="00824EA2"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6D837667"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3E78F1FD"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(Компонент на </w:t>
            </w:r>
            <w:r w:rsidR="000A36C6">
              <w:rPr>
                <w:rFonts w:ascii="Times New Roman" w:hAnsi="Times New Roman"/>
                <w:b/>
                <w:sz w:val="24"/>
                <w:u w:val="single"/>
              </w:rPr>
              <w:t>„Р</w:t>
            </w:r>
            <w:r w:rsidRPr="00824EA2">
              <w:rPr>
                <w:rFonts w:ascii="Times New Roman" w:hAnsi="Times New Roman"/>
                <w:b/>
                <w:sz w:val="24"/>
                <w:u w:val="single"/>
              </w:rPr>
              <w:t>азходи за такси и комисиони</w:t>
            </w:r>
            <w:r w:rsidR="000A36C6">
              <w:rPr>
                <w:rFonts w:ascii="Times New Roman" w:hAnsi="Times New Roman"/>
                <w:b/>
                <w:sz w:val="24"/>
                <w:u w:val="single"/>
              </w:rPr>
              <w:t>“</w:t>
            </w:r>
            <w:r w:rsidRPr="00824EA2">
              <w:rPr>
                <w:rFonts w:ascii="Times New Roman" w:hAnsi="Times New Roman"/>
                <w:b/>
                <w:sz w:val="24"/>
                <w:u w:val="single"/>
              </w:rPr>
              <w:t>)</w:t>
            </w:r>
          </w:p>
          <w:p w14:paraId="1706D87C" w14:textId="0F328B94"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sz w:val="24"/>
              </w:rPr>
              <w:t>Разходите за такси и комисиони се изчисляват в съответствие с член 314, параграф 5 от Регламент (ЕС) № 575/2013.</w:t>
            </w:r>
          </w:p>
        </w:tc>
      </w:tr>
      <w:tr w:rsidR="004E57EF" w:rsidRPr="00824EA2"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67622E13"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(Разходи за такси и комисиони)</w:t>
            </w:r>
          </w:p>
          <w:p w14:paraId="1B7A110D" w14:textId="78D5FD23" w:rsidR="004E57EF" w:rsidRPr="00824EA2" w:rsidRDefault="004E57EF" w:rsidP="004E57EF">
            <w:pPr>
              <w:jc w:val="left"/>
              <w:rPr>
                <w:rFonts w:ascii="Times New Roman" w:hAnsi="Times New Roman"/>
                <w:sz w:val="24"/>
              </w:rPr>
            </w:pPr>
            <w:r w:rsidRPr="00824EA2">
              <w:rPr>
                <w:rFonts w:ascii="Times New Roman" w:hAnsi="Times New Roman"/>
                <w:sz w:val="24"/>
              </w:rPr>
              <w:t>Институциите отчитат разходите за такси и комисиони в съответствие с приложение V, част 2, параграфи 281—284 от ИТ решенията на ЕБО.</w:t>
            </w:r>
          </w:p>
          <w:p w14:paraId="7CE7D7C4" w14:textId="21217273" w:rsidR="004E57EF" w:rsidRPr="00824EA2" w:rsidRDefault="004E57EF" w:rsidP="004E57EF">
            <w:pPr>
              <w:rPr>
                <w:rFonts w:ascii="Times New Roman" w:hAnsi="Times New Roman"/>
                <w:sz w:val="24"/>
              </w:rPr>
            </w:pPr>
            <w:r w:rsidRPr="00824EA2">
              <w:rPr>
                <w:rFonts w:ascii="Times New Roman" w:hAnsi="Times New Roman"/>
                <w:color w:val="000000" w:themeColor="text1"/>
                <w:sz w:val="24"/>
              </w:rPr>
              <w:lastRenderedPageBreak/>
              <w:t>В този ред следва да се отчитат платените възнаграждения на външни изпълнители за предоставяне на финансови услуги, представени в списъка на дейностите, посочен в член 8 от РТС, който предстои да бъде разработен съгласно член 314, параграф 9 от Регламент (ЕС) № 575/2013, в случай че са включени в административните разходи съгласно приложената счетоводна рамка в съответствие с член 16 от посочения РТС. Разходите от спомагателни дейности, например ИТ дейности, необходими за изпълнение на финансова услуга, също следва да бъдат включени в тази позиция.</w:t>
            </w:r>
          </w:p>
        </w:tc>
      </w:tr>
      <w:tr w:rsidR="004E57EF" w:rsidRPr="00824EA2"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40E859F7"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3DC2F5D6" w:rsidR="004E57EF" w:rsidRPr="00824EA2" w:rsidRDefault="004E57EF" w:rsidP="004E57EF">
            <w:pPr>
              <w:keepNext/>
              <w:jc w:val="left"/>
              <w:rPr>
                <w:rFonts w:ascii="Times New Roman" w:hAnsi="Times New Roman"/>
                <w:b/>
                <w:bCs/>
                <w:sz w:val="24"/>
                <w:u w:val="single"/>
              </w:rPr>
            </w:pPr>
            <w:r w:rsidRPr="00824EA2">
              <w:rPr>
                <w:rFonts w:ascii="Times New Roman" w:hAnsi="Times New Roman"/>
                <w:b/>
                <w:sz w:val="24"/>
                <w:u w:val="single"/>
              </w:rPr>
              <w:t>(</w:t>
            </w:r>
            <w:r w:rsidR="005808D4">
              <w:rPr>
                <w:rFonts w:ascii="Times New Roman" w:hAnsi="Times New Roman"/>
                <w:b/>
                <w:sz w:val="24"/>
                <w:u w:val="single"/>
              </w:rPr>
              <w:t>в т.ч.</w:t>
            </w:r>
            <w:r w:rsidRPr="00824EA2">
              <w:rPr>
                <w:rFonts w:ascii="Times New Roman" w:hAnsi="Times New Roman"/>
                <w:b/>
                <w:sz w:val="24"/>
                <w:u w:val="single"/>
              </w:rPr>
              <w:t xml:space="preserve">: </w:t>
            </w:r>
            <w:r w:rsidR="00817B36">
              <w:rPr>
                <w:rFonts w:ascii="Times New Roman" w:hAnsi="Times New Roman"/>
                <w:b/>
                <w:sz w:val="24"/>
                <w:u w:val="single"/>
              </w:rPr>
              <w:t xml:space="preserve">за </w:t>
            </w:r>
            <w:r w:rsidRPr="00824EA2">
              <w:rPr>
                <w:rFonts w:ascii="Times New Roman" w:hAnsi="Times New Roman"/>
                <w:b/>
                <w:sz w:val="24"/>
                <w:u w:val="single"/>
              </w:rPr>
              <w:t>членове, принадлежащи към съща</w:t>
            </w:r>
            <w:r w:rsidR="005808D4">
              <w:rPr>
                <w:rFonts w:ascii="Times New Roman" w:hAnsi="Times New Roman"/>
                <w:b/>
                <w:sz w:val="24"/>
                <w:u w:val="single"/>
              </w:rPr>
              <w:t>та</w:t>
            </w:r>
            <w:r w:rsidRPr="00824EA2">
              <w:rPr>
                <w:rFonts w:ascii="Times New Roman" w:hAnsi="Times New Roman"/>
                <w:b/>
                <w:sz w:val="24"/>
                <w:u w:val="single"/>
              </w:rPr>
              <w:t xml:space="preserve"> </w:t>
            </w:r>
            <w:r w:rsidR="005808D4">
              <w:rPr>
                <w:rFonts w:ascii="Times New Roman" w:hAnsi="Times New Roman"/>
                <w:b/>
                <w:sz w:val="24"/>
                <w:u w:val="single"/>
              </w:rPr>
              <w:t>ИЗС</w:t>
            </w:r>
            <w:r w:rsidRPr="00824EA2">
              <w:rPr>
                <w:rFonts w:ascii="Times New Roman" w:hAnsi="Times New Roman"/>
                <w:b/>
                <w:sz w:val="24"/>
                <w:u w:val="single"/>
              </w:rPr>
              <w:t>)</w:t>
            </w:r>
          </w:p>
          <w:p w14:paraId="166C532F" w14:textId="19E6B593" w:rsidR="004E57EF" w:rsidRPr="00824EA2" w:rsidRDefault="004E57EF" w:rsidP="004E57EF">
            <w:pPr>
              <w:jc w:val="left"/>
              <w:rPr>
                <w:rFonts w:ascii="Times New Roman" w:hAnsi="Times New Roman"/>
                <w:color w:val="000000" w:themeColor="text1"/>
                <w:sz w:val="24"/>
              </w:rPr>
            </w:pPr>
            <w:r w:rsidRPr="00824EA2">
              <w:rPr>
                <w:rFonts w:ascii="Times New Roman" w:hAnsi="Times New Roman"/>
                <w:color w:val="000000" w:themeColor="text1"/>
                <w:sz w:val="24"/>
              </w:rPr>
              <w:t>Частта от разходите за такси и комисиони, платени на институции, които са членове на същата институционална защитна схема, в съответствие с член 314, параграф 5 от Регламент (ЕС) № 575/2013.</w:t>
            </w:r>
          </w:p>
        </w:tc>
      </w:tr>
      <w:tr w:rsidR="004E57EF" w:rsidRPr="00824EA2"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3C8E7508" w:rsidR="004E57EF" w:rsidRPr="00824EA2" w:rsidRDefault="004E57EF" w:rsidP="004E57EF">
            <w:pPr>
              <w:jc w:val="center"/>
              <w:rPr>
                <w:rFonts w:ascii="Times New Roman" w:hAnsi="Times New Roman"/>
                <w:b/>
                <w:bCs/>
                <w:sz w:val="24"/>
              </w:rPr>
            </w:pPr>
            <w:r w:rsidRPr="00824EA2">
              <w:rPr>
                <w:rFonts w:ascii="Times New Roman" w:hAnsi="Times New Roman"/>
                <w:b/>
                <w:bCs/>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7B5DDC3E" w:rsidR="004E57EF" w:rsidRPr="00824EA2" w:rsidRDefault="004E57EF" w:rsidP="004E57EF">
            <w:pPr>
              <w:pStyle w:val="ListParagraph"/>
              <w:numPr>
                <w:ilvl w:val="0"/>
                <w:numId w:val="42"/>
              </w:numPr>
              <w:ind w:hanging="720"/>
              <w:jc w:val="left"/>
              <w:rPr>
                <w:rFonts w:ascii="Times New Roman" w:hAnsi="Times New Roman"/>
                <w:b/>
                <w:bCs/>
                <w:sz w:val="24"/>
              </w:rPr>
            </w:pPr>
            <w:r w:rsidRPr="00824EA2">
              <w:rPr>
                <w:rFonts w:ascii="Times New Roman" w:hAnsi="Times New Roman"/>
                <w:b/>
                <w:sz w:val="24"/>
              </w:rPr>
              <w:t>Финансов компонент (</w:t>
            </w:r>
            <w:r w:rsidR="000A36C6">
              <w:rPr>
                <w:rFonts w:ascii="Times New Roman" w:hAnsi="Times New Roman"/>
                <w:b/>
                <w:sz w:val="24"/>
              </w:rPr>
              <w:t>ФК</w:t>
            </w:r>
            <w:r w:rsidRPr="00824EA2">
              <w:rPr>
                <w:rFonts w:ascii="Times New Roman" w:hAnsi="Times New Roman"/>
                <w:b/>
                <w:sz w:val="24"/>
              </w:rPr>
              <w:t>)</w:t>
            </w:r>
          </w:p>
        </w:tc>
      </w:tr>
      <w:tr w:rsidR="004E57EF" w:rsidRPr="00824EA2"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402C7D7C"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4BA9F64F"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Компонент </w:t>
            </w:r>
            <w:r w:rsidR="000A36C6">
              <w:rPr>
                <w:rFonts w:ascii="Times New Roman" w:hAnsi="Times New Roman"/>
                <w:b/>
                <w:sz w:val="24"/>
                <w:u w:val="single"/>
              </w:rPr>
              <w:t>„Т</w:t>
            </w:r>
            <w:r w:rsidRPr="00824EA2">
              <w:rPr>
                <w:rFonts w:ascii="Times New Roman" w:hAnsi="Times New Roman"/>
                <w:b/>
                <w:sz w:val="24"/>
                <w:u w:val="single"/>
              </w:rPr>
              <w:t>ърговски портфейл</w:t>
            </w:r>
            <w:r w:rsidR="000A36C6">
              <w:rPr>
                <w:rFonts w:ascii="Times New Roman" w:hAnsi="Times New Roman"/>
                <w:b/>
                <w:sz w:val="24"/>
                <w:u w:val="single"/>
              </w:rPr>
              <w:t>“</w:t>
            </w:r>
          </w:p>
          <w:p w14:paraId="52BBA148" w14:textId="4335F393" w:rsidR="004E57EF" w:rsidRPr="00824EA2" w:rsidRDefault="004E57EF" w:rsidP="004E57EF">
            <w:pPr>
              <w:autoSpaceDE w:val="0"/>
              <w:autoSpaceDN w:val="0"/>
              <w:adjustRightInd w:val="0"/>
              <w:jc w:val="left"/>
              <w:rPr>
                <w:rFonts w:ascii="Times New Roman" w:hAnsi="Times New Roman"/>
                <w:b/>
                <w:bCs/>
                <w:sz w:val="24"/>
                <w:u w:val="single"/>
              </w:rPr>
            </w:pPr>
            <w:r w:rsidRPr="00824EA2">
              <w:rPr>
                <w:rFonts w:ascii="Times New Roman" w:hAnsi="Times New Roman"/>
                <w:color w:val="000000" w:themeColor="text1"/>
                <w:sz w:val="24"/>
              </w:rPr>
              <w:t>Компонентът на търговския портфейл се изчислява в съответствие с член 314, параграф 6 от Регламент (ЕС) № 575/2013.</w:t>
            </w:r>
          </w:p>
        </w:tc>
      </w:tr>
      <w:tr w:rsidR="004E57EF" w:rsidRPr="00824EA2"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05D6E620"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525B00E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Нетна печалба или (–) загуба, приложима </w:t>
            </w:r>
            <w:r w:rsidR="005808D4">
              <w:rPr>
                <w:rFonts w:ascii="Times New Roman" w:hAnsi="Times New Roman"/>
                <w:b/>
                <w:sz w:val="24"/>
                <w:u w:val="single"/>
              </w:rPr>
              <w:t>за</w:t>
            </w:r>
            <w:r w:rsidR="005808D4" w:rsidRPr="00824EA2">
              <w:rPr>
                <w:rFonts w:ascii="Times New Roman" w:hAnsi="Times New Roman"/>
                <w:b/>
                <w:sz w:val="24"/>
                <w:u w:val="single"/>
              </w:rPr>
              <w:t xml:space="preserve"> </w:t>
            </w:r>
            <w:r w:rsidRPr="00824EA2">
              <w:rPr>
                <w:rFonts w:ascii="Times New Roman" w:hAnsi="Times New Roman"/>
                <w:b/>
                <w:sz w:val="24"/>
                <w:u w:val="single"/>
              </w:rPr>
              <w:t>търговския портфейл</w:t>
            </w:r>
          </w:p>
          <w:p w14:paraId="7DFF44B4" w14:textId="78716B45" w:rsidR="004E57EF" w:rsidRPr="00824EA2" w:rsidRDefault="004E57EF" w:rsidP="004E57EF">
            <w:pPr>
              <w:keepNext/>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Нетната печалба или загуба, приложима към търговския портфейл, се изчислява като сбора от:</w:t>
            </w:r>
          </w:p>
          <w:p w14:paraId="44FBBADB" w14:textId="322D2290" w:rsidR="004E57EF" w:rsidRPr="00824EA2" w:rsidRDefault="004E57EF" w:rsidP="004E57EF">
            <w:pPr>
              <w:numPr>
                <w:ilvl w:val="0"/>
                <w:numId w:val="36"/>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финансови активи и пасиви, държани за търгуване и търгувани;</w:t>
            </w:r>
          </w:p>
          <w:p w14:paraId="09B047DE" w14:textId="0CE06CCB" w:rsidR="004E57EF" w:rsidRPr="00824EA2" w:rsidRDefault="004E57EF" w:rsidP="004E57EF">
            <w:pPr>
              <w:numPr>
                <w:ilvl w:val="0"/>
                <w:numId w:val="36"/>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отчитане на хеджирането и нетни курсови разлики [печалба или (–) загуба], свързани с търговския портфейл.</w:t>
            </w:r>
          </w:p>
        </w:tc>
      </w:tr>
      <w:tr w:rsidR="004E57EF" w:rsidRPr="00824EA2"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20471891"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6D6E31CA"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w:t>
            </w:r>
            <w:r w:rsidR="005808D4">
              <w:rPr>
                <w:rFonts w:ascii="Times New Roman" w:hAnsi="Times New Roman"/>
                <w:b/>
                <w:sz w:val="24"/>
                <w:u w:val="single"/>
              </w:rPr>
              <w:t>а</w:t>
            </w:r>
            <w:r w:rsidRPr="00824EA2">
              <w:rPr>
                <w:rFonts w:ascii="Times New Roman" w:hAnsi="Times New Roman"/>
                <w:b/>
                <w:sz w:val="24"/>
                <w:u w:val="single"/>
              </w:rPr>
              <w:t xml:space="preserve"> печалб</w:t>
            </w:r>
            <w:r w:rsidR="005808D4">
              <w:rPr>
                <w:rFonts w:ascii="Times New Roman" w:hAnsi="Times New Roman"/>
                <w:b/>
                <w:sz w:val="24"/>
                <w:u w:val="single"/>
              </w:rPr>
              <w:t>а</w:t>
            </w:r>
            <w:r w:rsidRPr="00824EA2">
              <w:rPr>
                <w:rFonts w:ascii="Times New Roman" w:hAnsi="Times New Roman"/>
                <w:b/>
                <w:sz w:val="24"/>
                <w:u w:val="single"/>
              </w:rPr>
              <w:t xml:space="preserve"> или (–) загуб</w:t>
            </w:r>
            <w:r w:rsidR="005808D4">
              <w:rPr>
                <w:rFonts w:ascii="Times New Roman" w:hAnsi="Times New Roman"/>
                <w:b/>
                <w:sz w:val="24"/>
                <w:u w:val="single"/>
              </w:rPr>
              <w:t>а</w:t>
            </w:r>
            <w:r w:rsidRPr="00824EA2">
              <w:rPr>
                <w:rFonts w:ascii="Times New Roman" w:hAnsi="Times New Roman"/>
                <w:b/>
                <w:sz w:val="24"/>
                <w:u w:val="single"/>
              </w:rPr>
              <w:t xml:space="preserve"> от държани за търгуване или търгу</w:t>
            </w:r>
            <w:r w:rsidR="000A36C6">
              <w:rPr>
                <w:rFonts w:ascii="Times New Roman" w:hAnsi="Times New Roman"/>
                <w:b/>
                <w:sz w:val="24"/>
                <w:u w:val="single"/>
              </w:rPr>
              <w:t>еми финансови активи и пасиви</w:t>
            </w:r>
          </w:p>
          <w:p w14:paraId="36FDE244" w14:textId="18BA5FB8" w:rsidR="004E57EF" w:rsidRPr="00824EA2" w:rsidRDefault="004E57EF" w:rsidP="004E57E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печалбите или (–) загубите от финансови активи и пасиви, държани за търгуване, в съответствие с приложение V, част 2, параграфи 43 и 46 от ИТ решенията на ЕБО, а тези от търгуване на финансови активи и пасиви — в съответствие с член 27 от ДОБ (</w:t>
            </w:r>
            <w:r w:rsidRPr="00824EA2">
              <w:rPr>
                <w:rFonts w:ascii="Times New Roman" w:hAnsi="Times New Roman"/>
                <w:sz w:val="24"/>
                <w:vertAlign w:val="superscript"/>
              </w:rPr>
              <w:footnoteReference w:id="5"/>
            </w:r>
            <w:r w:rsidRPr="00824EA2">
              <w:rPr>
                <w:rFonts w:ascii="Times New Roman" w:hAnsi="Times New Roman"/>
                <w:sz w:val="24"/>
              </w:rPr>
              <w:t>) — Вертикална форма, точка 6.</w:t>
            </w:r>
          </w:p>
        </w:tc>
      </w:tr>
      <w:tr w:rsidR="004E57EF" w:rsidRPr="00824EA2"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62863C54" w:rsidR="004E57EF" w:rsidRPr="00824EA2" w:rsidRDefault="004E57EF" w:rsidP="004E57EF">
            <w:pPr>
              <w:jc w:val="center"/>
              <w:rPr>
                <w:rFonts w:ascii="Times New Roman" w:hAnsi="Times New Roman"/>
                <w:sz w:val="24"/>
              </w:rPr>
            </w:pPr>
            <w:r w:rsidRPr="00824EA2">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26A7696D"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Търговски портфейл — </w:t>
            </w:r>
            <w:r w:rsidR="00552A00">
              <w:rPr>
                <w:rFonts w:ascii="Times New Roman" w:hAnsi="Times New Roman"/>
                <w:b/>
                <w:sz w:val="24"/>
                <w:u w:val="single"/>
              </w:rPr>
              <w:t>Н</w:t>
            </w:r>
            <w:r w:rsidRPr="00824EA2">
              <w:rPr>
                <w:rFonts w:ascii="Times New Roman" w:hAnsi="Times New Roman"/>
                <w:b/>
                <w:sz w:val="24"/>
                <w:u w:val="single"/>
              </w:rPr>
              <w:t>етн</w:t>
            </w:r>
            <w:r w:rsidR="00552A00">
              <w:rPr>
                <w:rFonts w:ascii="Times New Roman" w:hAnsi="Times New Roman"/>
                <w:b/>
                <w:sz w:val="24"/>
                <w:u w:val="single"/>
              </w:rPr>
              <w:t>а</w:t>
            </w:r>
            <w:r w:rsidRPr="00824EA2">
              <w:rPr>
                <w:rFonts w:ascii="Times New Roman" w:hAnsi="Times New Roman"/>
                <w:b/>
                <w:sz w:val="24"/>
                <w:u w:val="single"/>
              </w:rPr>
              <w:t xml:space="preserve"> печалб</w:t>
            </w:r>
            <w:r w:rsidR="00552A00">
              <w:rPr>
                <w:rFonts w:ascii="Times New Roman" w:hAnsi="Times New Roman"/>
                <w:b/>
                <w:sz w:val="24"/>
                <w:u w:val="single"/>
              </w:rPr>
              <w:t>а</w:t>
            </w:r>
            <w:r w:rsidRPr="00824EA2">
              <w:rPr>
                <w:rFonts w:ascii="Times New Roman" w:hAnsi="Times New Roman"/>
                <w:b/>
                <w:sz w:val="24"/>
                <w:u w:val="single"/>
              </w:rPr>
              <w:t xml:space="preserve"> или (–) загуб</w:t>
            </w:r>
            <w:r w:rsidR="00552A00">
              <w:rPr>
                <w:rFonts w:ascii="Times New Roman" w:hAnsi="Times New Roman"/>
                <w:b/>
                <w:sz w:val="24"/>
                <w:u w:val="single"/>
              </w:rPr>
              <w:t>а</w:t>
            </w:r>
            <w:r w:rsidRPr="00824EA2">
              <w:rPr>
                <w:rFonts w:ascii="Times New Roman" w:hAnsi="Times New Roman"/>
                <w:b/>
                <w:sz w:val="24"/>
                <w:u w:val="single"/>
              </w:rPr>
              <w:t xml:space="preserve"> от отчитане на хеджирането</w:t>
            </w:r>
          </w:p>
          <w:p w14:paraId="63C52B79" w14:textId="088F08BA" w:rsidR="004E57EF" w:rsidRPr="00824EA2" w:rsidRDefault="004E57EF" w:rsidP="004E57EF">
            <w:pPr>
              <w:autoSpaceDE w:val="0"/>
              <w:autoSpaceDN w:val="0"/>
              <w:adjustRightInd w:val="0"/>
              <w:jc w:val="left"/>
              <w:rPr>
                <w:rFonts w:ascii="Times New Roman" w:hAnsi="Times New Roman"/>
                <w:b/>
                <w:bCs/>
                <w:sz w:val="24"/>
                <w:u w:val="single"/>
              </w:rPr>
            </w:pPr>
            <w:r w:rsidRPr="00824EA2">
              <w:rPr>
                <w:rFonts w:ascii="Times New Roman" w:hAnsi="Times New Roman"/>
                <w:sz w:val="24"/>
              </w:rPr>
              <w:t xml:space="preserve">Институциите отчитат нетните печалби или (–) загуби от отчитане на хеджирането по компонента на търговския портфейл само при такива изключителни обстоятелства, при които отчитането на хеджирането, изчислено в съответствие с приложение V, част 2, параграф 47 от ИТ решенията на ЕБО или в съответствие с член 8, параграф 1, буква а), </w:t>
            </w:r>
            <w:r w:rsidRPr="00824EA2">
              <w:rPr>
                <w:rFonts w:ascii="Times New Roman" w:hAnsi="Times New Roman"/>
                <w:sz w:val="24"/>
              </w:rPr>
              <w:lastRenderedPageBreak/>
              <w:t xml:space="preserve">точки 6 и 8 от Директивата за счетоводството, се използва за хеджиране на финансови активи и пасиви, държани за търгуване, или на търгувани финансови активи и пасиви. </w:t>
            </w:r>
          </w:p>
        </w:tc>
      </w:tr>
      <w:tr w:rsidR="004E57EF" w:rsidRPr="00824EA2"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F844898" w:rsidR="004E57EF" w:rsidRPr="00824EA2" w:rsidRDefault="006C14D8" w:rsidP="004E57EF">
            <w:pPr>
              <w:jc w:val="center"/>
              <w:rPr>
                <w:rFonts w:ascii="Times New Roman" w:hAnsi="Times New Roman"/>
                <w:sz w:val="24"/>
              </w:rPr>
            </w:pPr>
            <w:r w:rsidRPr="00824EA2">
              <w:rPr>
                <w:rFonts w:ascii="Times New Roman" w:hAnsi="Times New Roman"/>
                <w:sz w:val="24"/>
                <w:lang w:eastAsia="en-GB"/>
              </w:rPr>
              <w:lastRenderedPageBreak/>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10E1F2CC"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Търговски портфейл — </w:t>
            </w:r>
            <w:r w:rsidR="005808D4">
              <w:rPr>
                <w:rFonts w:ascii="Times New Roman" w:hAnsi="Times New Roman"/>
                <w:b/>
                <w:sz w:val="24"/>
                <w:u w:val="single"/>
              </w:rPr>
              <w:t>Н</w:t>
            </w:r>
            <w:r w:rsidRPr="00824EA2">
              <w:rPr>
                <w:rFonts w:ascii="Times New Roman" w:hAnsi="Times New Roman"/>
                <w:b/>
                <w:sz w:val="24"/>
                <w:u w:val="single"/>
              </w:rPr>
              <w:t>етни курсови разлики [печалба или (–) загуба]</w:t>
            </w:r>
          </w:p>
          <w:p w14:paraId="5ACB0892" w14:textId="77777777" w:rsidR="004E57EF" w:rsidRPr="00824EA2" w:rsidRDefault="004E57EF" w:rsidP="004E57E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курсови разлики [печалба или (–) загуба] само когато тези разлики, изчислени в съответствие с МСС 21.28, точка 52, буква а) или в съответствие с член 39 от ДОБ, произтичат от финансови активи и пасиви, държани за търгуване, или от търгувани финансови активи и пасиви.</w:t>
            </w:r>
          </w:p>
        </w:tc>
      </w:tr>
      <w:tr w:rsidR="004E57EF" w:rsidRPr="00824EA2"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472C2E16" w:rsidR="004E57EF" w:rsidRPr="00824EA2" w:rsidRDefault="006C14D8" w:rsidP="004E57EF">
            <w:pPr>
              <w:jc w:val="center"/>
              <w:rPr>
                <w:rFonts w:ascii="Times New Roman" w:hAnsi="Times New Roman"/>
                <w:sz w:val="24"/>
              </w:rPr>
            </w:pPr>
            <w:r w:rsidRPr="00824EA2">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281161D6"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Компонент </w:t>
            </w:r>
            <w:r w:rsidR="000A36C6">
              <w:rPr>
                <w:rFonts w:ascii="Times New Roman" w:hAnsi="Times New Roman"/>
                <w:b/>
                <w:sz w:val="24"/>
                <w:u w:val="single"/>
              </w:rPr>
              <w:t>„Б</w:t>
            </w:r>
            <w:r w:rsidRPr="00824EA2">
              <w:rPr>
                <w:rFonts w:ascii="Times New Roman" w:hAnsi="Times New Roman"/>
                <w:b/>
                <w:sz w:val="24"/>
                <w:u w:val="single"/>
              </w:rPr>
              <w:t>анков портфейл</w:t>
            </w:r>
            <w:r w:rsidR="000A36C6">
              <w:rPr>
                <w:rFonts w:ascii="Times New Roman" w:hAnsi="Times New Roman"/>
                <w:b/>
                <w:sz w:val="24"/>
                <w:u w:val="single"/>
              </w:rPr>
              <w:t>“</w:t>
            </w:r>
          </w:p>
          <w:p w14:paraId="146255FE" w14:textId="40F6E39F" w:rsidR="004E57EF" w:rsidRPr="00824EA2" w:rsidRDefault="004E57EF" w:rsidP="004E57EF">
            <w:p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банковия портфейл се изчислява в съответствие с член 314, параграф 6 от Регламент (ЕС) № 575/2013.</w:t>
            </w:r>
          </w:p>
        </w:tc>
      </w:tr>
      <w:tr w:rsidR="004E57EF" w:rsidRPr="00824EA2"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3DE3157A" w:rsidR="004E57EF" w:rsidRPr="00824EA2" w:rsidDel="000D7108" w:rsidRDefault="006C14D8" w:rsidP="004E57EF">
            <w:pPr>
              <w:jc w:val="center"/>
              <w:rPr>
                <w:rFonts w:ascii="Times New Roman" w:hAnsi="Times New Roman"/>
                <w:sz w:val="24"/>
              </w:rPr>
            </w:pPr>
            <w:r w:rsidRPr="00824EA2">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4BBBAEC7" w:rsidR="004E57EF" w:rsidRPr="00824EA2" w:rsidRDefault="004E57EF" w:rsidP="004E57E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Нетна печалба или (–) загуба, приложима </w:t>
            </w:r>
            <w:r w:rsidR="003A56FC">
              <w:rPr>
                <w:rFonts w:ascii="Times New Roman" w:hAnsi="Times New Roman"/>
                <w:b/>
                <w:sz w:val="24"/>
                <w:u w:val="single"/>
              </w:rPr>
              <w:t>за</w:t>
            </w:r>
            <w:r w:rsidR="003A56FC" w:rsidRPr="00824EA2">
              <w:rPr>
                <w:rFonts w:ascii="Times New Roman" w:hAnsi="Times New Roman"/>
                <w:b/>
                <w:sz w:val="24"/>
                <w:u w:val="single"/>
              </w:rPr>
              <w:t xml:space="preserve"> </w:t>
            </w:r>
            <w:r w:rsidRPr="00824EA2">
              <w:rPr>
                <w:rFonts w:ascii="Times New Roman" w:hAnsi="Times New Roman"/>
                <w:b/>
                <w:sz w:val="24"/>
                <w:u w:val="single"/>
              </w:rPr>
              <w:t>банковия портфейл</w:t>
            </w:r>
          </w:p>
          <w:p w14:paraId="047BD7DA" w14:textId="5BF61DFC" w:rsidR="004E57EF" w:rsidRPr="00824EA2" w:rsidRDefault="004E57EF" w:rsidP="004E57EF">
            <w:pPr>
              <w:keepNext/>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Нетната печалба или загуба, приложима към банковия портфейл, се изчислява като сбор от:</w:t>
            </w:r>
          </w:p>
          <w:p w14:paraId="1E147DDF" w14:textId="0BE9227E" w:rsidR="004E57EF" w:rsidRPr="00824EA2" w:rsidRDefault="004E57EF" w:rsidP="004E57EF">
            <w:pPr>
              <w:numPr>
                <w:ilvl w:val="0"/>
                <w:numId w:val="37"/>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отписване на финансови активи и пасиви, които не се отчитат по справедлива стойност в печалбата или загубата;</w:t>
            </w:r>
          </w:p>
          <w:p w14:paraId="132D85EB" w14:textId="09DCFC5E" w:rsidR="004E57EF" w:rsidRPr="00824EA2" w:rsidRDefault="004E57EF" w:rsidP="004E57EF">
            <w:pPr>
              <w:numPr>
                <w:ilvl w:val="0"/>
                <w:numId w:val="37"/>
              </w:numPr>
              <w:autoSpaceDE w:val="0"/>
              <w:autoSpaceDN w:val="0"/>
              <w:adjustRightInd w:val="0"/>
              <w:jc w:val="left"/>
              <w:rPr>
                <w:rFonts w:ascii="Times New Roman" w:hAnsi="Times New Roman"/>
                <w:sz w:val="24"/>
              </w:rPr>
            </w:pPr>
            <w:r w:rsidRPr="00824EA2">
              <w:rPr>
                <w:rFonts w:ascii="Times New Roman" w:hAnsi="Times New Roman"/>
                <w:color w:val="000000" w:themeColor="text1"/>
                <w:sz w:val="24"/>
              </w:rPr>
              <w:t>нетните печалби или (–) загуби от нетъргуеми финансови активи, задължително по справедлива стойност в печалбата или загубата;</w:t>
            </w:r>
          </w:p>
          <w:p w14:paraId="54773ACC" w14:textId="7DCA4549" w:rsidR="004E57EF" w:rsidRPr="00824EA2" w:rsidRDefault="004E57EF" w:rsidP="004E57EF">
            <w:pPr>
              <w:numPr>
                <w:ilvl w:val="0"/>
                <w:numId w:val="37"/>
              </w:numPr>
              <w:autoSpaceDE w:val="0"/>
              <w:autoSpaceDN w:val="0"/>
              <w:adjustRightInd w:val="0"/>
              <w:jc w:val="left"/>
              <w:rPr>
                <w:rFonts w:ascii="Times New Roman" w:hAnsi="Times New Roman"/>
                <w:color w:val="000000" w:themeColor="text1"/>
                <w:sz w:val="24"/>
              </w:rPr>
            </w:pPr>
            <w:r w:rsidRPr="00824EA2">
              <w:rPr>
                <w:rFonts w:ascii="Times New Roman" w:hAnsi="Times New Roman"/>
                <w:color w:val="000000" w:themeColor="text1"/>
                <w:sz w:val="24"/>
              </w:rPr>
              <w:t>нетните печалби или (–) загуби от финансови активи и пасиви, отчитани по справедлива стойност в печалбата или загубата;</w:t>
            </w:r>
          </w:p>
          <w:p w14:paraId="7D178750" w14:textId="04FD65E5" w:rsidR="004E57EF" w:rsidRPr="00824EA2" w:rsidRDefault="004E57EF" w:rsidP="004E57EF">
            <w:pPr>
              <w:numPr>
                <w:ilvl w:val="0"/>
                <w:numId w:val="37"/>
              </w:numPr>
              <w:autoSpaceDE w:val="0"/>
              <w:autoSpaceDN w:val="0"/>
              <w:adjustRightInd w:val="0"/>
              <w:jc w:val="left"/>
              <w:rPr>
                <w:rFonts w:ascii="Times New Roman" w:hAnsi="Times New Roman"/>
                <w:b/>
                <w:bCs/>
                <w:sz w:val="24"/>
                <w:u w:val="single"/>
              </w:rPr>
            </w:pPr>
            <w:r w:rsidRPr="00824EA2">
              <w:rPr>
                <w:rFonts w:ascii="Times New Roman" w:hAnsi="Times New Roman"/>
                <w:color w:val="000000" w:themeColor="text1"/>
                <w:sz w:val="24"/>
              </w:rPr>
              <w:t xml:space="preserve">нетните печалби или (–) загуби от отчитане на хеджирането, нетните курсови разлики [печалба или (–) загуба], свързани с банковия портфейл. </w:t>
            </w:r>
          </w:p>
        </w:tc>
      </w:tr>
      <w:tr w:rsidR="006C14D8" w:rsidRPr="00824EA2"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52C5518F"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4705DC53" w:rsidR="006C14D8" w:rsidRPr="00824EA2" w:rsidRDefault="006C14D8" w:rsidP="006C14D8">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w:t>
            </w:r>
            <w:r w:rsidR="009520DD">
              <w:rPr>
                <w:rFonts w:ascii="Times New Roman" w:hAnsi="Times New Roman"/>
                <w:b/>
                <w:sz w:val="24"/>
                <w:u w:val="single"/>
              </w:rPr>
              <w:t>а</w:t>
            </w:r>
            <w:r w:rsidRPr="00824EA2">
              <w:rPr>
                <w:rFonts w:ascii="Times New Roman" w:hAnsi="Times New Roman"/>
                <w:b/>
                <w:sz w:val="24"/>
                <w:u w:val="single"/>
              </w:rPr>
              <w:t xml:space="preserve"> печалб</w:t>
            </w:r>
            <w:r w:rsidR="00F8360B">
              <w:rPr>
                <w:rFonts w:ascii="Times New Roman" w:hAnsi="Times New Roman"/>
                <w:b/>
                <w:sz w:val="24"/>
                <w:u w:val="single"/>
              </w:rPr>
              <w:t>а</w:t>
            </w:r>
            <w:r w:rsidRPr="00824EA2">
              <w:rPr>
                <w:rFonts w:ascii="Times New Roman" w:hAnsi="Times New Roman"/>
                <w:b/>
                <w:sz w:val="24"/>
                <w:u w:val="single"/>
              </w:rPr>
              <w:t xml:space="preserve"> или (–) загуб</w:t>
            </w:r>
            <w:r w:rsidR="00F8360B">
              <w:rPr>
                <w:rFonts w:ascii="Times New Roman" w:hAnsi="Times New Roman"/>
                <w:b/>
                <w:sz w:val="24"/>
                <w:u w:val="single"/>
              </w:rPr>
              <w:t>а</w:t>
            </w:r>
            <w:r w:rsidRPr="00824EA2">
              <w:rPr>
                <w:rFonts w:ascii="Times New Roman" w:hAnsi="Times New Roman"/>
                <w:b/>
                <w:sz w:val="24"/>
                <w:u w:val="single"/>
              </w:rPr>
              <w:t xml:space="preserve"> от отписване на финансови активи и пасиви, които не се отчитат по справедлива стойност в печалбата или загубата</w:t>
            </w:r>
          </w:p>
          <w:p w14:paraId="1804BE4C" w14:textId="5A871311" w:rsidR="006C14D8" w:rsidRPr="00824EA2" w:rsidRDefault="006C14D8" w:rsidP="006C14D8">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печалби или (–) загуби от отписването на финансови активи и пасиви, които не се отчитат по справедлива стойност в печалбата или загубата, в съответствие с приложение V, част 2, параграф 45 към ИТ решенията на ЕБО или с член 27 от ДОБ — Вертикална форма, точка 6.</w:t>
            </w:r>
          </w:p>
        </w:tc>
      </w:tr>
      <w:tr w:rsidR="006C14D8" w:rsidRPr="00824EA2"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6D6BC21"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6D478D70" w:rsidR="006C14D8" w:rsidRPr="00824EA2" w:rsidRDefault="006C14D8" w:rsidP="006C14D8">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Нетн</w:t>
            </w:r>
            <w:r w:rsidR="00F8360B">
              <w:rPr>
                <w:rFonts w:ascii="Times New Roman" w:hAnsi="Times New Roman"/>
                <w:b/>
                <w:sz w:val="24"/>
                <w:u w:val="single"/>
              </w:rPr>
              <w:t>а</w:t>
            </w:r>
            <w:r w:rsidRPr="00824EA2">
              <w:rPr>
                <w:rFonts w:ascii="Times New Roman" w:hAnsi="Times New Roman"/>
                <w:b/>
                <w:sz w:val="24"/>
                <w:u w:val="single"/>
              </w:rPr>
              <w:t xml:space="preserve"> печалб</w:t>
            </w:r>
            <w:r w:rsidR="00F8360B">
              <w:rPr>
                <w:rFonts w:ascii="Times New Roman" w:hAnsi="Times New Roman"/>
                <w:b/>
                <w:sz w:val="24"/>
                <w:u w:val="single"/>
              </w:rPr>
              <w:t>а</w:t>
            </w:r>
            <w:r w:rsidRPr="00824EA2">
              <w:rPr>
                <w:rFonts w:ascii="Times New Roman" w:hAnsi="Times New Roman"/>
                <w:b/>
                <w:sz w:val="24"/>
                <w:u w:val="single"/>
              </w:rPr>
              <w:t xml:space="preserve"> или (–) загуб</w:t>
            </w:r>
            <w:r w:rsidR="00F8360B">
              <w:rPr>
                <w:rFonts w:ascii="Times New Roman" w:hAnsi="Times New Roman"/>
                <w:b/>
                <w:sz w:val="24"/>
                <w:u w:val="single"/>
              </w:rPr>
              <w:t>а</w:t>
            </w:r>
            <w:r w:rsidRPr="00824EA2">
              <w:rPr>
                <w:rFonts w:ascii="Times New Roman" w:hAnsi="Times New Roman"/>
                <w:b/>
                <w:sz w:val="24"/>
                <w:u w:val="single"/>
              </w:rPr>
              <w:t xml:space="preserve"> от нетъргуеми финансови активи, задължително по справедлива стойност в печалбата или загубата</w:t>
            </w:r>
          </w:p>
          <w:p w14:paraId="701ABB48" w14:textId="0AF357E2" w:rsidR="006C14D8" w:rsidRPr="00824EA2" w:rsidRDefault="006C14D8" w:rsidP="006C14D8">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печалби или (–) загуби от нетъргуеми финансови активи, задължително по справедлива стойност в печалбата или загубата, в съответствие с приложение V, част 2, параграф 46 от ИТ решенията на ЕБО.</w:t>
            </w:r>
          </w:p>
        </w:tc>
      </w:tr>
      <w:tr w:rsidR="006C14D8" w:rsidRPr="00824EA2"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26FC2E62"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lastRenderedPageBreak/>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454B2A44" w:rsidR="006C14D8" w:rsidRPr="00824EA2" w:rsidRDefault="006C14D8" w:rsidP="006C14D8">
            <w:pPr>
              <w:keepNext/>
              <w:jc w:val="left"/>
              <w:rPr>
                <w:rFonts w:ascii="Times New Roman" w:hAnsi="Times New Roman"/>
                <w:b/>
                <w:bCs/>
                <w:sz w:val="24"/>
              </w:rPr>
            </w:pPr>
            <w:r w:rsidRPr="00824EA2">
              <w:rPr>
                <w:rFonts w:ascii="Times New Roman" w:hAnsi="Times New Roman"/>
                <w:b/>
                <w:sz w:val="24"/>
                <w:u w:val="single"/>
              </w:rPr>
              <w:t>Нетн</w:t>
            </w:r>
            <w:r w:rsidR="00F8360B">
              <w:rPr>
                <w:rFonts w:ascii="Times New Roman" w:hAnsi="Times New Roman"/>
                <w:b/>
                <w:sz w:val="24"/>
                <w:u w:val="single"/>
              </w:rPr>
              <w:t>а</w:t>
            </w:r>
            <w:r w:rsidRPr="00824EA2">
              <w:rPr>
                <w:rFonts w:ascii="Times New Roman" w:hAnsi="Times New Roman"/>
                <w:b/>
                <w:sz w:val="24"/>
                <w:u w:val="single"/>
              </w:rPr>
              <w:t xml:space="preserve"> печалб</w:t>
            </w:r>
            <w:r w:rsidR="00F8360B">
              <w:rPr>
                <w:rFonts w:ascii="Times New Roman" w:hAnsi="Times New Roman"/>
                <w:b/>
                <w:sz w:val="24"/>
                <w:u w:val="single"/>
              </w:rPr>
              <w:t>а</w:t>
            </w:r>
            <w:r w:rsidRPr="00824EA2">
              <w:rPr>
                <w:rFonts w:ascii="Times New Roman" w:hAnsi="Times New Roman"/>
                <w:b/>
                <w:sz w:val="24"/>
                <w:u w:val="single"/>
              </w:rPr>
              <w:t xml:space="preserve"> или (–) загуб</w:t>
            </w:r>
            <w:r w:rsidR="00F8360B">
              <w:rPr>
                <w:rFonts w:ascii="Times New Roman" w:hAnsi="Times New Roman"/>
                <w:b/>
                <w:sz w:val="24"/>
                <w:u w:val="single"/>
              </w:rPr>
              <w:t>а</w:t>
            </w:r>
            <w:r w:rsidRPr="00824EA2">
              <w:rPr>
                <w:rFonts w:ascii="Times New Roman" w:hAnsi="Times New Roman"/>
                <w:b/>
                <w:sz w:val="24"/>
                <w:u w:val="single"/>
              </w:rPr>
              <w:t xml:space="preserve"> от финансови активи и пасиви, отчитани по справедлива стойност в печалбата или загубата</w:t>
            </w:r>
          </w:p>
          <w:p w14:paraId="38E43415" w14:textId="347F3160" w:rsidR="006C14D8" w:rsidRPr="00824EA2" w:rsidRDefault="006C14D8" w:rsidP="006C14D8">
            <w:pPr>
              <w:jc w:val="left"/>
              <w:rPr>
                <w:rFonts w:ascii="Times New Roman" w:hAnsi="Times New Roman"/>
                <w:sz w:val="24"/>
              </w:rPr>
            </w:pPr>
            <w:r w:rsidRPr="00824EA2">
              <w:rPr>
                <w:rFonts w:ascii="Times New Roman" w:hAnsi="Times New Roman"/>
                <w:sz w:val="24"/>
              </w:rPr>
              <w:t>Институциите отчитат нетните печалби или (–) загуби от финансови активи и пасиви, отчитани по справедлива стойност в печалбата или загубата, в съответствие с приложение V, част 2, параграф 44 от ИТ решенията на ЕБО.</w:t>
            </w:r>
          </w:p>
        </w:tc>
      </w:tr>
      <w:tr w:rsidR="006C14D8" w:rsidRPr="00824EA2"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338C2AC3"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31F15363" w:rsidR="006C14D8" w:rsidRPr="00824EA2" w:rsidRDefault="006C14D8" w:rsidP="006C14D8">
            <w:pPr>
              <w:keepNext/>
              <w:jc w:val="left"/>
              <w:rPr>
                <w:rFonts w:ascii="Times New Roman" w:hAnsi="Times New Roman"/>
                <w:b/>
                <w:bCs/>
                <w:sz w:val="24"/>
              </w:rPr>
            </w:pPr>
            <w:r w:rsidRPr="00824EA2">
              <w:rPr>
                <w:rFonts w:ascii="Times New Roman" w:hAnsi="Times New Roman"/>
                <w:b/>
                <w:sz w:val="24"/>
                <w:u w:val="single"/>
              </w:rPr>
              <w:t xml:space="preserve">Банков портфейл — </w:t>
            </w:r>
            <w:r w:rsidR="00F8360B">
              <w:rPr>
                <w:rFonts w:ascii="Times New Roman" w:hAnsi="Times New Roman"/>
                <w:b/>
                <w:sz w:val="24"/>
                <w:u w:val="single"/>
              </w:rPr>
              <w:t>Н</w:t>
            </w:r>
            <w:r w:rsidRPr="00824EA2">
              <w:rPr>
                <w:rFonts w:ascii="Times New Roman" w:hAnsi="Times New Roman"/>
                <w:b/>
                <w:sz w:val="24"/>
                <w:u w:val="single"/>
              </w:rPr>
              <w:t>етн</w:t>
            </w:r>
            <w:r w:rsidR="00F8360B">
              <w:rPr>
                <w:rFonts w:ascii="Times New Roman" w:hAnsi="Times New Roman"/>
                <w:b/>
                <w:sz w:val="24"/>
                <w:u w:val="single"/>
              </w:rPr>
              <w:t>а</w:t>
            </w:r>
            <w:r w:rsidRPr="00824EA2">
              <w:rPr>
                <w:rFonts w:ascii="Times New Roman" w:hAnsi="Times New Roman"/>
                <w:b/>
                <w:sz w:val="24"/>
                <w:u w:val="single"/>
              </w:rPr>
              <w:t xml:space="preserve"> печалб</w:t>
            </w:r>
            <w:r w:rsidR="00F8360B">
              <w:rPr>
                <w:rFonts w:ascii="Times New Roman" w:hAnsi="Times New Roman"/>
                <w:b/>
                <w:sz w:val="24"/>
                <w:u w:val="single"/>
              </w:rPr>
              <w:t>а</w:t>
            </w:r>
            <w:r w:rsidRPr="00824EA2">
              <w:rPr>
                <w:rFonts w:ascii="Times New Roman" w:hAnsi="Times New Roman"/>
                <w:b/>
                <w:sz w:val="24"/>
                <w:u w:val="single"/>
              </w:rPr>
              <w:t xml:space="preserve"> или (–) загуб</w:t>
            </w:r>
            <w:r w:rsidR="00F8360B">
              <w:rPr>
                <w:rFonts w:ascii="Times New Roman" w:hAnsi="Times New Roman"/>
                <w:b/>
                <w:sz w:val="24"/>
                <w:u w:val="single"/>
              </w:rPr>
              <w:t>а</w:t>
            </w:r>
            <w:r w:rsidRPr="00824EA2">
              <w:rPr>
                <w:rFonts w:ascii="Times New Roman" w:hAnsi="Times New Roman"/>
                <w:b/>
                <w:sz w:val="24"/>
                <w:u w:val="single"/>
              </w:rPr>
              <w:t xml:space="preserve"> от отчитане на хеджирането</w:t>
            </w:r>
          </w:p>
          <w:p w14:paraId="2A6D52A9" w14:textId="0E95F32A" w:rsidR="006C14D8" w:rsidRPr="00824EA2" w:rsidRDefault="006C14D8" w:rsidP="006C14D8">
            <w:pPr>
              <w:jc w:val="left"/>
              <w:rPr>
                <w:rFonts w:ascii="Times New Roman" w:eastAsia="Segoe UI" w:hAnsi="Times New Roman"/>
                <w:color w:val="333333"/>
                <w:sz w:val="24"/>
              </w:rPr>
            </w:pPr>
            <w:r w:rsidRPr="00824EA2">
              <w:rPr>
                <w:rFonts w:ascii="Times New Roman" w:hAnsi="Times New Roman"/>
                <w:sz w:val="24"/>
              </w:rPr>
              <w:t>Институциите отчитат нетните печалби или (–) загуби от отчитане на хеджирането в съответствие с приложение V, част 2, параграф 47 от ИТ решенията на ЕБО или в съответствие с член 8, параграф 1, буква а), параграфи 6 и 8 от Директивата за счетоводството, когато тези печалби или загуби произтичат от финансови активи и пасиви, държани в банковия портфейл.</w:t>
            </w:r>
          </w:p>
        </w:tc>
      </w:tr>
      <w:tr w:rsidR="006C14D8" w:rsidRPr="00824EA2"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1218B923" w:rsidR="006C14D8" w:rsidRPr="00824EA2" w:rsidRDefault="006C14D8" w:rsidP="006C14D8">
            <w:pPr>
              <w:jc w:val="center"/>
              <w:rPr>
                <w:rFonts w:ascii="Times New Roman" w:hAnsi="Times New Roman"/>
                <w:sz w:val="24"/>
              </w:rPr>
            </w:pPr>
            <w:r w:rsidRPr="00824EA2">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598321B8" w:rsidR="006C14D8" w:rsidRPr="00824EA2" w:rsidRDefault="006C14D8" w:rsidP="006C14D8">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 xml:space="preserve">Банков портфейл — </w:t>
            </w:r>
            <w:r w:rsidR="00F8360B">
              <w:rPr>
                <w:rFonts w:ascii="Times New Roman" w:hAnsi="Times New Roman"/>
                <w:b/>
                <w:sz w:val="24"/>
                <w:u w:val="single"/>
              </w:rPr>
              <w:t>Н</w:t>
            </w:r>
            <w:r w:rsidRPr="00824EA2">
              <w:rPr>
                <w:rFonts w:ascii="Times New Roman" w:hAnsi="Times New Roman"/>
                <w:b/>
                <w:sz w:val="24"/>
                <w:u w:val="single"/>
              </w:rPr>
              <w:t>етни курсови разлики [печалба или (–) загуба]</w:t>
            </w:r>
          </w:p>
          <w:p w14:paraId="64BD0466" w14:textId="299E4A15" w:rsidR="006C14D8" w:rsidRPr="00824EA2" w:rsidRDefault="006C14D8" w:rsidP="006C14D8">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нетните курсови разлики [печалба или (–) загуба] в съответствие с МСС 21.28, точка 52, буква а), или в съответствие с член 39 от ДОБ, когато тези разлики произтичат от финансови активи и пасиви, държани в банковия портфейл.</w:t>
            </w:r>
          </w:p>
        </w:tc>
      </w:tr>
    </w:tbl>
    <w:p w14:paraId="3BAED557" w14:textId="16B17DEB" w:rsidR="00706701" w:rsidRPr="00824EA2" w:rsidRDefault="009D4652" w:rsidP="00816707">
      <w:pPr>
        <w:keepNext/>
        <w:spacing w:before="240" w:after="240"/>
        <w:outlineLvl w:val="1"/>
        <w:rPr>
          <w:rFonts w:ascii="Times New Roman" w:eastAsia="Arial" w:hAnsi="Times New Roman"/>
          <w:b/>
          <w:sz w:val="24"/>
        </w:rPr>
      </w:pPr>
      <w:r w:rsidRPr="00824EA2">
        <w:rPr>
          <w:rFonts w:ascii="Times New Roman" w:hAnsi="Times New Roman"/>
          <w:b/>
          <w:sz w:val="24"/>
        </w:rPr>
        <w:t xml:space="preserve">C 16.03 </w:t>
      </w:r>
      <w:r w:rsidR="00E571B8">
        <w:rPr>
          <w:rFonts w:ascii="Times New Roman" w:hAnsi="Times New Roman"/>
          <w:b/>
          <w:sz w:val="24"/>
        </w:rPr>
        <w:t xml:space="preserve">Разбивка </w:t>
      </w:r>
      <w:r w:rsidRPr="00824EA2">
        <w:rPr>
          <w:rFonts w:ascii="Times New Roman" w:hAnsi="Times New Roman"/>
          <w:b/>
          <w:sz w:val="24"/>
        </w:rPr>
        <w:t>на операционния риск (OPR BD)</w:t>
      </w:r>
      <w:r w:rsidR="00E571B8">
        <w:rPr>
          <w:rFonts w:ascii="Times New Roman" w:hAnsi="Times New Roman"/>
          <w:b/>
          <w:sz w:val="24"/>
        </w:rPr>
        <w:t xml:space="preserve"> -</w:t>
      </w:r>
      <w:r w:rsidR="00E571B8" w:rsidRPr="00AE3337">
        <w:rPr>
          <w:rFonts w:ascii="Times New Roman" w:hAnsi="Times New Roman"/>
          <w:b/>
          <w:bCs/>
          <w:sz w:val="24"/>
        </w:rPr>
        <w:t xml:space="preserve"> </w:t>
      </w:r>
      <w:r w:rsidR="00E571B8">
        <w:rPr>
          <w:rFonts w:ascii="Times New Roman" w:hAnsi="Times New Roman"/>
          <w:b/>
          <w:bCs/>
          <w:sz w:val="24"/>
        </w:rPr>
        <w:t>загуби</w:t>
      </w:r>
      <w:r w:rsidR="00E571B8" w:rsidRPr="00AE3337">
        <w:rPr>
          <w:rFonts w:ascii="Times New Roman" w:hAnsi="Times New Roman"/>
          <w:b/>
          <w:bCs/>
          <w:sz w:val="24"/>
        </w:rPr>
        <w:t xml:space="preserve">, </w:t>
      </w:r>
      <w:r w:rsidR="00E571B8">
        <w:rPr>
          <w:rFonts w:ascii="Times New Roman" w:hAnsi="Times New Roman"/>
          <w:b/>
          <w:bCs/>
          <w:sz w:val="24"/>
        </w:rPr>
        <w:t>разходи, провизии и други финансови последици в резултат на събития във връзка с операционния риск</w:t>
      </w:r>
    </w:p>
    <w:p w14:paraId="0786BD02" w14:textId="34FB68C2" w:rsidR="005537B7" w:rsidRPr="00824EA2" w:rsidRDefault="005A02FF" w:rsidP="3B06A011">
      <w:pPr>
        <w:spacing w:before="0" w:after="240"/>
        <w:rPr>
          <w:rFonts w:ascii="Times New Roman" w:hAnsi="Times New Roman"/>
          <w:color w:val="000000" w:themeColor="text1"/>
          <w:sz w:val="24"/>
        </w:rPr>
      </w:pPr>
      <w:r w:rsidRPr="00824EA2">
        <w:rPr>
          <w:rStyle w:val="DNEx2"/>
        </w:rPr>
        <w:t xml:space="preserve">141 </w:t>
      </w:r>
      <w:r w:rsidR="003B46B5" w:rsidRPr="00824EA2">
        <w:rPr>
          <w:rStyle w:val="DNEx2"/>
        </w:rPr>
        <w:t xml:space="preserve">й. </w:t>
      </w:r>
      <w:r w:rsidRPr="00824EA2">
        <w:rPr>
          <w:rFonts w:ascii="Times New Roman" w:hAnsi="Times New Roman"/>
          <w:color w:val="000000" w:themeColor="text1"/>
          <w:sz w:val="24"/>
        </w:rPr>
        <w:t xml:space="preserve">В съответствие с член 314, параграф 5 от Регламент (ЕС) № 575/2013 настоящият образец предоставя подробна информация за загубите, разходите, провизиите и други финансови последици от обичайни банкови операции, дължащи се на операционни събития, отчетени във всички позиции от отчета за приходите и разходите. В случай че тези загуби, разходи, провизии и други финансови загуби не се дължат на операционни събития, те няма да бъдат включени в този образец, а вместо това ще се отчитат в раздел </w:t>
      </w:r>
      <w:r w:rsidR="0044757D" w:rsidRPr="0044757D">
        <w:rPr>
          <w:rFonts w:ascii="Times New Roman" w:hAnsi="Times New Roman"/>
          <w:color w:val="000000" w:themeColor="text1"/>
          <w:sz w:val="24"/>
        </w:rPr>
        <w:t>КЛЛД</w:t>
      </w:r>
      <w:r w:rsidRPr="00824EA2">
        <w:rPr>
          <w:rFonts w:ascii="Times New Roman" w:hAnsi="Times New Roman"/>
          <w:color w:val="000000" w:themeColor="text1"/>
          <w:sz w:val="24"/>
        </w:rPr>
        <w:t xml:space="preserve"> от образец C 16.02. Позициите, отчетени тук, включват изчисляването на други оперативни разходи в образец C 16.02, които се използват за изчисляване на </w:t>
      </w:r>
      <w:r w:rsidR="0044757D">
        <w:rPr>
          <w:rFonts w:ascii="Times New Roman" w:hAnsi="Times New Roman"/>
          <w:color w:val="000000" w:themeColor="text1"/>
          <w:sz w:val="24"/>
        </w:rPr>
        <w:t>КУ</w:t>
      </w:r>
      <w:r w:rsidR="0044757D" w:rsidRPr="00824EA2">
        <w:rPr>
          <w:rFonts w:ascii="Times New Roman" w:hAnsi="Times New Roman"/>
          <w:color w:val="000000" w:themeColor="text1"/>
          <w:sz w:val="24"/>
        </w:rPr>
        <w:t xml:space="preserve"> </w:t>
      </w:r>
      <w:r w:rsidRPr="00824EA2">
        <w:rPr>
          <w:rFonts w:ascii="Times New Roman" w:hAnsi="Times New Roman"/>
          <w:color w:val="000000" w:themeColor="text1"/>
          <w:sz w:val="24"/>
        </w:rPr>
        <w:t>на BI.</w:t>
      </w:r>
    </w:p>
    <w:p w14:paraId="442B3A41" w14:textId="002D9FC7" w:rsidR="008D04DE" w:rsidRPr="00824EA2" w:rsidRDefault="008D04DE" w:rsidP="3B06A011">
      <w:pPr>
        <w:spacing w:before="0" w:after="240"/>
        <w:rPr>
          <w:rFonts w:ascii="Times New Roman" w:hAnsi="Times New Roman"/>
          <w:sz w:val="24"/>
        </w:rPr>
      </w:pPr>
      <w:r w:rsidRPr="00824EA2">
        <w:rPr>
          <w:rStyle w:val="DNEx2"/>
        </w:rPr>
        <w:t xml:space="preserve">141 </w:t>
      </w:r>
      <w:r w:rsidR="003B46B5" w:rsidRPr="00824EA2">
        <w:rPr>
          <w:rStyle w:val="DNEx2"/>
        </w:rPr>
        <w:t>й</w:t>
      </w:r>
      <w:r w:rsidRPr="00824EA2">
        <w:rPr>
          <w:rStyle w:val="DNEx2"/>
        </w:rPr>
        <w:t xml:space="preserve">a. </w:t>
      </w:r>
      <w:r w:rsidRPr="00824EA2">
        <w:rPr>
          <w:rFonts w:ascii="Times New Roman" w:hAnsi="Times New Roman"/>
          <w:sz w:val="24"/>
        </w:rPr>
        <w:t>Институциите отчитат по колони стойността съгласно приложимия счетоводен стандарт за всяка от последните три финансови години. Институциите редовно преразглеждат отчетените счетоводни стойности и когато е приложимо, ги коригират, за да отразят последиците от сливания, придобивания и освобождавания, в съответствие с член 315, параграфи 1 и 2 от Регламент (ЕС) № 575/2013.</w:t>
      </w:r>
    </w:p>
    <w:p w14:paraId="4A051934" w14:textId="715748D7" w:rsidR="0014735F" w:rsidRPr="00824EA2" w:rsidRDefault="0014735F" w:rsidP="008D04DE">
      <w:pPr>
        <w:spacing w:before="0" w:after="240"/>
        <w:rPr>
          <w:rFonts w:ascii="Times New Roman" w:hAnsi="Times New Roman"/>
          <w:sz w:val="24"/>
        </w:rPr>
      </w:pPr>
      <w:r w:rsidRPr="00824EA2">
        <w:rPr>
          <w:rStyle w:val="DNEx2"/>
        </w:rPr>
        <w:t xml:space="preserve">141 </w:t>
      </w:r>
      <w:r w:rsidR="003B46B5" w:rsidRPr="00824EA2">
        <w:rPr>
          <w:rStyle w:val="DNEx2"/>
        </w:rPr>
        <w:t>йб</w:t>
      </w:r>
      <w:r w:rsidRPr="00824EA2">
        <w:rPr>
          <w:rStyle w:val="DNEx2"/>
        </w:rPr>
        <w:t xml:space="preserve">. </w:t>
      </w:r>
      <w:r w:rsidRPr="00824EA2">
        <w:rPr>
          <w:rFonts w:ascii="Times New Roman" w:hAnsi="Times New Roman"/>
          <w:sz w:val="24"/>
        </w:rPr>
        <w:t>Когато дадена институция е обект на дерогацията, посочена в член 314, параграф 4 от Регламент (ЕС) № 575/2013, институцията не включва в този образец никакви данни от дейностите по банкиране на дребно и/или търговско банкиране в съответствие с указанията за образец C 16.02.</w:t>
      </w:r>
    </w:p>
    <w:p w14:paraId="41A152DD" w14:textId="77777777" w:rsidR="008F173B" w:rsidRPr="00824EA2" w:rsidRDefault="008F173B" w:rsidP="00816707">
      <w:pPr>
        <w:keepNext/>
        <w:spacing w:before="0" w:after="240"/>
        <w:rPr>
          <w:rFonts w:ascii="Times New Roman" w:hAnsi="Times New Roman"/>
          <w:sz w:val="24"/>
          <w:u w:val="single"/>
        </w:rPr>
      </w:pPr>
      <w:r w:rsidRPr="00824EA2">
        <w:rPr>
          <w:rFonts w:ascii="Times New Roman" w:hAnsi="Times New Roman"/>
          <w:sz w:val="24"/>
          <w:u w:val="single"/>
        </w:rPr>
        <w:lastRenderedPageBreak/>
        <w:t>Указания за конкретни позиции: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824EA2" w14:paraId="0B7107E1" w14:textId="77777777" w:rsidTr="3B06A011">
        <w:trPr>
          <w:trHeight w:val="696"/>
        </w:trPr>
        <w:tc>
          <w:tcPr>
            <w:tcW w:w="9209" w:type="dxa"/>
            <w:gridSpan w:val="2"/>
            <w:shd w:val="clear" w:color="auto" w:fill="CCCCCC"/>
          </w:tcPr>
          <w:p w14:paraId="69A21E4B" w14:textId="633881A3" w:rsidR="009F552B" w:rsidRPr="00824EA2" w:rsidRDefault="009F552B">
            <w:pPr>
              <w:autoSpaceDE w:val="0"/>
              <w:autoSpaceDN w:val="0"/>
              <w:adjustRightInd w:val="0"/>
              <w:spacing w:after="0"/>
              <w:rPr>
                <w:rFonts w:ascii="Times New Roman" w:hAnsi="Times New Roman"/>
                <w:b/>
                <w:bCs/>
                <w:sz w:val="24"/>
              </w:rPr>
            </w:pPr>
            <w:r w:rsidRPr="00824EA2">
              <w:rPr>
                <w:rFonts w:ascii="Times New Roman" w:hAnsi="Times New Roman"/>
                <w:b/>
                <w:sz w:val="24"/>
              </w:rPr>
              <w:t xml:space="preserve">Редове </w:t>
            </w:r>
          </w:p>
        </w:tc>
      </w:tr>
      <w:tr w:rsidR="009F552B" w:rsidRPr="00824EA2"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2BEE9AC4" w:rsidR="009F552B" w:rsidRPr="00824EA2" w:rsidRDefault="009F552B">
            <w:pPr>
              <w:spacing w:before="0" w:after="0"/>
              <w:jc w:val="center"/>
              <w:rPr>
                <w:rFonts w:ascii="Times New Roman" w:hAnsi="Times New Roman"/>
                <w:sz w:val="24"/>
              </w:rPr>
            </w:pPr>
            <w:r w:rsidRPr="00824EA2">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4903E0C1" w:rsidR="009F552B" w:rsidRPr="00824EA2" w:rsidRDefault="004B40A6" w:rsidP="00816707">
            <w:pPr>
              <w:keepNext/>
              <w:jc w:val="left"/>
              <w:rPr>
                <w:rFonts w:ascii="Times New Roman" w:hAnsi="Times New Roman"/>
                <w:b/>
                <w:bCs/>
                <w:sz w:val="24"/>
                <w:u w:val="single"/>
              </w:rPr>
            </w:pPr>
            <w:r w:rsidRPr="00824EA2">
              <w:rPr>
                <w:rFonts w:ascii="Times New Roman" w:hAnsi="Times New Roman"/>
                <w:b/>
                <w:sz w:val="24"/>
                <w:u w:val="single"/>
              </w:rPr>
              <w:t>(</w:t>
            </w:r>
            <w:r w:rsidR="00874E58">
              <w:rPr>
                <w:rFonts w:ascii="Times New Roman" w:hAnsi="Times New Roman"/>
                <w:b/>
                <w:sz w:val="24"/>
                <w:u w:val="single"/>
              </w:rPr>
              <w:t>Л</w:t>
            </w:r>
            <w:r w:rsidRPr="00824EA2">
              <w:rPr>
                <w:rFonts w:ascii="Times New Roman" w:hAnsi="Times New Roman"/>
                <w:b/>
                <w:sz w:val="24"/>
                <w:u w:val="single"/>
              </w:rPr>
              <w:t>ихв</w:t>
            </w:r>
            <w:r w:rsidR="00874E58">
              <w:rPr>
                <w:rFonts w:ascii="Times New Roman" w:hAnsi="Times New Roman"/>
                <w:b/>
                <w:sz w:val="24"/>
                <w:u w:val="single"/>
              </w:rPr>
              <w:t>ени разходи</w:t>
            </w:r>
            <w:r w:rsidRPr="00824EA2">
              <w:rPr>
                <w:rFonts w:ascii="Times New Roman" w:hAnsi="Times New Roman"/>
                <w:b/>
                <w:sz w:val="24"/>
                <w:u w:val="single"/>
              </w:rPr>
              <w:t>)</w:t>
            </w:r>
          </w:p>
          <w:p w14:paraId="5797B5A2" w14:textId="18A0A5CE" w:rsidR="009F552B" w:rsidRPr="00824EA2" w:rsidRDefault="009F552B" w:rsidP="00816707">
            <w:pPr>
              <w:jc w:val="left"/>
              <w:rPr>
                <w:rFonts w:ascii="Times New Roman" w:hAnsi="Times New Roman"/>
                <w:sz w:val="24"/>
              </w:rPr>
            </w:pPr>
            <w:r w:rsidRPr="00824EA2">
              <w:rPr>
                <w:rFonts w:ascii="Times New Roman" w:hAnsi="Times New Roman"/>
                <w:sz w:val="24"/>
              </w:rPr>
              <w:t>Институциите отчитат разходите за лихви, свързани с операционни събития, в съответствие с приложение V, част 2, параграф 31 от ИТ решенията на ЕБО и съгласно допълнителните спецификации от приложение V, част 2, параграфи 188, 190 и 194ii от ИТ решенията на ЕБО.</w:t>
            </w:r>
          </w:p>
        </w:tc>
      </w:tr>
      <w:tr w:rsidR="006E640F" w:rsidRPr="00824EA2"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3C925F1C" w:rsidR="006E640F" w:rsidRPr="00824EA2" w:rsidRDefault="006E640F" w:rsidP="00A76974">
            <w:pPr>
              <w:rPr>
                <w:rFonts w:ascii="Times New Roman" w:hAnsi="Times New Roman"/>
                <w:sz w:val="24"/>
              </w:rPr>
            </w:pPr>
            <w:r w:rsidRPr="00824EA2">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(Други оперативни разходи)</w:t>
            </w:r>
          </w:p>
          <w:p w14:paraId="61FAD11B" w14:textId="66058E06" w:rsidR="006E640F" w:rsidRPr="00824EA2" w:rsidRDefault="006E640F" w:rsidP="006E640F">
            <w:pPr>
              <w:jc w:val="left"/>
              <w:rPr>
                <w:rFonts w:ascii="Times New Roman" w:hAnsi="Times New Roman"/>
                <w:sz w:val="24"/>
              </w:rPr>
            </w:pPr>
            <w:r w:rsidRPr="00824EA2">
              <w:rPr>
                <w:rFonts w:ascii="Times New Roman" w:hAnsi="Times New Roman"/>
                <w:sz w:val="24"/>
              </w:rPr>
              <w:t>Институциите отчитат останалите други оперативни разходи (Други оперативни разходи. Други) в съответствие с приложение V, част 2, параграфи 314 и 316 от ИТ решенията на ЕБО, ако те не са свързани с отдадени на лизинг активи и се дължат на операционни събития.</w:t>
            </w:r>
          </w:p>
        </w:tc>
      </w:tr>
      <w:tr w:rsidR="006E640F" w:rsidRPr="00824EA2"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565798E7"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(Административни разходи)</w:t>
            </w:r>
          </w:p>
          <w:p w14:paraId="61C27363" w14:textId="1552BB56" w:rsidR="006E640F" w:rsidRPr="00824EA2" w:rsidRDefault="006E640F" w:rsidP="006E640F">
            <w:pPr>
              <w:keepNext/>
              <w:jc w:val="left"/>
            </w:pPr>
            <w:r w:rsidRPr="00824EA2">
              <w:rPr>
                <w:rFonts w:ascii="Times New Roman" w:hAnsi="Times New Roman"/>
                <w:sz w:val="24"/>
              </w:rPr>
              <w:t>Институциите отчитат следните разходи, дължащи се на операционни събития:</w:t>
            </w:r>
          </w:p>
          <w:p w14:paraId="7BD17D9E" w14:textId="7D2BD965" w:rsidR="006E640F" w:rsidRPr="00824EA2" w:rsidRDefault="006E640F" w:rsidP="006E640F">
            <w:pPr>
              <w:numPr>
                <w:ilvl w:val="0"/>
                <w:numId w:val="39"/>
              </w:numPr>
              <w:jc w:val="left"/>
              <w:rPr>
                <w:rFonts w:ascii="Times New Roman" w:hAnsi="Times New Roman"/>
                <w:sz w:val="24"/>
              </w:rPr>
            </w:pPr>
            <w:r w:rsidRPr="00824EA2">
              <w:rPr>
                <w:rFonts w:ascii="Times New Roman" w:hAnsi="Times New Roman"/>
                <w:sz w:val="24"/>
              </w:rPr>
              <w:t>разходи за персонал в съответствие с МСС 19.7; МСС 1.102, IG 6/ДОБ, член 27. Вертикална форма, точка 8, буква а) и както е посочено в част 2, параграф 311 от приложение V към ИТ решенията на ЕБО;</w:t>
            </w:r>
          </w:p>
          <w:p w14:paraId="0EBA8EBF" w14:textId="76BE017A" w:rsidR="006E640F" w:rsidRPr="00824EA2" w:rsidRDefault="006E640F" w:rsidP="006E640F">
            <w:pPr>
              <w:numPr>
                <w:ilvl w:val="0"/>
                <w:numId w:val="39"/>
              </w:numPr>
              <w:jc w:val="left"/>
              <w:rPr>
                <w:rFonts w:ascii="Times New Roman" w:hAnsi="Times New Roman"/>
                <w:sz w:val="24"/>
              </w:rPr>
            </w:pPr>
            <w:r w:rsidRPr="00824EA2">
              <w:rPr>
                <w:rFonts w:ascii="Times New Roman" w:hAnsi="Times New Roman"/>
                <w:sz w:val="24"/>
              </w:rPr>
              <w:t>други административни разходи в съответствие с приложение V, част 2, параграфи 208i—208x от ИТ решенията на ЕБО.</w:t>
            </w:r>
          </w:p>
          <w:p w14:paraId="57562758" w14:textId="563AF0E3" w:rsidR="006E640F" w:rsidRPr="00824EA2" w:rsidRDefault="006E640F" w:rsidP="006E640F">
            <w:pPr>
              <w:numPr>
                <w:ilvl w:val="0"/>
                <w:numId w:val="40"/>
              </w:numPr>
              <w:autoSpaceDE w:val="0"/>
              <w:autoSpaceDN w:val="0"/>
              <w:adjustRightInd w:val="0"/>
              <w:jc w:val="left"/>
              <w:rPr>
                <w:rFonts w:ascii="Times New Roman" w:eastAsiaTheme="minorEastAsia" w:hAnsi="Times New Roman"/>
                <w:color w:val="000000" w:themeColor="text1"/>
                <w:sz w:val="24"/>
              </w:rPr>
            </w:pPr>
            <w:r w:rsidRPr="00824EA2">
              <w:rPr>
                <w:rFonts w:ascii="Times New Roman" w:hAnsi="Times New Roman"/>
                <w:sz w:val="24"/>
              </w:rPr>
              <w:t>Институциите изключват възнагражденията на външни изпълнители, платени за предоставяне на финансови услуги, в случай че са включени в административните разходи съгласно приложимата счетоводна рамка.</w:t>
            </w:r>
          </w:p>
        </w:tc>
      </w:tr>
      <w:tr w:rsidR="006E640F" w:rsidRPr="00824EA2"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991A6B0"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7F233AFF"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w:t>
            </w:r>
            <w:r w:rsidR="00874E58">
              <w:rPr>
                <w:rFonts w:ascii="Times New Roman" w:hAnsi="Times New Roman"/>
                <w:b/>
                <w:sz w:val="24"/>
                <w:u w:val="single"/>
              </w:rPr>
              <w:t>Обезценка,</w:t>
            </w:r>
            <w:r w:rsidRPr="00824EA2">
              <w:rPr>
                <w:rFonts w:ascii="Times New Roman" w:hAnsi="Times New Roman"/>
                <w:b/>
                <w:sz w:val="24"/>
                <w:u w:val="single"/>
              </w:rPr>
              <w:t xml:space="preserve"> поради събития</w:t>
            </w:r>
            <w:r w:rsidR="00874E58">
              <w:rPr>
                <w:rFonts w:ascii="Times New Roman" w:hAnsi="Times New Roman"/>
                <w:b/>
                <w:sz w:val="24"/>
                <w:u w:val="single"/>
              </w:rPr>
              <w:t xml:space="preserve"> във връзка с операционния риск</w:t>
            </w:r>
            <w:r w:rsidRPr="00824EA2">
              <w:rPr>
                <w:rFonts w:ascii="Times New Roman" w:hAnsi="Times New Roman"/>
                <w:b/>
                <w:sz w:val="24"/>
                <w:u w:val="single"/>
              </w:rPr>
              <w:t>)</w:t>
            </w:r>
          </w:p>
          <w:p w14:paraId="1F7B0374" w14:textId="2E380EC1" w:rsidR="006E640F" w:rsidRPr="00824EA2" w:rsidRDefault="006E640F" w:rsidP="006E640F">
            <w:pPr>
              <w:autoSpaceDE w:val="0"/>
              <w:autoSpaceDN w:val="0"/>
              <w:adjustRightInd w:val="0"/>
              <w:jc w:val="left"/>
              <w:rPr>
                <w:rFonts w:ascii="Times New Roman" w:hAnsi="Times New Roman"/>
                <w:sz w:val="24"/>
              </w:rPr>
            </w:pPr>
            <w:r w:rsidRPr="00824EA2">
              <w:rPr>
                <w:rFonts w:ascii="Times New Roman" w:hAnsi="Times New Roman"/>
                <w:sz w:val="24"/>
              </w:rPr>
              <w:t>Институциите отчитат амортизацията по МСС 1, параграфи 102 и 104, дължаща се на операционни събития, с изключение на амортизацията, свързана с отдадени на лизинг активи.</w:t>
            </w:r>
          </w:p>
        </w:tc>
      </w:tr>
      <w:tr w:rsidR="006E640F" w:rsidRPr="00824EA2"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059B40E7"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6E640F" w:rsidRPr="00824EA2" w:rsidRDefault="006E640F" w:rsidP="006E640F">
            <w:pPr>
              <w:keepNext/>
              <w:autoSpaceDE w:val="0"/>
              <w:autoSpaceDN w:val="0"/>
              <w:adjustRightInd w:val="0"/>
              <w:jc w:val="left"/>
              <w:rPr>
                <w:rFonts w:ascii="Times New Roman" w:hAnsi="Times New Roman"/>
                <w:b/>
                <w:bCs/>
                <w:sz w:val="24"/>
                <w:u w:val="single"/>
              </w:rPr>
            </w:pPr>
            <w:r w:rsidRPr="00824EA2">
              <w:rPr>
                <w:rFonts w:ascii="Times New Roman" w:hAnsi="Times New Roman"/>
                <w:b/>
                <w:sz w:val="24"/>
                <w:u w:val="single"/>
              </w:rPr>
              <w:t>(Провизии или (–) сторниране на провизии)</w:t>
            </w:r>
          </w:p>
          <w:p w14:paraId="4CCFA330" w14:textId="379AD73C" w:rsidR="006E640F" w:rsidRPr="00824EA2" w:rsidRDefault="006E640F" w:rsidP="006E640F">
            <w:pPr>
              <w:autoSpaceDE w:val="0"/>
              <w:autoSpaceDN w:val="0"/>
              <w:adjustRightInd w:val="0"/>
              <w:rPr>
                <w:rFonts w:ascii="Times New Roman" w:hAnsi="Times New Roman"/>
                <w:sz w:val="24"/>
              </w:rPr>
            </w:pPr>
            <w:r w:rsidRPr="00824EA2">
              <w:rPr>
                <w:rFonts w:ascii="Times New Roman" w:hAnsi="Times New Roman"/>
                <w:sz w:val="24"/>
              </w:rPr>
              <w:t>Институциите отчитат провизиите или (–) сторнирането на провизии, дължащи се на операционни събития, в съответствие с МСС 37, параграфи 59 и 84; МСС 1, параграф 98, букви б), е) и ж) и приложение V, част 2, параграфи 48i и 50 от ИТ решенията на ЕБО.</w:t>
            </w:r>
          </w:p>
        </w:tc>
      </w:tr>
      <w:tr w:rsidR="006E640F" w:rsidRPr="00824EA2"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71CB17" w14:textId="30157F90" w:rsidR="006E640F" w:rsidRPr="00824EA2" w:rsidRDefault="006E640F" w:rsidP="006E640F">
            <w:pPr>
              <w:spacing w:before="0" w:after="0"/>
              <w:jc w:val="center"/>
              <w:rPr>
                <w:rFonts w:ascii="Times New Roman" w:hAnsi="Times New Roman"/>
                <w:sz w:val="24"/>
                <w:lang w:eastAsia="en-GB"/>
              </w:rPr>
            </w:pPr>
            <w:r w:rsidRPr="00824EA2">
              <w:rPr>
                <w:rFonts w:ascii="Times New Roman" w:hAnsi="Times New Roman"/>
                <w:sz w:val="24"/>
                <w:lang w:eastAsia="en-GB"/>
              </w:rPr>
              <w:t>0060</w:t>
            </w:r>
          </w:p>
          <w:p w14:paraId="591B35E4" w14:textId="77777777" w:rsidR="006E640F" w:rsidRPr="00824EA2" w:rsidRDefault="006E640F" w:rsidP="006E640F">
            <w:pPr>
              <w:rPr>
                <w:rFonts w:ascii="Times New Roman" w:hAnsi="Times New Roman"/>
                <w:sz w:val="24"/>
                <w:lang w:eastAsia="en-GB"/>
              </w:rPr>
            </w:pPr>
          </w:p>
          <w:p w14:paraId="0FC8E658" w14:textId="77777777" w:rsidR="006E640F" w:rsidRPr="00824EA2" w:rsidRDefault="006E640F" w:rsidP="006E640F">
            <w:pPr>
              <w:rPr>
                <w:rFonts w:ascii="Times New Roman" w:hAnsi="Times New Roman"/>
                <w:sz w:val="24"/>
                <w:lang w:eastAsia="en-GB"/>
              </w:rPr>
            </w:pPr>
          </w:p>
          <w:p w14:paraId="22D54A2A" w14:textId="03EF5628" w:rsidR="006E640F" w:rsidRPr="00824EA2" w:rsidRDefault="006E640F" w:rsidP="00A76974">
            <w:pPr>
              <w:rPr>
                <w:rFonts w:ascii="Times New Roman" w:hAnsi="Times New Roman"/>
                <w:sz w:val="24"/>
              </w:rPr>
            </w:pPr>
          </w:p>
        </w:tc>
        <w:tc>
          <w:tcPr>
            <w:tcW w:w="8240" w:type="dxa"/>
            <w:tcBorders>
              <w:top w:val="nil"/>
              <w:left w:val="nil"/>
              <w:bottom w:val="single" w:sz="4" w:space="0" w:color="auto"/>
              <w:right w:val="single" w:sz="4" w:space="0" w:color="auto"/>
            </w:tcBorders>
            <w:vAlign w:val="center"/>
            <w:hideMark/>
          </w:tcPr>
          <w:p w14:paraId="6B8AF723" w14:textId="43CB8025" w:rsidR="006E640F" w:rsidRPr="00824EA2" w:rsidRDefault="006E640F" w:rsidP="006E640F">
            <w:pPr>
              <w:keepNext/>
              <w:jc w:val="left"/>
              <w:rPr>
                <w:rFonts w:ascii="Times New Roman" w:hAnsi="Times New Roman"/>
                <w:b/>
                <w:bCs/>
                <w:sz w:val="24"/>
                <w:u w:val="single"/>
              </w:rPr>
            </w:pPr>
            <w:r w:rsidRPr="00824EA2">
              <w:rPr>
                <w:rFonts w:ascii="Times New Roman" w:hAnsi="Times New Roman"/>
                <w:b/>
                <w:sz w:val="24"/>
                <w:u w:val="single"/>
              </w:rPr>
              <w:t xml:space="preserve">(Обезценка или (–) </w:t>
            </w:r>
            <w:r w:rsidR="00874E58">
              <w:rPr>
                <w:rFonts w:ascii="Times New Roman" w:hAnsi="Times New Roman"/>
                <w:b/>
                <w:sz w:val="24"/>
                <w:u w:val="single"/>
              </w:rPr>
              <w:t>сторниране</w:t>
            </w:r>
            <w:r w:rsidRPr="00824EA2">
              <w:rPr>
                <w:rFonts w:ascii="Times New Roman" w:hAnsi="Times New Roman"/>
                <w:b/>
                <w:sz w:val="24"/>
                <w:u w:val="single"/>
              </w:rPr>
              <w:t xml:space="preserve"> на обезценка)</w:t>
            </w:r>
          </w:p>
          <w:p w14:paraId="4D37D74D" w14:textId="77777777" w:rsidR="006E640F" w:rsidRPr="00824EA2" w:rsidRDefault="006E640F" w:rsidP="006E640F">
            <w:pPr>
              <w:keepNext/>
              <w:autoSpaceDE w:val="0"/>
              <w:autoSpaceDN w:val="0"/>
              <w:adjustRightInd w:val="0"/>
              <w:jc w:val="left"/>
              <w:rPr>
                <w:rFonts w:ascii="Times New Roman" w:hAnsi="Times New Roman"/>
                <w:sz w:val="24"/>
              </w:rPr>
            </w:pPr>
            <w:r w:rsidRPr="00824EA2">
              <w:rPr>
                <w:rFonts w:ascii="Times New Roman" w:hAnsi="Times New Roman"/>
                <w:sz w:val="24"/>
              </w:rPr>
              <w:t>Във връзка с операционни събития институциите отчитат:</w:t>
            </w:r>
          </w:p>
          <w:p w14:paraId="724B79DD" w14:textId="78CC1E40" w:rsidR="006E640F" w:rsidRPr="00824EA2" w:rsidRDefault="006E640F" w:rsidP="006E640F">
            <w:pPr>
              <w:pStyle w:val="ListParagraph"/>
              <w:numPr>
                <w:ilvl w:val="0"/>
                <w:numId w:val="38"/>
              </w:numPr>
              <w:autoSpaceDE w:val="0"/>
              <w:autoSpaceDN w:val="0"/>
              <w:adjustRightInd w:val="0"/>
              <w:jc w:val="left"/>
              <w:rPr>
                <w:rFonts w:ascii="Times New Roman" w:hAnsi="Times New Roman"/>
                <w:sz w:val="24"/>
              </w:rPr>
            </w:pPr>
            <w:r w:rsidRPr="00824EA2">
              <w:rPr>
                <w:rFonts w:ascii="Times New Roman" w:hAnsi="Times New Roman"/>
                <w:sz w:val="24"/>
              </w:rPr>
              <w:t xml:space="preserve">обезценката или корекцията на обезценката на финансови активи и пасиви, които не са оценени по справедлива стойност в печалбата или </w:t>
            </w:r>
            <w:r w:rsidRPr="00824EA2">
              <w:rPr>
                <w:rFonts w:ascii="Times New Roman" w:hAnsi="Times New Roman"/>
                <w:sz w:val="24"/>
              </w:rPr>
              <w:lastRenderedPageBreak/>
              <w:t>загубата, в съответствие с приложение V, част 2, параграф 51 и 53 от ИТ решенията на ЕБО;</w:t>
            </w:r>
          </w:p>
          <w:p w14:paraId="0EC36168" w14:textId="3FF3C7AB" w:rsidR="006E640F" w:rsidRPr="00824EA2" w:rsidRDefault="006E640F" w:rsidP="006E640F">
            <w:pPr>
              <w:pStyle w:val="ListParagraph"/>
              <w:numPr>
                <w:ilvl w:val="0"/>
                <w:numId w:val="38"/>
              </w:numPr>
              <w:autoSpaceDE w:val="0"/>
              <w:autoSpaceDN w:val="0"/>
              <w:adjustRightInd w:val="0"/>
              <w:jc w:val="left"/>
              <w:rPr>
                <w:rFonts w:ascii="Times New Roman" w:hAnsi="Times New Roman"/>
                <w:sz w:val="24"/>
              </w:rPr>
            </w:pPr>
            <w:r w:rsidRPr="00824EA2">
              <w:rPr>
                <w:rFonts w:ascii="Times New Roman" w:hAnsi="Times New Roman"/>
                <w:sz w:val="24"/>
              </w:rPr>
              <w:t>обезценката или корекцията на обезценката на инвестиции в дъщерни, смесени и асоциирани предприятия в съответствие с МСС 28, параграфи 40—43.</w:t>
            </w:r>
          </w:p>
          <w:p w14:paraId="787C8847" w14:textId="063FB4C8" w:rsidR="006E640F" w:rsidRPr="00824EA2" w:rsidRDefault="006E640F" w:rsidP="006E640F">
            <w:pPr>
              <w:autoSpaceDE w:val="0"/>
              <w:autoSpaceDN w:val="0"/>
              <w:adjustRightInd w:val="0"/>
              <w:spacing w:before="0" w:after="0"/>
              <w:jc w:val="left"/>
              <w:rPr>
                <w:rFonts w:ascii="Times New Roman" w:hAnsi="Times New Roman"/>
                <w:sz w:val="24"/>
              </w:rPr>
            </w:pPr>
            <w:r w:rsidRPr="00824EA2">
              <w:rPr>
                <w:rFonts w:ascii="Times New Roman" w:hAnsi="Times New Roman"/>
                <w:sz w:val="24"/>
              </w:rPr>
              <w:t>Обезценката или (–) корекцията на обезценката поради загуби от кредитен риск не се отчитат в този ред, независимо от приложимата счетоводна рамка, поради факта, че тя не е свързана с операционни събития.</w:t>
            </w:r>
          </w:p>
        </w:tc>
      </w:tr>
      <w:tr w:rsidR="006E640F" w:rsidRPr="00824EA2"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63B4A6CC" w:rsidR="006E640F" w:rsidRPr="00824EA2" w:rsidRDefault="006E640F" w:rsidP="006E640F">
            <w:pPr>
              <w:spacing w:before="0" w:after="0"/>
              <w:jc w:val="center"/>
              <w:rPr>
                <w:rFonts w:ascii="Times New Roman" w:hAnsi="Times New Roman"/>
                <w:sz w:val="24"/>
              </w:rPr>
            </w:pPr>
            <w:r w:rsidRPr="00824EA2">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70FFD432" w:rsidR="006E640F" w:rsidRPr="00824EA2" w:rsidRDefault="006E640F" w:rsidP="006E640F">
            <w:pPr>
              <w:pStyle w:val="Style2"/>
            </w:pPr>
            <w:bookmarkStart w:id="60" w:name="_Hlk152863457"/>
            <w:r w:rsidRPr="00824EA2">
              <w:t>(Друг</w:t>
            </w:r>
            <w:r w:rsidR="00817B36">
              <w:t>о</w:t>
            </w:r>
            <w:bookmarkEnd w:id="60"/>
            <w:r w:rsidRPr="00824EA2">
              <w:t>)</w:t>
            </w:r>
          </w:p>
          <w:p w14:paraId="772CE03A" w14:textId="4A3FD976" w:rsidR="006E640F" w:rsidRPr="00824EA2" w:rsidRDefault="006E640F" w:rsidP="006E640F">
            <w:pPr>
              <w:spacing w:before="0"/>
              <w:jc w:val="left"/>
              <w:rPr>
                <w:rFonts w:ascii="Times New Roman" w:hAnsi="Times New Roman"/>
                <w:sz w:val="24"/>
              </w:rPr>
            </w:pPr>
            <w:r w:rsidRPr="00824EA2">
              <w:rPr>
                <w:rFonts w:ascii="Times New Roman" w:hAnsi="Times New Roman"/>
                <w:sz w:val="24"/>
              </w:rPr>
              <w:t>Институциите отчитат останалите други загуби, дължащи се на операционни събития, които не са включени по-горе.</w:t>
            </w:r>
          </w:p>
        </w:tc>
      </w:tr>
      <w:tr w:rsidR="006E640F" w:rsidRPr="00824EA2"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246FB980" w:rsidR="006E640F" w:rsidRPr="00824EA2" w:rsidRDefault="006E640F" w:rsidP="006E640F">
            <w:pPr>
              <w:jc w:val="center"/>
              <w:rPr>
                <w:rFonts w:ascii="Times New Roman" w:hAnsi="Times New Roman"/>
                <w:sz w:val="24"/>
              </w:rPr>
            </w:pPr>
            <w:r w:rsidRPr="00824EA2">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6E640F" w:rsidRPr="00824EA2" w:rsidRDefault="006E640F" w:rsidP="006E640F">
            <w:pPr>
              <w:keepNext/>
              <w:jc w:val="left"/>
              <w:rPr>
                <w:rFonts w:ascii="Times New Roman" w:hAnsi="Times New Roman"/>
                <w:b/>
                <w:bCs/>
                <w:sz w:val="24"/>
                <w:u w:val="single"/>
              </w:rPr>
            </w:pPr>
            <w:r w:rsidRPr="00824EA2">
              <w:rPr>
                <w:rFonts w:ascii="Times New Roman" w:hAnsi="Times New Roman"/>
                <w:b/>
                <w:sz w:val="24"/>
                <w:u w:val="single"/>
              </w:rPr>
              <w:t>(Общо)</w:t>
            </w:r>
          </w:p>
          <w:p w14:paraId="7430E0AB" w14:textId="77777777" w:rsidR="006E640F" w:rsidRPr="00824EA2" w:rsidRDefault="006E640F" w:rsidP="006E640F">
            <w:pPr>
              <w:spacing w:before="0"/>
              <w:jc w:val="left"/>
              <w:rPr>
                <w:rFonts w:ascii="Times New Roman" w:hAnsi="Times New Roman"/>
                <w:sz w:val="24"/>
              </w:rPr>
            </w:pPr>
            <w:r w:rsidRPr="00824EA2">
              <w:rPr>
                <w:rFonts w:ascii="Times New Roman" w:hAnsi="Times New Roman"/>
                <w:sz w:val="24"/>
              </w:rPr>
              <w:t>Това е сборът от сумите в редове 0010—0070 от настоящия образец.</w:t>
            </w:r>
          </w:p>
        </w:tc>
      </w:tr>
    </w:tbl>
    <w:p w14:paraId="46FBD577" w14:textId="77777777" w:rsidR="008F173B" w:rsidRPr="00824EA2" w:rsidRDefault="008F173B" w:rsidP="00E150E9">
      <w:pPr>
        <w:spacing w:before="0" w:after="240"/>
        <w:rPr>
          <w:rFonts w:ascii="Times New Roman" w:hAnsi="Times New Roman"/>
          <w:sz w:val="24"/>
          <w:u w:val="single"/>
          <w:lang w:eastAsia="de-DE"/>
        </w:rPr>
      </w:pPr>
    </w:p>
    <w:p w14:paraId="34C0CC98" w14:textId="4F13F3D8" w:rsidR="0006491B" w:rsidRPr="00824EA2" w:rsidRDefault="00F14249" w:rsidP="00F14249">
      <w:pPr>
        <w:keepNext/>
        <w:spacing w:before="240" w:after="240"/>
        <w:outlineLvl w:val="1"/>
        <w:rPr>
          <w:rFonts w:ascii="Times New Roman" w:eastAsia="Arial" w:hAnsi="Times New Roman"/>
          <w:b/>
          <w:sz w:val="24"/>
          <w:u w:val="single"/>
        </w:rPr>
      </w:pPr>
      <w:r w:rsidRPr="00824EA2">
        <w:rPr>
          <w:rFonts w:ascii="Times New Roman" w:hAnsi="Times New Roman"/>
          <w:b/>
          <w:sz w:val="24"/>
          <w:u w:val="single"/>
        </w:rPr>
        <w:t xml:space="preserve">C 16.04 — </w:t>
      </w:r>
      <w:r w:rsidR="00E571B8">
        <w:rPr>
          <w:rFonts w:ascii="Times New Roman" w:hAnsi="Times New Roman"/>
          <w:b/>
          <w:sz w:val="24"/>
          <w:u w:val="single"/>
        </w:rPr>
        <w:t xml:space="preserve">Операционен риск - </w:t>
      </w:r>
      <w:r w:rsidRPr="00824EA2">
        <w:rPr>
          <w:rFonts w:ascii="Times New Roman" w:hAnsi="Times New Roman"/>
          <w:b/>
          <w:sz w:val="24"/>
          <w:u w:val="single"/>
        </w:rPr>
        <w:t>Информация за дъщерните предприятия, за които се прилага член 314, параграф 3</w:t>
      </w:r>
      <w:r w:rsidR="00E571B8">
        <w:rPr>
          <w:rFonts w:ascii="Times New Roman" w:hAnsi="Times New Roman"/>
          <w:b/>
          <w:sz w:val="24"/>
          <w:u w:val="single"/>
        </w:rPr>
        <w:t xml:space="preserve"> от РКИ</w:t>
      </w:r>
    </w:p>
    <w:p w14:paraId="3BD38534" w14:textId="3D076B7C" w:rsidR="0070736D" w:rsidRPr="00824EA2" w:rsidRDefault="00350A84" w:rsidP="00816707">
      <w:pPr>
        <w:spacing w:before="240" w:after="240"/>
        <w:outlineLvl w:val="1"/>
        <w:rPr>
          <w:rFonts w:ascii="Times New Roman" w:hAnsi="Times New Roman"/>
          <w:sz w:val="24"/>
        </w:rPr>
      </w:pPr>
      <w:r w:rsidRPr="00824EA2">
        <w:rPr>
          <w:rStyle w:val="DNEx2"/>
        </w:rPr>
        <w:t xml:space="preserve">141 </w:t>
      </w:r>
      <w:r w:rsidR="006E640F" w:rsidRPr="00824EA2">
        <w:rPr>
          <w:rStyle w:val="DNEx2"/>
        </w:rPr>
        <w:t>к.</w:t>
      </w:r>
      <w:r w:rsidRPr="00824EA2">
        <w:rPr>
          <w:rStyle w:val="DNEx2"/>
        </w:rPr>
        <w:t xml:space="preserve"> </w:t>
      </w:r>
      <w:r w:rsidRPr="00824EA2">
        <w:rPr>
          <w:rFonts w:ascii="Times New Roman" w:hAnsi="Times New Roman"/>
          <w:sz w:val="24"/>
        </w:rPr>
        <w:t xml:space="preserve">В случай на консолидирано отчитане, когато институцията е обект на дерогацията, посочена в член 314, параграф 3, тя предоставя информация за </w:t>
      </w:r>
      <w:r w:rsidR="00174CCC">
        <w:rPr>
          <w:rFonts w:ascii="Times New Roman" w:hAnsi="Times New Roman"/>
          <w:b/>
          <w:sz w:val="24"/>
          <w:u w:val="single"/>
        </w:rPr>
        <w:t>КЛЛД</w:t>
      </w:r>
      <w:r w:rsidRPr="00824EA2">
        <w:rPr>
          <w:rFonts w:ascii="Times New Roman" w:hAnsi="Times New Roman"/>
          <w:sz w:val="24"/>
        </w:rPr>
        <w:t xml:space="preserve"> и подкомпонентите му за онези дъщерни институции, за които се изчислява отделен компонент </w:t>
      </w:r>
      <w:r w:rsidR="00174CCC">
        <w:rPr>
          <w:rFonts w:ascii="Times New Roman" w:hAnsi="Times New Roman"/>
          <w:b/>
          <w:sz w:val="24"/>
          <w:u w:val="single"/>
        </w:rPr>
        <w:t>КЛЛД</w:t>
      </w:r>
      <w:r w:rsidRPr="00824EA2">
        <w:rPr>
          <w:rFonts w:ascii="Times New Roman" w:hAnsi="Times New Roman"/>
          <w:sz w:val="24"/>
        </w:rPr>
        <w:t>. За всяка дъщерна институция се дава отделен ред. Вътрешнофирмените салда между дъщерните предприятия, които са обект на дерогацията, посочена в член 314, параграф 3, и останалата част от групата, се премахват.</w:t>
      </w:r>
    </w:p>
    <w:p w14:paraId="6A4F0063" w14:textId="77394F39" w:rsidR="006127C5" w:rsidRPr="00824EA2" w:rsidRDefault="006B4564" w:rsidP="00816707">
      <w:pPr>
        <w:keepNext/>
        <w:spacing w:before="0" w:after="240"/>
        <w:rPr>
          <w:rFonts w:ascii="Times New Roman" w:hAnsi="Times New Roman"/>
          <w:sz w:val="24"/>
          <w:u w:val="single"/>
        </w:rPr>
      </w:pPr>
      <w:r w:rsidRPr="00824EA2">
        <w:rPr>
          <w:rFonts w:ascii="Times New Roman" w:hAnsi="Times New Roman"/>
          <w:sz w:val="24"/>
          <w:u w:val="single"/>
        </w:rPr>
        <w:t>Указания за конкретни позиции:</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824EA2" w14:paraId="7B074C2D" w14:textId="77777777" w:rsidTr="29F3C040">
        <w:trPr>
          <w:trHeight w:val="300"/>
        </w:trPr>
        <w:tc>
          <w:tcPr>
            <w:tcW w:w="9015" w:type="dxa"/>
            <w:gridSpan w:val="2"/>
            <w:shd w:val="clear" w:color="auto" w:fill="BFBFBF" w:themeFill="background1" w:themeFillShade="BF"/>
          </w:tcPr>
          <w:p w14:paraId="798B9606" w14:textId="77777777" w:rsidR="006B3866" w:rsidRPr="00824EA2" w:rsidRDefault="006B3866" w:rsidP="00816707">
            <w:pPr>
              <w:keepNext/>
              <w:spacing w:after="0"/>
              <w:rPr>
                <w:rFonts w:ascii="Times New Roman" w:hAnsi="Times New Roman"/>
                <w:b/>
                <w:bCs/>
                <w:sz w:val="24"/>
              </w:rPr>
            </w:pPr>
            <w:r w:rsidRPr="00824EA2">
              <w:rPr>
                <w:rFonts w:ascii="Times New Roman" w:hAnsi="Times New Roman"/>
                <w:b/>
                <w:sz w:val="24"/>
              </w:rPr>
              <w:t>Колони</w:t>
            </w:r>
          </w:p>
        </w:tc>
      </w:tr>
      <w:tr w:rsidR="0074192A" w:rsidRPr="00824EA2" w14:paraId="09575E6A" w14:textId="77777777" w:rsidTr="29F3C040">
        <w:trPr>
          <w:trHeight w:val="300"/>
        </w:trPr>
        <w:tc>
          <w:tcPr>
            <w:tcW w:w="1005" w:type="dxa"/>
            <w:shd w:val="clear" w:color="auto" w:fill="BFBFBF" w:themeFill="background1" w:themeFillShade="BF"/>
          </w:tcPr>
          <w:p w14:paraId="62025F0B" w14:textId="537C7852" w:rsidR="0074192A" w:rsidRPr="00824EA2" w:rsidRDefault="0074192A" w:rsidP="0074192A">
            <w:pPr>
              <w:keepNext/>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0010</w:t>
            </w:r>
          </w:p>
        </w:tc>
        <w:tc>
          <w:tcPr>
            <w:tcW w:w="8010" w:type="dxa"/>
          </w:tcPr>
          <w:p w14:paraId="10051D37" w14:textId="77777777" w:rsidR="0074192A" w:rsidRPr="00824EA2" w:rsidRDefault="0074192A" w:rsidP="0074192A">
            <w:pPr>
              <w:keepNext/>
              <w:autoSpaceDE w:val="0"/>
              <w:autoSpaceDN w:val="0"/>
              <w:adjustRightInd w:val="0"/>
              <w:spacing w:before="0" w:after="240"/>
              <w:jc w:val="left"/>
              <w:rPr>
                <w:rFonts w:ascii="Times New Roman" w:hAnsi="Times New Roman"/>
                <w:b/>
                <w:bCs/>
                <w:sz w:val="24"/>
                <w:u w:val="single"/>
              </w:rPr>
            </w:pPr>
            <w:r w:rsidRPr="00824EA2">
              <w:rPr>
                <w:rFonts w:ascii="Times New Roman" w:hAnsi="Times New Roman"/>
                <w:b/>
                <w:sz w:val="24"/>
                <w:u w:val="single"/>
              </w:rPr>
              <w:t>Наименование на правен субект</w:t>
            </w:r>
          </w:p>
          <w:p w14:paraId="2F3E6FE5" w14:textId="77777777" w:rsidR="0074192A" w:rsidRPr="00824EA2" w:rsidRDefault="0074192A" w:rsidP="0074192A">
            <w:pPr>
              <w:spacing w:before="0" w:after="240"/>
              <w:jc w:val="left"/>
              <w:rPr>
                <w:rFonts w:ascii="Times New Roman" w:hAnsi="Times New Roman"/>
                <w:sz w:val="24"/>
              </w:rPr>
            </w:pPr>
            <w:r w:rsidRPr="00824EA2">
              <w:rPr>
                <w:rFonts w:ascii="Times New Roman" w:hAnsi="Times New Roman"/>
                <w:sz w:val="24"/>
              </w:rPr>
              <w:t>Наименованието на всеки правен субект</w:t>
            </w:r>
          </w:p>
        </w:tc>
      </w:tr>
      <w:tr w:rsidR="0074192A" w:rsidRPr="00824EA2" w14:paraId="0C574563" w14:textId="77777777" w:rsidTr="29F3C040">
        <w:trPr>
          <w:trHeight w:val="300"/>
        </w:trPr>
        <w:tc>
          <w:tcPr>
            <w:tcW w:w="1005" w:type="dxa"/>
            <w:shd w:val="clear" w:color="auto" w:fill="BFBFBF" w:themeFill="background1" w:themeFillShade="BF"/>
          </w:tcPr>
          <w:p w14:paraId="77CDC127" w14:textId="6920D434"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0020</w:t>
            </w:r>
          </w:p>
        </w:tc>
        <w:tc>
          <w:tcPr>
            <w:tcW w:w="8010" w:type="dxa"/>
          </w:tcPr>
          <w:p w14:paraId="2B77DB4C" w14:textId="60B34784" w:rsidR="0074192A" w:rsidRPr="00824EA2" w:rsidRDefault="0074192A" w:rsidP="0074192A">
            <w:pPr>
              <w:keepNext/>
              <w:autoSpaceDE w:val="0"/>
              <w:autoSpaceDN w:val="0"/>
              <w:adjustRightInd w:val="0"/>
              <w:spacing w:before="0" w:after="240"/>
              <w:jc w:val="left"/>
              <w:rPr>
                <w:rFonts w:ascii="Times New Roman" w:hAnsi="Times New Roman"/>
                <w:b/>
                <w:bCs/>
                <w:sz w:val="24"/>
                <w:u w:val="single"/>
              </w:rPr>
            </w:pPr>
            <w:r w:rsidRPr="00824EA2">
              <w:rPr>
                <w:rFonts w:ascii="Times New Roman" w:hAnsi="Times New Roman"/>
                <w:b/>
                <w:sz w:val="24"/>
                <w:u w:val="single"/>
              </w:rPr>
              <w:t>ИКПС</w:t>
            </w:r>
          </w:p>
          <w:p w14:paraId="3024BC44" w14:textId="46C93A37" w:rsidR="0074192A" w:rsidRPr="00824EA2" w:rsidRDefault="0074192A" w:rsidP="0074192A">
            <w:pPr>
              <w:spacing w:before="0" w:after="240"/>
              <w:jc w:val="left"/>
              <w:rPr>
                <w:rFonts w:ascii="Times New Roman" w:eastAsia="Arial" w:hAnsi="Times New Roman"/>
                <w:sz w:val="24"/>
                <w:szCs w:val="20"/>
              </w:rPr>
            </w:pPr>
            <w:r w:rsidRPr="00824EA2">
              <w:rPr>
                <w:rFonts w:ascii="Times New Roman" w:hAnsi="Times New Roman"/>
                <w:sz w:val="24"/>
              </w:rPr>
              <w:t xml:space="preserve">Идентификационният код на правния субект </w:t>
            </w:r>
          </w:p>
        </w:tc>
      </w:tr>
      <w:tr w:rsidR="0074192A" w:rsidRPr="00824EA2" w14:paraId="08733BAF" w14:textId="77777777" w:rsidTr="29F3C040">
        <w:trPr>
          <w:trHeight w:val="300"/>
        </w:trPr>
        <w:tc>
          <w:tcPr>
            <w:tcW w:w="1005" w:type="dxa"/>
            <w:shd w:val="clear" w:color="auto" w:fill="BFBFBF" w:themeFill="background1" w:themeFillShade="BF"/>
          </w:tcPr>
          <w:p w14:paraId="0B0DA1CA" w14:textId="2B79B6BE"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0030</w:t>
            </w:r>
          </w:p>
        </w:tc>
        <w:tc>
          <w:tcPr>
            <w:tcW w:w="8010" w:type="dxa"/>
          </w:tcPr>
          <w:p w14:paraId="2504660D" w14:textId="58CB7A21" w:rsidR="0074192A" w:rsidRPr="00874E58" w:rsidRDefault="00874E58" w:rsidP="0074192A">
            <w:pPr>
              <w:keepNext/>
              <w:spacing w:before="0" w:after="240"/>
              <w:jc w:val="left"/>
              <w:rPr>
                <w:rFonts w:ascii="Times New Roman" w:hAnsi="Times New Roman"/>
                <w:b/>
                <w:bCs/>
                <w:sz w:val="24"/>
                <w:u w:val="single"/>
              </w:rPr>
            </w:pPr>
            <w:r>
              <w:rPr>
                <w:rFonts w:ascii="Times New Roman" w:hAnsi="Times New Roman"/>
                <w:b/>
                <w:sz w:val="24"/>
                <w:u w:val="single"/>
              </w:rPr>
              <w:t>КЛЛД</w:t>
            </w:r>
          </w:p>
          <w:p w14:paraId="34CBC5E2" w14:textId="11192267" w:rsidR="0074192A" w:rsidRPr="00824EA2" w:rsidRDefault="0074192A" w:rsidP="0074192A">
            <w:pPr>
              <w:spacing w:before="0" w:after="240"/>
              <w:jc w:val="left"/>
              <w:rPr>
                <w:rFonts w:ascii="Times New Roman" w:hAnsi="Times New Roman"/>
                <w:color w:val="000000" w:themeColor="text1"/>
                <w:sz w:val="24"/>
              </w:rPr>
            </w:pPr>
            <w:r w:rsidRPr="00824EA2">
              <w:rPr>
                <w:rFonts w:ascii="Times New Roman" w:hAnsi="Times New Roman"/>
                <w:sz w:val="24"/>
              </w:rPr>
              <w:t>Компонентът на лихвите, лизинга и дивидентите (</w:t>
            </w:r>
            <w:r w:rsidR="00174CCC">
              <w:rPr>
                <w:rFonts w:ascii="Times New Roman" w:hAnsi="Times New Roman"/>
                <w:b/>
                <w:sz w:val="24"/>
                <w:u w:val="single"/>
              </w:rPr>
              <w:t>КЛЛД</w:t>
            </w:r>
            <w:r w:rsidRPr="00824EA2">
              <w:rPr>
                <w:rFonts w:ascii="Times New Roman" w:hAnsi="Times New Roman"/>
                <w:sz w:val="24"/>
              </w:rPr>
              <w:t>) се изчислява в съответствие с член 314, параграф 2 от Регламент (ЕС) № 575/2013.</w:t>
            </w:r>
          </w:p>
        </w:tc>
      </w:tr>
      <w:tr w:rsidR="0074192A" w:rsidRPr="00824EA2" w14:paraId="0236EA38" w14:textId="77777777" w:rsidTr="29F3C040">
        <w:trPr>
          <w:trHeight w:val="300"/>
        </w:trPr>
        <w:tc>
          <w:tcPr>
            <w:tcW w:w="1005" w:type="dxa"/>
            <w:shd w:val="clear" w:color="auto" w:fill="BFBFBF" w:themeFill="background1" w:themeFillShade="BF"/>
          </w:tcPr>
          <w:p w14:paraId="47C54E1D" w14:textId="7764676B"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0040</w:t>
            </w:r>
          </w:p>
        </w:tc>
        <w:tc>
          <w:tcPr>
            <w:tcW w:w="8010" w:type="dxa"/>
          </w:tcPr>
          <w:p w14:paraId="77528872" w14:textId="0C4977CD" w:rsidR="0074192A" w:rsidRPr="00824EA2" w:rsidRDefault="00874E58" w:rsidP="0074192A">
            <w:pPr>
              <w:keepNext/>
              <w:spacing w:before="0" w:after="240"/>
              <w:jc w:val="left"/>
              <w:rPr>
                <w:rFonts w:ascii="Times New Roman" w:hAnsi="Times New Roman"/>
                <w:b/>
                <w:bCs/>
                <w:sz w:val="24"/>
                <w:u w:val="single"/>
              </w:rPr>
            </w:pPr>
            <w:r>
              <w:rPr>
                <w:rFonts w:ascii="Times New Roman" w:hAnsi="Times New Roman"/>
                <w:b/>
                <w:sz w:val="24"/>
                <w:u w:val="single"/>
              </w:rPr>
              <w:t>КЛ</w:t>
            </w:r>
          </w:p>
          <w:p w14:paraId="34497C6B" w14:textId="77777777" w:rsidR="0074192A" w:rsidRPr="00824EA2" w:rsidRDefault="0074192A" w:rsidP="0074192A">
            <w:pPr>
              <w:spacing w:before="0" w:after="240"/>
              <w:jc w:val="left"/>
              <w:rPr>
                <w:rFonts w:ascii="Times New Roman" w:hAnsi="Times New Roman"/>
                <w:b/>
                <w:bCs/>
                <w:sz w:val="24"/>
                <w:u w:val="single"/>
              </w:rPr>
            </w:pPr>
            <w:r w:rsidRPr="00824EA2">
              <w:rPr>
                <w:rFonts w:ascii="Times New Roman" w:hAnsi="Times New Roman"/>
                <w:sz w:val="24"/>
              </w:rPr>
              <w:t>Компонентът на лихвите (IC) се изчислява в съответствие с член 314, параграф 2 от Регламент (ЕС) № 575/2013.</w:t>
            </w:r>
          </w:p>
        </w:tc>
      </w:tr>
      <w:tr w:rsidR="0074192A" w:rsidRPr="00824EA2" w14:paraId="40B86984" w14:textId="77777777" w:rsidTr="29F3C040">
        <w:trPr>
          <w:trHeight w:val="300"/>
        </w:trPr>
        <w:tc>
          <w:tcPr>
            <w:tcW w:w="1005" w:type="dxa"/>
            <w:shd w:val="clear" w:color="auto" w:fill="BFBFBF" w:themeFill="background1" w:themeFillShade="BF"/>
          </w:tcPr>
          <w:p w14:paraId="0FC4158D" w14:textId="61E07040"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lastRenderedPageBreak/>
              <w:t>0050</w:t>
            </w:r>
          </w:p>
        </w:tc>
        <w:tc>
          <w:tcPr>
            <w:tcW w:w="8010" w:type="dxa"/>
          </w:tcPr>
          <w:p w14:paraId="707B8655" w14:textId="7985B7A7" w:rsidR="0074192A" w:rsidRPr="00824EA2" w:rsidRDefault="00874E58" w:rsidP="0074192A">
            <w:pPr>
              <w:keepNext/>
              <w:autoSpaceDE w:val="0"/>
              <w:autoSpaceDN w:val="0"/>
              <w:adjustRightInd w:val="0"/>
              <w:spacing w:before="0" w:after="240"/>
              <w:jc w:val="left"/>
              <w:rPr>
                <w:rFonts w:ascii="Times New Roman" w:hAnsi="Times New Roman"/>
                <w:b/>
                <w:bCs/>
                <w:sz w:val="24"/>
                <w:u w:val="single"/>
              </w:rPr>
            </w:pPr>
            <w:r>
              <w:rPr>
                <w:rFonts w:ascii="Times New Roman" w:hAnsi="Times New Roman"/>
                <w:b/>
                <w:sz w:val="24"/>
                <w:u w:val="single"/>
              </w:rPr>
              <w:t>КА</w:t>
            </w:r>
          </w:p>
          <w:p w14:paraId="4DDD5FFE" w14:textId="77777777" w:rsidR="0074192A" w:rsidRPr="00824EA2" w:rsidRDefault="0074192A" w:rsidP="0074192A">
            <w:pPr>
              <w:spacing w:before="0" w:after="240"/>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активите (AC) се изчислява в съответствие с член 314, параграф 2 от Регламент (ЕС) № 575/2013.</w:t>
            </w:r>
          </w:p>
        </w:tc>
      </w:tr>
      <w:tr w:rsidR="0074192A" w:rsidRPr="00824EA2" w14:paraId="56C68C88" w14:textId="77777777" w:rsidTr="29F3C040">
        <w:trPr>
          <w:trHeight w:val="300"/>
        </w:trPr>
        <w:tc>
          <w:tcPr>
            <w:tcW w:w="1005" w:type="dxa"/>
            <w:shd w:val="clear" w:color="auto" w:fill="BFBFBF" w:themeFill="background1" w:themeFillShade="BF"/>
          </w:tcPr>
          <w:p w14:paraId="7DB4C969" w14:textId="7A3F352B" w:rsidR="0074192A" w:rsidRPr="00824EA2" w:rsidRDefault="0074192A" w:rsidP="0074192A">
            <w:pPr>
              <w:spacing w:before="0" w:after="240"/>
              <w:jc w:val="left"/>
              <w:rPr>
                <w:rFonts w:ascii="Times New Roman" w:hAnsi="Times New Roman"/>
                <w:sz w:val="24"/>
                <w:highlight w:val="darkGray"/>
              </w:rPr>
            </w:pPr>
            <w:r w:rsidRPr="00824EA2">
              <w:rPr>
                <w:rFonts w:ascii="Times New Roman" w:hAnsi="Times New Roman"/>
                <w:sz w:val="24"/>
                <w:highlight w:val="darkGray"/>
                <w:lang w:val="en-GB" w:eastAsia="es-ES_tradnl"/>
              </w:rPr>
              <w:t>0060</w:t>
            </w:r>
          </w:p>
        </w:tc>
        <w:tc>
          <w:tcPr>
            <w:tcW w:w="8010" w:type="dxa"/>
          </w:tcPr>
          <w:p w14:paraId="1B9FC6E5" w14:textId="19E38D1D" w:rsidR="0074192A" w:rsidRPr="00824EA2" w:rsidRDefault="00874E58" w:rsidP="0074192A">
            <w:pPr>
              <w:keepNext/>
              <w:autoSpaceDE w:val="0"/>
              <w:autoSpaceDN w:val="0"/>
              <w:adjustRightInd w:val="0"/>
              <w:spacing w:before="0" w:after="240"/>
              <w:jc w:val="left"/>
              <w:rPr>
                <w:rFonts w:ascii="Times New Roman" w:hAnsi="Times New Roman"/>
                <w:b/>
                <w:bCs/>
                <w:sz w:val="24"/>
                <w:u w:val="single"/>
              </w:rPr>
            </w:pPr>
            <w:r>
              <w:rPr>
                <w:rFonts w:ascii="Times New Roman" w:hAnsi="Times New Roman"/>
                <w:b/>
                <w:sz w:val="24"/>
                <w:u w:val="single"/>
              </w:rPr>
              <w:t>КД</w:t>
            </w:r>
          </w:p>
          <w:p w14:paraId="5B9DFB82" w14:textId="77777777" w:rsidR="0074192A" w:rsidRPr="00824EA2" w:rsidRDefault="0074192A" w:rsidP="0074192A">
            <w:pPr>
              <w:autoSpaceDE w:val="0"/>
              <w:autoSpaceDN w:val="0"/>
              <w:adjustRightInd w:val="0"/>
              <w:spacing w:before="0" w:after="240"/>
              <w:jc w:val="left"/>
              <w:rPr>
                <w:rFonts w:ascii="Times New Roman" w:hAnsi="Times New Roman"/>
                <w:color w:val="000000" w:themeColor="text1"/>
                <w:sz w:val="24"/>
              </w:rPr>
            </w:pPr>
            <w:r w:rsidRPr="00824EA2">
              <w:rPr>
                <w:rFonts w:ascii="Times New Roman" w:hAnsi="Times New Roman"/>
                <w:color w:val="000000" w:themeColor="text1"/>
                <w:sz w:val="24"/>
              </w:rPr>
              <w:t>Компонентът на дивидентите (DC) се изчислява в съответствие с член 314, параграф 2 от Регламент (ЕС) № 575/2013.</w:t>
            </w:r>
          </w:p>
        </w:tc>
      </w:tr>
    </w:tbl>
    <w:p w14:paraId="21F9BF35" w14:textId="58517957" w:rsidR="007E561D" w:rsidRPr="00824EA2" w:rsidRDefault="00FD54FC" w:rsidP="005D3C49">
      <w:pPr>
        <w:pStyle w:val="Instructionsberschrift2"/>
        <w:numPr>
          <w:ilvl w:val="1"/>
          <w:numId w:val="41"/>
        </w:numPr>
        <w:ind w:left="567" w:hanging="567"/>
        <w:rPr>
          <w:rFonts w:ascii="Times New Roman" w:hAnsi="Times New Roman" w:cs="Times New Roman"/>
          <w:sz w:val="24"/>
        </w:rPr>
      </w:pPr>
      <w:r w:rsidRPr="00824EA2">
        <w:rPr>
          <w:rFonts w:ascii="Times New Roman" w:hAnsi="Times New Roman"/>
          <w:sz w:val="24"/>
        </w:rPr>
        <w:t>Операционен риск: Подробна информация за загубите през последната година (OPR DETAILS)</w:t>
      </w:r>
      <w:bookmarkEnd w:id="56"/>
      <w:bookmarkEnd w:id="57"/>
    </w:p>
    <w:p w14:paraId="430B891B" w14:textId="4472DD48" w:rsidR="00FD54FC" w:rsidRPr="00824EA2"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824EA2">
        <w:rPr>
          <w:rFonts w:ascii="Times New Roman" w:hAnsi="Times New Roman"/>
          <w:sz w:val="24"/>
        </w:rPr>
        <w:t>Общи бележки</w:t>
      </w:r>
      <w:bookmarkEnd w:id="61"/>
      <w:bookmarkEnd w:id="62"/>
    </w:p>
    <w:p w14:paraId="4AD0CC5E" w14:textId="39750429" w:rsidR="002871CE" w:rsidRPr="00824EA2" w:rsidRDefault="005C14B0" w:rsidP="00A768EA">
      <w:pPr>
        <w:pStyle w:val="InstructionsText2"/>
        <w:numPr>
          <w:ilvl w:val="0"/>
          <w:numId w:val="29"/>
        </w:numPr>
      </w:pPr>
      <w:bookmarkStart w:id="63" w:name="_Hlk152855791"/>
      <w:r w:rsidRPr="00824EA2">
        <w:t xml:space="preserve"> Образец C 17.01 (OPR DETAILS 1) обобщава информацията за брутните загуби и възстановяванията на загуби, понесени от дадена институция през последната година по видове събития и групи дейности, съгласно определенията в таблица 1 и таблица 2 в настоящия раздел. Образец C 17.02 (OPR DETAILS 2) предоставя подробна информация за събитията, довели до най-големи загуби, през последната година. Записват се само събитията, довели до загуба.</w:t>
      </w:r>
    </w:p>
    <w:p w14:paraId="2FD685B4" w14:textId="1BAFDABD" w:rsidR="00C30107" w:rsidRPr="00824EA2" w:rsidRDefault="00C30107" w:rsidP="00816707">
      <w:pPr>
        <w:pStyle w:val="InstructionsText2"/>
        <w:keepNext/>
        <w:numPr>
          <w:ilvl w:val="0"/>
          <w:numId w:val="0"/>
        </w:numPr>
      </w:pPr>
      <w:r w:rsidRPr="00824EA2">
        <w:t>Таблица 1: Видове събития за операционните събития</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824EA2"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824EA2" w:rsidRDefault="00C30107" w:rsidP="00816707">
            <w:pPr>
              <w:keepNext/>
              <w:spacing w:before="60" w:after="60"/>
              <w:rPr>
                <w:rFonts w:ascii="Times New Roman" w:hAnsi="Times New Roman"/>
                <w:b/>
                <w:bCs/>
                <w:sz w:val="24"/>
              </w:rPr>
            </w:pPr>
            <w:r w:rsidRPr="00824EA2">
              <w:rPr>
                <w:rFonts w:ascii="Times New Roman" w:hAnsi="Times New Roman"/>
                <w:b/>
                <w:sz w:val="24"/>
              </w:rPr>
              <w:t>Вид събитие</w:t>
            </w:r>
          </w:p>
        </w:tc>
        <w:tc>
          <w:tcPr>
            <w:tcW w:w="6450" w:type="dxa"/>
            <w:tcMar>
              <w:top w:w="30" w:type="dxa"/>
              <w:left w:w="30" w:type="dxa"/>
              <w:bottom w:w="30" w:type="dxa"/>
              <w:right w:w="30" w:type="dxa"/>
            </w:tcMar>
          </w:tcPr>
          <w:p w14:paraId="2E0EB72D" w14:textId="77777777" w:rsidR="00C30107" w:rsidRPr="00824EA2" w:rsidRDefault="00C30107" w:rsidP="00816707">
            <w:pPr>
              <w:keepNext/>
              <w:spacing w:before="60" w:after="60"/>
              <w:rPr>
                <w:rFonts w:ascii="Times New Roman" w:hAnsi="Times New Roman"/>
                <w:b/>
                <w:bCs/>
                <w:sz w:val="24"/>
              </w:rPr>
            </w:pPr>
            <w:r w:rsidRPr="00824EA2">
              <w:rPr>
                <w:rFonts w:ascii="Times New Roman" w:hAnsi="Times New Roman"/>
                <w:b/>
                <w:sz w:val="24"/>
              </w:rPr>
              <w:t>Определение</w:t>
            </w:r>
          </w:p>
        </w:tc>
      </w:tr>
      <w:tr w:rsidR="00C30107" w:rsidRPr="00824EA2"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824EA2" w:rsidRDefault="00C30107" w:rsidP="00816707">
            <w:pPr>
              <w:keepNext/>
              <w:spacing w:before="60" w:after="60"/>
              <w:rPr>
                <w:rFonts w:ascii="Times New Roman" w:hAnsi="Times New Roman"/>
                <w:sz w:val="24"/>
              </w:rPr>
            </w:pPr>
            <w:r w:rsidRPr="00824EA2">
              <w:rPr>
                <w:rFonts w:ascii="Times New Roman" w:hAnsi="Times New Roman"/>
                <w:sz w:val="24"/>
              </w:rPr>
              <w:t>Вътрешни измами</w:t>
            </w:r>
          </w:p>
        </w:tc>
        <w:tc>
          <w:tcPr>
            <w:tcW w:w="6450" w:type="dxa"/>
            <w:tcMar>
              <w:top w:w="30" w:type="dxa"/>
              <w:left w:w="30" w:type="dxa"/>
              <w:bottom w:w="30" w:type="dxa"/>
              <w:right w:w="30" w:type="dxa"/>
            </w:tcMar>
          </w:tcPr>
          <w:p w14:paraId="1E631938" w14:textId="77777777" w:rsidR="00C30107" w:rsidRPr="00824EA2" w:rsidRDefault="00C30107" w:rsidP="00816707">
            <w:pPr>
              <w:keepNext/>
              <w:spacing w:before="60" w:after="60"/>
              <w:rPr>
                <w:rFonts w:ascii="Times New Roman" w:hAnsi="Times New Roman"/>
                <w:sz w:val="24"/>
              </w:rPr>
            </w:pPr>
            <w:r w:rsidRPr="00824EA2">
              <w:rPr>
                <w:rFonts w:ascii="Times New Roman" w:hAnsi="Times New Roman"/>
                <w:sz w:val="24"/>
              </w:rPr>
              <w:t>Загуби, дължащи се на умишлени действия с цел измама, присвояване на собственост или заобикаляне на подзаконовите и законовите разпоредби или политиката на дружеството, с изключение на събития, свързани с многообразие/дискриминация, и които включват поне едно вътрешно лице</w:t>
            </w:r>
          </w:p>
        </w:tc>
      </w:tr>
      <w:tr w:rsidR="00C30107" w:rsidRPr="00824EA2"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Външни измами</w:t>
            </w:r>
          </w:p>
        </w:tc>
        <w:tc>
          <w:tcPr>
            <w:tcW w:w="6450" w:type="dxa"/>
            <w:tcMar>
              <w:top w:w="30" w:type="dxa"/>
              <w:left w:w="30" w:type="dxa"/>
              <w:bottom w:w="30" w:type="dxa"/>
              <w:right w:w="30" w:type="dxa"/>
            </w:tcMar>
          </w:tcPr>
          <w:p w14:paraId="2E0CACFE" w14:textId="77777777" w:rsidR="00C30107" w:rsidRPr="00824EA2" w:rsidRDefault="00C30107" w:rsidP="29F3C040">
            <w:pPr>
              <w:spacing w:before="60" w:after="60"/>
              <w:rPr>
                <w:rFonts w:ascii="Times New Roman" w:hAnsi="Times New Roman"/>
                <w:sz w:val="24"/>
              </w:rPr>
            </w:pPr>
            <w:r w:rsidRPr="00824EA2">
              <w:rPr>
                <w:rFonts w:ascii="Times New Roman" w:hAnsi="Times New Roman"/>
                <w:sz w:val="24"/>
              </w:rPr>
              <w:t>Загуби, дължащи се на умишлени действия с цел измама, присвояване на собственост или заобикаляне на законовите разпоредби от трети лица</w:t>
            </w:r>
          </w:p>
        </w:tc>
      </w:tr>
      <w:tr w:rsidR="00C30107" w:rsidRPr="00824EA2"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Практики в областта на заетостта и безопасност на работното място</w:t>
            </w:r>
          </w:p>
        </w:tc>
        <w:tc>
          <w:tcPr>
            <w:tcW w:w="6450" w:type="dxa"/>
            <w:tcMar>
              <w:top w:w="30" w:type="dxa"/>
              <w:left w:w="30" w:type="dxa"/>
              <w:bottom w:w="30" w:type="dxa"/>
              <w:right w:w="30" w:type="dxa"/>
            </w:tcMar>
          </w:tcPr>
          <w:p w14:paraId="63E67FC3"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действия, които са в противоречие със законовите разпоредби или споразуменията в областта на заетостта, здравето или безопасността, от плащания по претенции за обезщетения при злополуки или от събития, свързани с многообразие/дискриминация</w:t>
            </w:r>
          </w:p>
        </w:tc>
      </w:tr>
      <w:tr w:rsidR="00C30107" w:rsidRPr="00824EA2"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Клиенти, продуктови и търговски практики</w:t>
            </w:r>
          </w:p>
        </w:tc>
        <w:tc>
          <w:tcPr>
            <w:tcW w:w="6450" w:type="dxa"/>
            <w:tcMar>
              <w:top w:w="30" w:type="dxa"/>
              <w:left w:w="30" w:type="dxa"/>
              <w:bottom w:w="30" w:type="dxa"/>
              <w:right w:w="30" w:type="dxa"/>
            </w:tcMar>
          </w:tcPr>
          <w:p w14:paraId="232F6D15"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дължащи се на неспазване на професионалните задължения към определени клиенти — непредумишлено или поради небрежност (включително изисквания за доверителност и правилен подбор) или от естеството или характеристиките на продукта.</w:t>
            </w:r>
          </w:p>
        </w:tc>
      </w:tr>
      <w:tr w:rsidR="00C30107" w:rsidRPr="00824EA2"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824EA2" w:rsidRDefault="00C30107">
            <w:pPr>
              <w:spacing w:before="60" w:after="60"/>
              <w:rPr>
                <w:rFonts w:ascii="Times New Roman" w:hAnsi="Times New Roman"/>
                <w:sz w:val="24"/>
              </w:rPr>
            </w:pPr>
            <w:r w:rsidRPr="00824EA2">
              <w:rPr>
                <w:rFonts w:ascii="Times New Roman" w:hAnsi="Times New Roman"/>
                <w:sz w:val="24"/>
              </w:rPr>
              <w:lastRenderedPageBreak/>
              <w:t>Повреди на физически активи</w:t>
            </w:r>
          </w:p>
        </w:tc>
        <w:tc>
          <w:tcPr>
            <w:tcW w:w="6450" w:type="dxa"/>
            <w:tcMar>
              <w:top w:w="30" w:type="dxa"/>
              <w:left w:w="30" w:type="dxa"/>
              <w:bottom w:w="30" w:type="dxa"/>
              <w:right w:w="30" w:type="dxa"/>
            </w:tcMar>
          </w:tcPr>
          <w:p w14:paraId="6071BCEC"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унищожаване или нанасяне на щети на физически активи от природни бедствия или други събития</w:t>
            </w:r>
          </w:p>
        </w:tc>
      </w:tr>
      <w:tr w:rsidR="00C30107" w:rsidRPr="00824EA2"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Прекъсване на дейността и срив на системите</w:t>
            </w:r>
          </w:p>
        </w:tc>
        <w:tc>
          <w:tcPr>
            <w:tcW w:w="6450" w:type="dxa"/>
            <w:tcMar>
              <w:top w:w="30" w:type="dxa"/>
              <w:left w:w="30" w:type="dxa"/>
              <w:bottom w:w="30" w:type="dxa"/>
              <w:right w:w="30" w:type="dxa"/>
            </w:tcMar>
          </w:tcPr>
          <w:p w14:paraId="0552CE7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прекъсване на дейността или срив на системите</w:t>
            </w:r>
          </w:p>
        </w:tc>
      </w:tr>
      <w:tr w:rsidR="00C30107" w:rsidRPr="00824EA2"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Изпълнение, доставка и управление на процеси</w:t>
            </w:r>
          </w:p>
        </w:tc>
        <w:tc>
          <w:tcPr>
            <w:tcW w:w="6450" w:type="dxa"/>
            <w:tcMar>
              <w:top w:w="30" w:type="dxa"/>
              <w:left w:w="30" w:type="dxa"/>
              <w:bottom w:w="30" w:type="dxa"/>
              <w:right w:w="30" w:type="dxa"/>
            </w:tcMar>
          </w:tcPr>
          <w:p w14:paraId="23B151D9" w14:textId="77777777" w:rsidR="00C30107" w:rsidRPr="00824EA2" w:rsidRDefault="00C30107">
            <w:pPr>
              <w:spacing w:before="60" w:after="60"/>
              <w:rPr>
                <w:rFonts w:ascii="Times New Roman" w:hAnsi="Times New Roman"/>
                <w:sz w:val="24"/>
              </w:rPr>
            </w:pPr>
            <w:r w:rsidRPr="00824EA2">
              <w:rPr>
                <w:rFonts w:ascii="Times New Roman" w:hAnsi="Times New Roman"/>
                <w:sz w:val="24"/>
              </w:rPr>
              <w:t>Загуби, възникващи от неуспешна обработка на сделки или лошо управление на процеси и от отношения с търговски партньори и доставчици</w:t>
            </w:r>
          </w:p>
        </w:tc>
      </w:tr>
    </w:tbl>
    <w:p w14:paraId="18C5F03D" w14:textId="77777777" w:rsidR="00C30107" w:rsidRPr="00824EA2" w:rsidRDefault="00C30107" w:rsidP="00E434A1">
      <w:pPr>
        <w:pStyle w:val="InstructionsText2"/>
        <w:numPr>
          <w:ilvl w:val="0"/>
          <w:numId w:val="0"/>
        </w:numPr>
      </w:pPr>
    </w:p>
    <w:p w14:paraId="38E4F126" w14:textId="44674C97" w:rsidR="00C30107" w:rsidRPr="00824EA2" w:rsidRDefault="00C30107" w:rsidP="00816707">
      <w:pPr>
        <w:pStyle w:val="InstructionsText2"/>
        <w:keepNext/>
        <w:numPr>
          <w:ilvl w:val="0"/>
          <w:numId w:val="0"/>
        </w:numPr>
      </w:pPr>
      <w:r w:rsidRPr="00824EA2">
        <w:t>Таблица 2: Групи дейности</w:t>
      </w:r>
    </w:p>
    <w:tbl>
      <w:tblPr>
        <w:tblW w:w="9136" w:type="dxa"/>
        <w:tblLayout w:type="fixed"/>
        <w:tblLook w:val="04A0" w:firstRow="1" w:lastRow="0" w:firstColumn="1" w:lastColumn="0" w:noHBand="0" w:noVBand="1"/>
      </w:tblPr>
      <w:tblGrid>
        <w:gridCol w:w="2400"/>
        <w:gridCol w:w="6736"/>
      </w:tblGrid>
      <w:tr w:rsidR="00105D77" w:rsidRPr="00824EA2"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824EA2" w:rsidRDefault="00105D77">
            <w:pPr>
              <w:spacing w:before="60" w:after="60"/>
              <w:rPr>
                <w:rFonts w:ascii="Times New Roman" w:hAnsi="Times New Roman"/>
                <w:b/>
                <w:bCs/>
                <w:sz w:val="24"/>
              </w:rPr>
            </w:pPr>
            <w:r w:rsidRPr="00824EA2">
              <w:rPr>
                <w:rFonts w:ascii="Times New Roman" w:hAnsi="Times New Roman"/>
                <w:b/>
                <w:sz w:val="24"/>
              </w:rPr>
              <w:t>Група дейности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824EA2" w:rsidRDefault="00105D77">
            <w:pPr>
              <w:spacing w:before="60" w:after="60"/>
              <w:rPr>
                <w:rFonts w:ascii="Times New Roman" w:hAnsi="Times New Roman"/>
                <w:b/>
                <w:bCs/>
                <w:sz w:val="24"/>
              </w:rPr>
            </w:pPr>
            <w:r w:rsidRPr="00824EA2">
              <w:rPr>
                <w:rFonts w:ascii="Times New Roman" w:hAnsi="Times New Roman"/>
                <w:b/>
                <w:sz w:val="24"/>
              </w:rPr>
              <w:t>Списък на дейностите</w:t>
            </w:r>
          </w:p>
        </w:tc>
      </w:tr>
      <w:tr w:rsidR="00105D77" w:rsidRPr="00824EA2"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Корпоративно финансиране</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Поемане на емисии на финансови инструменти или предлагане за първоначална продажба на финансови инструменти при неотменяемо задължение</w:t>
            </w:r>
          </w:p>
          <w:p w14:paraId="2E81165F"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Услуги, свързани с поемането на емисии</w:t>
            </w:r>
          </w:p>
          <w:p w14:paraId="294412E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Инвестиционни консултации</w:t>
            </w:r>
          </w:p>
          <w:p w14:paraId="3396F4D3"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Консултации за предприятия относно капиталовата им структура, отрасловата им стратегия и свързани с това въпроси и консултации и услуги, свързани със сливания и купуване на предприятия</w:t>
            </w:r>
          </w:p>
          <w:p w14:paraId="413B1D9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Инвестиционни проучвания и финансов анализ и други форми на общи препоръки по сделки с финансови инструменти</w:t>
            </w:r>
          </w:p>
        </w:tc>
      </w:tr>
      <w:tr w:rsidR="00105D77" w:rsidRPr="00824EA2"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Търгуване и продажби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Търгуване за собствена сметка</w:t>
            </w:r>
          </w:p>
          <w:p w14:paraId="2C39E21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Парично брокерство</w:t>
            </w:r>
          </w:p>
          <w:p w14:paraId="43A3C940"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и предаване на нареждания във връзка с един или повече финансови инструменти</w:t>
            </w:r>
          </w:p>
          <w:p w14:paraId="7D6C72DD"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Изпълнение на нареждания от името на клиенти</w:t>
            </w:r>
          </w:p>
          <w:p w14:paraId="447F879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Предлагане за първоначална продажба на финансови инструменти без безусловно и неотменяемо задължение</w:t>
            </w:r>
          </w:p>
          <w:p w14:paraId="6B8176B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 xml:space="preserve"> Организиране на многостранни системи за търговия</w:t>
            </w:r>
          </w:p>
        </w:tc>
      </w:tr>
      <w:tr w:rsidR="00105D77" w:rsidRPr="00824EA2"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Брокерство на дребно</w:t>
            </w:r>
          </w:p>
          <w:p w14:paraId="1644FF45" w14:textId="6FFF1F9E" w:rsidR="00105D77" w:rsidRPr="00824EA2" w:rsidRDefault="00105D77">
            <w:pPr>
              <w:spacing w:before="60" w:after="60"/>
              <w:rPr>
                <w:rFonts w:ascii="Times New Roman" w:hAnsi="Times New Roman"/>
                <w:sz w:val="24"/>
              </w:rPr>
            </w:pPr>
            <w:r w:rsidRPr="00824EA2">
              <w:rPr>
                <w:rFonts w:ascii="Times New Roman" w:hAnsi="Times New Roman"/>
                <w:sz w:val="24"/>
              </w:rPr>
              <w:t>(</w:t>
            </w:r>
            <w:r w:rsidR="0074192A" w:rsidRPr="00824EA2">
              <w:rPr>
                <w:rFonts w:ascii="Times New Roman" w:hAnsi="Times New Roman"/>
                <w:sz w:val="24"/>
              </w:rPr>
              <w:t>д</w:t>
            </w:r>
            <w:r w:rsidRPr="00824EA2">
              <w:rPr>
                <w:rFonts w:ascii="Times New Roman" w:hAnsi="Times New Roman"/>
                <w:sz w:val="24"/>
              </w:rPr>
              <w:t>ейности с физически лица или с МСП, изпълняващи критериите на член 123 за класа експозиции на дребно)</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и предаване на нареждания във връзка с един или повече финансови инструменти</w:t>
            </w:r>
          </w:p>
          <w:p w14:paraId="0A298DA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Изпълнение на нареждания от името на клиенти</w:t>
            </w:r>
          </w:p>
          <w:p w14:paraId="772C1A6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Предлагане за първоначална продажба на финансови инструменти без безусловно и неотменяемо задължение</w:t>
            </w:r>
          </w:p>
        </w:tc>
      </w:tr>
      <w:tr w:rsidR="00105D77" w:rsidRPr="00824EA2"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824EA2" w:rsidRDefault="00105D77">
            <w:pPr>
              <w:spacing w:before="60" w:after="60"/>
              <w:rPr>
                <w:rFonts w:ascii="Times New Roman" w:hAnsi="Times New Roman"/>
                <w:sz w:val="24"/>
              </w:rPr>
            </w:pPr>
            <w:r w:rsidRPr="00824EA2">
              <w:rPr>
                <w:rFonts w:ascii="Times New Roman" w:hAnsi="Times New Roman"/>
                <w:sz w:val="24"/>
              </w:rPr>
              <w:lastRenderedPageBreak/>
              <w:t>Банкиране на дребно</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на депозити и други възстановими средства</w:t>
            </w:r>
          </w:p>
          <w:p w14:paraId="76F23BE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Кредитиране</w:t>
            </w:r>
          </w:p>
          <w:p w14:paraId="45F13788"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Финансов лизинг</w:t>
            </w:r>
          </w:p>
          <w:p w14:paraId="51EC26CF"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Гаранции и ангажименти</w:t>
            </w:r>
          </w:p>
        </w:tc>
      </w:tr>
      <w:tr w:rsidR="00105D77" w:rsidRPr="00824EA2"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Банкиране на дребно</w:t>
            </w:r>
          </w:p>
          <w:p w14:paraId="7CAFF922" w14:textId="296CEDAE" w:rsidR="00105D77" w:rsidRPr="00824EA2" w:rsidRDefault="00105D77">
            <w:pPr>
              <w:spacing w:before="60" w:after="60"/>
              <w:rPr>
                <w:rFonts w:ascii="Times New Roman" w:hAnsi="Times New Roman"/>
                <w:sz w:val="24"/>
              </w:rPr>
            </w:pPr>
            <w:r w:rsidRPr="00824EA2">
              <w:rPr>
                <w:rFonts w:ascii="Times New Roman" w:hAnsi="Times New Roman"/>
                <w:sz w:val="24"/>
              </w:rPr>
              <w:t>(</w:t>
            </w:r>
            <w:r w:rsidR="0074192A" w:rsidRPr="00824EA2">
              <w:rPr>
                <w:rFonts w:ascii="Times New Roman" w:hAnsi="Times New Roman"/>
                <w:sz w:val="24"/>
              </w:rPr>
              <w:t>д</w:t>
            </w:r>
            <w:r w:rsidRPr="00824EA2">
              <w:rPr>
                <w:rFonts w:ascii="Times New Roman" w:hAnsi="Times New Roman"/>
                <w:sz w:val="24"/>
              </w:rPr>
              <w:t>ейности с физически лица или с МСП, изпълняващи критериите на член 123 за класа експозиции на дребно)</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Приемане на депозити и други възстановими средства</w:t>
            </w:r>
          </w:p>
          <w:p w14:paraId="36AF04A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Кредитиране</w:t>
            </w:r>
          </w:p>
          <w:p w14:paraId="7351F48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Финансов лизинг</w:t>
            </w:r>
          </w:p>
          <w:p w14:paraId="2A1E9691"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Гаранции и ангажименти</w:t>
            </w:r>
          </w:p>
        </w:tc>
      </w:tr>
      <w:tr w:rsidR="00105D77" w:rsidRPr="00824EA2"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Плащания и сетълмент</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Парични преводи</w:t>
            </w:r>
          </w:p>
          <w:p w14:paraId="44972E69"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Издаване и администриране на средства за плащане</w:t>
            </w:r>
          </w:p>
        </w:tc>
      </w:tr>
      <w:tr w:rsidR="00105D77" w:rsidRPr="00824EA2"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Агентски услуги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Съхранение и администриране на финансови инструменти за сметка на клиенти, включително попечителство и свързани с това услуги като управление на парични средства/обезпечения</w:t>
            </w:r>
          </w:p>
        </w:tc>
      </w:tr>
      <w:tr w:rsidR="00105D77" w:rsidRPr="00824EA2"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Управление на активи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Управление на портфейли</w:t>
            </w:r>
          </w:p>
          <w:p w14:paraId="1153DFEB" w14:textId="77777777" w:rsidR="00105D77" w:rsidRPr="00824EA2" w:rsidRDefault="00105D77">
            <w:pPr>
              <w:spacing w:before="60" w:after="60"/>
              <w:rPr>
                <w:rFonts w:ascii="Times New Roman" w:hAnsi="Times New Roman"/>
                <w:sz w:val="24"/>
              </w:rPr>
            </w:pPr>
            <w:r w:rsidRPr="00824EA2">
              <w:rPr>
                <w:rFonts w:ascii="Times New Roman" w:hAnsi="Times New Roman"/>
                <w:sz w:val="24"/>
              </w:rPr>
              <w:t>Управление на ПКИПЦК</w:t>
            </w:r>
          </w:p>
          <w:p w14:paraId="59C1F470" w14:textId="77777777" w:rsidR="00105D77" w:rsidRPr="00824EA2" w:rsidRDefault="00105D77">
            <w:pPr>
              <w:spacing w:before="60" w:after="60"/>
              <w:rPr>
                <w:rFonts w:ascii="Times New Roman" w:hAnsi="Times New Roman"/>
                <w:sz w:val="24"/>
              </w:rPr>
            </w:pPr>
            <w:r w:rsidRPr="00824EA2">
              <w:rPr>
                <w:rFonts w:ascii="Times New Roman" w:hAnsi="Times New Roman"/>
                <w:sz w:val="24"/>
              </w:rPr>
              <w:t>Други форми на управление на активи</w:t>
            </w:r>
          </w:p>
        </w:tc>
      </w:tr>
      <w:tr w:rsidR="00105D77" w:rsidRPr="00824EA2"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824EA2" w:rsidRDefault="00105D77">
            <w:pPr>
              <w:spacing w:before="60" w:after="60"/>
              <w:rPr>
                <w:rFonts w:ascii="Times New Roman" w:hAnsi="Times New Roman"/>
                <w:color w:val="333333"/>
                <w:sz w:val="24"/>
              </w:rPr>
            </w:pPr>
            <w:r w:rsidRPr="00824EA2">
              <w:rPr>
                <w:rFonts w:ascii="Times New Roman" w:hAnsi="Times New Roman"/>
                <w:color w:val="333333"/>
                <w:sz w:val="24"/>
              </w:rPr>
              <w:t>Корпоративни позиции</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3DFBFADE" w:rsidR="00105D77" w:rsidRPr="00824EA2" w:rsidRDefault="00105D77">
            <w:pPr>
              <w:spacing w:before="60" w:after="60"/>
              <w:rPr>
                <w:rFonts w:ascii="Times New Roman" w:eastAsia="Verdana" w:hAnsi="Times New Roman"/>
                <w:sz w:val="24"/>
              </w:rPr>
            </w:pPr>
            <w:r w:rsidRPr="00824EA2">
              <w:rPr>
                <w:rFonts w:ascii="Times New Roman" w:hAnsi="Times New Roman"/>
                <w:sz w:val="24"/>
              </w:rPr>
              <w:t>Събития, водещи до загуба, влияещи на цялата институция и които не са изброени в категориите по-горе.</w:t>
            </w:r>
          </w:p>
        </w:tc>
      </w:tr>
    </w:tbl>
    <w:p w14:paraId="5EFFCA85" w14:textId="77777777" w:rsidR="00C30107" w:rsidRPr="00824EA2" w:rsidRDefault="00C30107" w:rsidP="00E434A1">
      <w:pPr>
        <w:pStyle w:val="InstructionsText2"/>
        <w:numPr>
          <w:ilvl w:val="0"/>
          <w:numId w:val="0"/>
        </w:numPr>
      </w:pPr>
    </w:p>
    <w:p w14:paraId="3089C09D" w14:textId="77777777" w:rsidR="00C30107" w:rsidRPr="00824EA2" w:rsidRDefault="00C30107" w:rsidP="00E434A1">
      <w:pPr>
        <w:pStyle w:val="InstructionsText2"/>
        <w:numPr>
          <w:ilvl w:val="0"/>
          <w:numId w:val="0"/>
        </w:numPr>
      </w:pPr>
    </w:p>
    <w:bookmarkEnd w:id="63"/>
    <w:p w14:paraId="504CA18E" w14:textId="173B7075" w:rsidR="00FD54FC" w:rsidRPr="00824EA2" w:rsidRDefault="008F3052" w:rsidP="3B06A01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143</w:t>
      </w:r>
      <w:r w:rsidRPr="00824EA2">
        <w:rPr>
          <w:rStyle w:val="DNEx2"/>
        </w:rPr>
        <w:fldChar w:fldCharType="end"/>
      </w:r>
      <w:r w:rsidRPr="00824EA2">
        <w:rPr>
          <w:rStyle w:val="DNEx2"/>
        </w:rPr>
        <w:t xml:space="preserve">. </w:t>
      </w:r>
      <w:r w:rsidRPr="00824EA2">
        <w:t>Загубите от операционен риск, свързани с кредитния риск, които се отчитат в размера на рисково претеглената експозиция за кредитния риск (гранични операционни събития, свързани с кредити), не се вземат предвид нито в образец C 17.01, нито в образец C 17.02 съгласно член 317, параграф 5 от Регламент (ЕС) № 575/2013.</w:t>
      </w:r>
    </w:p>
    <w:p w14:paraId="26DEA8B1" w14:textId="414C5450"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144</w:t>
      </w:r>
      <w:r w:rsidRPr="00824EA2">
        <w:rPr>
          <w:rStyle w:val="DNEx2"/>
        </w:rPr>
        <w:fldChar w:fldCharType="end"/>
      </w:r>
      <w:r w:rsidRPr="00824EA2">
        <w:rPr>
          <w:rStyle w:val="DNEx2"/>
        </w:rPr>
        <w:t xml:space="preserve">. </w:t>
      </w:r>
      <w:r w:rsidRPr="00824EA2">
        <w:t>[празно поле]</w:t>
      </w:r>
    </w:p>
    <w:p w14:paraId="46FA5B8D" w14:textId="36C4FC31"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145</w:t>
      </w:r>
      <w:r w:rsidRPr="00824EA2">
        <w:rPr>
          <w:rStyle w:val="DNEx2"/>
        </w:rPr>
        <w:fldChar w:fldCharType="end"/>
      </w:r>
      <w:r w:rsidRPr="00824EA2">
        <w:rPr>
          <w:rStyle w:val="DNEx2"/>
        </w:rPr>
        <w:t xml:space="preserve">. </w:t>
      </w:r>
      <w:r w:rsidRPr="00824EA2">
        <w:t>„Брутн</w:t>
      </w:r>
      <w:r w:rsidR="00625192" w:rsidRPr="00824EA2">
        <w:t>а</w:t>
      </w:r>
      <w:r w:rsidRPr="00824EA2">
        <w:t xml:space="preserve"> загуб</w:t>
      </w:r>
      <w:r w:rsidR="00625192" w:rsidRPr="00824EA2">
        <w:t>а</w:t>
      </w:r>
      <w:r w:rsidRPr="00824EA2">
        <w:t>“ означава — съгласно член 318, параграф 1 от Регламент (ЕС) № 575/2013 — загуб</w:t>
      </w:r>
      <w:r w:rsidR="00625192" w:rsidRPr="00824EA2">
        <w:t>а</w:t>
      </w:r>
      <w:r w:rsidRPr="00824EA2">
        <w:t>, свързан</w:t>
      </w:r>
      <w:r w:rsidR="00625192" w:rsidRPr="00824EA2">
        <w:t>а</w:t>
      </w:r>
      <w:r w:rsidRPr="00824EA2">
        <w:t xml:space="preserve"> с операционн</w:t>
      </w:r>
      <w:r w:rsidR="00625192" w:rsidRPr="00824EA2">
        <w:t>о</w:t>
      </w:r>
      <w:r w:rsidRPr="00824EA2">
        <w:t xml:space="preserve"> събитие, преди възстановявания от всякакъв вид, без да се засягат „случаите на бързо възстановени загуби“ съгласно определението по-долу.</w:t>
      </w:r>
    </w:p>
    <w:p w14:paraId="0D97147B" w14:textId="7F3E3213"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146</w:t>
      </w:r>
      <w:r w:rsidRPr="00824EA2">
        <w:rPr>
          <w:rStyle w:val="DNEx2"/>
        </w:rPr>
        <w:fldChar w:fldCharType="end"/>
      </w:r>
      <w:r w:rsidRPr="00824EA2">
        <w:rPr>
          <w:rStyle w:val="DNEx2"/>
        </w:rPr>
        <w:t xml:space="preserve">. </w:t>
      </w:r>
      <w:r w:rsidRPr="00824EA2">
        <w:t>„Възстановяване“ означава — съгласно член 318, параграф 1 — едно или повече независими и настъпващи по различно време събития, свързани с първоначалното операционно събитие, при които се получават средства или входящи потоци от икономически ползи от трето лице.</w:t>
      </w:r>
    </w:p>
    <w:p w14:paraId="77F96781" w14:textId="7AAE69F6" w:rsidR="00FD54FC" w:rsidRPr="00824EA2" w:rsidRDefault="00E434A1" w:rsidP="00E434A1">
      <w:pPr>
        <w:pStyle w:val="InstructionsText2"/>
        <w:numPr>
          <w:ilvl w:val="0"/>
          <w:numId w:val="0"/>
        </w:numPr>
      </w:pPr>
      <w:r w:rsidRPr="00824EA2">
        <w:rPr>
          <w:rStyle w:val="DNEx2"/>
        </w:rPr>
        <w:lastRenderedPageBreak/>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147</w:t>
      </w:r>
      <w:r w:rsidRPr="00824EA2">
        <w:rPr>
          <w:rStyle w:val="DNEx2"/>
        </w:rPr>
        <w:fldChar w:fldCharType="end"/>
      </w:r>
      <w:r w:rsidRPr="00824EA2">
        <w:rPr>
          <w:rStyle w:val="DNEx2"/>
        </w:rPr>
        <w:t xml:space="preserve">. </w:t>
      </w:r>
      <w:r w:rsidRPr="00824EA2">
        <w:t>„Случаи на бързо възстановена загуба“ означава реализиране на операционен риск, водещо до загуба, която е частично или напълно възстановена в рамките на пет работни дни. В случай на бързо възстановена загуба в определението за брутни загуби се включва само частта от загубите, която не е напълно възстановена (т.е. загубите, намалени с частичното бързо възстановяване). Следователно случаите, при които загубата е напълно възстановена в рамките на пет работни дни, не се включват нито при определянето на брутната загуба, нито при докладването в образец OPR DETAILS</w:t>
      </w:r>
    </w:p>
    <w:p w14:paraId="3604C23D" w14:textId="1024002D"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148</w:t>
      </w:r>
      <w:r w:rsidRPr="00824EA2">
        <w:rPr>
          <w:rStyle w:val="DNEx2"/>
        </w:rPr>
        <w:fldChar w:fldCharType="end"/>
      </w:r>
      <w:r w:rsidRPr="00824EA2">
        <w:rPr>
          <w:rStyle w:val="DNEx2"/>
        </w:rPr>
        <w:t xml:space="preserve">. </w:t>
      </w:r>
      <w:r w:rsidRPr="00824EA2">
        <w:t>„Дата на счетоводно отчитане“ означава датата, на която загуба или резерв/провизия е била призната за първи път в отчета за приходите и разходите, срещу загуба поради реализирането на операционен риск, както е посочено в член 317, параграф 4, буква а) от Регламент (ЕС) № 575/2013. Тази дата следва логично „датата на възникване“ (т.е. датата, на която е започнал или се е реализирал операционният риск) и „датата на установяване“ (т.е. датата, на която институцията е узнала за свързаното с операционния риск събитие).</w:t>
      </w:r>
    </w:p>
    <w:p w14:paraId="6F9C7A18" w14:textId="502770EC" w:rsidR="00FD54FC" w:rsidRPr="00824EA2" w:rsidRDefault="00E434A1"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149</w:t>
      </w:r>
      <w:r w:rsidRPr="00824EA2">
        <w:rPr>
          <w:rStyle w:val="DNEx2"/>
        </w:rPr>
        <w:fldChar w:fldCharType="end"/>
      </w:r>
      <w:r w:rsidRPr="00824EA2">
        <w:rPr>
          <w:rStyle w:val="DNEx2"/>
        </w:rPr>
        <w:t xml:space="preserve">. </w:t>
      </w:r>
      <w:r w:rsidRPr="00824EA2">
        <w:t>Загубите, породени от общо водещо събитие, свързано с операционния риск, или от множество събития с отношение към първоначално свързано с операционния риск събитие, породило събития или загуби („основно събитие“), се сумират с цел изчисляване на прага за отчитане. В случай че общата нетна сума, изчислена за период от 10 години, премине прага, загубите и корекциите следва да се отчитат след счетоводното въздействие в съответствие с член 317, параграф 3, буква в) и член 318, параграф 1 от Регламент (ЕС) № 575/2013, въпреки че въздействието през определен период може да е по-ниско от прага.</w:t>
      </w:r>
    </w:p>
    <w:p w14:paraId="13FA59F7" w14:textId="1423FEE1"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150</w:t>
      </w:r>
      <w:r w:rsidRPr="00824EA2">
        <w:rPr>
          <w:rStyle w:val="DNEx2"/>
        </w:rPr>
        <w:fldChar w:fldCharType="end"/>
      </w:r>
      <w:r w:rsidRPr="00824EA2">
        <w:rPr>
          <w:rStyle w:val="DNEx2"/>
        </w:rPr>
        <w:t xml:space="preserve">. </w:t>
      </w:r>
      <w:r w:rsidRPr="00824EA2">
        <w:t>Данните, докладвани през юни съответната година, са междинни, а окончателните данни се докладват през декември. Следователно докладваните през юни данни се отнасят за шестмесечен период (т.е. от 1 януари до 30 юни на календарната година), а докладваните през декември данни се отнасят за дванадесетмесечен период (т.е. от 1 януари до 31 декември на календарната година). За данните, докладвани през юни и декември, „предходни отчетни периоди“ означава всички отчетни периоди до и включително приключващият в края на предходната календарна година.</w:t>
      </w:r>
    </w:p>
    <w:p w14:paraId="065A1906" w14:textId="0BAA0889" w:rsidR="00FD54FC" w:rsidRPr="00824EA2"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824EA2">
        <w:rPr>
          <w:rFonts w:ascii="Times New Roman" w:hAnsi="Times New Roman"/>
          <w:sz w:val="24"/>
        </w:rPr>
        <w:t>C 17.01: Загуби и възстановявания от операционен риск по групи дейности и видове събития, водещи до загуба, през последната година (OPR DETAILS 1)</w:t>
      </w:r>
      <w:bookmarkEnd w:id="64"/>
      <w:bookmarkEnd w:id="65"/>
    </w:p>
    <w:p w14:paraId="497EA8D0" w14:textId="05AB7FBB" w:rsidR="00FD54FC" w:rsidRPr="00824EA2"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824EA2">
        <w:rPr>
          <w:rFonts w:ascii="Times New Roman" w:hAnsi="Times New Roman"/>
          <w:sz w:val="24"/>
        </w:rPr>
        <w:t>Общи бележки</w:t>
      </w:r>
      <w:bookmarkEnd w:id="66"/>
      <w:bookmarkEnd w:id="67"/>
    </w:p>
    <w:p w14:paraId="1B1EFECB" w14:textId="3E0BA524" w:rsidR="00FD54FC" w:rsidRPr="00824EA2" w:rsidRDefault="00E434A1"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151</w:t>
      </w:r>
      <w:r w:rsidRPr="00824EA2">
        <w:rPr>
          <w:rStyle w:val="DNEx2"/>
        </w:rPr>
        <w:fldChar w:fldCharType="end"/>
      </w:r>
      <w:r w:rsidRPr="00824EA2">
        <w:rPr>
          <w:rStyle w:val="DNEx2"/>
        </w:rPr>
        <w:t xml:space="preserve"> </w:t>
      </w:r>
      <w:r w:rsidRPr="00824EA2">
        <w:t xml:space="preserve">Образец C 17.01 обобщава информацията за загубите и възстановяванията над вътрешните прагове, регистрирани от институцията през последната година, по видове събития и групи дейности съгласно определенията в таблица 1 и таблица 2 в настоящия раздел. Възможно е загубите по едно </w:t>
      </w:r>
      <w:r w:rsidR="000A604C" w:rsidRPr="00824EA2">
        <w:t>водещо</w:t>
      </w:r>
      <w:r w:rsidRPr="00824EA2">
        <w:t xml:space="preserve"> до загуба събитие да бъдат разпределени между няколко групи дейности.</w:t>
      </w:r>
    </w:p>
    <w:p w14:paraId="0F217350" w14:textId="104C538F"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152</w:t>
      </w:r>
      <w:r w:rsidRPr="00824EA2">
        <w:rPr>
          <w:rStyle w:val="DNEx2"/>
        </w:rPr>
        <w:fldChar w:fldCharType="end"/>
      </w:r>
      <w:r w:rsidRPr="00824EA2">
        <w:rPr>
          <w:rStyle w:val="DNEx2"/>
        </w:rPr>
        <w:t xml:space="preserve">. </w:t>
      </w:r>
      <w:r w:rsidRPr="00824EA2">
        <w:t>В колоните се представят различните видове събития, водещи до загуба, и общият сбор за всяка група дейности, заедно с поясняваща позиция, която показва най-ниския вътрешен праг, приложен при събирането на данните за загубите, като за всяка група дейност се показва най-ниският и най-високият праг, когато има повече от един такъв.</w:t>
      </w:r>
    </w:p>
    <w:p w14:paraId="11517512" w14:textId="76CAEDF3"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153</w:t>
      </w:r>
      <w:r w:rsidRPr="00824EA2">
        <w:rPr>
          <w:rStyle w:val="DNEx2"/>
        </w:rPr>
        <w:fldChar w:fldCharType="end"/>
      </w:r>
      <w:r w:rsidRPr="00824EA2">
        <w:rPr>
          <w:rStyle w:val="DNEx2"/>
        </w:rPr>
        <w:t xml:space="preserve">. </w:t>
      </w:r>
      <w:r w:rsidRPr="00824EA2">
        <w:t xml:space="preserve">В редовете се представят групите дейности, а в рамките на всяка група дейности — данни за броя на събитията, водещи до загуба (нови събития, водещи до загуба), за </w:t>
      </w:r>
      <w:r w:rsidRPr="00824EA2">
        <w:lastRenderedPageBreak/>
        <w:t>брутния размер на загубите (нови събития, водещи до загуба), за броя на събитията, водещи до загуба и подлежащи на корекции за загуба, за корекциите за загуби, свързани с предходни отчетни периоди, за максималната отделна загуба, за сбора на петте най-големи загуби и общия размер на загубите, който е възстановен (пряко възстановени загуби и възстановявания от застраховане и други механизми за прехвърляне на риска).</w:t>
      </w:r>
    </w:p>
    <w:p w14:paraId="01C6C8D7" w14:textId="1A1609D7" w:rsidR="008E3F40"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154</w:t>
      </w:r>
      <w:r w:rsidRPr="00824EA2">
        <w:rPr>
          <w:rStyle w:val="DNEx2"/>
        </w:rPr>
        <w:fldChar w:fldCharType="end"/>
      </w:r>
      <w:r w:rsidRPr="00824EA2">
        <w:rPr>
          <w:rStyle w:val="DNEx2"/>
        </w:rPr>
        <w:t xml:space="preserve">. </w:t>
      </w:r>
      <w:r w:rsidRPr="00824EA2">
        <w:t>Общо за групите дейности се изискват също данни за броя на събитията, водещи до загуба, и брутния размер на загубите за определени интервали, базирани на предварително определени прагове — 10 000, 20 000, 100 000 и 1 000 000. Праговете са установени в евро и са включени с цел съпоставимост на докладваните загуби между институциите. Поради това тези прагове не са свързани непременно с минималните прагове за загуби, използвани за събирането на данни за вътрешните загуби, които се докладват в друг раздел от образеца.</w:t>
      </w:r>
    </w:p>
    <w:p w14:paraId="66F6BC90" w14:textId="0130F6E9" w:rsidR="008A1E95" w:rsidRPr="00824EA2" w:rsidRDefault="006B71D2" w:rsidP="008E3C30">
      <w:pPr>
        <w:pStyle w:val="InstructionsText2"/>
        <w:numPr>
          <w:ilvl w:val="0"/>
          <w:numId w:val="0"/>
        </w:numPr>
      </w:pPr>
      <w:r w:rsidRPr="00824EA2">
        <w:rPr>
          <w:rStyle w:val="DNEx2"/>
        </w:rPr>
        <w:t xml:space="preserve">154a. </w:t>
      </w:r>
      <w:r w:rsidRPr="00824EA2">
        <w:t>Възстановяванията на загуби се отчитат с положителен знак.</w:t>
      </w:r>
    </w:p>
    <w:p w14:paraId="31AE8FCD" w14:textId="77777777" w:rsidR="008A1E95" w:rsidRPr="00824EA2" w:rsidRDefault="008A1E95" w:rsidP="00E434A1">
      <w:pPr>
        <w:pStyle w:val="InstructionsText2"/>
        <w:numPr>
          <w:ilvl w:val="0"/>
          <w:numId w:val="0"/>
        </w:numPr>
      </w:pPr>
    </w:p>
    <w:p w14:paraId="3EEEA3D5" w14:textId="61AFA838" w:rsidR="00FD54FC" w:rsidRPr="00824EA2"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824EA2">
        <w:rPr>
          <w:rFonts w:ascii="Times New Roman" w:hAnsi="Times New Roman"/>
          <w:sz w:val="24"/>
        </w:rPr>
        <w:t>Указания за конкретни позиции</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8089"/>
      </w:tblGrid>
      <w:tr w:rsidR="00FD54FC" w:rsidRPr="00824EA2" w14:paraId="5673A92F" w14:textId="77777777" w:rsidTr="00EE2B76">
        <w:trPr>
          <w:trHeight w:val="576"/>
        </w:trPr>
        <w:tc>
          <w:tcPr>
            <w:tcW w:w="9062" w:type="dxa"/>
            <w:gridSpan w:val="2"/>
            <w:shd w:val="clear" w:color="auto" w:fill="CCCCCC"/>
          </w:tcPr>
          <w:p w14:paraId="64100A9A" w14:textId="77777777" w:rsidR="00FD54FC" w:rsidRPr="00824EA2" w:rsidRDefault="00FD54FC" w:rsidP="005D3C49">
            <w:pPr>
              <w:keepNext/>
              <w:autoSpaceDE w:val="0"/>
              <w:autoSpaceDN w:val="0"/>
              <w:adjustRightInd w:val="0"/>
              <w:spacing w:after="0"/>
              <w:rPr>
                <w:rFonts w:ascii="Times New Roman" w:hAnsi="Times New Roman"/>
                <w:b/>
                <w:bCs/>
                <w:sz w:val="24"/>
              </w:rPr>
            </w:pPr>
            <w:r w:rsidRPr="00824EA2">
              <w:rPr>
                <w:rFonts w:ascii="Times New Roman" w:hAnsi="Times New Roman"/>
                <w:b/>
                <w:sz w:val="24"/>
              </w:rPr>
              <w:t>Колони</w:t>
            </w:r>
          </w:p>
        </w:tc>
      </w:tr>
      <w:tr w:rsidR="00EE2B76" w:rsidRPr="00824EA2" w14:paraId="66F8475E" w14:textId="77777777" w:rsidTr="00EE2B76">
        <w:tc>
          <w:tcPr>
            <w:tcW w:w="973" w:type="dxa"/>
          </w:tcPr>
          <w:p w14:paraId="2E2E57DA" w14:textId="5FCB188A" w:rsidR="00EE2B76" w:rsidRPr="00824EA2" w:rsidRDefault="00EE2B76" w:rsidP="00EE2B76">
            <w:pPr>
              <w:autoSpaceDE w:val="0"/>
              <w:autoSpaceDN w:val="0"/>
              <w:adjustRightInd w:val="0"/>
              <w:spacing w:before="0" w:after="0"/>
              <w:rPr>
                <w:rFonts w:ascii="Times New Roman" w:hAnsi="Times New Roman"/>
                <w:bCs/>
                <w:sz w:val="24"/>
              </w:rPr>
            </w:pPr>
            <w:r w:rsidRPr="00824EA2">
              <w:rPr>
                <w:rFonts w:ascii="Times New Roman" w:hAnsi="Times New Roman"/>
                <w:bCs/>
                <w:sz w:val="24"/>
                <w:lang w:eastAsia="nl-BE"/>
              </w:rPr>
              <w:t>0010-0070</w:t>
            </w:r>
          </w:p>
        </w:tc>
        <w:tc>
          <w:tcPr>
            <w:tcW w:w="8089" w:type="dxa"/>
          </w:tcPr>
          <w:p w14:paraId="42ED0FA0" w14:textId="77777777" w:rsidR="00EE2B76" w:rsidRPr="00824EA2" w:rsidRDefault="00EE2B76" w:rsidP="00EE2B76">
            <w:pPr>
              <w:keepNext/>
              <w:autoSpaceDE w:val="0"/>
              <w:autoSpaceDN w:val="0"/>
              <w:adjustRightInd w:val="0"/>
              <w:spacing w:before="0" w:after="0"/>
              <w:rPr>
                <w:rStyle w:val="InstructionsTabelleberschrift"/>
                <w:rFonts w:ascii="Times New Roman" w:hAnsi="Times New Roman"/>
                <w:sz w:val="24"/>
              </w:rPr>
            </w:pPr>
            <w:r w:rsidRPr="00824EA2">
              <w:rPr>
                <w:rStyle w:val="InstructionsTabelleberschrift"/>
                <w:rFonts w:ascii="Times New Roman" w:hAnsi="Times New Roman"/>
                <w:sz w:val="24"/>
              </w:rPr>
              <w:t>ВИДОВЕ СЪБИТИЯ</w:t>
            </w:r>
          </w:p>
          <w:p w14:paraId="77CB6459" w14:textId="34950BD9" w:rsidR="00EE2B76" w:rsidRPr="00824EA2" w:rsidRDefault="00EE2B76" w:rsidP="00EE2B76">
            <w:pPr>
              <w:rPr>
                <w:rFonts w:ascii="Times New Roman" w:hAnsi="Times New Roman"/>
                <w:sz w:val="24"/>
              </w:rPr>
            </w:pPr>
            <w:r w:rsidRPr="00824EA2">
              <w:rPr>
                <w:rFonts w:ascii="Times New Roman" w:hAnsi="Times New Roman"/>
                <w:sz w:val="24"/>
              </w:rPr>
              <w:t>Институциите докладват загубите в съответните колони 0010—0070 по видове водещи до загуба събития.</w:t>
            </w:r>
          </w:p>
          <w:p w14:paraId="3023C2E3" w14:textId="3DB1C18B" w:rsidR="00EE2B76" w:rsidRPr="00824EA2" w:rsidRDefault="00EE2B76" w:rsidP="00EE2B76">
            <w:pPr>
              <w:rPr>
                <w:rFonts w:ascii="Times New Roman" w:hAnsi="Times New Roman"/>
                <w:sz w:val="24"/>
              </w:rPr>
            </w:pPr>
            <w:r w:rsidRPr="00824EA2">
              <w:rPr>
                <w:rFonts w:ascii="Times New Roman" w:hAnsi="Times New Roman"/>
                <w:sz w:val="24"/>
              </w:rPr>
              <w:t>Институциите, които са изчислили през декември 2024 г. своите капиталови изисквания съгласно BIA, могат да докладват единствено в колона 0080 загубите, за които видът на водещото до загуба събитие не е установен.</w:t>
            </w:r>
          </w:p>
        </w:tc>
      </w:tr>
      <w:tr w:rsidR="00EE2B76" w:rsidRPr="00824EA2" w14:paraId="50B8D542" w14:textId="77777777" w:rsidTr="00EE2B76">
        <w:tc>
          <w:tcPr>
            <w:tcW w:w="973" w:type="dxa"/>
          </w:tcPr>
          <w:p w14:paraId="5DD6D73C" w14:textId="0D794465" w:rsidR="00EE2B76" w:rsidRPr="00824EA2" w:rsidRDefault="00EE2B76" w:rsidP="00EE2B76">
            <w:pPr>
              <w:autoSpaceDE w:val="0"/>
              <w:autoSpaceDN w:val="0"/>
              <w:adjustRightInd w:val="0"/>
              <w:spacing w:before="0" w:after="0"/>
              <w:rPr>
                <w:rFonts w:ascii="Times New Roman" w:hAnsi="Times New Roman"/>
                <w:bCs/>
                <w:sz w:val="24"/>
              </w:rPr>
            </w:pPr>
            <w:r w:rsidRPr="00824EA2">
              <w:rPr>
                <w:rFonts w:ascii="Times New Roman" w:hAnsi="Times New Roman"/>
                <w:bCs/>
                <w:sz w:val="24"/>
                <w:lang w:eastAsia="nl-BE"/>
              </w:rPr>
              <w:t>0080</w:t>
            </w:r>
          </w:p>
        </w:tc>
        <w:tc>
          <w:tcPr>
            <w:tcW w:w="8089" w:type="dxa"/>
          </w:tcPr>
          <w:p w14:paraId="160BFCD4" w14:textId="77777777" w:rsidR="00EE2B76" w:rsidRPr="00824EA2" w:rsidRDefault="00EE2B76" w:rsidP="00EE2B76">
            <w:pPr>
              <w:keepNext/>
              <w:autoSpaceDE w:val="0"/>
              <w:autoSpaceDN w:val="0"/>
              <w:adjustRightInd w:val="0"/>
              <w:spacing w:before="0" w:after="0"/>
              <w:rPr>
                <w:rStyle w:val="InstructionsTabelleberschrift"/>
                <w:rFonts w:ascii="Times New Roman" w:hAnsi="Times New Roman"/>
                <w:sz w:val="24"/>
              </w:rPr>
            </w:pPr>
            <w:r w:rsidRPr="00824EA2">
              <w:rPr>
                <w:rStyle w:val="InstructionsTabelleberschrift"/>
                <w:rFonts w:ascii="Times New Roman" w:hAnsi="Times New Roman"/>
                <w:sz w:val="24"/>
              </w:rPr>
              <w:t>ОБЩО ВИДОВЕ СЪБИТИЯ, ВОДЕЩИ ДО ЗАГУБА</w:t>
            </w:r>
          </w:p>
          <w:p w14:paraId="64EF174C" w14:textId="77777777"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В колона 0080 институциите за всяка група дейности институциите докладват общия „брой събития, водещи до загуба (нови събития, водещи до загуба)“, общия „размер на брутната загуба (нови събития, водещи до загуба)“, общия „брой събития, водещи до загуба и подлежащи на корекции за загуба“, общите „корекции за загуби, свързани с предходни отчетни периоди“, „максималната отделна загуба“, „сбора на петте най-големи загуби“, общия размер на „пряко възстановените загуби“ и общия размер на „възстановяванията от застраховане и други механизми за прехвърляне на риска“.</w:t>
            </w:r>
          </w:p>
          <w:p w14:paraId="435DA6FC" w14:textId="4E7CF407"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Ако институцията е установила вида събитие, водещо до загуба, за всички загуби, в колона 0080 се представя обикновеният сбор на довелите до загуба събития, общият размер на брутните загуби, общият размер на възстановените загуби и „корекциите за загуби, свързани с предходни отчетни периоди“, докладвани в колони 0010—0070.</w:t>
            </w:r>
          </w:p>
          <w:p w14:paraId="7ADBEC5B" w14:textId="2AAA90E7"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 xml:space="preserve">„Максималната единична загуба“, докладвана в колона 0080, представлява максималната отделна загуба в рамките на една група дейности и идентична на максималния размер на „максималните единични загуби“, докладвани в </w:t>
            </w:r>
            <w:r w:rsidRPr="00824EA2">
              <w:rPr>
                <w:rStyle w:val="InstructionsTabelleText"/>
                <w:rFonts w:ascii="Times New Roman" w:hAnsi="Times New Roman"/>
                <w:sz w:val="24"/>
              </w:rPr>
              <w:lastRenderedPageBreak/>
              <w:t>колони 0010—0070, при условие че институцията е установила вида събитие, водещо до загуба, за всички загуби.</w:t>
            </w:r>
          </w:p>
          <w:p w14:paraId="620764F4" w14:textId="77777777" w:rsidR="00EE2B76" w:rsidRPr="00824EA2" w:rsidRDefault="00EE2B76" w:rsidP="00EE2B76">
            <w:pPr>
              <w:rPr>
                <w:rFonts w:ascii="Times New Roman" w:hAnsi="Times New Roman"/>
                <w:bCs/>
                <w:sz w:val="24"/>
              </w:rPr>
            </w:pPr>
            <w:r w:rsidRPr="00824EA2">
              <w:rPr>
                <w:rStyle w:val="InstructionsTabelleText"/>
                <w:rFonts w:ascii="Times New Roman" w:hAnsi="Times New Roman"/>
                <w:sz w:val="24"/>
              </w:rPr>
              <w:t>За сбора от петте най-големи загуби, в колона 0080 се докладва сборът от петте най-големи загуби в рамките на една група дейности.</w:t>
            </w:r>
          </w:p>
        </w:tc>
      </w:tr>
      <w:tr w:rsidR="00EE2B76" w:rsidRPr="00824EA2" w14:paraId="4B2FA115" w14:textId="77777777" w:rsidTr="00EE2B76">
        <w:tc>
          <w:tcPr>
            <w:tcW w:w="973" w:type="dxa"/>
          </w:tcPr>
          <w:p w14:paraId="5DDA1F0A" w14:textId="00419D81" w:rsidR="00EE2B76" w:rsidRPr="00824EA2" w:rsidRDefault="00EE2B76" w:rsidP="00EE2B76">
            <w:pPr>
              <w:autoSpaceDE w:val="0"/>
              <w:autoSpaceDN w:val="0"/>
              <w:adjustRightInd w:val="0"/>
              <w:spacing w:before="0" w:after="0"/>
              <w:rPr>
                <w:rFonts w:ascii="Times New Roman" w:hAnsi="Times New Roman"/>
                <w:bCs/>
                <w:sz w:val="24"/>
              </w:rPr>
            </w:pPr>
            <w:r w:rsidRPr="00824EA2">
              <w:rPr>
                <w:rFonts w:ascii="Times New Roman" w:hAnsi="Times New Roman"/>
                <w:bCs/>
                <w:sz w:val="24"/>
                <w:lang w:eastAsia="nl-BE"/>
              </w:rPr>
              <w:lastRenderedPageBreak/>
              <w:t>0090-0100</w:t>
            </w:r>
          </w:p>
        </w:tc>
        <w:tc>
          <w:tcPr>
            <w:tcW w:w="8089" w:type="dxa"/>
          </w:tcPr>
          <w:p w14:paraId="13E5A936" w14:textId="77777777" w:rsidR="00EE2B76" w:rsidRPr="00824EA2" w:rsidRDefault="00EE2B76" w:rsidP="00EE2B76">
            <w:pPr>
              <w:keepNext/>
              <w:autoSpaceDE w:val="0"/>
              <w:autoSpaceDN w:val="0"/>
              <w:adjustRightInd w:val="0"/>
              <w:spacing w:before="0" w:after="0"/>
              <w:rPr>
                <w:rFonts w:ascii="Times New Roman" w:hAnsi="Times New Roman"/>
                <w:sz w:val="24"/>
              </w:rPr>
            </w:pPr>
            <w:r w:rsidRPr="00824EA2">
              <w:rPr>
                <w:rStyle w:val="InstructionsTabelleberschrift"/>
                <w:rFonts w:ascii="Times New Roman" w:hAnsi="Times New Roman"/>
                <w:sz w:val="24"/>
              </w:rPr>
              <w:t>ПОЯСНЯВАЩА ПОЗИЦИЯ: ПРАГ, ПРИЛАГАН ПРИ СЪБИРАНЕ НА ДАННИ</w:t>
            </w:r>
          </w:p>
          <w:p w14:paraId="6C9949A4" w14:textId="6C85C37C" w:rsidR="00EE2B76" w:rsidRPr="00824EA2" w:rsidRDefault="00EE2B76" w:rsidP="00EE2B76">
            <w:pPr>
              <w:autoSpaceDE w:val="0"/>
              <w:autoSpaceDN w:val="0"/>
              <w:adjustRightInd w:val="0"/>
              <w:spacing w:before="0" w:after="0"/>
              <w:rPr>
                <w:rStyle w:val="InstructionsTabelleText"/>
                <w:rFonts w:ascii="Times New Roman" w:hAnsi="Times New Roman"/>
                <w:sz w:val="24"/>
              </w:rPr>
            </w:pPr>
            <w:r w:rsidRPr="00824EA2">
              <w:rPr>
                <w:rStyle w:val="InstructionsTabelleText"/>
                <w:rFonts w:ascii="Times New Roman" w:hAnsi="Times New Roman"/>
                <w:sz w:val="24"/>
              </w:rPr>
              <w:t>Институциите отчитат в колони 0090 и 0100 минималните прагове за загуби, които вече са определени и използвани за събирането на данни за вътрешните загуби.</w:t>
            </w:r>
          </w:p>
          <w:p w14:paraId="4FAB0E4A" w14:textId="62A95685" w:rsidR="00EE2B76" w:rsidRPr="00824EA2" w:rsidRDefault="00EE2B76" w:rsidP="00EE2B76">
            <w:pPr>
              <w:autoSpaceDE w:val="0"/>
              <w:autoSpaceDN w:val="0"/>
              <w:adjustRightInd w:val="0"/>
              <w:spacing w:before="0" w:after="0"/>
              <w:rPr>
                <w:rStyle w:val="InstructionsTabelleText"/>
                <w:rFonts w:ascii="Times New Roman" w:hAnsi="Times New Roman"/>
                <w:sz w:val="24"/>
              </w:rPr>
            </w:pPr>
            <w:r w:rsidRPr="00824EA2">
              <w:rPr>
                <w:rStyle w:val="InstructionsTabelleText"/>
                <w:rFonts w:ascii="Times New Roman" w:hAnsi="Times New Roman"/>
                <w:sz w:val="24"/>
              </w:rPr>
              <w:t>Ако институцията прилага само един праг за всяка група дейности, тя попълва само колона 0090.</w:t>
            </w:r>
          </w:p>
          <w:p w14:paraId="70501482" w14:textId="498EFA89" w:rsidR="00EE2B76" w:rsidRPr="00824EA2" w:rsidRDefault="00EE2B76" w:rsidP="00EE2B76">
            <w:pPr>
              <w:rPr>
                <w:rStyle w:val="InstructionsTabelleText"/>
                <w:rFonts w:ascii="Times New Roman" w:hAnsi="Times New Roman"/>
                <w:sz w:val="24"/>
              </w:rPr>
            </w:pPr>
            <w:r w:rsidRPr="00824EA2">
              <w:rPr>
                <w:rStyle w:val="InstructionsTabelleText"/>
                <w:rFonts w:ascii="Times New Roman" w:hAnsi="Times New Roman"/>
                <w:sz w:val="24"/>
              </w:rPr>
              <w:t>Когато в рамките на една и съща група дейности се прилагат различни прагове, се попълва и най-високият приложим праг (колона 0100).</w:t>
            </w:r>
          </w:p>
        </w:tc>
      </w:tr>
    </w:tbl>
    <w:p w14:paraId="7D438528" w14:textId="77777777" w:rsidR="00FD54FC" w:rsidRPr="00824EA2"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7976"/>
      </w:tblGrid>
      <w:tr w:rsidR="00FD54FC" w:rsidRPr="00824EA2" w14:paraId="3025DA90" w14:textId="77777777" w:rsidTr="00EE2B76">
        <w:trPr>
          <w:trHeight w:val="504"/>
        </w:trPr>
        <w:tc>
          <w:tcPr>
            <w:tcW w:w="9062" w:type="dxa"/>
            <w:gridSpan w:val="2"/>
            <w:shd w:val="clear" w:color="auto" w:fill="CCCCCC"/>
          </w:tcPr>
          <w:p w14:paraId="22584A44" w14:textId="77777777" w:rsidR="00FD54FC" w:rsidRPr="00824EA2" w:rsidRDefault="00FD54FC" w:rsidP="005D3C49">
            <w:pPr>
              <w:keepNext/>
              <w:autoSpaceDE w:val="0"/>
              <w:autoSpaceDN w:val="0"/>
              <w:adjustRightInd w:val="0"/>
              <w:spacing w:after="0"/>
              <w:rPr>
                <w:rFonts w:ascii="Times New Roman" w:hAnsi="Times New Roman"/>
                <w:b/>
                <w:bCs/>
                <w:sz w:val="24"/>
              </w:rPr>
            </w:pPr>
            <w:r w:rsidRPr="00824EA2">
              <w:rPr>
                <w:rFonts w:ascii="Times New Roman" w:hAnsi="Times New Roman"/>
                <w:b/>
                <w:sz w:val="24"/>
              </w:rPr>
              <w:t>Редове</w:t>
            </w:r>
          </w:p>
        </w:tc>
      </w:tr>
      <w:tr w:rsidR="00EE2B76" w:rsidRPr="00824EA2" w14:paraId="747AECBF" w14:textId="77777777" w:rsidTr="00EE2B76">
        <w:tc>
          <w:tcPr>
            <w:tcW w:w="1086" w:type="dxa"/>
          </w:tcPr>
          <w:p w14:paraId="373E8135" w14:textId="7C577F6D" w:rsidR="00EE2B76" w:rsidRPr="00824EA2" w:rsidRDefault="00EE2B76" w:rsidP="00EE2B76">
            <w:pPr>
              <w:rPr>
                <w:rFonts w:ascii="Times New Roman" w:hAnsi="Times New Roman"/>
                <w:bCs/>
                <w:sz w:val="24"/>
              </w:rPr>
            </w:pPr>
            <w:r w:rsidRPr="00824EA2">
              <w:rPr>
                <w:rFonts w:ascii="Times New Roman" w:hAnsi="Times New Roman"/>
                <w:sz w:val="24"/>
                <w:lang w:eastAsia="de-DE"/>
              </w:rPr>
              <w:t>0010</w:t>
            </w:r>
            <w:r w:rsidRPr="00824EA2">
              <w:rPr>
                <w:rFonts w:ascii="Times New Roman" w:hAnsi="Times New Roman"/>
                <w:bCs/>
                <w:sz w:val="24"/>
                <w:lang w:eastAsia="nl-BE"/>
              </w:rPr>
              <w:t>-0880</w:t>
            </w:r>
          </w:p>
        </w:tc>
        <w:tc>
          <w:tcPr>
            <w:tcW w:w="7976" w:type="dxa"/>
          </w:tcPr>
          <w:p w14:paraId="73EF9F40" w14:textId="7C8BD87F"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ГРУПИ ДЕЙНОСТИ: КОРПОРАТИВНИ ФИНАНСИ, ТЪРГОВИЯ И ПРОДАЖБИ, БРОКЕРСТВО НА ДРЕБНО, ТЪРГОВСКО БАНКИРАНЕ, БАНКИРАНЕ НА ДРЕБНО, ПЛАЩАНИЯ И СЕТЪЛМЕНТ, АГЕНТСКИ УСЛУГИ, УПРАВЛЕНИЕ НА АКТИВИ, КОРПОРАТИВНИ ПОЗИЦИИ</w:t>
            </w:r>
          </w:p>
          <w:p w14:paraId="4ABD41A7" w14:textId="4AA98EEC" w:rsidR="00EE2B76" w:rsidRPr="00824EA2" w:rsidRDefault="00EE2B76" w:rsidP="00EE2B76">
            <w:pPr>
              <w:pStyle w:val="PlainText"/>
              <w:jc w:val="both"/>
              <w:rPr>
                <w:rFonts w:ascii="Times New Roman" w:hAnsi="Times New Roman"/>
                <w:sz w:val="24"/>
                <w:szCs w:val="24"/>
              </w:rPr>
            </w:pPr>
            <w:r w:rsidRPr="00824EA2">
              <w:rPr>
                <w:rFonts w:ascii="Times New Roman" w:hAnsi="Times New Roman"/>
                <w:sz w:val="24"/>
              </w:rPr>
              <w:t>За всеки вид събитие, водещо до загуба, и група дейности институцията докладва следната информация според вътрешните прагове: броя на водещите до загуба събития (нови събития, водещи до загуба), брутния размер на загубите (нови събития, водещи до загуба), броя на водещите до загуба събития, подлежащи на корекции за загуби, корекциите за загуби, свързани с предходни отчетни периоди, максималната отделна загуба, сбора на петте най-големи загуби, общия размер на пряко възстановените загуби и общия размер на възстановяванията от застраховане и други механизми за прехвърляне на риска.</w:t>
            </w:r>
          </w:p>
          <w:p w14:paraId="598C709E" w14:textId="77777777" w:rsidR="00EE2B76" w:rsidRPr="00824EA2" w:rsidRDefault="00EE2B76" w:rsidP="00EE2B76">
            <w:pPr>
              <w:rPr>
                <w:rFonts w:ascii="Times New Roman" w:hAnsi="Times New Roman"/>
                <w:sz w:val="24"/>
              </w:rPr>
            </w:pPr>
            <w:r w:rsidRPr="00824EA2">
              <w:rPr>
                <w:rFonts w:ascii="Times New Roman" w:hAnsi="Times New Roman"/>
                <w:sz w:val="24"/>
              </w:rPr>
              <w:t>За водещо до загуба събитие, което засяга повече от една група дейности, „размерът на брутната загуба“ се разпределя сред всички засегнати групи дейности.</w:t>
            </w:r>
          </w:p>
          <w:p w14:paraId="7BC94C24" w14:textId="643D0143" w:rsidR="00EE2B76" w:rsidRPr="00824EA2" w:rsidRDefault="00EE2B76" w:rsidP="00EE2B76">
            <w:pPr>
              <w:rPr>
                <w:rFonts w:ascii="Times New Roman" w:hAnsi="Times New Roman"/>
                <w:sz w:val="24"/>
              </w:rPr>
            </w:pPr>
            <w:r w:rsidRPr="00824EA2">
              <w:rPr>
                <w:rFonts w:ascii="Times New Roman" w:hAnsi="Times New Roman"/>
                <w:sz w:val="24"/>
              </w:rPr>
              <w:t>Институциите, които са изчислили своите капиталови изисквания през декември 2024 г. съгласно BIA, могат да докладват единствено в колони 0910—0980 загубите, за които групата дейности не е установена.</w:t>
            </w:r>
          </w:p>
        </w:tc>
      </w:tr>
      <w:tr w:rsidR="00EE2B76" w:rsidRPr="00824EA2" w14:paraId="5539CB2D" w14:textId="77777777" w:rsidTr="00EE2B76">
        <w:tc>
          <w:tcPr>
            <w:tcW w:w="1086" w:type="dxa"/>
          </w:tcPr>
          <w:p w14:paraId="2AD95C57" w14:textId="47913D1E" w:rsidR="00EE2B76" w:rsidRPr="00824EA2" w:rsidRDefault="00EE2B76" w:rsidP="00EE2B76">
            <w:pPr>
              <w:rPr>
                <w:rFonts w:ascii="Times New Roman" w:hAnsi="Times New Roman"/>
                <w:bCs/>
                <w:sz w:val="24"/>
              </w:rPr>
            </w:pPr>
            <w:r w:rsidRPr="00824EA2">
              <w:rPr>
                <w:rFonts w:ascii="Times New Roman" w:hAnsi="Times New Roman"/>
                <w:bCs/>
                <w:sz w:val="24"/>
                <w:lang w:eastAsia="nl-BE"/>
              </w:rPr>
              <w:t>0010, 0110, 0210, 0310, 0410, 0510, 0610, 0710, 0810</w:t>
            </w:r>
          </w:p>
        </w:tc>
        <w:tc>
          <w:tcPr>
            <w:tcW w:w="7976" w:type="dxa"/>
          </w:tcPr>
          <w:p w14:paraId="6FB8404E"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Брой събития, водещи до загуба (нови събития, водещи до загуба)</w:t>
            </w:r>
          </w:p>
          <w:p w14:paraId="0A87F437" w14:textId="77777777" w:rsidR="00EE2B76" w:rsidRPr="00824EA2" w:rsidRDefault="00EE2B76" w:rsidP="00EE2B76">
            <w:pPr>
              <w:rPr>
                <w:rFonts w:ascii="Times New Roman" w:hAnsi="Times New Roman"/>
                <w:sz w:val="24"/>
              </w:rPr>
            </w:pPr>
            <w:r w:rsidRPr="00824EA2">
              <w:rPr>
                <w:rFonts w:ascii="Times New Roman" w:hAnsi="Times New Roman"/>
                <w:sz w:val="24"/>
              </w:rPr>
              <w:t>Броят събития, водещи до загуба, е броят на водещите до загуба събития, за които са били осчетоводени брутни загуби през съответния отчетен период.</w:t>
            </w:r>
          </w:p>
          <w:p w14:paraId="1CB08978" w14:textId="77777777" w:rsidR="00EE2B76" w:rsidRPr="00824EA2" w:rsidRDefault="00EE2B76" w:rsidP="00EE2B76">
            <w:pPr>
              <w:keepNext/>
              <w:rPr>
                <w:rFonts w:ascii="Times New Roman" w:hAnsi="Times New Roman"/>
                <w:sz w:val="24"/>
              </w:rPr>
            </w:pPr>
            <w:r w:rsidRPr="00824EA2">
              <w:rPr>
                <w:rFonts w:ascii="Times New Roman" w:hAnsi="Times New Roman"/>
                <w:sz w:val="24"/>
              </w:rPr>
              <w:t>Броят събития, водещи до загуба, се отнася за „новите събития“, т.е. за случаите на реализиране на операционен риск:</w:t>
            </w:r>
          </w:p>
          <w:p w14:paraId="3B968FDE" w14:textId="3F1B5227" w:rsidR="00EE2B76" w:rsidRPr="00824EA2" w:rsidRDefault="00EE2B76" w:rsidP="00EE2B76">
            <w:pPr>
              <w:pStyle w:val="ListParagraph"/>
              <w:numPr>
                <w:ilvl w:val="0"/>
                <w:numId w:val="43"/>
              </w:numPr>
              <w:tabs>
                <w:tab w:val="left" w:pos="459"/>
              </w:tabs>
              <w:ind w:hanging="1080"/>
              <w:rPr>
                <w:rFonts w:ascii="Times New Roman" w:hAnsi="Times New Roman"/>
                <w:sz w:val="24"/>
              </w:rPr>
            </w:pPr>
            <w:r w:rsidRPr="00824EA2">
              <w:rPr>
                <w:rFonts w:ascii="Times New Roman" w:hAnsi="Times New Roman"/>
                <w:sz w:val="24"/>
              </w:rPr>
              <w:t>„осчетоводени за първи път“ през съответния отчетен период; или</w:t>
            </w:r>
          </w:p>
          <w:p w14:paraId="1A1A183C" w14:textId="72C3641D" w:rsidR="00EE2B76" w:rsidRPr="00824EA2" w:rsidRDefault="00EE2B76" w:rsidP="00EE2B76">
            <w:pPr>
              <w:pStyle w:val="ListParagraph"/>
              <w:numPr>
                <w:ilvl w:val="0"/>
                <w:numId w:val="43"/>
              </w:numPr>
              <w:tabs>
                <w:tab w:val="left" w:pos="459"/>
              </w:tabs>
              <w:ind w:left="499" w:hanging="499"/>
              <w:rPr>
                <w:rFonts w:ascii="Times New Roman" w:hAnsi="Times New Roman"/>
                <w:sz w:val="24"/>
              </w:rPr>
            </w:pPr>
            <w:r w:rsidRPr="00824EA2">
              <w:rPr>
                <w:rFonts w:ascii="Times New Roman" w:hAnsi="Times New Roman"/>
                <w:sz w:val="24"/>
              </w:rPr>
              <w:t xml:space="preserve">„осчетоводени за първи път“ през предходен отчетен период, когато водещото до загуба събитие не е включено в предходни пруденциални </w:t>
            </w:r>
            <w:r w:rsidRPr="00824EA2">
              <w:rPr>
                <w:rFonts w:ascii="Times New Roman" w:hAnsi="Times New Roman"/>
                <w:sz w:val="24"/>
              </w:rPr>
              <w:lastRenderedPageBreak/>
              <w:t>доклади, например защото е било определено като събитие, водещо до загуби от операционен риск, през текущия отчетен период или защото натрупаната загуба, относима към това водещо до загуба събитие (т.е. първоначалната загуба плюс/минус всички корекции за загуби, внесени в предходни отчетни периоди), е надвишила едва през текущия отчетен период прага за събиране на вътрешни данни.</w:t>
            </w:r>
          </w:p>
          <w:p w14:paraId="76206E71" w14:textId="77777777" w:rsidR="00EE2B76" w:rsidRPr="00824EA2" w:rsidRDefault="00EE2B76" w:rsidP="00EE2B76">
            <w:pPr>
              <w:rPr>
                <w:rStyle w:val="InstructionsTabelleberschrift"/>
                <w:rFonts w:ascii="Times New Roman" w:hAnsi="Times New Roman"/>
                <w:sz w:val="24"/>
              </w:rPr>
            </w:pPr>
            <w:r w:rsidRPr="00824EA2">
              <w:rPr>
                <w:rFonts w:ascii="Times New Roman" w:hAnsi="Times New Roman"/>
                <w:sz w:val="24"/>
              </w:rPr>
              <w:t>Към „нови събития, водещи до загуба,“ не спадат водещите до загуба събития, „осчетоводени за първи път“ през предходен отчетен период, които вече са били включени в предходни пруденциални доклади.</w:t>
            </w:r>
          </w:p>
        </w:tc>
      </w:tr>
      <w:tr w:rsidR="00EE2B76" w:rsidRPr="00824EA2" w14:paraId="67B548BF" w14:textId="77777777" w:rsidTr="00EE2B76">
        <w:tc>
          <w:tcPr>
            <w:tcW w:w="1086" w:type="dxa"/>
          </w:tcPr>
          <w:p w14:paraId="25346D5E" w14:textId="748BFF51" w:rsidR="00EE2B76" w:rsidRPr="00824EA2" w:rsidRDefault="00EE2B76" w:rsidP="00EE2B76">
            <w:pPr>
              <w:rPr>
                <w:rFonts w:ascii="Times New Roman" w:hAnsi="Times New Roman"/>
                <w:bCs/>
                <w:sz w:val="24"/>
              </w:rPr>
            </w:pPr>
            <w:r w:rsidRPr="00824EA2">
              <w:rPr>
                <w:rFonts w:ascii="Times New Roman" w:hAnsi="Times New Roman"/>
                <w:bCs/>
                <w:sz w:val="24"/>
                <w:lang w:eastAsia="nl-BE"/>
              </w:rPr>
              <w:lastRenderedPageBreak/>
              <w:t>0020, 0120, 0220, 0320, 0420, 0520, 0620, 0720, 0820</w:t>
            </w:r>
          </w:p>
        </w:tc>
        <w:tc>
          <w:tcPr>
            <w:tcW w:w="7976" w:type="dxa"/>
          </w:tcPr>
          <w:p w14:paraId="675477D4"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Размер на брутната загуба (нови събития, водещи до загуба)</w:t>
            </w:r>
          </w:p>
          <w:p w14:paraId="2E85E133" w14:textId="404A4022" w:rsidR="00EE2B76" w:rsidRPr="00824EA2" w:rsidRDefault="00EE2B76" w:rsidP="00EE2B76">
            <w:pPr>
              <w:rPr>
                <w:rFonts w:ascii="Times New Roman" w:hAnsi="Times New Roman"/>
                <w:sz w:val="24"/>
              </w:rPr>
            </w:pPr>
            <w:r w:rsidRPr="00824EA2">
              <w:rPr>
                <w:rFonts w:ascii="Times New Roman" w:hAnsi="Times New Roman"/>
                <w:sz w:val="24"/>
              </w:rPr>
              <w:t>Това е размерът на брутната загуба, свързана със събития, водещи до загуба от операционен риск, в съответствие с член 318, параграф 2 от Регламент (ЕС) № 575/2013. Всички породени от отделно събитие загуби, осчетоводени в рамките на съответния отчетен период, се сумират и приемат за брутната загуба по това водещо до загуба събитие за този отчетен период.</w:t>
            </w:r>
          </w:p>
          <w:p w14:paraId="611D2B8E" w14:textId="77777777" w:rsidR="00EE2B76" w:rsidRPr="00824EA2" w:rsidRDefault="00EE2B76" w:rsidP="00EE2B76">
            <w:pPr>
              <w:rPr>
                <w:rFonts w:ascii="Times New Roman" w:hAnsi="Times New Roman"/>
                <w:sz w:val="24"/>
              </w:rPr>
            </w:pPr>
            <w:r w:rsidRPr="00824EA2">
              <w:rPr>
                <w:rFonts w:ascii="Times New Roman" w:hAnsi="Times New Roman"/>
                <w:sz w:val="24"/>
              </w:rPr>
              <w:t>Докладваният размер на брутната загуба се отнася до „нови събития, водещи до загуба“, съгласно посоченото в горния ред на таблицата. За водещите до загуба събития, „осчетоводени за първи път“ през предходен отчетен период, които не са включени в предходни надзорни отчети, общият размер на загубата, натрупана до референтната дата на докладване (т.е. първоначалната загуба плюс/минус всички корекции за загуби, извършвани през предходни отчетни периоди), се докладва като брутната загуба към референтната дата на докладване.</w:t>
            </w:r>
          </w:p>
          <w:p w14:paraId="371CD21C" w14:textId="77777777" w:rsidR="00EE2B76" w:rsidRPr="00824EA2" w:rsidRDefault="00EE2B76" w:rsidP="00EE2B76">
            <w:pPr>
              <w:rPr>
                <w:rStyle w:val="InstructionsTabelleberschrift"/>
                <w:rFonts w:ascii="Times New Roman" w:hAnsi="Times New Roman"/>
                <w:sz w:val="24"/>
              </w:rPr>
            </w:pPr>
            <w:r w:rsidRPr="00824EA2">
              <w:rPr>
                <w:rFonts w:ascii="Times New Roman" w:hAnsi="Times New Roman"/>
                <w:sz w:val="24"/>
              </w:rPr>
              <w:t>Докладваните стойности не отразяват получените възстановявания.</w:t>
            </w:r>
          </w:p>
        </w:tc>
      </w:tr>
      <w:tr w:rsidR="00EE2B76" w:rsidRPr="00824EA2" w14:paraId="35BC8758" w14:textId="77777777" w:rsidTr="00EE2B76">
        <w:tc>
          <w:tcPr>
            <w:tcW w:w="1086" w:type="dxa"/>
          </w:tcPr>
          <w:p w14:paraId="30B4B9A7" w14:textId="39CEBC83" w:rsidR="00EE2B76" w:rsidRPr="00824EA2" w:rsidRDefault="00EE2B76" w:rsidP="00EE2B76">
            <w:pPr>
              <w:rPr>
                <w:rFonts w:ascii="Times New Roman" w:hAnsi="Times New Roman"/>
                <w:bCs/>
                <w:sz w:val="24"/>
              </w:rPr>
            </w:pPr>
            <w:r w:rsidRPr="00824EA2">
              <w:rPr>
                <w:rFonts w:ascii="Times New Roman" w:hAnsi="Times New Roman"/>
                <w:bCs/>
                <w:sz w:val="24"/>
                <w:lang w:eastAsia="nl-BE"/>
              </w:rPr>
              <w:t>0030, 0130, 0230, 0330, 0430, 0530, 0630, 0730, 0830</w:t>
            </w:r>
          </w:p>
        </w:tc>
        <w:tc>
          <w:tcPr>
            <w:tcW w:w="7976" w:type="dxa"/>
          </w:tcPr>
          <w:p w14:paraId="20431596"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Брой водещи до загуби събития, подлежащи на корекции за загуби</w:t>
            </w:r>
          </w:p>
          <w:p w14:paraId="489FCDC5" w14:textId="15690A81" w:rsidR="00EE2B76" w:rsidRPr="00824EA2" w:rsidRDefault="00EE2B76" w:rsidP="00EE2B76">
            <w:pPr>
              <w:rPr>
                <w:rFonts w:ascii="Times New Roman" w:hAnsi="Times New Roman"/>
                <w:sz w:val="24"/>
              </w:rPr>
            </w:pPr>
            <w:r w:rsidRPr="00824EA2">
              <w:rPr>
                <w:rFonts w:ascii="Times New Roman" w:hAnsi="Times New Roman"/>
                <w:sz w:val="24"/>
              </w:rPr>
              <w:t>Броят на водещи до загуби събития, подлежащи на корекции за загуби, е броят на събитията, водещи до загуба от операционен риск, „осчетоводени за първи път“ през предходен отчетен период, които вече са били включени в предходни пруденциални доклади и по отношение на които са били извършени корекции за загуби през текущия отчетен период.</w:t>
            </w:r>
          </w:p>
          <w:p w14:paraId="35A5D3D6" w14:textId="77777777" w:rsidR="00EE2B76" w:rsidRPr="00824EA2" w:rsidRDefault="00EE2B76" w:rsidP="00EE2B76">
            <w:pPr>
              <w:rPr>
                <w:b/>
                <w:sz w:val="24"/>
              </w:rPr>
            </w:pPr>
            <w:r w:rsidRPr="00824EA2">
              <w:rPr>
                <w:rFonts w:ascii="Times New Roman" w:hAnsi="Times New Roman"/>
                <w:sz w:val="24"/>
              </w:rPr>
              <w:t xml:space="preserve"> Когато по отношение на едно събитие, водещо до загуба, е била извършена повече от една корекция за загуби в рамките на отчетния период, сумата на тези корекции за загуби се смята като една корекция през периода.</w:t>
            </w:r>
          </w:p>
        </w:tc>
      </w:tr>
      <w:tr w:rsidR="00EE2B76" w:rsidRPr="00824EA2" w14:paraId="4897901E" w14:textId="77777777" w:rsidTr="00EE2B76">
        <w:tc>
          <w:tcPr>
            <w:tcW w:w="1086" w:type="dxa"/>
          </w:tcPr>
          <w:p w14:paraId="1CA10334" w14:textId="07D99960" w:rsidR="00EE2B76" w:rsidRPr="00824EA2" w:rsidRDefault="00EE2B76" w:rsidP="00EE2B76">
            <w:pPr>
              <w:rPr>
                <w:rFonts w:ascii="Times New Roman" w:hAnsi="Times New Roman"/>
                <w:bCs/>
                <w:sz w:val="24"/>
              </w:rPr>
            </w:pPr>
            <w:r w:rsidRPr="00824EA2">
              <w:rPr>
                <w:rFonts w:ascii="Times New Roman" w:hAnsi="Times New Roman"/>
                <w:bCs/>
                <w:sz w:val="24"/>
                <w:lang w:eastAsia="nl-BE"/>
              </w:rPr>
              <w:t>0040, 0140, 0240, 0340, 0440, 0540, 0640, 0</w:t>
            </w:r>
            <w:r w:rsidRPr="00824EA2">
              <w:rPr>
                <w:rFonts w:ascii="Times New Roman" w:hAnsi="Times New Roman"/>
                <w:sz w:val="24"/>
                <w:lang w:eastAsia="de-DE"/>
              </w:rPr>
              <w:t>740</w:t>
            </w:r>
            <w:r w:rsidRPr="00824EA2">
              <w:rPr>
                <w:rFonts w:ascii="Times New Roman" w:hAnsi="Times New Roman"/>
                <w:bCs/>
                <w:sz w:val="24"/>
                <w:lang w:eastAsia="nl-BE"/>
              </w:rPr>
              <w:t>, 0840</w:t>
            </w:r>
          </w:p>
        </w:tc>
        <w:tc>
          <w:tcPr>
            <w:tcW w:w="7976" w:type="dxa"/>
          </w:tcPr>
          <w:p w14:paraId="68049943" w14:textId="77777777" w:rsidR="00EE2B76" w:rsidRPr="00824EA2" w:rsidRDefault="00EE2B76" w:rsidP="00EE2B76">
            <w:pPr>
              <w:keepNext/>
              <w:rPr>
                <w:rStyle w:val="InstructionsTabelleberschrift"/>
                <w:rFonts w:ascii="Times New Roman" w:hAnsi="Times New Roman"/>
                <w:sz w:val="24"/>
              </w:rPr>
            </w:pPr>
            <w:r w:rsidRPr="00824EA2">
              <w:rPr>
                <w:rStyle w:val="InstructionsTabelleberschrift"/>
                <w:rFonts w:ascii="Times New Roman" w:hAnsi="Times New Roman"/>
                <w:sz w:val="24"/>
              </w:rPr>
              <w:t>Корекции за загуби, свързани с предходни отчетни периоди</w:t>
            </w:r>
          </w:p>
          <w:p w14:paraId="13788219" w14:textId="77777777" w:rsidR="00EE2B76" w:rsidRPr="00824EA2" w:rsidRDefault="00EE2B76" w:rsidP="00EE2B76">
            <w:pPr>
              <w:keepNext/>
              <w:rPr>
                <w:rFonts w:ascii="Times New Roman" w:hAnsi="Times New Roman"/>
                <w:sz w:val="24"/>
              </w:rPr>
            </w:pPr>
            <w:r w:rsidRPr="00824EA2">
              <w:rPr>
                <w:rFonts w:ascii="Times New Roman" w:hAnsi="Times New Roman"/>
                <w:sz w:val="24"/>
              </w:rPr>
              <w:t>Корекциите за загуби, свързани с предходни отчетни периоди, е сумата от следните елементи (положителни или отрицателни):</w:t>
            </w:r>
          </w:p>
          <w:p w14:paraId="1123BBFF" w14:textId="68B858FE" w:rsidR="00EE2B76" w:rsidRPr="00824EA2" w:rsidRDefault="00EE2B76" w:rsidP="00EE2B76">
            <w:pPr>
              <w:pStyle w:val="ListParagraph"/>
              <w:numPr>
                <w:ilvl w:val="0"/>
                <w:numId w:val="44"/>
              </w:numPr>
              <w:tabs>
                <w:tab w:val="left" w:pos="459"/>
              </w:tabs>
              <w:ind w:left="358" w:hanging="284"/>
              <w:rPr>
                <w:rFonts w:ascii="Times New Roman" w:hAnsi="Times New Roman"/>
                <w:sz w:val="24"/>
              </w:rPr>
            </w:pPr>
            <w:r w:rsidRPr="00824EA2">
              <w:rPr>
                <w:rFonts w:ascii="Times New Roman" w:hAnsi="Times New Roman"/>
                <w:sz w:val="24"/>
              </w:rPr>
              <w:t>брутния размер на загубите, свързани с положителни корекции за загуби, внесени в рамките на съответния отчетен период (напр. увеличаване на провизии, свързани довели до загуба събития, допълнително уреждане на задължения), по случаи на реализиране на операционен риск, „осчетоводени за първи път“ и докладвани в предходен отчетен период;</w:t>
            </w:r>
          </w:p>
          <w:p w14:paraId="22EFE0FB" w14:textId="1EA56092" w:rsidR="00EE2B76" w:rsidRPr="00824EA2" w:rsidRDefault="00EE2B76" w:rsidP="00EE2B76">
            <w:pPr>
              <w:pStyle w:val="ListParagraph"/>
              <w:numPr>
                <w:ilvl w:val="0"/>
                <w:numId w:val="44"/>
              </w:numPr>
              <w:tabs>
                <w:tab w:val="left" w:pos="459"/>
              </w:tabs>
              <w:ind w:left="358" w:hanging="284"/>
              <w:rPr>
                <w:rFonts w:ascii="Times New Roman" w:hAnsi="Times New Roman"/>
                <w:sz w:val="24"/>
              </w:rPr>
            </w:pPr>
            <w:r w:rsidRPr="00824EA2">
              <w:rPr>
                <w:rFonts w:ascii="Times New Roman" w:hAnsi="Times New Roman"/>
                <w:sz w:val="24"/>
              </w:rPr>
              <w:lastRenderedPageBreak/>
              <w:t>брутния размер на загубите, свързани с отрицателни корекции за загуби, внесени в рамките на съответния отчетен период (напр. поради намаляване на провизиите), по събития, водещи до загуба от операционен риск, „осчетоводени за първи път“ и докладвани в предходен отчетен период.</w:t>
            </w:r>
          </w:p>
          <w:p w14:paraId="6796D1A0" w14:textId="77777777" w:rsidR="00EE2B76" w:rsidRPr="00824EA2" w:rsidRDefault="00EE2B76" w:rsidP="00EE2B76">
            <w:pPr>
              <w:rPr>
                <w:rFonts w:ascii="Times New Roman" w:hAnsi="Times New Roman"/>
                <w:sz w:val="24"/>
              </w:rPr>
            </w:pPr>
            <w:r w:rsidRPr="00824EA2">
              <w:rPr>
                <w:rFonts w:ascii="Times New Roman" w:hAnsi="Times New Roman"/>
                <w:sz w:val="24"/>
              </w:rPr>
              <w:t>Когато по отношение на едно водещо до загуба събитие е била внесена повече от една корекция за загуби в рамките на отчетния период, всички тези корекции се сумират при съблюдаване на знака им (положителен или отрицателен). Тази сума се счита за корекцията за загуби за това водещо до загуба събитие за съответния отчетен период.</w:t>
            </w:r>
          </w:p>
          <w:p w14:paraId="1FF4DC2A" w14:textId="77777777" w:rsidR="00EE2B76" w:rsidRPr="00824EA2" w:rsidRDefault="00EE2B76" w:rsidP="00EE2B76">
            <w:pPr>
              <w:rPr>
                <w:rFonts w:ascii="Times New Roman" w:hAnsi="Times New Roman"/>
                <w:sz w:val="24"/>
              </w:rPr>
            </w:pPr>
            <w:r w:rsidRPr="00824EA2">
              <w:rPr>
                <w:rFonts w:ascii="Times New Roman" w:hAnsi="Times New Roman"/>
                <w:sz w:val="24"/>
              </w:rPr>
              <w:t>Когато вследствие на отрицателна корекция за загуби коригираният размер на загубите, относими към дадено събитие, водещо до загуба, падне под прага на институцията за събиране на вътрешни данни, вместо самата отрицателна корекция институцията докладва с отрицателен знак общия размер на загубата за това водещо до загуба събитие, натрупан до момента, до който събитието е било докладвано за последен път при референтна дата през декември (т.е. първоначалната загуба плюс/минус всички корекции за загуби, внесени през предходни отчетни периоди).</w:t>
            </w:r>
          </w:p>
          <w:p w14:paraId="0FAF0676" w14:textId="77777777" w:rsidR="00EE2B76" w:rsidRPr="00824EA2" w:rsidRDefault="00EE2B76" w:rsidP="00EE2B76">
            <w:pPr>
              <w:rPr>
                <w:b/>
                <w:bCs/>
                <w:sz w:val="24"/>
              </w:rPr>
            </w:pPr>
            <w:r w:rsidRPr="00824EA2">
              <w:rPr>
                <w:rFonts w:ascii="Times New Roman" w:hAnsi="Times New Roman"/>
                <w:sz w:val="24"/>
              </w:rPr>
              <w:t>Докладваните стойности не отразяват получените възстановявания.</w:t>
            </w:r>
          </w:p>
        </w:tc>
      </w:tr>
      <w:tr w:rsidR="00C0691E" w:rsidRPr="00824EA2" w14:paraId="03FCD499" w14:textId="77777777" w:rsidTr="00EE2B76">
        <w:tc>
          <w:tcPr>
            <w:tcW w:w="1086" w:type="dxa"/>
          </w:tcPr>
          <w:p w14:paraId="7980B206" w14:textId="41DDAC53" w:rsidR="00C0691E" w:rsidRPr="00824EA2" w:rsidRDefault="00C0691E" w:rsidP="00C0691E">
            <w:pPr>
              <w:rPr>
                <w:rFonts w:ascii="Times New Roman" w:hAnsi="Times New Roman"/>
                <w:bCs/>
                <w:sz w:val="24"/>
              </w:rPr>
            </w:pPr>
            <w:r w:rsidRPr="00824EA2">
              <w:rPr>
                <w:rFonts w:ascii="Times New Roman" w:hAnsi="Times New Roman"/>
                <w:bCs/>
                <w:sz w:val="24"/>
                <w:lang w:eastAsia="nl-BE"/>
              </w:rPr>
              <w:t>0050, 0150, 0250, 0350, 0450, 0550, 0650, 0750, 0850</w:t>
            </w:r>
          </w:p>
        </w:tc>
        <w:tc>
          <w:tcPr>
            <w:tcW w:w="7976" w:type="dxa"/>
          </w:tcPr>
          <w:p w14:paraId="593A9C4B" w14:textId="77777777" w:rsidR="00C0691E" w:rsidRPr="00824EA2" w:rsidRDefault="00C0691E" w:rsidP="00C0691E">
            <w:pPr>
              <w:keepNext/>
              <w:rPr>
                <w:rStyle w:val="InstructionsTabelleberschrift"/>
                <w:rFonts w:ascii="Times New Roman" w:hAnsi="Times New Roman"/>
                <w:sz w:val="24"/>
              </w:rPr>
            </w:pPr>
            <w:r w:rsidRPr="00824EA2">
              <w:rPr>
                <w:rStyle w:val="InstructionsTabelleberschrift"/>
                <w:rFonts w:ascii="Times New Roman" w:hAnsi="Times New Roman"/>
                <w:sz w:val="24"/>
              </w:rPr>
              <w:t>Максимална отделна загуба</w:t>
            </w:r>
          </w:p>
          <w:p w14:paraId="388ADCDC" w14:textId="77777777" w:rsidR="00C0691E" w:rsidRPr="00824EA2" w:rsidRDefault="00C0691E" w:rsidP="00C0691E">
            <w:pPr>
              <w:keepNext/>
              <w:rPr>
                <w:rFonts w:ascii="Times New Roman" w:hAnsi="Times New Roman"/>
                <w:sz w:val="24"/>
              </w:rPr>
            </w:pPr>
            <w:r w:rsidRPr="00824EA2">
              <w:rPr>
                <w:rFonts w:ascii="Times New Roman" w:hAnsi="Times New Roman"/>
                <w:sz w:val="24"/>
              </w:rPr>
              <w:t>Максималната отделна загуба е по-голямата от следните стойности:</w:t>
            </w:r>
          </w:p>
          <w:p w14:paraId="4247C82D" w14:textId="0FA11190" w:rsidR="00C0691E" w:rsidRPr="00824EA2" w:rsidRDefault="00C0691E" w:rsidP="00C0691E">
            <w:pPr>
              <w:pStyle w:val="ListParagraph"/>
              <w:numPr>
                <w:ilvl w:val="0"/>
                <w:numId w:val="45"/>
              </w:numPr>
              <w:tabs>
                <w:tab w:val="left" w:pos="459"/>
              </w:tabs>
              <w:ind w:left="499" w:hanging="499"/>
              <w:rPr>
                <w:rFonts w:ascii="Times New Roman" w:hAnsi="Times New Roman"/>
                <w:sz w:val="24"/>
              </w:rPr>
            </w:pPr>
            <w:r w:rsidRPr="00824EA2">
              <w:rPr>
                <w:rFonts w:ascii="Times New Roman" w:hAnsi="Times New Roman"/>
                <w:sz w:val="24"/>
              </w:rPr>
              <w:t>най-големия размер на брутна загуба, свързана с дадено водещо до загуба събитие докладвано за първи път през съответния отчетен период; и</w:t>
            </w:r>
          </w:p>
          <w:p w14:paraId="56D74189" w14:textId="772ECB0D" w:rsidR="00C0691E" w:rsidRPr="00824EA2" w:rsidRDefault="00C0691E" w:rsidP="00C0691E">
            <w:pPr>
              <w:pStyle w:val="ListParagraph"/>
              <w:numPr>
                <w:ilvl w:val="0"/>
                <w:numId w:val="45"/>
              </w:numPr>
              <w:tabs>
                <w:tab w:val="left" w:pos="459"/>
              </w:tabs>
              <w:ind w:left="499" w:hanging="499"/>
              <w:rPr>
                <w:rFonts w:ascii="Times New Roman" w:hAnsi="Times New Roman"/>
                <w:sz w:val="24"/>
              </w:rPr>
            </w:pPr>
            <w:r w:rsidRPr="00824EA2">
              <w:rPr>
                <w:rFonts w:ascii="Times New Roman" w:hAnsi="Times New Roman"/>
                <w:sz w:val="24"/>
              </w:rPr>
              <w:t>най-голямата положителна корекция за загуби (съгласно посоченото в редове 0040, 0140, …, 0840 по-горе), свързана с водещо до загуба събитие, , докладвано за първи път през предходен отчетен период.</w:t>
            </w:r>
          </w:p>
          <w:p w14:paraId="1AFA00C9" w14:textId="77777777" w:rsidR="00C0691E" w:rsidRPr="00824EA2" w:rsidRDefault="00C0691E" w:rsidP="00C0691E">
            <w:pPr>
              <w:rPr>
                <w:sz w:val="24"/>
              </w:rPr>
            </w:pPr>
            <w:r w:rsidRPr="00824EA2">
              <w:rPr>
                <w:rFonts w:ascii="Times New Roman" w:hAnsi="Times New Roman"/>
                <w:sz w:val="24"/>
              </w:rPr>
              <w:t>Докладваните стойности не отразяват получените възстановявания.</w:t>
            </w:r>
          </w:p>
        </w:tc>
      </w:tr>
      <w:tr w:rsidR="00C0691E" w:rsidRPr="00824EA2" w14:paraId="7ED98CBE" w14:textId="77777777" w:rsidTr="00EE2B76">
        <w:tc>
          <w:tcPr>
            <w:tcW w:w="1086" w:type="dxa"/>
          </w:tcPr>
          <w:p w14:paraId="1574A031" w14:textId="681AE91D" w:rsidR="00C0691E" w:rsidRPr="00824EA2" w:rsidRDefault="00C0691E" w:rsidP="00C0691E">
            <w:pPr>
              <w:rPr>
                <w:rFonts w:ascii="Times New Roman" w:hAnsi="Times New Roman"/>
                <w:bCs/>
                <w:sz w:val="24"/>
              </w:rPr>
            </w:pPr>
            <w:r w:rsidRPr="00824EA2">
              <w:rPr>
                <w:rFonts w:ascii="Times New Roman" w:hAnsi="Times New Roman"/>
                <w:bCs/>
                <w:sz w:val="24"/>
                <w:lang w:eastAsia="nl-BE"/>
              </w:rPr>
              <w:t>0060, 0160, 0260, 0360, 0460, 0560, 0660, 0760, 0860</w:t>
            </w:r>
          </w:p>
        </w:tc>
        <w:tc>
          <w:tcPr>
            <w:tcW w:w="7976" w:type="dxa"/>
          </w:tcPr>
          <w:p w14:paraId="36322A87" w14:textId="77777777" w:rsidR="00C0691E" w:rsidRPr="00824EA2" w:rsidRDefault="00C0691E" w:rsidP="00C0691E">
            <w:pPr>
              <w:keepNext/>
              <w:rPr>
                <w:rStyle w:val="InstructionsTabelleberschrift"/>
                <w:rFonts w:ascii="Times New Roman" w:hAnsi="Times New Roman"/>
                <w:sz w:val="24"/>
              </w:rPr>
            </w:pPr>
            <w:r w:rsidRPr="00824EA2">
              <w:rPr>
                <w:rStyle w:val="InstructionsTabelleberschrift"/>
                <w:rFonts w:ascii="Times New Roman" w:hAnsi="Times New Roman"/>
                <w:sz w:val="24"/>
              </w:rPr>
              <w:t>Сбор от петте най-големи загуби</w:t>
            </w:r>
          </w:p>
          <w:p w14:paraId="3D9655C2" w14:textId="77777777" w:rsidR="00C0691E" w:rsidRPr="00824EA2" w:rsidRDefault="00C0691E" w:rsidP="00C0691E">
            <w:pPr>
              <w:keepNext/>
              <w:rPr>
                <w:rFonts w:ascii="Times New Roman" w:hAnsi="Times New Roman"/>
                <w:sz w:val="24"/>
              </w:rPr>
            </w:pPr>
            <w:r w:rsidRPr="00824EA2">
              <w:rPr>
                <w:rFonts w:ascii="Times New Roman" w:hAnsi="Times New Roman"/>
                <w:sz w:val="24"/>
              </w:rPr>
              <w:t>Сборът от петте най-големи загуби представлява сборът от петте най-големи стойности измежду:</w:t>
            </w:r>
          </w:p>
          <w:p w14:paraId="4B64CFB7" w14:textId="47C0B203" w:rsidR="00C0691E" w:rsidRPr="00824EA2" w:rsidRDefault="00C0691E" w:rsidP="00C0691E">
            <w:pPr>
              <w:pStyle w:val="ListParagraph"/>
              <w:numPr>
                <w:ilvl w:val="0"/>
                <w:numId w:val="46"/>
              </w:numPr>
              <w:tabs>
                <w:tab w:val="left" w:pos="459"/>
              </w:tabs>
              <w:ind w:left="499" w:hanging="499"/>
              <w:rPr>
                <w:rFonts w:ascii="Times New Roman" w:hAnsi="Times New Roman"/>
                <w:sz w:val="24"/>
              </w:rPr>
            </w:pPr>
            <w:r w:rsidRPr="00824EA2">
              <w:rPr>
                <w:rFonts w:ascii="Times New Roman" w:hAnsi="Times New Roman"/>
                <w:sz w:val="24"/>
              </w:rPr>
              <w:t>размерите на брутна загуба за водещи до загуба събития, докладвани за първи път през съответния отчетен период; и</w:t>
            </w:r>
          </w:p>
          <w:p w14:paraId="758169F5" w14:textId="305E1E4A" w:rsidR="00C0691E" w:rsidRPr="00824EA2" w:rsidRDefault="00C0691E" w:rsidP="00C0691E">
            <w:pPr>
              <w:pStyle w:val="ListParagraph"/>
              <w:numPr>
                <w:ilvl w:val="0"/>
                <w:numId w:val="46"/>
              </w:numPr>
              <w:tabs>
                <w:tab w:val="left" w:pos="459"/>
              </w:tabs>
              <w:ind w:left="499" w:hanging="499"/>
              <w:rPr>
                <w:rFonts w:ascii="Times New Roman" w:hAnsi="Times New Roman"/>
                <w:sz w:val="24"/>
              </w:rPr>
            </w:pPr>
            <w:r w:rsidRPr="00824EA2">
              <w:rPr>
                <w:rFonts w:ascii="Times New Roman" w:hAnsi="Times New Roman"/>
                <w:sz w:val="24"/>
              </w:rPr>
              <w:t>положителните корекции за загуби (съгласно посоченото в редове 0040, 0140, …, 0840 по-горе), свързани с водещи до загуба събития, докладвани за първи път през предходен отчетен период. Петте най-големи корекции за загуби се определят според размера на самата корекция за загуби, а не според общия размер на загубата, свързана със съответното водещо до загуба събитие, преди или след определяне размера на корекцията за загуби.</w:t>
            </w:r>
          </w:p>
          <w:p w14:paraId="00CACAFA" w14:textId="77777777" w:rsidR="00C0691E" w:rsidRPr="00824EA2" w:rsidRDefault="00C0691E" w:rsidP="00C0691E">
            <w:pPr>
              <w:rPr>
                <w:sz w:val="24"/>
              </w:rPr>
            </w:pPr>
            <w:r w:rsidRPr="00824EA2">
              <w:rPr>
                <w:rFonts w:ascii="Times New Roman" w:hAnsi="Times New Roman"/>
                <w:sz w:val="24"/>
              </w:rPr>
              <w:t>Докладваните стойности не отразяват получените възстановявания.</w:t>
            </w:r>
          </w:p>
        </w:tc>
      </w:tr>
      <w:tr w:rsidR="00746B45" w:rsidRPr="00824EA2" w14:paraId="5406E1EB" w14:textId="77777777" w:rsidTr="00EE2B76">
        <w:tc>
          <w:tcPr>
            <w:tcW w:w="1086" w:type="dxa"/>
          </w:tcPr>
          <w:p w14:paraId="7AF95081" w14:textId="6B6DF724" w:rsidR="00746B45" w:rsidRPr="00824EA2" w:rsidRDefault="00746B45" w:rsidP="00746B45">
            <w:pPr>
              <w:rPr>
                <w:rFonts w:ascii="Times New Roman" w:hAnsi="Times New Roman"/>
                <w:bCs/>
                <w:sz w:val="24"/>
              </w:rPr>
            </w:pPr>
            <w:r w:rsidRPr="00824EA2">
              <w:rPr>
                <w:rFonts w:ascii="Times New Roman" w:hAnsi="Times New Roman"/>
                <w:bCs/>
                <w:sz w:val="24"/>
                <w:lang w:eastAsia="nl-BE"/>
              </w:rPr>
              <w:lastRenderedPageBreak/>
              <w:t>0070, 0170, 0270, 0370, 0470, 0570, 0670, 0770, 0870</w:t>
            </w:r>
          </w:p>
        </w:tc>
        <w:tc>
          <w:tcPr>
            <w:tcW w:w="7976" w:type="dxa"/>
          </w:tcPr>
          <w:p w14:paraId="4992576E" w14:textId="77777777" w:rsidR="00746B45" w:rsidRPr="00824EA2" w:rsidRDefault="00746B45" w:rsidP="00746B45">
            <w:pPr>
              <w:keepNext/>
              <w:rPr>
                <w:sz w:val="24"/>
              </w:rPr>
            </w:pPr>
            <w:r w:rsidRPr="00824EA2">
              <w:rPr>
                <w:rStyle w:val="InstructionsTabelleberschrift"/>
                <w:rFonts w:ascii="Times New Roman" w:hAnsi="Times New Roman"/>
                <w:sz w:val="24"/>
              </w:rPr>
              <w:t>Общ размер на пряко възстановените загуби</w:t>
            </w:r>
          </w:p>
          <w:p w14:paraId="0E30E677" w14:textId="0AA1E7F1" w:rsidR="00746B45" w:rsidRPr="00824EA2" w:rsidRDefault="00746B45" w:rsidP="00746B45">
            <w:pPr>
              <w:rPr>
                <w:rFonts w:ascii="Times New Roman" w:hAnsi="Times New Roman"/>
                <w:sz w:val="24"/>
              </w:rPr>
            </w:pPr>
            <w:r w:rsidRPr="00824EA2">
              <w:rPr>
                <w:rFonts w:ascii="Times New Roman" w:hAnsi="Times New Roman"/>
                <w:sz w:val="24"/>
              </w:rPr>
              <w:t>Пряко възстановените загуби обхващат всички възстановявания на загуби, с изключение на тези, които подлежат на застраховане, съгласно посоченото в долния ред на таблицата.</w:t>
            </w:r>
          </w:p>
          <w:p w14:paraId="05060BFF" w14:textId="25BCB89A" w:rsidR="00746B45" w:rsidRPr="00824EA2" w:rsidRDefault="00746B45" w:rsidP="00746B45">
            <w:pPr>
              <w:rPr>
                <w:rFonts w:ascii="Times New Roman" w:hAnsi="Times New Roman"/>
                <w:sz w:val="24"/>
              </w:rPr>
            </w:pPr>
            <w:r w:rsidRPr="00824EA2">
              <w:rPr>
                <w:rFonts w:ascii="Times New Roman" w:hAnsi="Times New Roman"/>
                <w:sz w:val="24"/>
              </w:rPr>
              <w:t>Общият размер на пряко възстановените загуби е сборът на всички преки възстановявания и корекции на преки възстановявания, осчетоводени през отчетния период и свързани със събития, водещи до загуба от операционен риск, осчетоводени за първи път през отчетния период или през предходни отчетни периоди.</w:t>
            </w:r>
          </w:p>
        </w:tc>
      </w:tr>
      <w:tr w:rsidR="00746B45" w:rsidRPr="00824EA2" w14:paraId="634FF9D5" w14:textId="77777777" w:rsidTr="00EE2B76">
        <w:tc>
          <w:tcPr>
            <w:tcW w:w="1086" w:type="dxa"/>
          </w:tcPr>
          <w:p w14:paraId="2715DBA0" w14:textId="3A200644" w:rsidR="00746B45" w:rsidRPr="00824EA2" w:rsidRDefault="00746B45" w:rsidP="00746B45">
            <w:pPr>
              <w:rPr>
                <w:rFonts w:ascii="Times New Roman" w:hAnsi="Times New Roman"/>
                <w:bCs/>
                <w:sz w:val="24"/>
              </w:rPr>
            </w:pPr>
            <w:r w:rsidRPr="00824EA2">
              <w:rPr>
                <w:rFonts w:ascii="Times New Roman" w:hAnsi="Times New Roman"/>
                <w:bCs/>
                <w:sz w:val="24"/>
                <w:lang w:eastAsia="nl-BE"/>
              </w:rPr>
              <w:t>0080, 0180, 0</w:t>
            </w:r>
            <w:r w:rsidRPr="00824EA2">
              <w:rPr>
                <w:rFonts w:ascii="Times New Roman" w:hAnsi="Times New Roman"/>
                <w:sz w:val="24"/>
                <w:lang w:eastAsia="de-DE"/>
              </w:rPr>
              <w:t>280</w:t>
            </w:r>
            <w:r w:rsidRPr="00824EA2">
              <w:rPr>
                <w:rFonts w:ascii="Times New Roman" w:hAnsi="Times New Roman"/>
                <w:bCs/>
                <w:sz w:val="24"/>
                <w:lang w:eastAsia="nl-BE"/>
              </w:rPr>
              <w:t>, 0380, 0480, 0580, 0680, 0780, 0880</w:t>
            </w:r>
          </w:p>
        </w:tc>
        <w:tc>
          <w:tcPr>
            <w:tcW w:w="7976" w:type="dxa"/>
          </w:tcPr>
          <w:p w14:paraId="0C974825" w14:textId="004BC639"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 размер на възстановяванията от застраховане</w:t>
            </w:r>
          </w:p>
          <w:p w14:paraId="22B75DB4" w14:textId="760018A0" w:rsidR="00746B45" w:rsidRPr="00824EA2" w:rsidRDefault="00746B45" w:rsidP="00746B45">
            <w:pPr>
              <w:rPr>
                <w:rFonts w:ascii="Times New Roman" w:hAnsi="Times New Roman"/>
                <w:sz w:val="24"/>
              </w:rPr>
            </w:pPr>
            <w:r w:rsidRPr="00824EA2">
              <w:rPr>
                <w:rFonts w:ascii="Times New Roman" w:hAnsi="Times New Roman"/>
                <w:sz w:val="24"/>
              </w:rPr>
              <w:t>Възстановявания от застраховане са възстановяванията съгласно член 317, параграф 1 и член 318 от Регламент (ЕС) № 575/2013.</w:t>
            </w:r>
          </w:p>
          <w:p w14:paraId="6F9286F3" w14:textId="3EB99CA9" w:rsidR="00746B45" w:rsidRPr="00824EA2" w:rsidRDefault="00746B45" w:rsidP="00746B45">
            <w:pPr>
              <w:rPr>
                <w:sz w:val="24"/>
              </w:rPr>
            </w:pPr>
            <w:r w:rsidRPr="00824EA2">
              <w:rPr>
                <w:rFonts w:ascii="Times New Roman" w:hAnsi="Times New Roman"/>
                <w:sz w:val="24"/>
              </w:rPr>
              <w:t>Общият размер на възстановяванията от застраховане е сборът на всички възстановявания от застраховане и корекции на такива възстановявания, осчетоводени през отчетния период и вързани със събития, водещи до загуба от операционен риск, осчетоводени за първи път през отчетния период или през предходни отчетни периоди.</w:t>
            </w:r>
          </w:p>
        </w:tc>
      </w:tr>
      <w:tr w:rsidR="00746B45" w:rsidRPr="00824EA2" w14:paraId="331252AE" w14:textId="77777777" w:rsidTr="00EE2B76">
        <w:tc>
          <w:tcPr>
            <w:tcW w:w="1086" w:type="dxa"/>
          </w:tcPr>
          <w:p w14:paraId="0E304D67" w14:textId="1DB79361" w:rsidR="00746B45" w:rsidRPr="00824EA2" w:rsidRDefault="00746B45" w:rsidP="00746B45">
            <w:pPr>
              <w:rPr>
                <w:rFonts w:ascii="Times New Roman" w:hAnsi="Times New Roman"/>
                <w:bCs/>
                <w:sz w:val="24"/>
              </w:rPr>
            </w:pPr>
            <w:r w:rsidRPr="00824EA2">
              <w:rPr>
                <w:rFonts w:ascii="Times New Roman" w:hAnsi="Times New Roman"/>
                <w:sz w:val="24"/>
                <w:lang w:eastAsia="de-DE"/>
              </w:rPr>
              <w:t>0910</w:t>
            </w:r>
            <w:r w:rsidRPr="00824EA2">
              <w:rPr>
                <w:rFonts w:ascii="Times New Roman" w:hAnsi="Times New Roman"/>
                <w:bCs/>
                <w:sz w:val="24"/>
                <w:lang w:eastAsia="nl-BE"/>
              </w:rPr>
              <w:t>-0980</w:t>
            </w:r>
          </w:p>
        </w:tc>
        <w:tc>
          <w:tcPr>
            <w:tcW w:w="7976" w:type="dxa"/>
          </w:tcPr>
          <w:p w14:paraId="6E1626E8"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ОБЩО ГРУПИ ДЕЙНОСТИ</w:t>
            </w:r>
          </w:p>
          <w:p w14:paraId="62DF7EDA" w14:textId="77777777" w:rsidR="00746B45" w:rsidRPr="00824EA2" w:rsidRDefault="00746B45" w:rsidP="00746B45">
            <w:pPr>
              <w:rPr>
                <w:rFonts w:ascii="Times New Roman" w:hAnsi="Times New Roman"/>
                <w:sz w:val="24"/>
              </w:rPr>
            </w:pPr>
            <w:r w:rsidRPr="00824EA2">
              <w:rPr>
                <w:rFonts w:ascii="Times New Roman" w:hAnsi="Times New Roman"/>
                <w:sz w:val="24"/>
              </w:rPr>
              <w:t>За всеки вид водещо до загуба събитие (колони от 0010 до 0080), се докладва информацията общо за групите дейности.</w:t>
            </w:r>
          </w:p>
        </w:tc>
      </w:tr>
      <w:tr w:rsidR="00746B45" w:rsidRPr="00824EA2" w14:paraId="5E001C76" w14:textId="77777777" w:rsidTr="00EE2B76">
        <w:tc>
          <w:tcPr>
            <w:tcW w:w="1086" w:type="dxa"/>
          </w:tcPr>
          <w:p w14:paraId="60FA9CC0" w14:textId="269DBB18" w:rsidR="00746B45" w:rsidRPr="00824EA2" w:rsidRDefault="00746B45" w:rsidP="00746B45">
            <w:pPr>
              <w:rPr>
                <w:rFonts w:ascii="Times New Roman" w:hAnsi="Times New Roman"/>
                <w:bCs/>
                <w:sz w:val="24"/>
              </w:rPr>
            </w:pPr>
            <w:r w:rsidRPr="00824EA2">
              <w:rPr>
                <w:rFonts w:ascii="Times New Roman" w:hAnsi="Times New Roman"/>
                <w:bCs/>
                <w:sz w:val="24"/>
                <w:lang w:eastAsia="nl-BE"/>
              </w:rPr>
              <w:t>0910-0914</w:t>
            </w:r>
          </w:p>
        </w:tc>
        <w:tc>
          <w:tcPr>
            <w:tcW w:w="7976" w:type="dxa"/>
          </w:tcPr>
          <w:p w14:paraId="095C4CCB"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Брой на събитията, водещи до загуба</w:t>
            </w:r>
          </w:p>
          <w:p w14:paraId="34FAAF76" w14:textId="71BBD004" w:rsidR="00746B45" w:rsidRPr="00824EA2" w:rsidRDefault="00746B45" w:rsidP="00746B45">
            <w:pPr>
              <w:rPr>
                <w:rFonts w:ascii="Times New Roman" w:hAnsi="Times New Roman"/>
                <w:sz w:val="24"/>
              </w:rPr>
            </w:pPr>
            <w:r w:rsidRPr="00824EA2">
              <w:rPr>
                <w:rFonts w:ascii="Times New Roman" w:hAnsi="Times New Roman"/>
                <w:sz w:val="24"/>
              </w:rPr>
              <w:t>В ред 0910 се докладва броят на събитията, водещи до загуба, над вътрешния праг по видове водещи до загуба събития общо за групите дейности. Тази стойност може да е по-ниска от сбора на броя събития, водещи до загуба, по групи дейности, тъй като водещите до загуба събития с многостранно въздействие (въздействие върху няколко групи дейности) се приемат за едно събитие. Тя може да е по-висока, когато институция, изчисляваща капиталовите си изисквания съгласно BIA през декември 2024 г., не може винаги да установи кои групи дейности са засегнати от загубата.</w:t>
            </w:r>
          </w:p>
          <w:p w14:paraId="1029FFB0" w14:textId="77777777" w:rsidR="00746B45" w:rsidRPr="00824EA2" w:rsidRDefault="00746B45" w:rsidP="00746B45">
            <w:pPr>
              <w:rPr>
                <w:rFonts w:ascii="Times New Roman" w:hAnsi="Times New Roman"/>
                <w:sz w:val="24"/>
              </w:rPr>
            </w:pPr>
            <w:r w:rsidRPr="00824EA2">
              <w:rPr>
                <w:rFonts w:ascii="Times New Roman" w:hAnsi="Times New Roman"/>
                <w:sz w:val="24"/>
              </w:rPr>
              <w:t>В редове 0911—0914 се докладва броят на водещите до загуба събития, чийто размер на брутната загуба попада в определените в съответните колони на образеца интервали.</w:t>
            </w:r>
          </w:p>
          <w:p w14:paraId="3642B0CB" w14:textId="732C4B5C" w:rsidR="00746B45" w:rsidRPr="00824EA2" w:rsidRDefault="00746B45" w:rsidP="00746B45">
            <w:pPr>
              <w:keepNext/>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групите дейности или че съответно е установила вида събитие за всички загуби, за колона 0080 се прилага според случая следното:</w:t>
            </w:r>
          </w:p>
          <w:p w14:paraId="37853BE1" w14:textId="6BFD6AFC" w:rsidR="00746B45" w:rsidRPr="00824EA2" w:rsidRDefault="00746B45" w:rsidP="00746B45">
            <w:pPr>
              <w:pStyle w:val="ListParagraph"/>
              <w:numPr>
                <w:ilvl w:val="0"/>
                <w:numId w:val="31"/>
              </w:numPr>
              <w:ind w:left="358" w:hanging="358"/>
              <w:rPr>
                <w:rFonts w:ascii="Times New Roman" w:hAnsi="Times New Roman"/>
                <w:sz w:val="24"/>
              </w:rPr>
            </w:pPr>
            <w:r w:rsidRPr="00824EA2">
              <w:rPr>
                <w:rFonts w:ascii="Times New Roman" w:hAnsi="Times New Roman"/>
                <w:sz w:val="24"/>
              </w:rPr>
              <w:t>общият брой водещи до загуба събития, докладвани в редове 0910—0914, е равен на хоризонталния сбор на броя водещи до загуба събития в съответния ред, при условие че при тези стойности събитията с въздействие върху няколко групи дейности вече са приети за едно събитие, водещо до загуба.</w:t>
            </w:r>
          </w:p>
          <w:p w14:paraId="0D57024E" w14:textId="6D59921A" w:rsidR="00746B45" w:rsidRPr="00824EA2" w:rsidRDefault="00746B45" w:rsidP="00746B45">
            <w:pPr>
              <w:pStyle w:val="ListParagraph"/>
              <w:numPr>
                <w:ilvl w:val="0"/>
                <w:numId w:val="31"/>
              </w:numPr>
              <w:ind w:left="358" w:hanging="358"/>
              <w:rPr>
                <w:rStyle w:val="InstructionsTabelleberschrift"/>
                <w:rFonts w:ascii="Times New Roman" w:hAnsi="Times New Roman"/>
                <w:b w:val="0"/>
                <w:bCs w:val="0"/>
                <w:sz w:val="24"/>
                <w:u w:val="none"/>
              </w:rPr>
            </w:pPr>
            <w:r w:rsidRPr="00824EA2">
              <w:rPr>
                <w:rFonts w:ascii="Times New Roman" w:hAnsi="Times New Roman"/>
                <w:sz w:val="24"/>
              </w:rPr>
              <w:lastRenderedPageBreak/>
              <w:t>докладваната в ред 0910, колона 0080 стойност не е непременно равна на вертикалния сбор на броя водещи до загуба събития, включени в колона 0080, тъй като едно събитие, водещо до загуба, може да окаже въздействие едновременно върху различни групи дейности.</w:t>
            </w:r>
          </w:p>
        </w:tc>
      </w:tr>
      <w:tr w:rsidR="00746B45" w:rsidRPr="00824EA2" w14:paraId="758B9A40" w14:textId="77777777" w:rsidTr="00EE2B76">
        <w:tc>
          <w:tcPr>
            <w:tcW w:w="1086" w:type="dxa"/>
          </w:tcPr>
          <w:p w14:paraId="4550C890" w14:textId="0C1F4CCE" w:rsidR="00746B45" w:rsidRPr="00824EA2" w:rsidRDefault="00746B45" w:rsidP="00746B45">
            <w:pPr>
              <w:rPr>
                <w:rFonts w:ascii="Times New Roman" w:hAnsi="Times New Roman"/>
                <w:bCs/>
                <w:sz w:val="24"/>
              </w:rPr>
            </w:pPr>
            <w:r w:rsidRPr="00824EA2">
              <w:rPr>
                <w:rFonts w:ascii="Times New Roman" w:hAnsi="Times New Roman"/>
                <w:bCs/>
                <w:sz w:val="24"/>
                <w:lang w:eastAsia="nl-BE"/>
              </w:rPr>
              <w:lastRenderedPageBreak/>
              <w:t>0920-0924</w:t>
            </w:r>
          </w:p>
        </w:tc>
        <w:tc>
          <w:tcPr>
            <w:tcW w:w="7976" w:type="dxa"/>
          </w:tcPr>
          <w:p w14:paraId="472B1327"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Размер на брутната загуба (нови събития, водещи до загуба)</w:t>
            </w:r>
          </w:p>
          <w:p w14:paraId="5A8AAD03" w14:textId="7CBD9A80" w:rsidR="00746B45" w:rsidRPr="00824EA2" w:rsidRDefault="00746B45" w:rsidP="00746B45">
            <w:pPr>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към дадена група дейности, брутният размер на загубите (нови събития), отчетен в ред 0920, представлява обикновеният сбор на брутните размери на загубите по нови събития за всяка група дейности.</w:t>
            </w:r>
          </w:p>
          <w:p w14:paraId="151C30DF" w14:textId="77777777"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В редове 0921—0924 се докладва брутният размер на загубите за водещи до загуба събития, чийто размер на брутната загуба попада в определените в съответните колони интервали.</w:t>
            </w:r>
          </w:p>
        </w:tc>
      </w:tr>
      <w:tr w:rsidR="00746B45" w:rsidRPr="00824EA2" w14:paraId="2C2C0351" w14:textId="77777777" w:rsidTr="00EE2B76">
        <w:tc>
          <w:tcPr>
            <w:tcW w:w="1086" w:type="dxa"/>
          </w:tcPr>
          <w:p w14:paraId="07A96EC8" w14:textId="47FF2570" w:rsidR="00746B45" w:rsidRPr="00824EA2" w:rsidRDefault="00746B45" w:rsidP="00746B45">
            <w:pPr>
              <w:rPr>
                <w:rFonts w:ascii="Times New Roman" w:hAnsi="Times New Roman"/>
                <w:bCs/>
                <w:sz w:val="24"/>
              </w:rPr>
            </w:pPr>
            <w:r w:rsidRPr="00824EA2">
              <w:rPr>
                <w:rFonts w:ascii="Times New Roman" w:hAnsi="Times New Roman"/>
                <w:sz w:val="24"/>
                <w:lang w:eastAsia="de-DE"/>
              </w:rPr>
              <w:t>0930, 0</w:t>
            </w:r>
            <w:r w:rsidRPr="00824EA2">
              <w:rPr>
                <w:rFonts w:ascii="Times New Roman" w:hAnsi="Times New Roman"/>
                <w:bCs/>
                <w:sz w:val="24"/>
                <w:lang w:eastAsia="nl-BE"/>
              </w:rPr>
              <w:t>935, 0936</w:t>
            </w:r>
          </w:p>
        </w:tc>
        <w:tc>
          <w:tcPr>
            <w:tcW w:w="7976" w:type="dxa"/>
          </w:tcPr>
          <w:p w14:paraId="0A0BA6EE" w14:textId="77777777" w:rsidR="00746B45" w:rsidRPr="00824EA2" w:rsidRDefault="00746B45" w:rsidP="00746B45">
            <w:pPr>
              <w:keepNext/>
              <w:rPr>
                <w:rFonts w:ascii="Times New Roman" w:hAnsi="Times New Roman"/>
                <w:sz w:val="24"/>
              </w:rPr>
            </w:pPr>
            <w:r w:rsidRPr="00824EA2">
              <w:rPr>
                <w:rStyle w:val="InstructionsTabelleberschrift"/>
                <w:rFonts w:ascii="Times New Roman" w:hAnsi="Times New Roman"/>
                <w:sz w:val="24"/>
              </w:rPr>
              <w:t>Брой водещи до загуби събития, подлежащи на корекции за загуби</w:t>
            </w:r>
          </w:p>
          <w:p w14:paraId="7C0FBBBE" w14:textId="1D9BA1FB" w:rsidR="00746B45" w:rsidRPr="00824EA2" w:rsidRDefault="00746B45" w:rsidP="00746B45">
            <w:pPr>
              <w:rPr>
                <w:rFonts w:ascii="Times New Roman" w:hAnsi="Times New Roman"/>
                <w:sz w:val="24"/>
              </w:rPr>
            </w:pPr>
            <w:r w:rsidRPr="00824EA2">
              <w:rPr>
                <w:rFonts w:ascii="Times New Roman" w:hAnsi="Times New Roman"/>
                <w:sz w:val="24"/>
              </w:rPr>
              <w:t>В ред 0930 се докладва общият брой на водещите до загуба събития, подлежащи на корекции за загуби, съгласно посоченото в редове 0030, 0130,..., 0830. Тази стойност може да е по-ниска от сбора на броя водещи до загуба събития, подлежащи на корекции за загуби, по групи дейности, тъй като водещите до загуба събития с многостранно въздействие (въздействие върху няколко групи дейности) се приемат за едно събитие. Тя може да бъде по-висока, когато институция, изчисляваща капиталовите си изисквания съгласно BIA през декември 2024 г., не може винаги да установи кои групи дейности са засегнати от загубата.</w:t>
            </w:r>
          </w:p>
          <w:p w14:paraId="02A26C93" w14:textId="77777777"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Броят на водещите до загуби събития, подлежащи на корекции за загуби, се разделя на брой водещи до загуба събития, за които в рамките на отчетния период е внесена положителна корекция за загуби, и брой водещи до загуба събития, за които в рамките на отчетния период е внесена отрицателна корекция за загуби (всички се докладват с положителен знак).</w:t>
            </w:r>
          </w:p>
        </w:tc>
      </w:tr>
      <w:tr w:rsidR="00746B45" w:rsidRPr="00824EA2" w14:paraId="601E5006" w14:textId="77777777" w:rsidTr="00EE2B76">
        <w:tc>
          <w:tcPr>
            <w:tcW w:w="1086" w:type="dxa"/>
          </w:tcPr>
          <w:p w14:paraId="2F8811F2" w14:textId="224C133B" w:rsidR="00746B45" w:rsidRPr="00824EA2" w:rsidRDefault="00746B45" w:rsidP="00746B45">
            <w:pPr>
              <w:rPr>
                <w:rFonts w:ascii="Times New Roman" w:hAnsi="Times New Roman"/>
                <w:sz w:val="24"/>
              </w:rPr>
            </w:pPr>
            <w:r w:rsidRPr="00824EA2">
              <w:rPr>
                <w:rFonts w:ascii="Times New Roman" w:hAnsi="Times New Roman"/>
                <w:sz w:val="24"/>
                <w:lang w:eastAsia="de-DE"/>
              </w:rPr>
              <w:t>0940, 0945, 0946</w:t>
            </w:r>
          </w:p>
        </w:tc>
        <w:tc>
          <w:tcPr>
            <w:tcW w:w="7976" w:type="dxa"/>
          </w:tcPr>
          <w:p w14:paraId="12254164" w14:textId="77777777" w:rsidR="00746B45" w:rsidRPr="00824EA2" w:rsidRDefault="00746B45" w:rsidP="00746B45">
            <w:pPr>
              <w:keepNext/>
              <w:rPr>
                <w:rFonts w:ascii="Times New Roman" w:hAnsi="Times New Roman"/>
                <w:sz w:val="24"/>
              </w:rPr>
            </w:pPr>
            <w:r w:rsidRPr="00824EA2">
              <w:rPr>
                <w:rStyle w:val="InstructionsTabelleberschrift"/>
                <w:rFonts w:ascii="Times New Roman" w:hAnsi="Times New Roman"/>
                <w:sz w:val="24"/>
              </w:rPr>
              <w:t>Корекции за загуби, свързани с предходни отчетни периоди</w:t>
            </w:r>
          </w:p>
          <w:p w14:paraId="3A4A4FF4" w14:textId="280DCB1D" w:rsidR="00746B45" w:rsidRPr="00824EA2" w:rsidRDefault="00746B45" w:rsidP="00746B45">
            <w:pPr>
              <w:rPr>
                <w:rFonts w:ascii="Times New Roman" w:hAnsi="Times New Roman"/>
                <w:sz w:val="24"/>
              </w:rPr>
            </w:pPr>
            <w:r w:rsidRPr="00824EA2">
              <w:rPr>
                <w:rFonts w:ascii="Times New Roman" w:hAnsi="Times New Roman"/>
                <w:sz w:val="24"/>
              </w:rPr>
              <w:t>В ред 0940 се докладва общият размер на корекциите за загуби, свързани с предходни отчетни периоди, по групи дейности (съгласно докладваното в редове 0040, 0140, ..., 0840). При условие че институцията е отнесла всички свои загуби по някоя от групите дейности, докладваната в ред 0940 стойност представлява просто сумиране на корекциите за загуби, свързани с предходни отчетни периоди и докладвани за различните групи дейности.</w:t>
            </w:r>
          </w:p>
          <w:p w14:paraId="4FEA0713" w14:textId="77777777" w:rsidR="00746B45" w:rsidRPr="00824EA2" w:rsidRDefault="00746B45" w:rsidP="00746B45">
            <w:pPr>
              <w:rPr>
                <w:rFonts w:ascii="Times New Roman" w:hAnsi="Times New Roman"/>
                <w:sz w:val="24"/>
              </w:rPr>
            </w:pPr>
            <w:r w:rsidRPr="00824EA2">
              <w:rPr>
                <w:rFonts w:ascii="Times New Roman" w:hAnsi="Times New Roman"/>
                <w:sz w:val="24"/>
              </w:rPr>
              <w:t xml:space="preserve">Размерът на корекциите за загуби се разделя на сума, свързана с водещи до загуба събития, при които в рамките на отчетния период е извършена положителна корекция за загуби (ред 0945, отчетена като положително число), и сума, свързана с водещи до загуба събития, при които в рамките на отчетния период е извършена отрицателна корекция за загуби (ред 0946, докладвана като отрицателна стойност). Когато вследствие на отрицателна корекция за загуби коригираният размер на загубите, относими към дадено водещо до загуба събитие, падне под прага на институцията за събиране на вътрешни данни, вместо самата отрицателна корекция институцията докладва с отрицателен знак в ред 0946 общия размер на загубата за това водещо до загуба събитие, натрупан до момента, до който водещото до </w:t>
            </w:r>
            <w:r w:rsidRPr="00824EA2">
              <w:rPr>
                <w:rFonts w:ascii="Times New Roman" w:hAnsi="Times New Roman"/>
                <w:sz w:val="24"/>
              </w:rPr>
              <w:lastRenderedPageBreak/>
              <w:t>загуба събитие е било докладвано за последен път при референтна дата през декември (т.е. първоначалната загуба плюс/минус всички корекции за загуба, извършени през предходни отчетни периоди).</w:t>
            </w:r>
          </w:p>
        </w:tc>
      </w:tr>
      <w:tr w:rsidR="00746B45" w:rsidRPr="00824EA2" w14:paraId="27DD8D89" w14:textId="77777777" w:rsidTr="00EE2B76">
        <w:tc>
          <w:tcPr>
            <w:tcW w:w="1086" w:type="dxa"/>
            <w:tcBorders>
              <w:top w:val="single" w:sz="4" w:space="0" w:color="auto"/>
              <w:left w:val="single" w:sz="4" w:space="0" w:color="auto"/>
              <w:bottom w:val="single" w:sz="4" w:space="0" w:color="auto"/>
              <w:right w:val="single" w:sz="4" w:space="0" w:color="auto"/>
            </w:tcBorders>
          </w:tcPr>
          <w:p w14:paraId="05F0D425" w14:textId="5B8A743B" w:rsidR="00746B45" w:rsidRPr="00824EA2" w:rsidRDefault="00746B45" w:rsidP="00746B45">
            <w:pPr>
              <w:rPr>
                <w:rFonts w:ascii="Times New Roman" w:hAnsi="Times New Roman"/>
                <w:sz w:val="24"/>
              </w:rPr>
            </w:pPr>
            <w:r w:rsidRPr="00824EA2">
              <w:rPr>
                <w:rFonts w:ascii="Times New Roman" w:hAnsi="Times New Roman"/>
                <w:sz w:val="24"/>
                <w:lang w:eastAsia="de-DE"/>
              </w:rPr>
              <w:lastRenderedPageBreak/>
              <w:t>0950</w:t>
            </w:r>
          </w:p>
        </w:tc>
        <w:tc>
          <w:tcPr>
            <w:tcW w:w="7976" w:type="dxa"/>
            <w:tcBorders>
              <w:top w:val="single" w:sz="4" w:space="0" w:color="auto"/>
              <w:left w:val="single" w:sz="4" w:space="0" w:color="auto"/>
              <w:bottom w:val="single" w:sz="4" w:space="0" w:color="auto"/>
              <w:right w:val="single" w:sz="4" w:space="0" w:color="auto"/>
            </w:tcBorders>
          </w:tcPr>
          <w:p w14:paraId="03073A61"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Максимална отделна загуба</w:t>
            </w:r>
          </w:p>
          <w:p w14:paraId="475751C9" w14:textId="4A0524CC" w:rsidR="00746B45" w:rsidRPr="00824EA2" w:rsidRDefault="00746B45" w:rsidP="00746B45">
            <w:pPr>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групите дейности, максималната единична загуба е максималната загуба над вътрешния праг за всеки вид събитие, водещо до загуба, и сред всички групи дейности. Възможно е тези стойности да са по-високи от най-високата отделна загуба, отбелязана във всяка група дейности, ако дадено водещо до загуба събитие въздейства върху няколко групи дейности.</w:t>
            </w:r>
          </w:p>
          <w:p w14:paraId="7BE96ED9" w14:textId="718AAC52" w:rsidR="00746B45" w:rsidRPr="00824EA2" w:rsidRDefault="00746B45" w:rsidP="00746B45">
            <w:pPr>
              <w:keepNext/>
              <w:rPr>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и че е установила вида събитие за всички загуби, за колона 0080 се прилага следното:</w:t>
            </w:r>
          </w:p>
          <w:p w14:paraId="454E8214" w14:textId="36F9566A" w:rsidR="00746B45" w:rsidRPr="00824EA2" w:rsidRDefault="00746B45" w:rsidP="00746B45">
            <w:pPr>
              <w:pStyle w:val="ListParagraph"/>
              <w:numPr>
                <w:ilvl w:val="0"/>
                <w:numId w:val="31"/>
              </w:numPr>
              <w:ind w:left="358" w:hanging="358"/>
              <w:rPr>
                <w:rFonts w:ascii="Times New Roman" w:hAnsi="Times New Roman"/>
                <w:b/>
                <w:bCs/>
                <w:sz w:val="24"/>
                <w:u w:val="single"/>
              </w:rPr>
            </w:pPr>
            <w:r w:rsidRPr="00824EA2">
              <w:rPr>
                <w:rFonts w:ascii="Times New Roman" w:hAnsi="Times New Roman"/>
                <w:sz w:val="24"/>
              </w:rPr>
              <w:t>докладваната максимална отделна загуба е равна на най-високата от стойностите, докладвани в колони 0010—0070 от този ред.</w:t>
            </w:r>
          </w:p>
          <w:p w14:paraId="6FE10DDB" w14:textId="06D3DDE9" w:rsidR="00746B45" w:rsidRPr="00824EA2" w:rsidRDefault="00746B45" w:rsidP="00746B45">
            <w:pPr>
              <w:pStyle w:val="ListParagraph"/>
              <w:numPr>
                <w:ilvl w:val="0"/>
                <w:numId w:val="31"/>
              </w:numPr>
              <w:ind w:left="358" w:hanging="358"/>
              <w:rPr>
                <w:rStyle w:val="InstructionsTabelleberschrift"/>
                <w:rFonts w:ascii="Times New Roman" w:hAnsi="Times New Roman"/>
                <w:bCs w:val="0"/>
                <w:sz w:val="24"/>
              </w:rPr>
            </w:pPr>
            <w:r w:rsidRPr="00824EA2">
              <w:rPr>
                <w:rFonts w:ascii="Times New Roman" w:hAnsi="Times New Roman"/>
                <w:sz w:val="24"/>
              </w:rPr>
              <w:t>Когато има водещи до загуба събития, които оказват въздействие върху няколко групи дейности, докладваната в {r0950, c0080} стойност може да бъде по-голяма от „максималната отделна загуба“ по всяка от групите дейности, докладвана в другите редове от колона 0080.</w:t>
            </w:r>
          </w:p>
        </w:tc>
      </w:tr>
      <w:tr w:rsidR="00746B45" w:rsidRPr="00824EA2" w14:paraId="1E3DFEBA" w14:textId="77777777" w:rsidTr="00EE2B76">
        <w:tc>
          <w:tcPr>
            <w:tcW w:w="1086" w:type="dxa"/>
            <w:tcBorders>
              <w:top w:val="single" w:sz="4" w:space="0" w:color="auto"/>
              <w:left w:val="single" w:sz="4" w:space="0" w:color="auto"/>
              <w:bottom w:val="single" w:sz="4" w:space="0" w:color="auto"/>
              <w:right w:val="single" w:sz="4" w:space="0" w:color="auto"/>
            </w:tcBorders>
          </w:tcPr>
          <w:p w14:paraId="798B87B9" w14:textId="6999E54E" w:rsidR="00746B45" w:rsidRPr="00824EA2" w:rsidRDefault="00746B45" w:rsidP="00746B45">
            <w:pPr>
              <w:rPr>
                <w:rFonts w:ascii="Times New Roman" w:hAnsi="Times New Roman"/>
                <w:sz w:val="24"/>
              </w:rPr>
            </w:pPr>
            <w:r w:rsidRPr="00824EA2">
              <w:rPr>
                <w:rFonts w:ascii="Times New Roman" w:hAnsi="Times New Roman"/>
                <w:sz w:val="24"/>
                <w:lang w:eastAsia="de-DE"/>
              </w:rPr>
              <w:t>0960</w:t>
            </w:r>
          </w:p>
        </w:tc>
        <w:tc>
          <w:tcPr>
            <w:tcW w:w="7976" w:type="dxa"/>
            <w:tcBorders>
              <w:top w:val="single" w:sz="4" w:space="0" w:color="auto"/>
              <w:left w:val="single" w:sz="4" w:space="0" w:color="auto"/>
              <w:bottom w:val="single" w:sz="4" w:space="0" w:color="auto"/>
              <w:right w:val="single" w:sz="4" w:space="0" w:color="auto"/>
            </w:tcBorders>
          </w:tcPr>
          <w:p w14:paraId="78E2C4EE"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Сбор от петте най-големи загуби</w:t>
            </w:r>
          </w:p>
          <w:p w14:paraId="2EA9E110" w14:textId="10DD09C7" w:rsidR="00746B45" w:rsidRPr="00824EA2" w:rsidRDefault="00746B45" w:rsidP="00746B45">
            <w:pPr>
              <w:rPr>
                <w:rFonts w:ascii="Times New Roman" w:hAnsi="Times New Roman"/>
                <w:sz w:val="24"/>
              </w:rPr>
            </w:pPr>
            <w:r w:rsidRPr="00824EA2">
              <w:rPr>
                <w:rFonts w:ascii="Times New Roman" w:hAnsi="Times New Roman"/>
                <w:sz w:val="24"/>
              </w:rPr>
              <w:t>Докладва се сборът на петте най-големи брутни загуби за всеки вид водещо до загуба събитие сред всички групи дейности. Този сбор може е по-голям от най-големия сбор на петте най-големи загуби, докладвани за всяка група дейности. Този сбор се докладва, независимо от броя на загубите.</w:t>
            </w:r>
          </w:p>
          <w:p w14:paraId="462BED5E" w14:textId="12CDE9EE"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и че съответно е установила вида водещо до загуба събитие за всички загуби за колона 0080, сборът от петте най-големи загуби е сборът от петте най-големи загуби в цялата матрица, т.е. той не е непременно равен на максималната стойност на „сбора от петте най-големи загуби“ в ред 0960 или на максималната стойност на „сбора от петте най-големи загуби“ в колона 0080.</w:t>
            </w:r>
          </w:p>
        </w:tc>
      </w:tr>
      <w:tr w:rsidR="00746B45" w:rsidRPr="00824EA2" w14:paraId="10A42EB4" w14:textId="77777777" w:rsidTr="00EE2B76">
        <w:tc>
          <w:tcPr>
            <w:tcW w:w="1086" w:type="dxa"/>
            <w:tcBorders>
              <w:top w:val="single" w:sz="4" w:space="0" w:color="auto"/>
              <w:left w:val="single" w:sz="4" w:space="0" w:color="auto"/>
              <w:bottom w:val="single" w:sz="4" w:space="0" w:color="auto"/>
              <w:right w:val="single" w:sz="4" w:space="0" w:color="auto"/>
            </w:tcBorders>
          </w:tcPr>
          <w:p w14:paraId="4B61D54D" w14:textId="4FFED46D" w:rsidR="00746B45" w:rsidRPr="00824EA2" w:rsidRDefault="00746B45" w:rsidP="00746B45">
            <w:pPr>
              <w:rPr>
                <w:rFonts w:ascii="Times New Roman" w:hAnsi="Times New Roman"/>
                <w:sz w:val="24"/>
              </w:rPr>
            </w:pPr>
            <w:r w:rsidRPr="00824EA2">
              <w:rPr>
                <w:rFonts w:ascii="Times New Roman" w:hAnsi="Times New Roman"/>
                <w:sz w:val="24"/>
                <w:lang w:eastAsia="de-DE"/>
              </w:rPr>
              <w:t>0970</w:t>
            </w:r>
          </w:p>
        </w:tc>
        <w:tc>
          <w:tcPr>
            <w:tcW w:w="7976" w:type="dxa"/>
            <w:tcBorders>
              <w:top w:val="single" w:sz="4" w:space="0" w:color="auto"/>
              <w:left w:val="single" w:sz="4" w:space="0" w:color="auto"/>
              <w:bottom w:val="single" w:sz="4" w:space="0" w:color="auto"/>
              <w:right w:val="single" w:sz="4" w:space="0" w:color="auto"/>
            </w:tcBorders>
          </w:tcPr>
          <w:p w14:paraId="0340B980" w14:textId="7777777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 размер на пряко възстановените загуби</w:t>
            </w:r>
          </w:p>
          <w:p w14:paraId="651924C3" w14:textId="6B9AE17F" w:rsidR="00746B45" w:rsidRPr="00824EA2" w:rsidRDefault="00746B45" w:rsidP="00746B45">
            <w:pPr>
              <w:rPr>
                <w:rStyle w:val="InstructionsTabelleberschrift"/>
                <w:rFonts w:ascii="Times New Roman" w:hAnsi="Times New Roman"/>
                <w:sz w:val="24"/>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общият размер на пряко възстановените загуби представлява обикновения сбор на общия размер на пряко възстановените загуби за всяка група дейности.</w:t>
            </w:r>
          </w:p>
        </w:tc>
      </w:tr>
      <w:tr w:rsidR="00746B45" w:rsidRPr="00824EA2" w14:paraId="786617A2" w14:textId="77777777" w:rsidTr="00EE2B76">
        <w:tc>
          <w:tcPr>
            <w:tcW w:w="1086" w:type="dxa"/>
            <w:tcBorders>
              <w:top w:val="single" w:sz="4" w:space="0" w:color="auto"/>
              <w:left w:val="single" w:sz="4" w:space="0" w:color="auto"/>
              <w:bottom w:val="single" w:sz="4" w:space="0" w:color="auto"/>
              <w:right w:val="single" w:sz="4" w:space="0" w:color="auto"/>
            </w:tcBorders>
          </w:tcPr>
          <w:p w14:paraId="05A05C0D" w14:textId="7E28336F" w:rsidR="00746B45" w:rsidRPr="00824EA2" w:rsidRDefault="00746B45" w:rsidP="00746B45">
            <w:pPr>
              <w:rPr>
                <w:rFonts w:ascii="Times New Roman" w:hAnsi="Times New Roman"/>
                <w:sz w:val="24"/>
              </w:rPr>
            </w:pPr>
            <w:r w:rsidRPr="00824EA2">
              <w:rPr>
                <w:rFonts w:ascii="Times New Roman" w:hAnsi="Times New Roman"/>
                <w:sz w:val="24"/>
                <w:lang w:eastAsia="de-DE"/>
              </w:rPr>
              <w:t>0980</w:t>
            </w:r>
          </w:p>
        </w:tc>
        <w:tc>
          <w:tcPr>
            <w:tcW w:w="7976" w:type="dxa"/>
            <w:tcBorders>
              <w:top w:val="single" w:sz="4" w:space="0" w:color="auto"/>
              <w:left w:val="single" w:sz="4" w:space="0" w:color="auto"/>
              <w:bottom w:val="single" w:sz="4" w:space="0" w:color="auto"/>
              <w:right w:val="single" w:sz="4" w:space="0" w:color="auto"/>
            </w:tcBorders>
          </w:tcPr>
          <w:p w14:paraId="73F81C16" w14:textId="0ACCD2B7" w:rsidR="00746B45" w:rsidRPr="00824EA2" w:rsidRDefault="00746B45" w:rsidP="00746B45">
            <w:pPr>
              <w:keepNext/>
              <w:rPr>
                <w:rStyle w:val="InstructionsTabelleberschrift"/>
                <w:rFonts w:ascii="Times New Roman" w:hAnsi="Times New Roman"/>
                <w:sz w:val="24"/>
              </w:rPr>
            </w:pPr>
            <w:r w:rsidRPr="00824EA2">
              <w:rPr>
                <w:rStyle w:val="InstructionsTabelleberschrift"/>
                <w:rFonts w:ascii="Times New Roman" w:hAnsi="Times New Roman"/>
                <w:sz w:val="24"/>
              </w:rPr>
              <w:t>Общ размер на възстановяванията от застраховане</w:t>
            </w:r>
          </w:p>
          <w:p w14:paraId="105A6F22" w14:textId="54B9A449" w:rsidR="00746B45" w:rsidRPr="00824EA2" w:rsidRDefault="00746B45" w:rsidP="00746B45">
            <w:pPr>
              <w:rPr>
                <w:rFonts w:ascii="Times New Roman" w:hAnsi="Times New Roman"/>
                <w:b/>
                <w:bCs/>
                <w:sz w:val="24"/>
                <w:u w:val="single"/>
              </w:rPr>
            </w:pPr>
            <w:r w:rsidRPr="00824EA2">
              <w:rPr>
                <w:rFonts w:ascii="Times New Roman" w:hAnsi="Times New Roman"/>
                <w:sz w:val="24"/>
              </w:rPr>
              <w:t>При условие че институцията е отнесла всички свои загуби по някоя от изброените групи дейности, общият размер на възстановяванията от застраховане представлява простото сумиране на общия размер на възстановяванията от застраховане за всяка група дейности.</w:t>
            </w:r>
          </w:p>
        </w:tc>
      </w:tr>
    </w:tbl>
    <w:p w14:paraId="7FA58919" w14:textId="77777777" w:rsidR="00FD54FC" w:rsidRPr="00824EA2" w:rsidRDefault="00FD54FC" w:rsidP="00FD54FC">
      <w:pPr>
        <w:spacing w:before="0" w:after="0"/>
        <w:jc w:val="left"/>
        <w:rPr>
          <w:rStyle w:val="InstructionsTabelleText"/>
          <w:rFonts w:ascii="Times New Roman" w:hAnsi="Times New Roman"/>
          <w:sz w:val="24"/>
        </w:rPr>
      </w:pPr>
    </w:p>
    <w:p w14:paraId="0C898FFA" w14:textId="41898FC8" w:rsidR="00FD54FC" w:rsidRPr="00824EA2"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824EA2">
        <w:rPr>
          <w:rFonts w:ascii="Times New Roman" w:hAnsi="Times New Roman"/>
          <w:sz w:val="24"/>
        </w:rPr>
        <w:lastRenderedPageBreak/>
        <w:t>C 17.02: Операционен риск: подробна информация за събитията, довели до най-големи загуби, през последната година (OPR DETAILS 2)</w:t>
      </w:r>
      <w:bookmarkEnd w:id="70"/>
      <w:bookmarkEnd w:id="71"/>
    </w:p>
    <w:p w14:paraId="14652218" w14:textId="75B16F8F" w:rsidR="00FD54FC" w:rsidRPr="00824EA2"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824EA2">
        <w:rPr>
          <w:rFonts w:ascii="Times New Roman" w:hAnsi="Times New Roman"/>
          <w:sz w:val="24"/>
        </w:rPr>
        <w:t>Общи бележки</w:t>
      </w:r>
      <w:bookmarkEnd w:id="72"/>
      <w:bookmarkEnd w:id="73"/>
    </w:p>
    <w:p w14:paraId="06D9B602" w14:textId="5A8442DD" w:rsidR="00FD54FC"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155</w:t>
      </w:r>
      <w:r w:rsidRPr="00824EA2">
        <w:rPr>
          <w:rStyle w:val="DNEx2"/>
        </w:rPr>
        <w:fldChar w:fldCharType="end"/>
      </w:r>
      <w:r w:rsidRPr="00824EA2">
        <w:rPr>
          <w:rStyle w:val="DNEx2"/>
        </w:rPr>
        <w:t xml:space="preserve">. </w:t>
      </w:r>
      <w:r w:rsidRPr="00824EA2">
        <w:t>В образец C 17.02 се представя информация за отделните довели до загуби събития (всяко водещо до загуба събитие на отделен ред).</w:t>
      </w:r>
    </w:p>
    <w:p w14:paraId="6928228C" w14:textId="767E281A" w:rsidR="00FD54FC" w:rsidRPr="00824EA2" w:rsidRDefault="00E434A1" w:rsidP="005D3C49">
      <w:pPr>
        <w:pStyle w:val="InstructionsText2"/>
        <w:keepNext/>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156</w:t>
      </w:r>
      <w:r w:rsidRPr="00824EA2">
        <w:rPr>
          <w:rStyle w:val="DNEx2"/>
        </w:rPr>
        <w:fldChar w:fldCharType="end"/>
      </w:r>
      <w:r w:rsidRPr="00824EA2">
        <w:rPr>
          <w:rStyle w:val="DNEx2"/>
        </w:rPr>
        <w:t xml:space="preserve">. </w:t>
      </w:r>
      <w:r w:rsidRPr="00824EA2">
        <w:t>Докладваната в този образец информация се отнася за „новите събития, водещи до загуба“, т.е. случаите на реализиране на операционен риск:</w:t>
      </w:r>
    </w:p>
    <w:p w14:paraId="43C23B10" w14:textId="575A7639" w:rsidR="00FD54FC" w:rsidRPr="00824EA2" w:rsidRDefault="00FD54FC" w:rsidP="005D3C49">
      <w:pPr>
        <w:pStyle w:val="InstructionsText2"/>
        <w:numPr>
          <w:ilvl w:val="0"/>
          <w:numId w:val="47"/>
        </w:numPr>
        <w:ind w:left="709" w:hanging="709"/>
      </w:pPr>
      <w:r w:rsidRPr="00824EA2">
        <w:t>„осчетоводени за първи път“ през съответния отчетен период; или</w:t>
      </w:r>
    </w:p>
    <w:p w14:paraId="0D60A55D" w14:textId="6182FB91" w:rsidR="00FD54FC" w:rsidRPr="00824EA2" w:rsidRDefault="00FD54FC" w:rsidP="005D3C49">
      <w:pPr>
        <w:pStyle w:val="InstructionsText2"/>
        <w:numPr>
          <w:ilvl w:val="0"/>
          <w:numId w:val="47"/>
        </w:numPr>
        <w:ind w:left="0" w:firstLine="0"/>
      </w:pPr>
      <w:r w:rsidRPr="00824EA2">
        <w:t>„осчетоводени за първи път“ през предходен отчетен период, когато водещото до загуба събитие не е включено в предходни пруденциални доклади, например защото е било определено като събитие, водещо до загуба от операционен риск, през текущия отчетен период или защото натрупаната загуба, относима към това водещо до загуба събитие (т.е. първоначалната загуба плюс/минус всички корекции за загуби, внесени през предходни отчетни периоди), е надвишила едва през текущия отчетен период прага за събиране на вътрешни данни.</w:t>
      </w:r>
    </w:p>
    <w:p w14:paraId="4FB49E60" w14:textId="42C4A02F" w:rsidR="00F41508" w:rsidRPr="00824EA2" w:rsidRDefault="00362BB4" w:rsidP="00E434A1">
      <w:pPr>
        <w:pStyle w:val="InstructionsText2"/>
        <w:numPr>
          <w:ilvl w:val="0"/>
          <w:numId w:val="0"/>
        </w:numPr>
      </w:pPr>
      <w:r w:rsidRPr="00824EA2">
        <w:rPr>
          <w:rStyle w:val="DNEx2"/>
        </w:rPr>
        <w:fldChar w:fldCharType="begin"/>
      </w:r>
      <w:r w:rsidRPr="00824EA2">
        <w:rPr>
          <w:rStyle w:val="DNEx2"/>
        </w:rPr>
        <w:instrText xml:space="preserve"> seq paragraphs </w:instrText>
      </w:r>
      <w:r w:rsidRPr="00824EA2">
        <w:rPr>
          <w:rStyle w:val="DNEx2"/>
        </w:rPr>
        <w:fldChar w:fldCharType="separate"/>
      </w:r>
      <w:r w:rsidR="00771068" w:rsidRPr="00824EA2">
        <w:rPr>
          <w:rStyle w:val="DNEx2"/>
        </w:rPr>
        <w:t>157</w:t>
      </w:r>
      <w:r w:rsidRPr="00824EA2">
        <w:rPr>
          <w:rStyle w:val="DNEx2"/>
        </w:rPr>
        <w:fldChar w:fldCharType="end"/>
      </w:r>
      <w:r w:rsidRPr="00824EA2">
        <w:rPr>
          <w:rStyle w:val="DNEx2"/>
        </w:rPr>
        <w:t xml:space="preserve">. </w:t>
      </w:r>
      <w:r w:rsidRPr="00824EA2">
        <w:t>Докладват се само водещите до загуба събития, при, които брутната загуба е в размер на 100 000 евро или повече.</w:t>
      </w:r>
    </w:p>
    <w:p w14:paraId="5F2CAE8D" w14:textId="77777777" w:rsidR="00FD54FC" w:rsidRPr="00824EA2" w:rsidRDefault="00FD54FC" w:rsidP="005D3C49">
      <w:pPr>
        <w:pStyle w:val="InstructionsText2"/>
        <w:keepNext/>
        <w:numPr>
          <w:ilvl w:val="0"/>
          <w:numId w:val="0"/>
        </w:numPr>
      </w:pPr>
      <w:r w:rsidRPr="00824EA2">
        <w:t>При съблюдаване на този праг, в образеца се включват:</w:t>
      </w:r>
    </w:p>
    <w:p w14:paraId="503143B8" w14:textId="0132C6D9" w:rsidR="00FD54FC" w:rsidRPr="00824EA2" w:rsidRDefault="00FD54FC" w:rsidP="005D3C49">
      <w:pPr>
        <w:pStyle w:val="InstructionsText2"/>
        <w:numPr>
          <w:ilvl w:val="0"/>
          <w:numId w:val="48"/>
        </w:numPr>
        <w:ind w:left="0" w:firstLine="0"/>
      </w:pPr>
      <w:r w:rsidRPr="00824EA2">
        <w:t>събитието с най-голяма брутна загуба по всеки вид събитие, при условие че институцията е определила видове събития за загубите; както и</w:t>
      </w:r>
    </w:p>
    <w:p w14:paraId="0CFFC449" w14:textId="6483F02A" w:rsidR="00FD54FC" w:rsidRPr="00824EA2" w:rsidRDefault="00AA6A66" w:rsidP="005D3C49">
      <w:pPr>
        <w:pStyle w:val="InstructionsText2"/>
        <w:numPr>
          <w:ilvl w:val="0"/>
          <w:numId w:val="48"/>
        </w:numPr>
        <w:ind w:left="0" w:firstLine="0"/>
      </w:pPr>
      <w:r w:rsidRPr="00824EA2">
        <w:t>най-малко десетте от останалите събития с най-голяма брутна загуба, определени или не по вид.</w:t>
      </w:r>
    </w:p>
    <w:p w14:paraId="4B19E136" w14:textId="338E6893" w:rsidR="00FD54FC" w:rsidRPr="00824EA2" w:rsidRDefault="00EB6FC2" w:rsidP="005D3C49">
      <w:pPr>
        <w:pStyle w:val="InstructionsText2"/>
        <w:numPr>
          <w:ilvl w:val="0"/>
          <w:numId w:val="48"/>
        </w:numPr>
        <w:ind w:left="0" w:firstLine="0"/>
      </w:pPr>
      <w:r w:rsidRPr="00824EA2">
        <w:t>Водещите до загуба събития са класирани въз основа на свързаните с тях брутни загуби.</w:t>
      </w:r>
    </w:p>
    <w:p w14:paraId="3AE1B367" w14:textId="36CAE0B8" w:rsidR="00FD54FC" w:rsidRPr="00824EA2" w:rsidRDefault="00FD54FC" w:rsidP="005D3C49">
      <w:pPr>
        <w:pStyle w:val="InstructionsText2"/>
        <w:numPr>
          <w:ilvl w:val="0"/>
          <w:numId w:val="48"/>
        </w:numPr>
        <w:ind w:left="0" w:firstLine="0"/>
      </w:pPr>
      <w:r w:rsidRPr="00824EA2">
        <w:t>Дадено водещо до загуба събитие се докладва само веднъж.</w:t>
      </w:r>
    </w:p>
    <w:p w14:paraId="7FAC47A3" w14:textId="50F5D832" w:rsidR="00FD54FC" w:rsidRPr="00824EA2"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824EA2">
        <w:rPr>
          <w:rFonts w:ascii="Times New Roman" w:hAnsi="Times New Roman"/>
          <w:sz w:val="24"/>
        </w:rPr>
        <w:t>Указания за конкретни позиции</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824EA2" w14:paraId="6CFCB957" w14:textId="77777777" w:rsidTr="3B06A011">
        <w:tc>
          <w:tcPr>
            <w:tcW w:w="9062" w:type="dxa"/>
            <w:gridSpan w:val="2"/>
            <w:shd w:val="clear" w:color="auto" w:fill="BFBFBF" w:themeFill="background1" w:themeFillShade="BF"/>
          </w:tcPr>
          <w:p w14:paraId="0F453486" w14:textId="77777777" w:rsidR="00FD54FC" w:rsidRPr="00824EA2" w:rsidRDefault="00FD54FC" w:rsidP="005D3C49">
            <w:pPr>
              <w:keepNext/>
              <w:rPr>
                <w:rFonts w:ascii="Times New Roman" w:hAnsi="Times New Roman"/>
                <w:sz w:val="24"/>
              </w:rPr>
            </w:pPr>
            <w:r w:rsidRPr="00824EA2">
              <w:rPr>
                <w:rFonts w:ascii="Times New Roman" w:hAnsi="Times New Roman"/>
                <w:b/>
                <w:sz w:val="24"/>
              </w:rPr>
              <w:t>Колони</w:t>
            </w:r>
          </w:p>
        </w:tc>
      </w:tr>
      <w:tr w:rsidR="002F428F" w:rsidRPr="00824EA2" w14:paraId="49D115B7" w14:textId="77777777" w:rsidTr="3B06A011">
        <w:tc>
          <w:tcPr>
            <w:tcW w:w="951" w:type="dxa"/>
          </w:tcPr>
          <w:p w14:paraId="365F3571" w14:textId="674A215B" w:rsidR="002F428F" w:rsidRPr="00824EA2" w:rsidRDefault="002F428F" w:rsidP="002F428F">
            <w:pPr>
              <w:rPr>
                <w:rFonts w:ascii="Times New Roman" w:hAnsi="Times New Roman"/>
                <w:sz w:val="24"/>
              </w:rPr>
            </w:pPr>
            <w:r w:rsidRPr="00824EA2">
              <w:rPr>
                <w:rFonts w:ascii="Times New Roman" w:hAnsi="Times New Roman"/>
                <w:sz w:val="24"/>
                <w:lang w:eastAsia="de-DE"/>
              </w:rPr>
              <w:t>0010</w:t>
            </w:r>
          </w:p>
        </w:tc>
        <w:tc>
          <w:tcPr>
            <w:tcW w:w="8111" w:type="dxa"/>
          </w:tcPr>
          <w:p w14:paraId="7D920D2F" w14:textId="77777777" w:rsidR="002F428F" w:rsidRPr="00824EA2" w:rsidRDefault="002F428F" w:rsidP="002F428F">
            <w:pPr>
              <w:keepNext/>
              <w:rPr>
                <w:rFonts w:ascii="Times New Roman" w:hAnsi="Times New Roman"/>
                <w:sz w:val="24"/>
              </w:rPr>
            </w:pPr>
            <w:r w:rsidRPr="00824EA2">
              <w:rPr>
                <w:rStyle w:val="InstructionsTabelleberschrift"/>
                <w:rFonts w:ascii="Times New Roman" w:hAnsi="Times New Roman"/>
                <w:sz w:val="24"/>
              </w:rPr>
              <w:t>Идентификационен номер на събитието</w:t>
            </w:r>
          </w:p>
          <w:p w14:paraId="6710BBCF" w14:textId="6EBC6B87" w:rsidR="002F428F" w:rsidRPr="00824EA2" w:rsidRDefault="002F428F" w:rsidP="002F428F">
            <w:pPr>
              <w:rPr>
                <w:rFonts w:ascii="Times New Roman" w:hAnsi="Times New Roman"/>
                <w:sz w:val="24"/>
              </w:rPr>
            </w:pPr>
            <w:r w:rsidRPr="00824EA2">
              <w:rPr>
                <w:rFonts w:ascii="Times New Roman" w:hAnsi="Times New Roman"/>
                <w:sz w:val="24"/>
              </w:rPr>
              <w:t>Идентификационният номер на събитието представлява идентификатор на реда и трябва да е различен за всеки ред от образеца.</w:t>
            </w:r>
          </w:p>
          <w:p w14:paraId="0801D83B" w14:textId="77777777" w:rsidR="002F428F" w:rsidRPr="00824EA2" w:rsidRDefault="002F428F" w:rsidP="002F428F">
            <w:pPr>
              <w:rPr>
                <w:rFonts w:ascii="Times New Roman" w:hAnsi="Times New Roman"/>
                <w:sz w:val="24"/>
              </w:rPr>
            </w:pPr>
            <w:r w:rsidRPr="00824EA2">
              <w:rPr>
                <w:rFonts w:ascii="Times New Roman" w:hAnsi="Times New Roman"/>
                <w:sz w:val="24"/>
              </w:rPr>
              <w:t>Когато е налице вътрешен идентификационен номер, институциите го посочват. Иначе посоченият идентификационен номер следва номерацията 1, 2, 3 и т.н.</w:t>
            </w:r>
          </w:p>
        </w:tc>
      </w:tr>
      <w:tr w:rsidR="002F428F" w:rsidRPr="00824EA2" w14:paraId="2576979E" w14:textId="77777777" w:rsidTr="3B06A011">
        <w:tc>
          <w:tcPr>
            <w:tcW w:w="951" w:type="dxa"/>
          </w:tcPr>
          <w:p w14:paraId="753AF5DA" w14:textId="21EE9FF7" w:rsidR="002F428F" w:rsidRPr="00824EA2" w:rsidRDefault="002F428F" w:rsidP="002F428F">
            <w:pPr>
              <w:rPr>
                <w:rFonts w:ascii="Times New Roman" w:hAnsi="Times New Roman"/>
                <w:sz w:val="24"/>
              </w:rPr>
            </w:pPr>
            <w:r w:rsidRPr="00824EA2">
              <w:rPr>
                <w:rFonts w:ascii="Times New Roman" w:hAnsi="Times New Roman"/>
                <w:sz w:val="24"/>
                <w:lang w:eastAsia="de-DE"/>
              </w:rPr>
              <w:lastRenderedPageBreak/>
              <w:t>0020</w:t>
            </w:r>
          </w:p>
        </w:tc>
        <w:tc>
          <w:tcPr>
            <w:tcW w:w="8111" w:type="dxa"/>
          </w:tcPr>
          <w:p w14:paraId="71F6AD5E"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Дата на осчетоводяване</w:t>
            </w:r>
          </w:p>
          <w:p w14:paraId="1F65F50C" w14:textId="08F4DD29" w:rsidR="002F428F" w:rsidRPr="00824EA2" w:rsidRDefault="002F428F" w:rsidP="002F428F">
            <w:pPr>
              <w:rPr>
                <w:rFonts w:ascii="Times New Roman" w:hAnsi="Times New Roman"/>
                <w:sz w:val="24"/>
              </w:rPr>
            </w:pPr>
            <w:r w:rsidRPr="00824EA2">
              <w:rPr>
                <w:rFonts w:ascii="Times New Roman" w:hAnsi="Times New Roman"/>
                <w:sz w:val="24"/>
              </w:rPr>
              <w:t>Дата на осчетоводяване е датата, на която загубите или резервите / провизиите по загубите от операционен риск са били признати за първи път в отчета за приходите и разходите.</w:t>
            </w:r>
          </w:p>
        </w:tc>
      </w:tr>
      <w:tr w:rsidR="002F428F" w:rsidRPr="00824EA2" w14:paraId="58A95795" w14:textId="77777777" w:rsidTr="3B06A011">
        <w:tc>
          <w:tcPr>
            <w:tcW w:w="951" w:type="dxa"/>
          </w:tcPr>
          <w:p w14:paraId="51A33C19" w14:textId="5A7B7C87" w:rsidR="002F428F" w:rsidRPr="00824EA2" w:rsidRDefault="002F428F" w:rsidP="002F428F">
            <w:pPr>
              <w:rPr>
                <w:rFonts w:ascii="Times New Roman" w:hAnsi="Times New Roman"/>
                <w:sz w:val="24"/>
              </w:rPr>
            </w:pPr>
            <w:r w:rsidRPr="00824EA2">
              <w:rPr>
                <w:rFonts w:ascii="Times New Roman" w:hAnsi="Times New Roman"/>
                <w:sz w:val="24"/>
                <w:lang w:eastAsia="de-DE"/>
              </w:rPr>
              <w:t>0030</w:t>
            </w:r>
          </w:p>
        </w:tc>
        <w:tc>
          <w:tcPr>
            <w:tcW w:w="8111" w:type="dxa"/>
          </w:tcPr>
          <w:p w14:paraId="7E4571A8"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Дата на възникване</w:t>
            </w:r>
          </w:p>
          <w:p w14:paraId="49262D6C" w14:textId="77777777" w:rsidR="002F428F" w:rsidRPr="00824EA2" w:rsidRDefault="002F428F" w:rsidP="002F428F">
            <w:pPr>
              <w:rPr>
                <w:rFonts w:ascii="Times New Roman" w:hAnsi="Times New Roman"/>
                <w:sz w:val="24"/>
              </w:rPr>
            </w:pPr>
            <w:r w:rsidRPr="00824EA2">
              <w:rPr>
                <w:rFonts w:ascii="Times New Roman" w:hAnsi="Times New Roman"/>
                <w:sz w:val="24"/>
              </w:rPr>
              <w:t>Датата на възникване е датата, на която събитието, водещо до загуба от операционен риск, е настъпило или е започнало.</w:t>
            </w:r>
          </w:p>
        </w:tc>
      </w:tr>
      <w:tr w:rsidR="002F428F" w:rsidRPr="00824EA2" w14:paraId="1D001D6C" w14:textId="77777777" w:rsidTr="3B06A011">
        <w:tc>
          <w:tcPr>
            <w:tcW w:w="951" w:type="dxa"/>
          </w:tcPr>
          <w:p w14:paraId="7391D6AD" w14:textId="4E6530EB" w:rsidR="002F428F" w:rsidRPr="00824EA2" w:rsidRDefault="002F428F" w:rsidP="002F428F">
            <w:pPr>
              <w:rPr>
                <w:rFonts w:ascii="Times New Roman" w:hAnsi="Times New Roman"/>
                <w:sz w:val="24"/>
              </w:rPr>
            </w:pPr>
            <w:r w:rsidRPr="00824EA2">
              <w:rPr>
                <w:rFonts w:ascii="Times New Roman" w:hAnsi="Times New Roman"/>
                <w:sz w:val="24"/>
                <w:lang w:eastAsia="de-DE"/>
              </w:rPr>
              <w:t>0040</w:t>
            </w:r>
          </w:p>
        </w:tc>
        <w:tc>
          <w:tcPr>
            <w:tcW w:w="8111" w:type="dxa"/>
          </w:tcPr>
          <w:p w14:paraId="3CE5AC19"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Дата на установяване</w:t>
            </w:r>
          </w:p>
          <w:p w14:paraId="520821A8" w14:textId="77777777" w:rsidR="002F428F" w:rsidRPr="00824EA2" w:rsidRDefault="002F428F" w:rsidP="002F428F">
            <w:pPr>
              <w:rPr>
                <w:rFonts w:ascii="Times New Roman" w:hAnsi="Times New Roman"/>
                <w:sz w:val="24"/>
              </w:rPr>
            </w:pPr>
            <w:r w:rsidRPr="00824EA2">
              <w:rPr>
                <w:rFonts w:ascii="Times New Roman" w:hAnsi="Times New Roman"/>
                <w:sz w:val="24"/>
              </w:rPr>
              <w:t>Датата на установяване е датата, на която институцията е узнала за събитието, водещо до загуба от операционен риск.</w:t>
            </w:r>
          </w:p>
        </w:tc>
      </w:tr>
      <w:tr w:rsidR="002F428F" w:rsidRPr="00824EA2" w14:paraId="76851195" w14:textId="77777777" w:rsidTr="3B06A011">
        <w:tc>
          <w:tcPr>
            <w:tcW w:w="951" w:type="dxa"/>
          </w:tcPr>
          <w:p w14:paraId="28758796" w14:textId="1B12741A" w:rsidR="002F428F" w:rsidRPr="00824EA2" w:rsidRDefault="002F428F" w:rsidP="002F428F">
            <w:pPr>
              <w:rPr>
                <w:rFonts w:ascii="Times New Roman" w:hAnsi="Times New Roman"/>
                <w:sz w:val="24"/>
              </w:rPr>
            </w:pPr>
            <w:r w:rsidRPr="00824EA2">
              <w:rPr>
                <w:rFonts w:ascii="Times New Roman" w:hAnsi="Times New Roman"/>
                <w:sz w:val="24"/>
                <w:lang w:eastAsia="de-DE"/>
              </w:rPr>
              <w:t>0050</w:t>
            </w:r>
          </w:p>
        </w:tc>
        <w:tc>
          <w:tcPr>
            <w:tcW w:w="8111" w:type="dxa"/>
          </w:tcPr>
          <w:p w14:paraId="3FDF46AE"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Вид събитие, водещо до загуба</w:t>
            </w:r>
          </w:p>
          <w:p w14:paraId="73A75C19" w14:textId="34D51323" w:rsidR="002F428F" w:rsidRPr="00824EA2" w:rsidRDefault="002F428F" w:rsidP="002F428F">
            <w:pPr>
              <w:rPr>
                <w:rFonts w:ascii="Times New Roman" w:hAnsi="Times New Roman"/>
                <w:sz w:val="24"/>
              </w:rPr>
            </w:pPr>
            <w:r w:rsidRPr="00824EA2">
              <w:rPr>
                <w:rFonts w:ascii="Times New Roman" w:hAnsi="Times New Roman"/>
                <w:sz w:val="24"/>
              </w:rPr>
              <w:t>Видовете водещи до загуба събития, както са определени в таблица 1 от настоящото приложение, раздел 4.2.1.</w:t>
            </w:r>
          </w:p>
        </w:tc>
      </w:tr>
      <w:tr w:rsidR="002F428F" w:rsidRPr="00824EA2" w14:paraId="69DCDE9E" w14:textId="77777777" w:rsidTr="3B06A011">
        <w:tc>
          <w:tcPr>
            <w:tcW w:w="951" w:type="dxa"/>
          </w:tcPr>
          <w:p w14:paraId="6A006D8C" w14:textId="2DFCBCEC" w:rsidR="002F428F" w:rsidRPr="00824EA2" w:rsidRDefault="002F428F" w:rsidP="002F428F">
            <w:pPr>
              <w:rPr>
                <w:rFonts w:ascii="Times New Roman" w:hAnsi="Times New Roman"/>
                <w:sz w:val="24"/>
              </w:rPr>
            </w:pPr>
            <w:r w:rsidRPr="00824EA2">
              <w:rPr>
                <w:rFonts w:ascii="Times New Roman" w:hAnsi="Times New Roman"/>
                <w:sz w:val="24"/>
                <w:lang w:eastAsia="de-DE"/>
              </w:rPr>
              <w:t>0060</w:t>
            </w:r>
          </w:p>
        </w:tc>
        <w:tc>
          <w:tcPr>
            <w:tcW w:w="8111" w:type="dxa"/>
          </w:tcPr>
          <w:p w14:paraId="2D778DC5"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Брутна загуба</w:t>
            </w:r>
          </w:p>
          <w:p w14:paraId="5E868659" w14:textId="77777777" w:rsidR="002F428F" w:rsidRPr="00824EA2" w:rsidRDefault="002F428F" w:rsidP="002F428F">
            <w:pPr>
              <w:rPr>
                <w:rFonts w:ascii="Times New Roman" w:hAnsi="Times New Roman"/>
                <w:sz w:val="24"/>
              </w:rPr>
            </w:pPr>
            <w:r w:rsidRPr="00824EA2">
              <w:rPr>
                <w:rFonts w:ascii="Times New Roman" w:hAnsi="Times New Roman"/>
                <w:sz w:val="24"/>
              </w:rPr>
              <w:t>Брутната загуба във връзка с водещото до загуба събитие, отчетено в редове 0020, 0120 и т.н. в образец C 17.01</w:t>
            </w:r>
          </w:p>
        </w:tc>
      </w:tr>
      <w:tr w:rsidR="002F428F" w:rsidRPr="00824EA2" w14:paraId="0E4E70D6" w14:textId="77777777" w:rsidTr="3B06A011">
        <w:tc>
          <w:tcPr>
            <w:tcW w:w="951" w:type="dxa"/>
          </w:tcPr>
          <w:p w14:paraId="59554EE1" w14:textId="53E87B68" w:rsidR="002F428F" w:rsidRPr="00824EA2" w:rsidRDefault="002F428F" w:rsidP="002F428F">
            <w:pPr>
              <w:rPr>
                <w:rFonts w:ascii="Times New Roman" w:hAnsi="Times New Roman"/>
                <w:sz w:val="24"/>
              </w:rPr>
            </w:pPr>
            <w:r w:rsidRPr="00824EA2">
              <w:rPr>
                <w:rFonts w:ascii="Times New Roman" w:hAnsi="Times New Roman"/>
                <w:sz w:val="24"/>
                <w:lang w:eastAsia="de-DE"/>
              </w:rPr>
              <w:t>0070</w:t>
            </w:r>
          </w:p>
        </w:tc>
        <w:tc>
          <w:tcPr>
            <w:tcW w:w="8111" w:type="dxa"/>
          </w:tcPr>
          <w:p w14:paraId="38BFF4C4"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Брутна загуба, нетно от преки възстановявания</w:t>
            </w:r>
          </w:p>
          <w:p w14:paraId="371DD3AD" w14:textId="77777777" w:rsidR="002F428F" w:rsidRPr="00824EA2" w:rsidRDefault="002F428F" w:rsidP="002F428F">
            <w:pPr>
              <w:rPr>
                <w:rFonts w:ascii="Times New Roman" w:hAnsi="Times New Roman"/>
                <w:sz w:val="24"/>
              </w:rPr>
            </w:pPr>
            <w:r w:rsidRPr="00824EA2">
              <w:rPr>
                <w:rFonts w:ascii="Times New Roman" w:hAnsi="Times New Roman"/>
                <w:sz w:val="24"/>
              </w:rPr>
              <w:t>Брутната загуба, във връзка с водещото до загуба събитие, докладвана в редове 0020, 0120 и т.н. в образец C 17.01, нетно от преките възстановявания във връзка с това довело до загуба събитие.</w:t>
            </w:r>
          </w:p>
        </w:tc>
      </w:tr>
      <w:tr w:rsidR="002F428F" w:rsidRPr="00824EA2" w14:paraId="00E3E0C2" w14:textId="77777777" w:rsidTr="3B06A011">
        <w:tc>
          <w:tcPr>
            <w:tcW w:w="951" w:type="dxa"/>
          </w:tcPr>
          <w:p w14:paraId="724B852D" w14:textId="18D31E2C" w:rsidR="002F428F" w:rsidRPr="00824EA2" w:rsidRDefault="002F428F" w:rsidP="002F428F">
            <w:pPr>
              <w:rPr>
                <w:rFonts w:ascii="Times New Roman" w:hAnsi="Times New Roman"/>
                <w:sz w:val="24"/>
              </w:rPr>
            </w:pPr>
            <w:r w:rsidRPr="00824EA2">
              <w:rPr>
                <w:rFonts w:ascii="Times New Roman" w:hAnsi="Times New Roman"/>
                <w:sz w:val="24"/>
                <w:lang w:eastAsia="de-DE"/>
              </w:rPr>
              <w:t>0080 - 0160</w:t>
            </w:r>
          </w:p>
        </w:tc>
        <w:tc>
          <w:tcPr>
            <w:tcW w:w="8111" w:type="dxa"/>
          </w:tcPr>
          <w:p w14:paraId="5640FB78"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Брутни загуби по групи дейности</w:t>
            </w:r>
          </w:p>
          <w:p w14:paraId="15FC08A2" w14:textId="5D4EDE34" w:rsidR="002F428F" w:rsidRPr="00824EA2" w:rsidRDefault="002F428F" w:rsidP="002F428F">
            <w:pPr>
              <w:rPr>
                <w:rFonts w:ascii="Times New Roman" w:hAnsi="Times New Roman"/>
                <w:sz w:val="24"/>
              </w:rPr>
            </w:pPr>
            <w:r w:rsidRPr="00824EA2">
              <w:rPr>
                <w:rFonts w:ascii="Times New Roman" w:hAnsi="Times New Roman"/>
                <w:sz w:val="24"/>
              </w:rPr>
              <w:t>Брутните загуби, докладвани в колона 0060, се разпределят по съответните групи дейности съгласно посоченото в таблица 2, раздел 4.2.1.</w:t>
            </w:r>
          </w:p>
        </w:tc>
      </w:tr>
      <w:tr w:rsidR="002F428F" w:rsidRPr="00824EA2" w14:paraId="557602BD" w14:textId="77777777" w:rsidTr="3B06A011">
        <w:tc>
          <w:tcPr>
            <w:tcW w:w="951" w:type="dxa"/>
          </w:tcPr>
          <w:p w14:paraId="413224E7" w14:textId="76394C35" w:rsidR="002F428F" w:rsidRPr="00824EA2" w:rsidRDefault="002F428F" w:rsidP="002F428F">
            <w:pPr>
              <w:rPr>
                <w:rFonts w:ascii="Times New Roman" w:hAnsi="Times New Roman"/>
                <w:sz w:val="24"/>
              </w:rPr>
            </w:pPr>
            <w:r w:rsidRPr="00824EA2">
              <w:rPr>
                <w:rFonts w:ascii="Times New Roman" w:hAnsi="Times New Roman"/>
                <w:sz w:val="24"/>
                <w:lang w:eastAsia="de-DE"/>
              </w:rPr>
              <w:t>0170</w:t>
            </w:r>
          </w:p>
        </w:tc>
        <w:tc>
          <w:tcPr>
            <w:tcW w:w="8111" w:type="dxa"/>
          </w:tcPr>
          <w:p w14:paraId="3BBE9520"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Наименование на правен субект</w:t>
            </w:r>
          </w:p>
          <w:p w14:paraId="196BBE73" w14:textId="7342A187" w:rsidR="002F428F" w:rsidRPr="00824EA2" w:rsidRDefault="002F428F" w:rsidP="002F428F">
            <w:pPr>
              <w:rPr>
                <w:rFonts w:ascii="Times New Roman" w:hAnsi="Times New Roman"/>
                <w:sz w:val="24"/>
              </w:rPr>
            </w:pPr>
            <w:r w:rsidRPr="00824EA2">
              <w:rPr>
                <w:rFonts w:ascii="Times New Roman" w:hAnsi="Times New Roman"/>
                <w:sz w:val="24"/>
              </w:rPr>
              <w:t>Наименованието на правния субект, както е докладвано в колона 0011 на C 06.02, където е настъпила загубата или най-голямата част от нея, ако са засегнати няколко субекти.</w:t>
            </w:r>
          </w:p>
        </w:tc>
      </w:tr>
      <w:tr w:rsidR="002F428F" w:rsidRPr="00824EA2" w14:paraId="65061E2E" w14:textId="77777777" w:rsidTr="3B06A011">
        <w:tc>
          <w:tcPr>
            <w:tcW w:w="951" w:type="dxa"/>
          </w:tcPr>
          <w:p w14:paraId="2B53F902" w14:textId="0F2D7F5F" w:rsidR="002F428F" w:rsidRPr="00824EA2" w:rsidRDefault="002F428F" w:rsidP="002F428F">
            <w:pPr>
              <w:rPr>
                <w:rFonts w:ascii="Times New Roman" w:hAnsi="Times New Roman"/>
                <w:sz w:val="24"/>
              </w:rPr>
            </w:pPr>
            <w:r w:rsidRPr="00824EA2">
              <w:rPr>
                <w:rFonts w:ascii="Times New Roman" w:hAnsi="Times New Roman"/>
                <w:sz w:val="24"/>
                <w:lang w:eastAsia="de-DE"/>
              </w:rPr>
              <w:t>0181</w:t>
            </w:r>
          </w:p>
        </w:tc>
        <w:tc>
          <w:tcPr>
            <w:tcW w:w="8111" w:type="dxa"/>
          </w:tcPr>
          <w:p w14:paraId="4F848E3A"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Код</w:t>
            </w:r>
          </w:p>
          <w:p w14:paraId="2B51325F" w14:textId="351ACEFF" w:rsidR="002F428F" w:rsidRPr="00824EA2" w:rsidRDefault="002F428F" w:rsidP="002F428F">
            <w:pPr>
              <w:rPr>
                <w:rFonts w:ascii="Times New Roman" w:hAnsi="Times New Roman"/>
                <w:sz w:val="24"/>
              </w:rPr>
            </w:pPr>
            <w:r w:rsidRPr="00824EA2">
              <w:rPr>
                <w:rFonts w:ascii="Times New Roman" w:hAnsi="Times New Roman"/>
                <w:sz w:val="24"/>
              </w:rPr>
              <w:t>Кодът на правния субект, както е докладван в колона 0021 на C 06.02, където е настъпила загубата или най-голямата част от нея, ако са засегнати няколко субекти.</w:t>
            </w:r>
          </w:p>
        </w:tc>
      </w:tr>
      <w:tr w:rsidR="002F428F" w:rsidRPr="00824EA2" w14:paraId="78136DE9" w14:textId="77777777" w:rsidTr="3B06A011">
        <w:tc>
          <w:tcPr>
            <w:tcW w:w="951" w:type="dxa"/>
          </w:tcPr>
          <w:p w14:paraId="36C0C957" w14:textId="5F7C2B90" w:rsidR="002F428F" w:rsidRPr="00824EA2" w:rsidRDefault="002F428F" w:rsidP="002F428F">
            <w:pPr>
              <w:rPr>
                <w:rStyle w:val="InstructionsTabelleText"/>
                <w:rFonts w:ascii="Times New Roman" w:hAnsi="Times New Roman"/>
                <w:sz w:val="24"/>
              </w:rPr>
            </w:pPr>
            <w:r w:rsidRPr="00824EA2">
              <w:rPr>
                <w:rStyle w:val="InstructionsTabelleText"/>
                <w:rFonts w:ascii="Times New Roman" w:hAnsi="Times New Roman"/>
                <w:sz w:val="24"/>
              </w:rPr>
              <w:t>0185</w:t>
            </w:r>
          </w:p>
        </w:tc>
        <w:tc>
          <w:tcPr>
            <w:tcW w:w="8111" w:type="dxa"/>
          </w:tcPr>
          <w:p w14:paraId="1CF8E766"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ВИД КОД</w:t>
            </w:r>
          </w:p>
          <w:p w14:paraId="13D1F0E6" w14:textId="5C3CE252" w:rsidR="002F428F" w:rsidRPr="00824EA2" w:rsidRDefault="002F428F" w:rsidP="002F428F">
            <w:pPr>
              <w:rPr>
                <w:rStyle w:val="InstructionsTabelleberschrift"/>
                <w:rFonts w:ascii="Times New Roman" w:hAnsi="Times New Roman"/>
                <w:sz w:val="24"/>
              </w:rPr>
            </w:pPr>
            <w:r w:rsidRPr="00824EA2">
              <w:rPr>
                <w:rFonts w:ascii="Times New Roman" w:hAnsi="Times New Roman"/>
                <w:sz w:val="24"/>
              </w:rPr>
              <w:t>Институциите посочват дали кодът, докладван в колона 0181, е „ИКПС“ или „код, различен от ИКПС“ също в съответствие с колона 0026 на C 06.02. Видът на кода винаги се посочва.</w:t>
            </w:r>
          </w:p>
        </w:tc>
      </w:tr>
      <w:tr w:rsidR="002F428F" w:rsidRPr="00824EA2" w14:paraId="79A2ACFE" w14:textId="77777777" w:rsidTr="3B06A011">
        <w:tc>
          <w:tcPr>
            <w:tcW w:w="951" w:type="dxa"/>
          </w:tcPr>
          <w:p w14:paraId="1C6C72FE" w14:textId="39A01B2A" w:rsidR="002F428F" w:rsidRPr="00824EA2" w:rsidRDefault="002F428F" w:rsidP="002F428F">
            <w:pPr>
              <w:rPr>
                <w:rFonts w:ascii="Times New Roman" w:hAnsi="Times New Roman"/>
                <w:sz w:val="24"/>
              </w:rPr>
            </w:pPr>
            <w:r w:rsidRPr="00824EA2">
              <w:rPr>
                <w:rFonts w:ascii="Times New Roman" w:hAnsi="Times New Roman"/>
                <w:sz w:val="24"/>
                <w:lang w:eastAsia="de-DE"/>
              </w:rPr>
              <w:lastRenderedPageBreak/>
              <w:t>0190</w:t>
            </w:r>
          </w:p>
        </w:tc>
        <w:tc>
          <w:tcPr>
            <w:tcW w:w="8111" w:type="dxa"/>
          </w:tcPr>
          <w:p w14:paraId="07842AC1"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Стопанска единица</w:t>
            </w:r>
          </w:p>
          <w:p w14:paraId="7468F598" w14:textId="77777777" w:rsidR="002F428F" w:rsidRPr="00824EA2" w:rsidRDefault="002F428F" w:rsidP="002F428F">
            <w:pPr>
              <w:rPr>
                <w:rFonts w:ascii="Times New Roman" w:hAnsi="Times New Roman"/>
                <w:sz w:val="24"/>
              </w:rPr>
            </w:pPr>
            <w:r w:rsidRPr="00824EA2">
              <w:rPr>
                <w:rFonts w:ascii="Times New Roman" w:hAnsi="Times New Roman"/>
                <w:sz w:val="24"/>
              </w:rPr>
              <w:t>Стопанската единица или корпоративното подразделение на институцията, където е настъпила загубата или по-голямата част от нея, ако са засегнати няколко стопански единици или корпоративни подразделения.</w:t>
            </w:r>
          </w:p>
        </w:tc>
      </w:tr>
      <w:tr w:rsidR="002F428F" w:rsidRPr="00824EA2" w14:paraId="47FF13C8" w14:textId="77777777" w:rsidTr="3B06A011">
        <w:tc>
          <w:tcPr>
            <w:tcW w:w="951" w:type="dxa"/>
          </w:tcPr>
          <w:p w14:paraId="70D39850" w14:textId="4E3EEAA8" w:rsidR="002F428F" w:rsidRPr="00824EA2" w:rsidRDefault="002F428F" w:rsidP="002F428F">
            <w:pPr>
              <w:rPr>
                <w:rFonts w:ascii="Times New Roman" w:hAnsi="Times New Roman"/>
                <w:sz w:val="24"/>
              </w:rPr>
            </w:pPr>
            <w:r w:rsidRPr="00824EA2">
              <w:rPr>
                <w:rFonts w:ascii="Times New Roman" w:hAnsi="Times New Roman"/>
                <w:sz w:val="24"/>
                <w:lang w:eastAsia="de-DE"/>
              </w:rPr>
              <w:t>0200</w:t>
            </w:r>
          </w:p>
        </w:tc>
        <w:tc>
          <w:tcPr>
            <w:tcW w:w="8111" w:type="dxa"/>
          </w:tcPr>
          <w:p w14:paraId="008721A3" w14:textId="77777777" w:rsidR="002F428F" w:rsidRPr="00824EA2" w:rsidRDefault="002F428F" w:rsidP="002F428F">
            <w:pPr>
              <w:keepNext/>
              <w:rPr>
                <w:rStyle w:val="InstructionsTabelleberschrift"/>
                <w:rFonts w:ascii="Times New Roman" w:hAnsi="Times New Roman"/>
                <w:sz w:val="24"/>
              </w:rPr>
            </w:pPr>
            <w:r w:rsidRPr="00824EA2">
              <w:rPr>
                <w:rStyle w:val="InstructionsTabelleberschrift"/>
                <w:rFonts w:ascii="Times New Roman" w:hAnsi="Times New Roman"/>
                <w:sz w:val="24"/>
              </w:rPr>
              <w:t>Описание</w:t>
            </w:r>
          </w:p>
          <w:p w14:paraId="5B222555" w14:textId="77777777" w:rsidR="002F428F" w:rsidRPr="00824EA2" w:rsidRDefault="002F428F" w:rsidP="002F428F">
            <w:pPr>
              <w:rPr>
                <w:rFonts w:ascii="Times New Roman" w:hAnsi="Times New Roman"/>
                <w:sz w:val="24"/>
              </w:rPr>
            </w:pPr>
            <w:r w:rsidRPr="00824EA2">
              <w:rPr>
                <w:rFonts w:ascii="Times New Roman" w:hAnsi="Times New Roman"/>
                <w:sz w:val="24"/>
              </w:rPr>
              <w:t>Описание на водещото до загуба събитие, при нужда в обобщена или анонимна форма, което следва да включва най-малко информация за самото водещо до загуба събитие, както и ако са известни — факторите или причините, довели до него.</w:t>
            </w:r>
          </w:p>
        </w:tc>
      </w:tr>
    </w:tbl>
    <w:p w14:paraId="5C0CD8F3" w14:textId="59F5D27A" w:rsidR="00AC6255" w:rsidRPr="00824EA2" w:rsidRDefault="00AC6255" w:rsidP="005D3C49">
      <w:pPr>
        <w:spacing w:before="0" w:after="0"/>
        <w:jc w:val="left"/>
        <w:rPr>
          <w:rStyle w:val="InstructionsTabelleText"/>
          <w:rFonts w:ascii="Times New Roman" w:hAnsi="Times New Roman"/>
          <w:sz w:val="24"/>
        </w:rPr>
      </w:pPr>
    </w:p>
    <w:sectPr w:rsidR="00AC6255" w:rsidRPr="00824EA2" w:rsidSect="004504E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B573" w14:textId="77777777" w:rsidR="00B37C47" w:rsidRPr="00824EA2" w:rsidRDefault="00B37C47" w:rsidP="00D946DB">
      <w:pPr>
        <w:spacing w:before="0" w:after="0"/>
      </w:pPr>
      <w:r w:rsidRPr="00824EA2">
        <w:separator/>
      </w:r>
    </w:p>
  </w:endnote>
  <w:endnote w:type="continuationSeparator" w:id="0">
    <w:p w14:paraId="4C9F2158" w14:textId="77777777" w:rsidR="00B37C47" w:rsidRPr="00824EA2" w:rsidRDefault="00B37C47" w:rsidP="00D946DB">
      <w:pPr>
        <w:spacing w:before="0" w:after="0"/>
      </w:pPr>
      <w:r w:rsidRPr="00824EA2">
        <w:continuationSeparator/>
      </w:r>
    </w:p>
  </w:endnote>
  <w:endnote w:type="continuationNotice" w:id="1">
    <w:p w14:paraId="120EBE5A" w14:textId="77777777" w:rsidR="00B37C47" w:rsidRPr="00824EA2" w:rsidRDefault="00B37C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3E19D9" w:rsidRPr="00824EA2" w:rsidRDefault="003E19D9">
    <w:pPr>
      <w:pStyle w:val="Footer"/>
      <w:framePr w:wrap="auto" w:vAnchor="text" w:hAnchor="margin" w:xAlign="right" w:y="1"/>
      <w:rPr>
        <w:rStyle w:val="PageNumber"/>
        <w:noProof/>
        <w:szCs w:val="22"/>
      </w:rPr>
    </w:pPr>
    <w:r w:rsidRPr="00824EA2">
      <w:rPr>
        <w:rStyle w:val="PageNumber"/>
      </w:rPr>
      <w:fldChar w:fldCharType="begin"/>
    </w:r>
    <w:r w:rsidRPr="00824EA2">
      <w:rPr>
        <w:rStyle w:val="PageNumber"/>
      </w:rPr>
      <w:instrText xml:space="preserve">PAGE  </w:instrText>
    </w:r>
    <w:r w:rsidRPr="00824EA2">
      <w:rPr>
        <w:rStyle w:val="PageNumber"/>
      </w:rPr>
      <w:fldChar w:fldCharType="separate"/>
    </w:r>
    <w:r w:rsidRPr="00824EA2">
      <w:rPr>
        <w:rStyle w:val="PageNumber"/>
      </w:rPr>
      <w:t>18</w:t>
    </w:r>
    <w:r w:rsidRPr="00824EA2">
      <w:rPr>
        <w:rStyle w:val="PageNumber"/>
      </w:rPr>
      <w:t>3</w:t>
    </w:r>
    <w:r w:rsidRPr="00824EA2">
      <w:rPr>
        <w:rStyle w:val="PageNumber"/>
      </w:rPr>
      <w:fldChar w:fldCharType="end"/>
    </w:r>
  </w:p>
  <w:p w14:paraId="468B5799" w14:textId="77777777" w:rsidR="003E19D9" w:rsidRPr="00824EA2" w:rsidRDefault="003E19D9">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3E19D9" w:rsidRPr="00824EA2" w:rsidRDefault="003E19D9">
    <w:pPr>
      <w:pStyle w:val="Footer"/>
      <w:jc w:val="right"/>
      <w:rPr>
        <w:rFonts w:ascii="Times New Roman" w:hAnsi="Times New Roman"/>
        <w:noProof/>
        <w:sz w:val="20"/>
        <w:szCs w:val="20"/>
      </w:rPr>
    </w:pPr>
    <w:r w:rsidRPr="00824EA2">
      <w:rPr>
        <w:rFonts w:ascii="Times New Roman" w:hAnsi="Times New Roman"/>
        <w:sz w:val="20"/>
      </w:rPr>
      <w:fldChar w:fldCharType="begin"/>
    </w:r>
    <w:r w:rsidRPr="00824EA2">
      <w:rPr>
        <w:rFonts w:ascii="Times New Roman" w:hAnsi="Times New Roman"/>
        <w:sz w:val="20"/>
      </w:rPr>
      <w:instrText xml:space="preserve"> PAGE   \* MERGEFORMAT </w:instrText>
    </w:r>
    <w:r w:rsidRPr="00824EA2">
      <w:rPr>
        <w:rFonts w:ascii="Times New Roman" w:hAnsi="Times New Roman"/>
        <w:sz w:val="20"/>
      </w:rPr>
      <w:fldChar w:fldCharType="separate"/>
    </w:r>
    <w:r w:rsidRPr="00824EA2">
      <w:rPr>
        <w:rFonts w:ascii="Times New Roman" w:hAnsi="Times New Roman"/>
        <w:sz w:val="20"/>
      </w:rPr>
      <w:t>4</w:t>
    </w:r>
    <w:r w:rsidRPr="00824EA2">
      <w:rPr>
        <w:rFonts w:ascii="Times New Roman" w:hAnsi="Times New Roman"/>
        <w:sz w:val="20"/>
      </w:rPr>
      <w:t>2</w:t>
    </w:r>
    <w:r w:rsidRPr="00824EA2">
      <w:rPr>
        <w:rFonts w:ascii="Times New Roman" w:hAnsi="Times New Roman"/>
        <w:sz w:val="20"/>
      </w:rPr>
      <w:fldChar w:fldCharType="end"/>
    </w:r>
  </w:p>
  <w:p w14:paraId="416ED6B6" w14:textId="77777777" w:rsidR="003E19D9" w:rsidRPr="00824EA2" w:rsidRDefault="003E19D9" w:rsidP="00A772B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5B00" w14:textId="77777777" w:rsidR="003E19D9" w:rsidRDefault="003E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11B8" w14:textId="77777777" w:rsidR="00B37C47" w:rsidRPr="00824EA2" w:rsidRDefault="00B37C47" w:rsidP="00D946DB">
      <w:pPr>
        <w:spacing w:before="0" w:after="0"/>
      </w:pPr>
      <w:r w:rsidRPr="00824EA2">
        <w:separator/>
      </w:r>
    </w:p>
  </w:footnote>
  <w:footnote w:type="continuationSeparator" w:id="0">
    <w:p w14:paraId="72435BBC" w14:textId="77777777" w:rsidR="00B37C47" w:rsidRPr="00824EA2" w:rsidRDefault="00B37C47" w:rsidP="00D946DB">
      <w:pPr>
        <w:spacing w:before="0" w:after="0"/>
      </w:pPr>
      <w:r w:rsidRPr="00824EA2">
        <w:continuationSeparator/>
      </w:r>
    </w:p>
  </w:footnote>
  <w:footnote w:type="continuationNotice" w:id="1">
    <w:p w14:paraId="6BB14F0A" w14:textId="77777777" w:rsidR="00B37C47" w:rsidRPr="00824EA2" w:rsidRDefault="00B37C47">
      <w:pPr>
        <w:spacing w:before="0" w:after="0"/>
      </w:pPr>
    </w:p>
  </w:footnote>
  <w:footnote w:id="2">
    <w:p w14:paraId="47FD0ECA" w14:textId="0E0F952A" w:rsidR="003E19D9" w:rsidRPr="00824EA2" w:rsidRDefault="003E19D9" w:rsidP="00C86126">
      <w:pPr>
        <w:pStyle w:val="Style1"/>
      </w:pPr>
      <w:r w:rsidRPr="00824EA2">
        <w:t>(</w:t>
      </w:r>
      <w:r w:rsidRPr="00824EA2">
        <w:rPr>
          <w:rStyle w:val="FootnoteReference"/>
        </w:rPr>
        <w:footnoteRef/>
      </w:r>
      <w:r w:rsidRPr="00824EA2">
        <w:t>)</w:t>
      </w:r>
      <w:r w:rsidRPr="00824EA2">
        <w:tab/>
      </w:r>
      <w:hyperlink r:id="rId1" w:history="1">
        <w:r w:rsidRPr="00824EA2">
          <w:rPr>
            <w:rStyle w:val="Hyperlink"/>
          </w:rPr>
          <w:t>Технически стандарти за изпълнение за промени в надзорната отчетност, свързани със CRR3/CRD6, в етап 1 | Европейски банков орган</w:t>
        </w:r>
      </w:hyperlink>
    </w:p>
  </w:footnote>
  <w:footnote w:id="3">
    <w:p w14:paraId="6BA1C3F8" w14:textId="62D83F13" w:rsidR="003E19D9" w:rsidRPr="00824EA2" w:rsidRDefault="003E19D9" w:rsidP="00C86126">
      <w:pPr>
        <w:pStyle w:val="Style1"/>
      </w:pPr>
      <w:r w:rsidRPr="00824EA2">
        <w:t>(</w:t>
      </w:r>
      <w:r w:rsidRPr="00824EA2">
        <w:rPr>
          <w:rStyle w:val="FootnoteReference"/>
        </w:rPr>
        <w:footnoteRef/>
      </w:r>
      <w:r w:rsidRPr="00824EA2">
        <w:t>)</w:t>
      </w:r>
      <w:r w:rsidRPr="00824EA2">
        <w:tab/>
        <w:t>„МСФО“ означава „Международни стандарти за финансова отчетност“, посочени в член 2 от Регламент (ЕО) № 1606/2002.</w:t>
      </w:r>
    </w:p>
  </w:footnote>
  <w:footnote w:id="4">
    <w:p w14:paraId="388507E4" w14:textId="0625A254" w:rsidR="003E19D9" w:rsidRPr="00824EA2" w:rsidRDefault="003E19D9" w:rsidP="00C86126">
      <w:pPr>
        <w:pStyle w:val="Style1"/>
      </w:pPr>
      <w:r w:rsidRPr="00824EA2">
        <w:t>(</w:t>
      </w:r>
      <w:r w:rsidRPr="00824EA2">
        <w:rPr>
          <w:rStyle w:val="FootnoteReference"/>
        </w:rPr>
        <w:footnoteRef/>
      </w:r>
      <w:r w:rsidRPr="00824EA2">
        <w:t>)</w:t>
      </w:r>
      <w:r w:rsidRPr="00824EA2">
        <w:tab/>
        <w:t>„НОСП“ или „Национални общоприети счетоводни принципи“ означава националните счетоводни рамки, разработени съгласно Директива 86/635/ЕИО на Съвета.</w:t>
      </w:r>
    </w:p>
  </w:footnote>
  <w:footnote w:id="5">
    <w:p w14:paraId="1EB1AD8D" w14:textId="05924D40" w:rsidR="003E19D9" w:rsidRPr="00824EA2" w:rsidRDefault="003E19D9" w:rsidP="00C86126">
      <w:pPr>
        <w:pStyle w:val="Style1"/>
      </w:pPr>
      <w:r w:rsidRPr="00824EA2">
        <w:t>(</w:t>
      </w:r>
      <w:r w:rsidRPr="00824EA2">
        <w:rPr>
          <w:rStyle w:val="FootnoteReference"/>
        </w:rPr>
        <w:footnoteRef/>
      </w:r>
      <w:r w:rsidRPr="00824EA2">
        <w:t>)</w:t>
      </w:r>
      <w:r w:rsidRPr="00824EA2">
        <w:tab/>
        <w:t>Директива 86/635/ЕИО на Съвета от 8 декември 1986 г. относно годишните счетоводни отчети и консолидираните счетоводни отчети на банки и други финансови институции (ОВ L 372, 31.12.1986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3E19D9" w:rsidRPr="00824EA2" w:rsidRDefault="003E19D9">
    <w:pPr>
      <w:pStyle w:val="Header"/>
      <w:rPr>
        <w:noProof/>
      </w:rPr>
    </w:pPr>
    <w:r w:rsidRPr="00824EA2">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3E19D9" w:rsidRPr="00824EA2" w:rsidRDefault="003E19D9">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E3DFA35" w14:textId="0AB4BE24" w:rsidR="003E19D9" w:rsidRPr="00824EA2" w:rsidRDefault="003E19D9">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C594065" w:rsidR="003E19D9" w:rsidRPr="00824EA2" w:rsidRDefault="003E19D9">
    <w:pPr>
      <w:pStyle w:val="Header"/>
      <w:rPr>
        <w:noProof/>
      </w:rPr>
    </w:pPr>
    <w:r w:rsidRPr="00824EA2">
      <w:rPr>
        <w:noProof/>
      </w:rPr>
      <mc:AlternateContent>
        <mc:Choice Requires="wps">
          <w:drawing>
            <wp:anchor distT="0" distB="0" distL="0" distR="0" simplePos="0" relativeHeight="251658242" behindDoc="0" locked="0" layoutInCell="1" allowOverlap="1" wp14:anchorId="67084BAA" wp14:editId="19D4A1FD">
              <wp:simplePos x="0" y="0"/>
              <wp:positionH relativeFrom="leftMargin">
                <wp:posOffset>257175</wp:posOffset>
              </wp:positionH>
              <wp:positionV relativeFrom="paragraph">
                <wp:posOffset>635</wp:posOffset>
              </wp:positionV>
              <wp:extent cx="2209800" cy="443865"/>
              <wp:effectExtent l="0" t="0" r="0"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2209800" cy="443865"/>
                      </a:xfrm>
                      <a:prstGeom prst="rect">
                        <a:avLst/>
                      </a:prstGeom>
                      <a:noFill/>
                      <a:ln>
                        <a:noFill/>
                      </a:ln>
                    </wps:spPr>
                    <wps:txbx>
                      <w:txbxContent>
                        <w:p w14:paraId="26EFF338" w14:textId="5E526244" w:rsidR="003E19D9" w:rsidRPr="00824EA2" w:rsidRDefault="003E19D9">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wps:txbx>
                    <wps:bodyPr rot="0" spcFirstLastPara="0" vertOverflow="overflow" horzOverflow="overflow" vert="horz" wrap="square" lIns="6350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20.25pt;margin-top:.05pt;width:174pt;height:34.95pt;z-index:251658242;visibility:visible;mso-wrap-style:square;mso-width-percent:0;mso-wrap-distance-left:0;mso-wrap-distance-top:0;mso-wrap-distance-right:0;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" filled="f" stroked="f">
              <v:textbox style="mso-fit-shape-to-text:t" inset="5pt,0,0,0">
                <w:txbxContent>
                  <w:p w14:paraId="26EFF338" w14:textId="5E526244" w:rsidR="003E19D9" w:rsidRPr="00824EA2" w:rsidRDefault="003E19D9">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3E19D9" w:rsidRPr="00824EA2" w:rsidRDefault="003E19D9">
    <w:pPr>
      <w:rPr>
        <w:rFonts w:ascii="Arial" w:hAnsi="Arial" w:cs="Arial"/>
        <w:noProof/>
      </w:rPr>
    </w:pPr>
    <w:r w:rsidRPr="00824EA2">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3E19D9" w:rsidRPr="00824EA2" w:rsidRDefault="003E19D9">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3E19D9" w:rsidRPr="00824EA2" w:rsidRDefault="003E19D9">
                    <w:pPr>
                      <w:rPr>
                        <w:rFonts w:ascii="Calibri" w:eastAsia="Calibri" w:hAnsi="Calibri" w:cs="Calibri"/>
                        <w:color w:val="000000"/>
                        <w:sz w:val="24"/>
                      </w:rPr>
                    </w:pPr>
                    <w:r w:rsidRPr="00824EA2">
                      <w:rPr>
                        <w:rFonts w:ascii="Calibri" w:hAnsi="Calibri"/>
                        <w:color w:val="000000"/>
                        <w:sz w:val="24"/>
                      </w:rPr>
                      <w:t>За редовно ползване от EБО</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568A7E76"/>
    <w:lvl w:ilvl="0" w:tplc="C0A4F656">
      <w:start w:val="1"/>
      <mc:AlternateContent>
        <mc:Choice Requires="w14">
          <w:numFmt w:val="custom" w:format="а, й, к, ..."/>
        </mc:Choice>
        <mc:Fallback>
          <w:numFmt w:val="decimal"/>
        </mc:Fallback>
      </mc:AlternateContent>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F32EC398"/>
    <w:lvl w:ilvl="0" w:tplc="C0A4F656">
      <w:start w:val="1"/>
      <mc:AlternateContent>
        <mc:Choice Requires="w14">
          <w:numFmt w:val="custom" w:format="а, й, к, ..."/>
        </mc:Choice>
        <mc:Fallback>
          <w:numFmt w:val="decimal"/>
        </mc:Fallback>
      </mc:AlternateContent>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1067726656">
    <w:abstractNumId w:val="4"/>
  </w:num>
  <w:num w:numId="2" w16cid:durableId="1990866930">
    <w:abstractNumId w:val="36"/>
  </w:num>
  <w:num w:numId="3" w16cid:durableId="1505516788">
    <w:abstractNumId w:val="46"/>
  </w:num>
  <w:num w:numId="4" w16cid:durableId="1967194378">
    <w:abstractNumId w:val="30"/>
  </w:num>
  <w:num w:numId="5" w16cid:durableId="1025908456">
    <w:abstractNumId w:val="39"/>
  </w:num>
  <w:num w:numId="6" w16cid:durableId="2103986899">
    <w:abstractNumId w:val="24"/>
  </w:num>
  <w:num w:numId="7" w16cid:durableId="1621717286">
    <w:abstractNumId w:val="45"/>
  </w:num>
  <w:num w:numId="8" w16cid:durableId="1913273409">
    <w:abstractNumId w:val="10"/>
  </w:num>
  <w:num w:numId="9" w16cid:durableId="1919822078">
    <w:abstractNumId w:val="37"/>
  </w:num>
  <w:num w:numId="10" w16cid:durableId="1858039797">
    <w:abstractNumId w:val="22"/>
  </w:num>
  <w:num w:numId="11" w16cid:durableId="1117677569">
    <w:abstractNumId w:val="32"/>
  </w:num>
  <w:num w:numId="12" w16cid:durableId="926814412">
    <w:abstractNumId w:val="14"/>
  </w:num>
  <w:num w:numId="13" w16cid:durableId="1547181573">
    <w:abstractNumId w:val="38"/>
  </w:num>
  <w:num w:numId="14" w16cid:durableId="1292051088">
    <w:abstractNumId w:val="35"/>
  </w:num>
  <w:num w:numId="15" w16cid:durableId="1175993983">
    <w:abstractNumId w:val="21"/>
  </w:num>
  <w:num w:numId="16" w16cid:durableId="1327396527">
    <w:abstractNumId w:val="31"/>
  </w:num>
  <w:num w:numId="17" w16cid:durableId="1007101884">
    <w:abstractNumId w:val="18"/>
  </w:num>
  <w:num w:numId="18" w16cid:durableId="1155606776">
    <w:abstractNumId w:val="40"/>
  </w:num>
  <w:num w:numId="19" w16cid:durableId="19749365">
    <w:abstractNumId w:val="6"/>
  </w:num>
  <w:num w:numId="20" w16cid:durableId="1303848231">
    <w:abstractNumId w:val="27"/>
  </w:num>
  <w:num w:numId="21" w16cid:durableId="762343398">
    <w:abstractNumId w:val="3"/>
  </w:num>
  <w:num w:numId="22" w16cid:durableId="542642876">
    <w:abstractNumId w:val="23"/>
  </w:num>
  <w:num w:numId="23" w16cid:durableId="1595093037">
    <w:abstractNumId w:val="44"/>
  </w:num>
  <w:num w:numId="24" w16cid:durableId="694579986">
    <w:abstractNumId w:val="1"/>
  </w:num>
  <w:num w:numId="25" w16cid:durableId="152070388">
    <w:abstractNumId w:val="41"/>
  </w:num>
  <w:num w:numId="26" w16cid:durableId="717826550">
    <w:abstractNumId w:val="33"/>
  </w:num>
  <w:num w:numId="27" w16cid:durableId="729503436">
    <w:abstractNumId w:val="0"/>
  </w:num>
  <w:num w:numId="28" w16cid:durableId="618218452">
    <w:abstractNumId w:val="15"/>
  </w:num>
  <w:num w:numId="29" w16cid:durableId="185294019">
    <w:abstractNumId w:val="28"/>
  </w:num>
  <w:num w:numId="30" w16cid:durableId="2114471855">
    <w:abstractNumId w:val="9"/>
  </w:num>
  <w:num w:numId="31" w16cid:durableId="142936328">
    <w:abstractNumId w:val="43"/>
  </w:num>
  <w:num w:numId="32" w16cid:durableId="1593313404">
    <w:abstractNumId w:val="20"/>
  </w:num>
  <w:num w:numId="33" w16cid:durableId="1418792132">
    <w:abstractNumId w:val="11"/>
  </w:num>
  <w:num w:numId="34" w16cid:durableId="1453548929">
    <w:abstractNumId w:val="17"/>
  </w:num>
  <w:num w:numId="35" w16cid:durableId="1756702666">
    <w:abstractNumId w:val="12"/>
  </w:num>
  <w:num w:numId="36" w16cid:durableId="1541624583">
    <w:abstractNumId w:val="25"/>
  </w:num>
  <w:num w:numId="37" w16cid:durableId="2052724086">
    <w:abstractNumId w:val="13"/>
  </w:num>
  <w:num w:numId="38" w16cid:durableId="669022581">
    <w:abstractNumId w:val="42"/>
  </w:num>
  <w:num w:numId="39" w16cid:durableId="413360357">
    <w:abstractNumId w:val="16"/>
  </w:num>
  <w:num w:numId="40" w16cid:durableId="1829440413">
    <w:abstractNumId w:val="5"/>
  </w:num>
  <w:num w:numId="41" w16cid:durableId="2114082423">
    <w:abstractNumId w:val="34"/>
  </w:num>
  <w:num w:numId="42" w16cid:durableId="1767116569">
    <w:abstractNumId w:val="47"/>
  </w:num>
  <w:num w:numId="43" w16cid:durableId="1045954641">
    <w:abstractNumId w:val="8"/>
  </w:num>
  <w:num w:numId="44" w16cid:durableId="93676312">
    <w:abstractNumId w:val="2"/>
  </w:num>
  <w:num w:numId="45" w16cid:durableId="31619605">
    <w:abstractNumId w:val="19"/>
  </w:num>
  <w:num w:numId="46" w16cid:durableId="790392979">
    <w:abstractNumId w:val="29"/>
  </w:num>
  <w:num w:numId="47" w16cid:durableId="118035599">
    <w:abstractNumId w:val="26"/>
  </w:num>
  <w:num w:numId="48" w16cid:durableId="679048900">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10"/>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6C6"/>
    <w:rsid w:val="000A3B1A"/>
    <w:rsid w:val="000A4082"/>
    <w:rsid w:val="000A46E0"/>
    <w:rsid w:val="000A4B61"/>
    <w:rsid w:val="000A4C10"/>
    <w:rsid w:val="000A57BC"/>
    <w:rsid w:val="000A604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3F08"/>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A53"/>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CCC"/>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ED5"/>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3D9"/>
    <w:rsid w:val="001B6D4D"/>
    <w:rsid w:val="001B717F"/>
    <w:rsid w:val="001B74B4"/>
    <w:rsid w:val="001B76EB"/>
    <w:rsid w:val="001B7D0F"/>
    <w:rsid w:val="001B7F1A"/>
    <w:rsid w:val="001C00F3"/>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50FD"/>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281"/>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5CB3"/>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28F"/>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845"/>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244"/>
    <w:rsid w:val="00394410"/>
    <w:rsid w:val="00394CA3"/>
    <w:rsid w:val="00394FF1"/>
    <w:rsid w:val="003953E6"/>
    <w:rsid w:val="00396552"/>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52"/>
    <w:rsid w:val="003A449C"/>
    <w:rsid w:val="003A497B"/>
    <w:rsid w:val="003A4C8B"/>
    <w:rsid w:val="003A4E0E"/>
    <w:rsid w:val="003A56FC"/>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46B5"/>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0EA"/>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9D9"/>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8B3"/>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23CF"/>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4757D"/>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0E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7EF"/>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6C7A"/>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00"/>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4"/>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4BD"/>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192"/>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16E7"/>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86ACA"/>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3D64"/>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4D8"/>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40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0BA6"/>
    <w:rsid w:val="007322FC"/>
    <w:rsid w:val="0073242B"/>
    <w:rsid w:val="00732D6D"/>
    <w:rsid w:val="00733B77"/>
    <w:rsid w:val="007345D3"/>
    <w:rsid w:val="0073473E"/>
    <w:rsid w:val="00734839"/>
    <w:rsid w:val="0073527C"/>
    <w:rsid w:val="0073581C"/>
    <w:rsid w:val="00735F76"/>
    <w:rsid w:val="0073624E"/>
    <w:rsid w:val="007363FA"/>
    <w:rsid w:val="00736AD5"/>
    <w:rsid w:val="00736D27"/>
    <w:rsid w:val="00736F34"/>
    <w:rsid w:val="00737825"/>
    <w:rsid w:val="00737CC7"/>
    <w:rsid w:val="0074192A"/>
    <w:rsid w:val="00741BA6"/>
    <w:rsid w:val="007420C6"/>
    <w:rsid w:val="007421F4"/>
    <w:rsid w:val="007434D0"/>
    <w:rsid w:val="0074443D"/>
    <w:rsid w:val="007445C4"/>
    <w:rsid w:val="00744A59"/>
    <w:rsid w:val="00745142"/>
    <w:rsid w:val="0074520F"/>
    <w:rsid w:val="00745369"/>
    <w:rsid w:val="007463E2"/>
    <w:rsid w:val="007466A4"/>
    <w:rsid w:val="00746B45"/>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17B36"/>
    <w:rsid w:val="0082014C"/>
    <w:rsid w:val="00820BEF"/>
    <w:rsid w:val="00820E23"/>
    <w:rsid w:val="0082105B"/>
    <w:rsid w:val="008218A6"/>
    <w:rsid w:val="00821924"/>
    <w:rsid w:val="008221EB"/>
    <w:rsid w:val="0082247E"/>
    <w:rsid w:val="008226CF"/>
    <w:rsid w:val="00822727"/>
    <w:rsid w:val="008241B9"/>
    <w:rsid w:val="008245CD"/>
    <w:rsid w:val="008248E0"/>
    <w:rsid w:val="00824EA2"/>
    <w:rsid w:val="00825F19"/>
    <w:rsid w:val="00826E25"/>
    <w:rsid w:val="00827BBD"/>
    <w:rsid w:val="00827C10"/>
    <w:rsid w:val="00827C9A"/>
    <w:rsid w:val="0083018F"/>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B5D"/>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E58"/>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97A50"/>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4B0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8B5"/>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0DD"/>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8A6"/>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6974"/>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3580"/>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337"/>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37C47"/>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947"/>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3B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5737"/>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691E"/>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16653"/>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73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711"/>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094"/>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06B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1AF"/>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5DB8"/>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1B8"/>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2C23"/>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76"/>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360B"/>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756"/>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DBCD0A5E-675D-4152-8EC7-5C35E7AB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bg-BG"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bg-BG"/>
    </w:rPr>
  </w:style>
  <w:style w:type="character" w:customStyle="1" w:styleId="Heading2Char">
    <w:name w:val="Heading 2 Char"/>
    <w:link w:val="Heading2"/>
    <w:uiPriority w:val="99"/>
    <w:locked/>
    <w:rsid w:val="00EC5046"/>
    <w:rPr>
      <w:rFonts w:ascii="Verdana" w:hAnsi="Verdana" w:cs="Times New Roman"/>
      <w:b/>
      <w:sz w:val="24"/>
      <w:szCs w:val="24"/>
      <w:u w:val="single"/>
      <w:lang w:val="bg-BG"/>
    </w:rPr>
  </w:style>
  <w:style w:type="character" w:customStyle="1" w:styleId="Heading3Char">
    <w:name w:val="Heading 3 Char"/>
    <w:aliases w:val="Title 2 Char"/>
    <w:uiPriority w:val="99"/>
    <w:locked/>
    <w:rsid w:val="00884FEB"/>
    <w:rPr>
      <w:rFonts w:cs="Times New Roman"/>
      <w:sz w:val="24"/>
      <w:szCs w:val="24"/>
      <w:lang w:val="bg-BG"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bg-BG"/>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bg-BG"/>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bg-BG"/>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bg-BG"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bg-BG"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bg-BG"/>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bg-BG"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bg-BG"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bg-BG"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bg-BG"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6D475-A4F4-45FA-9393-28C4DF3DD2D0}">
  <ds:schemaRefs>
    <ds:schemaRef ds:uri="http://schemas.openxmlformats.org/officeDocument/2006/bibliography"/>
  </ds:schemaRefs>
</ds:datastoreItem>
</file>

<file path=customXml/itemProps2.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0E4F42-7645-4234-8C8A-5A366B35CC51}">
  <ds:schemaRefs>
    <ds:schemaRef ds:uri="http://schemas.microsoft.com/sharepoint/v3/contenttype/forms"/>
  </ds:schemaRefs>
</ds:datastoreItem>
</file>

<file path=customXml/itemProps4.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10370</Words>
  <Characters>59114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cp:lastModifiedBy>Anca</cp:lastModifiedBy>
  <cp:revision>2</cp:revision>
  <dcterms:created xsi:type="dcterms:W3CDTF">2026-02-24T16:23:00Z</dcterms:created>
  <dcterms:modified xsi:type="dcterms:W3CDTF">2026-02-24T16:23:00Z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y fmtid="{D5CDD505-2E9C-101B-9397-08002B2CF9AE}" pid="3" name="JobId">
    <vt:lpwstr>3f61e9fe-c57b-47b0-8c06-b39100aa2b78</vt:lpwstr>
  </property>
</Properties>
</file>