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7C06" w14:textId="3CC8DBCE" w:rsidR="00845EB1" w:rsidRPr="0068244B" w:rsidRDefault="00845EB1" w:rsidP="00845EB1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DA</w:t>
      </w:r>
      <w:r>
        <w:t xml:space="preserve"> </w:t>
      </w:r>
      <w:r>
        <w:br/>
      </w:r>
      <w:r>
        <w:rPr>
          <w:b/>
          <w:sz w:val="24"/>
          <w:rFonts w:ascii="Times New Roman" w:hAnsi="Times New Roman"/>
        </w:rPr>
        <w:t xml:space="preserve">BILAG VIII</w:t>
      </w:r>
    </w:p>
    <w:p w14:paraId="7586364F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38DE6923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60311301" w14:textId="6E170F77" w:rsidR="0040604D" w:rsidRPr="0068244B" w:rsidRDefault="00515147" w:rsidP="00845EB1">
      <w:pPr>
        <w:jc w:val="center"/>
        <w:rPr>
          <w:b/>
          <w:u w:val="single"/>
        </w:rPr>
      </w:pPr>
      <w:r>
        <w:rPr>
          <w:b/>
          <w:u w:val="single"/>
        </w:rPr>
        <w:t xml:space="preserve">"BILAG XXI</w:t>
      </w:r>
    </w:p>
    <w:p w14:paraId="55B2E7E1" w14:textId="45F1B4D9" w:rsidR="0040604D" w:rsidRPr="0068244B" w:rsidRDefault="0040604D" w:rsidP="00D02291">
      <w:pPr>
        <w:jc w:val="center"/>
        <w:rPr>
          <w:b/>
        </w:rPr>
      </w:pPr>
      <w:r>
        <w:rPr>
          <w:b/>
        </w:rPr>
        <w:t xml:space="preserve">INSTRUKSER VEDRØRENDE UDFYLDNING AF INDBERETNINGSSKEMAET FOR KONCENTRATION AF LIKVIDITETSDÆKNINGSPOTENTIALE (C 71.00) I BILAG XX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77777777" w:rsidR="00E05204" w:rsidRPr="0068244B" w:rsidRDefault="00E05204" w:rsidP="00E05204">
      <w:pPr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Koncentration af likviditetsdækningspotentiale efter udsteder/modpart (CCC) (C 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3D6E6875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rFonts w:ascii="Times New Roman" w:hAnsi="Times New Roman"/>
        </w:rPr>
        <w:t xml:space="preserve">1.</w:t>
      </w:r>
      <w:r>
        <w:tab/>
      </w:r>
      <w:r>
        <w:rPr>
          <w:sz w:val="24"/>
          <w:rFonts w:ascii="Times New Roman" w:hAnsi="Times New Roman"/>
        </w:rPr>
        <w:t xml:space="preserve">De indberettende institutter anvender instrukserne i dette bilag for med henblik på skema C 71.00 at indsamle oplysninger om deres koncentration af likviditetsdækningspotentiale efter de ti største beholdninger af aktiver eller likviditetslinjer bevilget instituttet med dette formål.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tab/>
      </w:r>
      <w:r>
        <w:rPr>
          <w:sz w:val="24"/>
          <w:rFonts w:ascii="Times New Roman" w:hAnsi="Times New Roman"/>
        </w:rPr>
        <w:t xml:space="preserve">Når en udsteder eller modpart henføres til mere en produkttype eller valuta eller mere end et kreditkvalitetstrin, indberettes den samlede værdi.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Den produkttype eller valuta eller det kreditkvalitetstrin, der skal indberettes, er dem, som er relevante for den største andel af koncentrationen af likviditetsdækningspotentiale.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tab/>
      </w:r>
      <w:r>
        <w:rPr>
          <w:sz w:val="24"/>
          <w:rFonts w:ascii="Times New Roman" w:hAnsi="Times New Roman"/>
        </w:rPr>
        <w:t xml:space="preserve">Likviditetsdækningspotentialet i C 71.00 er det samme som det i C 66.01 med det forbehold, at de aktiver, der indberettes som likviditetsdækningspotentiale med henblik på C 71.00, skal være ubehæftede, så instituttet kan konvertere dem til kontanter på referencedatoen for indberetning.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tab/>
      </w:r>
      <w:r>
        <w:rPr>
          <w:sz w:val="24"/>
          <w:rFonts w:ascii="Times New Roman" w:hAnsi="Times New Roman"/>
        </w:rPr>
        <w:t xml:space="preserve">For at beregne koncentrationerne med henblik på indberetningsskema C 71.00 efter væsentlig valuta skal institutterne anvende koncentrationerne i alle valutaer.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tab/>
      </w:r>
      <w:r>
        <w:rPr>
          <w:sz w:val="24"/>
          <w:rFonts w:ascii="Times New Roman" w:hAnsi="Times New Roman"/>
        </w:rPr>
        <w:t xml:space="preserve">Hvis en udsteder eller modpart tilhører flere grupper af indbyrdes forbundne kunder, indberettes denne kun én gang i gruppen med den største koncentration af likviditetsdækningspotentiale.</w:t>
      </w:r>
    </w:p>
    <w:p w14:paraId="2C0B2260" w14:textId="45FF6BEE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tab/>
      </w:r>
      <w:r>
        <w:rPr>
          <w:sz w:val="24"/>
          <w:rFonts w:ascii="Times New Roman" w:hAnsi="Times New Roman"/>
        </w:rPr>
        <w:t xml:space="preserve">Med undtagelse af række 0120 indberettes koncentrationer af likviditetsdækningspotentiale, hvor en centralbank er udsteder eller modpart, ikke i dette skema.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 tilfælde af at et institut har forhåndsanbragt aktiver hos en centralbank til standardlikviditetsoperationer, og i det omfang de pågældende aktiver falder ind under en af de ti største udstedere eller modparter for ubehæftet likviditetsdækningspotentiale, skal instituttet indberette den oprindelige udsteder og den oprindelige produkttype.</w:t>
      </w:r>
    </w:p>
    <w:p w14:paraId="423289FA" w14:textId="77777777" w:rsidR="00E05204" w:rsidRPr="0068244B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Kolonne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Udsteders navn</w:t>
            </w:r>
          </w:p>
          <w:p w14:paraId="36B02E7E" w14:textId="3FDFB966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Navnet på de ti største udstedere af ubehæftede aktiver eller modparter for uudnyttede bevilgede likviditetslinjer, der er til rådighed for instituttet, skal indberettes i kolonne 0010 i aftagende orden.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 største post angives under 1.01, den næststørste under 1.02, og så fremdeles.</w:t>
            </w:r>
            <w: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Udstedere og modparter, der udgør en gruppe af indbyrdes forbundne kunder, indberettes som én enkelt koncentration.</w:t>
            </w:r>
          </w:p>
          <w:p w14:paraId="4E01B5DA" w14:textId="4F0E946D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navn på udstederen eller modparten, der angives, skal være det fulde navn på den juridiske enhed, som har udstedt aktiverne eller bevilget likviditetslinjerne, inklusive eventuelle angivelser af selskabsform i overensstemmelse med national selskabsret.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LEI-kode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Modpartens LEI-kode (Legal Entity Identifier).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Udstedersektor</w:t>
            </w:r>
          </w:p>
          <w:p w14:paraId="62F53B63" w14:textId="5D0C886D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Der tildeles én sektor til hver modpart på grundlag af FINREP's økonomiske sektorklasser, angivet i det følgende (jf. del 1 i bilag V til denne gennemførelsesforordning):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i) offentlig forvaltning og service,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ii) kreditinstitutter,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iii), andre finansielle selskaber,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iv), ikkefinansielle selskaber,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v) husholdninger.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68244B" w:rsidRDefault="00E05204" w:rsidP="008C0F1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grupper af indbyrdes forbundne kunder indberettes ingen sektor.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Udstederens hjemsted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68244B" w:rsidRDefault="00E05204" w:rsidP="00C05CCA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 anvendes tobogstavskode efter ISO 3166-1-standarden for det land, hvor udstederen eller modparten har sit hjemsted (herunder pseudo-ISO-koder for internationale organisationer, som anført i den seneste udgave af Eurostats "Balance of Payments Vademecum").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For grupper af indbyrdes forbundne kunder indberettes ikke noget land.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Produkttype</w:t>
            </w:r>
          </w:p>
          <w:p w14:paraId="7DC48699" w14:textId="4D5DEEF0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Udstedere/modparter, der indberettes i kolonne 0010, skal tildeles en produkttype svarende til aktivets produkttype eller den produkttype, som standbylikviditetslinjen er modtaget i. Hertil anvendes følgende koder angivet med fed skrift:</w:t>
            </w:r>
          </w:p>
          <w:p w14:paraId="1CB9AEA2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bookmarkStart w:id="0" w:name="OLE_LINK1"/>
            <w:r>
              <w:rPr>
                <w:sz w:val="24"/>
                <w:b/>
                <w:rFonts w:ascii="Times New Roman" w:hAnsi="Times New Roman"/>
              </w:rPr>
              <w:t xml:space="preserve">SrB</w:t>
            </w:r>
            <w:r>
              <w:rPr>
                <w:sz w:val="24"/>
                <w:rFonts w:ascii="Times New Roman" w:hAnsi="Times New Roman"/>
              </w:rPr>
              <w:t xml:space="preserve"> (obligation med fortrinsret (seniorobligation))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SubB</w:t>
            </w:r>
            <w:r>
              <w:rPr>
                <w:sz w:val="24"/>
                <w:rFonts w:ascii="Times New Roman" w:hAnsi="Times New Roman"/>
              </w:rPr>
              <w:t xml:space="preserve"> (efterstående obligation)</w:t>
            </w:r>
          </w:p>
          <w:p w14:paraId="08EFBEC2" w14:textId="77777777" w:rsidR="00E05204" w:rsidRPr="0068244B" w:rsidRDefault="00E05204" w:rsidP="00A36F2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CP</w:t>
            </w:r>
            <w:r>
              <w:rPr>
                <w:sz w:val="24"/>
                <w:rFonts w:ascii="Times New Roman" w:hAnsi="Times New Roman"/>
              </w:rPr>
              <w:t xml:space="preserve"> (kortfristet gældsbrev (commercial paper))</w:t>
            </w:r>
          </w:p>
          <w:p w14:paraId="71AB267C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CB</w:t>
            </w:r>
            <w:r>
              <w:rPr>
                <w:sz w:val="24"/>
                <w:rFonts w:ascii="Times New Roman" w:hAnsi="Times New Roman"/>
              </w:rPr>
              <w:t xml:space="preserve"> (dækkede obligationer)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644C50DD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US</w:t>
            </w:r>
            <w:r>
              <w:rPr>
                <w:sz w:val="24"/>
                <w:rFonts w:ascii="Times New Roman" w:hAnsi="Times New Roman"/>
              </w:rPr>
              <w:t xml:space="preserve"> (UCITS-værdipapir, dvs. finansielle instrumenter, der udgør en kapitalandel i eller er et værdipapir udstedt af et institut for kollektiv investering i værdipapirer (UCITS))</w:t>
            </w:r>
          </w:p>
          <w:p w14:paraId="2E54EB88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ABS</w:t>
            </w:r>
            <w:r>
              <w:rPr>
                <w:sz w:val="24"/>
                <w:rFonts w:ascii="Times New Roman" w:hAnsi="Times New Roman"/>
              </w:rPr>
              <w:t xml:space="preserve"> (værdipapir med sikkerhed i aktiver (asset backed security))</w:t>
            </w:r>
          </w:p>
          <w:p w14:paraId="47B806DE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CrCl</w:t>
            </w:r>
            <w:r>
              <w:rPr>
                <w:sz w:val="24"/>
                <w:rFonts w:ascii="Times New Roman" w:hAnsi="Times New Roman"/>
              </w:rPr>
              <w:t xml:space="preserve"> (gældsfordring)</w:t>
            </w:r>
          </w:p>
          <w:p w14:paraId="77F497F4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Eq</w:t>
            </w:r>
            <w:r>
              <w:rPr>
                <w:sz w:val="24"/>
                <w:rFonts w:ascii="Times New Roman" w:hAnsi="Times New Roman"/>
              </w:rPr>
              <w:t xml:space="preserve"> (aktier)</w:t>
            </w:r>
          </w:p>
          <w:p w14:paraId="3F4E3AAB" w14:textId="396B9AF6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Guld (hvis fysisk guld, der kan behandles som en enkelt modpart)</w:t>
            </w:r>
          </w:p>
          <w:p w14:paraId="6AE61C73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LiqL</w:t>
            </w:r>
            <w:r>
              <w:rPr>
                <w:sz w:val="24"/>
                <w:rFonts w:ascii="Times New Roman" w:hAnsi="Times New Roman"/>
              </w:rPr>
              <w:t xml:space="preserve"> (uudnyttede bevilgede likviditetslinjer, der er til rådighed for instituttet)</w:t>
            </w:r>
          </w:p>
          <w:p w14:paraId="23B5C30F" w14:textId="77777777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OPT</w:t>
            </w:r>
            <w:r>
              <w:rPr>
                <w:sz w:val="24"/>
                <w:rFonts w:ascii="Times New Roman" w:hAnsi="Times New Roman"/>
              </w:rPr>
              <w:t xml:space="preserve"> (anden produkttype)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Valuta</w:t>
            </w:r>
          </w:p>
          <w:p w14:paraId="1D458B95" w14:textId="403BDA7B" w:rsidR="00C05CCA" w:rsidRPr="0068244B" w:rsidRDefault="004C1638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Udsteder eller modparter, der indberettes i kolonne 0010, tildeles en ISO-valutakode i kolonne 0060 svarende til den valuta, som det modtagne aktiv eller de uudnyttede bevilgede likviditetslinjer, som instituttet har fået tildelt, er denomineret 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Trebogstavvalutakoden efter ISO 4217 anvendes.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CC928F5" w:rsidR="00774708" w:rsidRPr="0068244B" w:rsidRDefault="00047ECB" w:rsidP="00BC583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en linje i flere valutaer er en del af koncentrationen af likviditetsdækningspotentiale, skal linjen tælles i den valuta, der er den primære valuta i resten af koncentrationen.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Hvad angår separat indberetning i valutaer af væsentlig betydning, jf. artikel 415, stk. 2, i forordning (EU) nr. 575/2013, skal institutterne foretage en vurdering af, hvilken valuta pengestrømmen sandsynligvis vil optræde i, og indberette posten udelukkende i den valuta af væsentlig betydning, i overensstemmelse med instrukserne for den separate indberetning af valutaer af væsentlig betydning i likviditetsdækningsgraden, jf. forordning (EU) 2021/451.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Kreditkvalitetstrin</w:t>
            </w:r>
          </w:p>
          <w:p w14:paraId="692CB839" w14:textId="76307C3A" w:rsidR="00E05204" w:rsidRPr="0068244B" w:rsidRDefault="00966F82" w:rsidP="00C05CCA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relevante kreditkvalitetstrin skal tildeles i overensstemmelse med forordning (EU) nr. 575/2013, og det skal være det samme som for de poster, der indberettes efter løbetidsmetoden.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Når der ikke findes en rating, tildeles trinnet "ikkerated".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Markedsværdi/nominel værdi</w:t>
            </w:r>
          </w:p>
          <w:p w14:paraId="78CE7B68" w14:textId="6F7E8537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Markedsværdien eller dagsværdien af aktiverne eller — hvis det er relevant — den nominelle værdi af de uudnyttede likviditetslinjer, der er til rådighed for instituttet.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Værdi af sikkerheder, der er belånbare i centralbanker</w:t>
            </w:r>
          </w:p>
          <w:p w14:paraId="507C4FE8" w14:textId="2A6E5839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Værdien af sikkerheder i overensstemmelse med centralbankreglerne for stående faciliteter for de specifikke aktiver.</w:t>
            </w:r>
          </w:p>
          <w:p w14:paraId="4C124B93" w14:textId="0E66424F" w:rsidR="00BA0551" w:rsidRPr="0068244B" w:rsidRDefault="00B457F4" w:rsidP="0051514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Dette felt skal ikke udfyldes for så vidt angår aktiver, der er denomineret i en valuta, som er omfattet af Kommissionens gennemførelsesforordning (EU) 2015/233*, dvs. en valuta, for hvilken centralbankens kriterier for godkendelse af sikkerhedsstillelse er defineret særdeles snævert."</w:t>
            </w:r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t xml:space="preserve">______________</w:t>
      </w:r>
    </w:p>
    <w:p w14:paraId="56E0854E" w14:textId="4C352ECC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t xml:space="preserve">* Kommissionens gennemførelsesforordning (EU) 2015/233 af 13. februar 2015 om gennemførelsesmæssige tekniske standarder vedrørende valutaer, for hvilke centralbankens kriterier for godkendelse af sikkerhedsstillelse i henhold til Europa-Parlamentets og Rådets forordning (EU) nr. 575/2013 er defineret særdeles snævert (EUT L 39 af 14.2.2015, s. 11).</w:t>
      </w:r>
      <w:r>
        <w:t xml:space="preserve"> 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5E02B" w16cid:durableId="25C0AF9B"/>
  <w16cid:commentId w16cid:paraId="2942CB83" w16cid:durableId="25C0AFA5"/>
  <w16cid:commentId w16cid:paraId="7D725ECE" w16cid:durableId="25C0AF9C"/>
  <w16cid:commentId w16cid:paraId="3AD63B79" w16cid:durableId="25C0B13B"/>
  <w16cid:commentId w16cid:paraId="1E98360E" w16cid:durableId="25C0AF9D"/>
  <w16cid:commentId w16cid:paraId="0F60AB7F" w16cid:durableId="25C0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59B7D084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0316AE9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4EBD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da-DK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da-DK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da-DK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da-DK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da-DK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da-DK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da-DK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da-DK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da-DK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da-DK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a-DK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da-DK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da-DK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da-DK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da-DK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da-DK" w:eastAsia="fr-FR"/>
    </w:rPr>
  </w:style>
  <w:style w:type="table" w:styleId="TableGrid">
    <w:name w:val="Table Grid"/>
    <w:basedOn w:val="TableNormal"/>
    <w:uiPriority w:val="59"/>
    <w:rsid w:val="00E05204"/>
    <w:rPr>
      <w:lang w:val="da-D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da-DK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0E3E9-D91E-466F-B301-D169C30CA6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EC746B-269F-4BEB-9ADC-5B7AA263CD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4D9585-AD3A-4820-9A1A-3EDE28D475F4}"/>
</file>

<file path=customXml/itemProps4.xml><?xml version="1.0" encoding="utf-8"?>
<ds:datastoreItem xmlns:ds="http://schemas.openxmlformats.org/officeDocument/2006/customXml" ds:itemID="{DBE8EBAF-7066-4430-9CED-F269EAE985FE}"/>
</file>

<file path=customXml/itemProps5.xml><?xml version="1.0" encoding="utf-8"?>
<ds:datastoreItem xmlns:ds="http://schemas.openxmlformats.org/officeDocument/2006/customXml" ds:itemID="{9FC03F34-C052-4ECD-80D4-5D1AAC761C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5351</Characters>
  <Application>Microsoft Office Word</Application>
  <DocSecurity>0</DocSecurity>
  <Lines>127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2022-10-27T13:24:00Z</dcterms:created>
  <dcterms:modified xsi:type="dcterms:W3CDTF">2022-10-27T13:24:00Z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  <property fmtid="{D5CDD505-2E9C-101B-9397-08002B2CF9AE}" pid="9" name="ContentTypeId">
    <vt:lpwstr>0x010100A640DC13EB184F4EBE5AA21BE9F247DB</vt:lpwstr>
  </property>
</Properties>
</file>