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sz w:val="24"/>
          <w:szCs w:val="22"/>
          <w:rFonts w:ascii="Times New Roman" w:hAnsi="Times New Roman"/>
        </w:rPr>
      </w:pPr>
      <w:r>
        <w:rPr>
          <w:sz w:val="24"/>
          <w:rFonts w:ascii="Times New Roman" w:hAnsi="Times New Roman"/>
        </w:rPr>
        <w:t xml:space="preserve">DA</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sz w:val="24"/>
          <w:rFonts w:ascii="Times New Roman" w:hAnsi="Times New Roman"/>
        </w:rPr>
      </w:pPr>
      <w:r>
        <w:rPr>
          <w:sz w:val="24"/>
          <w:rFonts w:ascii="Times New Roman" w:hAnsi="Times New Roman"/>
        </w:rPr>
        <w:t xml:space="preserve">BILAG II</w:t>
      </w:r>
    </w:p>
    <w:p w14:paraId="03895EA2" w14:textId="77777777" w:rsidR="009C5DD6" w:rsidRPr="00037E7B" w:rsidRDefault="009C5DD6" w:rsidP="009C5DD6">
      <w:pPr>
        <w:jc w:val="center"/>
        <w:rPr>
          <w:sz w:val="24"/>
          <w:rFonts w:ascii="Times New Roman" w:hAnsi="Times New Roman"/>
        </w:rPr>
      </w:pPr>
      <w:r>
        <w:rPr>
          <w:sz w:val="24"/>
          <w:rFonts w:ascii="Times New Roman" w:hAnsi="Times New Roman"/>
        </w:rPr>
        <w:t xml:space="preserve">"BILAG II</w:t>
      </w:r>
    </w:p>
    <w:p w14:paraId="480031C9" w14:textId="77777777" w:rsidR="009C5DD6" w:rsidRPr="00037E7B" w:rsidRDefault="009C5DD6" w:rsidP="009C5DD6">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08E08E50" w14:textId="77777777" w:rsidR="00EE75F2" w:rsidRDefault="00EE75F2"/>
    <w:p w14:paraId="29C05932" w14:textId="7194A2B7" w:rsidR="00925646" w:rsidRDefault="00FA21C6" w:rsidP="0092564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INSTRUKSER VEDRØRENDE SKEMAER</w:t>
      </w:r>
    </w:p>
    <w:p w14:paraId="4DA6D037" w14:textId="77777777" w:rsidR="00FC29F5" w:rsidRDefault="00736637" w:rsidP="0092564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7B580897" w14:textId="4FDF8965" w:rsidR="00736637" w:rsidRPr="00736637" w:rsidRDefault="00736637" w:rsidP="0092564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532AAD9A"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0" w:name="_Toc310415035"/>
      <w:bookmarkStart w:id="1" w:name="_Toc360188372"/>
      <w:bookmarkStart w:id="2" w:name="_Toc473560923"/>
      <w:bookmarkStart w:id="3" w:name="_Toc151714430"/>
      <w:r>
        <w:rPr>
          <w:sz w:val="24"/>
          <w:u w:val="none"/>
          <w:rFonts w:ascii="Times New Roman" w:hAnsi="Times New Roman"/>
        </w:rPr>
        <w:t xml:space="preserve">3.6.</w:t>
      </w:r>
      <w:r>
        <w:tab/>
      </w:r>
      <w:r>
        <w:rPr>
          <w:sz w:val="24"/>
          <w:rFonts w:ascii="Times New Roman" w:hAnsi="Times New Roman"/>
        </w:rPr>
        <w:t xml:space="preserve">C 11.00 – Afviklingsrisiko/leveringsrisiko</w:t>
      </w:r>
      <w:bookmarkEnd w:id="0"/>
      <w:bookmarkEnd w:id="1"/>
      <w:r>
        <w:rPr>
          <w:sz w:val="24"/>
          <w:rFonts w:ascii="Times New Roman" w:hAnsi="Times New Roman"/>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4" w:name="_Toc262568045"/>
      <w:bookmarkStart w:id="5" w:name="_Toc295829924"/>
      <w:bookmarkStart w:id="6" w:name="_Toc310415036"/>
      <w:bookmarkStart w:id="7" w:name="_Toc360188373"/>
      <w:bookmarkStart w:id="8" w:name="_Toc473560924"/>
      <w:bookmarkStart w:id="9" w:name="_Toc151714431"/>
      <w:r>
        <w:rPr>
          <w:sz w:val="24"/>
          <w:u w:val="none"/>
          <w:rFonts w:ascii="Times New Roman" w:hAnsi="Times New Roman"/>
        </w:rPr>
        <w:t xml:space="preserve">3.6.1.</w:t>
      </w:r>
      <w:r>
        <w:tab/>
      </w:r>
      <w:r>
        <w:rPr>
          <w:sz w:val="24"/>
          <w:rFonts w:ascii="Times New Roman" w:hAnsi="Times New Roman"/>
        </w:rPr>
        <w:t xml:space="preserve">Generelle bemærkninger</w:t>
      </w:r>
      <w:bookmarkEnd w:id="4"/>
      <w:bookmarkEnd w:id="5"/>
      <w:bookmarkEnd w:id="6"/>
      <w:bookmarkEnd w:id="7"/>
      <w:bookmarkEnd w:id="8"/>
      <w:bookmarkEnd w:id="9"/>
    </w:p>
    <w:p w14:paraId="2F026EC9" w14:textId="0B459D4B"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t xml:space="preserve">99</w:t>
      </w:r>
      <w:r>
        <w:fldChar w:fldCharType="end"/>
      </w:r>
      <w:r>
        <w:t xml:space="preserve">.</w:t>
      </w:r>
      <w:r>
        <w:tab/>
      </w:r>
      <w:r>
        <w:t xml:space="preserve">I dette skema skal der indsættes oplysninger om transaktioner i handelsbeholdningen og transaktioner uden for handelsbeholdningen, som stadig er uafviklede efter det fastsatte leveringstidspunkt, og deres tilsvarende kapitalgrundlagskrav i relation til afviklingsrisiko i henhold til artikel 92, stk. 3, litra c), nr. ii), og artikel 378 i forordning (EU) nr. 575/2013.</w:t>
      </w:r>
      <w:r>
        <w:t xml:space="preserve"> </w:t>
      </w:r>
    </w:p>
    <w:p w14:paraId="0B60E63F" w14:textId="08AFF3CE"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t xml:space="preserve">100</w:t>
      </w:r>
      <w:r>
        <w:fldChar w:fldCharType="end"/>
      </w:r>
      <w:r>
        <w:t xml:space="preserve">.</w:t>
      </w:r>
      <w:r>
        <w:tab/>
      </w:r>
      <w:r>
        <w:t xml:space="preserve">I CR SETT-skemaet skal institutter indberette oplysninger om afviklingsrisiko/leveringsrisikoen i forbindelse med gældsinstrumenter, aktier, valuta og råvarer i eller uden for deres handelsbeholdning.</w:t>
      </w:r>
      <w:r>
        <w:t xml:space="preserve"> </w:t>
      </w:r>
    </w:p>
    <w:p w14:paraId="1F6DAE78" w14:textId="6128EA18"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t xml:space="preserve">101</w:t>
      </w:r>
      <w:r>
        <w:fldChar w:fldCharType="end"/>
      </w:r>
      <w:r>
        <w:t xml:space="preserve">.</w:t>
      </w:r>
      <w:r>
        <w:tab/>
      </w:r>
      <w:r>
        <w:t xml:space="preserve">I henhold til artikel 378 i forordning (EU) nr. 575/2013 er genkøbstransaktioner samt udlån og indskud af værdipapirer eller råvarer i forbindelse med gældsinstrumenter, aktier, valuta og råvarer ikke underlagt kapitalgrundlagskrav i relation til afviklingsrisiko/leveringsrisiko.</w:t>
      </w:r>
      <w:r>
        <w:t xml:space="preserve"> </w:t>
      </w:r>
      <w:r>
        <w:t xml:space="preserve">Bemærk dog, at derivater og terminsforretninger, som stadig er uafviklede efter det fastsatte leveringstidspunkt, er omfattet af kapitalgrundlagskrav i relation til afviklingsrisiko/leveringsrisiko, jf. artikel 378 i forordning (EU) nr. 575/2013.</w:t>
      </w:r>
    </w:p>
    <w:p w14:paraId="4DCAF22E" w14:textId="79A986C3"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t xml:space="preserve">102</w:t>
      </w:r>
      <w:r>
        <w:fldChar w:fldCharType="end"/>
      </w:r>
      <w:r>
        <w:t xml:space="preserve">.</w:t>
      </w:r>
      <w:r>
        <w:tab/>
      </w:r>
      <w:r>
        <w:t xml:space="preserve">Hvis transaktioner stadig er uafviklede efter det fastsatte leveringstidspunkt, skal institutter beregne den prisforskel, de er eksponeret for.</w:t>
      </w:r>
      <w:r>
        <w:t xml:space="preserve"> </w:t>
      </w:r>
      <w:r>
        <w:t xml:space="preserve">Den beregnes som forskellen mellem den aftalte afviklingspris for det pågældende gældsinstrument, den pågældende aktie, udenlandske valuta eller råvare og den aktuelle markedsværdi, hvor forskellen vil kunne påføre instituttet tab.</w:t>
      </w:r>
      <w:r>
        <w:t xml:space="preserve"> </w:t>
      </w:r>
    </w:p>
    <w:p w14:paraId="7DB9BE93" w14:textId="77A3E431"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t xml:space="preserve">103</w:t>
      </w:r>
      <w:r>
        <w:fldChar w:fldCharType="end"/>
      </w:r>
      <w:r>
        <w:t xml:space="preserve">.</w:t>
      </w:r>
      <w:r>
        <w:tab/>
      </w:r>
      <w:r>
        <w:t xml:space="preserve">Institutterne skal gange denne forskel med den relevante faktor i artikel 378, tabel 1, i forordning (EU) nr. 575/2013 med henblik på at bestemme de tilsvarende kapitalgrundlagskrav.</w:t>
      </w:r>
    </w:p>
    <w:p w14:paraId="59D114DF" w14:textId="657627A8"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t xml:space="preserve">104</w:t>
      </w:r>
      <w:r>
        <w:fldChar w:fldCharType="end"/>
      </w:r>
      <w:r>
        <w:t xml:space="preserve">.</w:t>
      </w:r>
      <w:r>
        <w:tab/>
      </w:r>
      <w:r>
        <w:t xml:space="preserve">Ifølge artikel 92, stk. 4, litra b), i forordning (EU) nr. 575/2013 skal kapitalgrundlagskravene for afviklingsrisiko/leveringsrisiko ganges med 12,5 for at få risikoeksponeringen.</w:t>
      </w:r>
    </w:p>
    <w:p w14:paraId="451A9870" w14:textId="00DC3B9D" w:rsidR="00925646" w:rsidRPr="002A677E" w:rsidRDefault="00925646" w:rsidP="00925646">
      <w:pPr>
        <w:pStyle w:val="InstructionsText2"/>
        <w:numPr>
          <w:ilvl w:val="0"/>
          <w:numId w:val="0"/>
        </w:numPr>
        <w:ind w:left="993"/>
      </w:pPr>
      <w:r>
        <w:fldChar w:fldCharType="begin" w:dirty="true"/>
      </w:r>
      <w:r>
        <w:instrText>seq paragraphs</w:instrText>
      </w:r>
      <w:r>
        <w:fldChar w:fldCharType="separate"/>
      </w:r>
      <w:r>
        <w:t xml:space="preserve">105</w:t>
      </w:r>
      <w:r>
        <w:fldChar w:fldCharType="end"/>
      </w:r>
      <w:r>
        <w:t xml:space="preserve">.</w:t>
      </w:r>
      <w:r>
        <w:tab/>
      </w:r>
      <w:r>
        <w:t xml:space="preserve">Bemærk, at kapitalgrundlagskravene i relation til leveringsrisiko (free deliveries), jf. artikel 379 i forordning (EU) nr. 575/2013, ikke er omfattet af anvendelsesområdet for CR SETT-skemaet,</w:t>
      </w:r>
      <w:r>
        <w:t xml:space="preserve"> </w:t>
      </w:r>
      <w:r>
        <w:t xml:space="preserve">Disse kapitalgrundlagskrav skal indberettes i kreditrisikoskemaerne (CR SA og CR IRB).</w:t>
      </w:r>
    </w:p>
    <w:p w14:paraId="2856C9F8" w14:textId="77777777" w:rsidR="00925646" w:rsidRPr="002A677E" w:rsidRDefault="00925646" w:rsidP="00925646">
      <w:pPr>
        <w:pStyle w:val="Instructionsberschrift2"/>
        <w:numPr>
          <w:ilvl w:val="0"/>
          <w:numId w:val="0"/>
        </w:numPr>
        <w:ind w:left="357" w:hanging="357"/>
        <w:rPr>
          <w:sz w:val="24"/>
          <w:rFonts w:ascii="Times New Roman" w:hAnsi="Times New Roman" w:cs="Times New Roman"/>
        </w:rPr>
      </w:pPr>
      <w:bookmarkStart w:id="10" w:name="_Toc310415037"/>
      <w:bookmarkStart w:id="11" w:name="_Toc360188374"/>
      <w:bookmarkStart w:id="12" w:name="_Toc473560925"/>
      <w:bookmarkStart w:id="13" w:name="_Toc151714432"/>
      <w:r>
        <w:rPr>
          <w:sz w:val="24"/>
          <w:u w:val="none"/>
          <w:rFonts w:ascii="Times New Roman" w:hAnsi="Times New Roman"/>
        </w:rPr>
        <w:t xml:space="preserve">3.6.2.</w:t>
      </w:r>
      <w:r>
        <w:tab/>
      </w:r>
      <w:r>
        <w:rPr>
          <w:sz w:val="24"/>
          <w:rFonts w:ascii="Times New Roman" w:hAnsi="Times New Roman"/>
        </w:rPr>
        <w:t xml:space="preserve">Instrukser vedrørende specifikke positioner</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b/>
                <w:sz w:val="24"/>
                <w:rFonts w:ascii="Times New Roman" w:hAnsi="Times New Roman"/>
              </w:rPr>
            </w:pPr>
            <w:r>
              <w:rPr>
                <w:b/>
                <w:sz w:val="24"/>
                <w:rFonts w:ascii="Times New Roman" w:hAnsi="Times New Roman"/>
              </w:rPr>
              <w:t xml:space="preserve">Kolonner</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04AF1B5E"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UAFVIKLEDE TRANSAKTIONER TIL AFVIKLINGSPRIS</w:t>
            </w:r>
          </w:p>
          <w:p w14:paraId="4CB9A5A9"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Institutterne skal indberette uafviklede transaktioner efter det fastsatte leveringstidspunkt til de aftalte afviklingspriser, jf. artikel 378 i forordning (EU) nr. 575/2013.</w:t>
            </w:r>
            <w:r>
              <w:rPr>
                <w:sz w:val="24"/>
                <w:rFonts w:ascii="Times New Roman" w:hAnsi="Times New Roman"/>
              </w:rPr>
              <w:t xml:space="preserve"> </w:t>
            </w:r>
          </w:p>
          <w:p w14:paraId="09152D4C"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Alle uafviklede transaktioner indberettes i denne kolonne, uanset om de medfører tab eller gevinst efter det fastsatte afviklingstidspunkt.</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594AB87"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EKSPONERING MOD PRISFORSKEL SOM FØLGE AF UAFVIKLEDE TRANSAKTIONER</w:t>
            </w:r>
          </w:p>
          <w:p w14:paraId="43853ADA"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Institutterne skal indberette prisforskellen mellem den aftalte afviklingspris for det pågældende gældsinstrument, den pågældende aktie, udenlandske valuta eller råvare og den aktuelle markedsværdi, hvor forskellen vil kunne påføre instituttet tab, jf. artikel 378 i forordning (EU) nr. 575/2013.</w:t>
            </w:r>
            <w:r>
              <w:rPr>
                <w:sz w:val="24"/>
                <w:rFonts w:ascii="Times New Roman" w:hAnsi="Times New Roman"/>
              </w:rPr>
              <w:t xml:space="preserve"> </w:t>
            </w:r>
          </w:p>
          <w:p w14:paraId="692F8AB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Kun uafviklede transaktioner, der vil kunne påføre instituttet et tab efter det fastsatte afviklingstidspunkt, skal indberettes i denne kolonne.</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5DA1D585"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KAPITALGRUNDLAGSKRAV</w:t>
            </w:r>
          </w:p>
          <w:p w14:paraId="24894388"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Institutterne skal indberette kapitalgrundlagskravene beregnet i overensstemmelse med artikel 378 i forordning (EU) nr. 575/2013.</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09E890C2"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SAMLET AFVIKLINGSRISIKOEKSPONERING</w:t>
            </w:r>
          </w:p>
          <w:p w14:paraId="3A06223E"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 overensstemmelse med artikel 92, stk. 4, litra b), i forordning (EU) nr. 575/2013 skal institutter gange deres kapitalgrundlagskrav indberettet i kolonne 0030 med 12,5 for at få afviklingsrisikoeksponeringen.</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b/>
                <w:sz w:val="24"/>
                <w:rFonts w:ascii="Times New Roman" w:hAnsi="Times New Roman"/>
              </w:rPr>
            </w:pPr>
            <w:r>
              <w:rPr>
                <w:b/>
                <w:sz w:val="24"/>
                <w:rFonts w:ascii="Times New Roman" w:hAnsi="Times New Roman"/>
              </w:rPr>
              <w:t xml:space="preserve">Rækker</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0010</w:t>
            </w:r>
          </w:p>
        </w:tc>
        <w:tc>
          <w:tcPr>
            <w:tcW w:w="8010" w:type="dxa"/>
          </w:tcPr>
          <w:p w14:paraId="79508667"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Samlede uafviklede transaktioner uden for handelsbeholdningen</w:t>
            </w:r>
          </w:p>
          <w:p w14:paraId="21410DD0" w14:textId="700C573F"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Institutterne skal indberette aggregerede oplysninger om afviklingsrisiko/leveringsrisiko i relation til positioner uden for handelsbeholdningen (jf. artikel 92, stk. 4, litra ca), og artikel 378 i forordning (EU) nr. 575/2013).</w:t>
            </w:r>
          </w:p>
          <w:p w14:paraId="57BBA9B8" w14:textId="77777777" w:rsidR="00925646" w:rsidRPr="002A677E" w:rsidRDefault="00925646" w:rsidP="00E07FE9">
            <w:pPr>
              <w:spacing w:beforeLines="60" w:before="144"/>
              <w:rPr>
                <w:sz w:val="24"/>
                <w:rFonts w:ascii="Times New Roman" w:hAnsi="Times New Roman"/>
              </w:rPr>
            </w:pPr>
            <w:r>
              <w:rPr>
                <w:sz w:val="24"/>
                <w:rFonts w:ascii="Times New Roman" w:hAnsi="Times New Roman"/>
              </w:rPr>
              <w:t xml:space="preserve">I {r0010;c0010} skal institutter indberette den aggregerede sum af uafviklede transaktioner efter det fastsatte leveringstidspunkt til de aftalte afviklingspriser.</w:t>
            </w:r>
          </w:p>
          <w:p w14:paraId="556AEAC8" w14:textId="77777777" w:rsidR="00925646" w:rsidRPr="002A677E" w:rsidRDefault="00925646" w:rsidP="00E07FE9">
            <w:pPr>
              <w:spacing w:beforeLines="60" w:before="144"/>
              <w:rPr>
                <w:sz w:val="24"/>
                <w:rFonts w:ascii="Times New Roman" w:hAnsi="Times New Roman"/>
              </w:rPr>
            </w:pPr>
            <w:r>
              <w:rPr>
                <w:sz w:val="24"/>
                <w:rFonts w:ascii="Times New Roman" w:hAnsi="Times New Roman"/>
              </w:rPr>
              <w:t xml:space="preserve">I {r0010;c0020} skal institutter indberette aggregerede oplysninger om eksponeringen mod prisforskelle som følge af uafviklede transaktioner, der vil påføre dem et tab.</w:t>
            </w:r>
          </w:p>
          <w:p w14:paraId="01BDECE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 {r0010;c0030} skal institutter indberette de aggregerede kapitalgrundlagskrav, der fås ved at lægge kapitalgrundlagskravene for uafviklede transaktioner sammen, ved at gange prisforskellen indberettet i kolonne 0020 med den relevante faktor baseret på antallet af arbejdsdage efter afviklingsdatoen (kategorier er anført i artikel 378, tabel 1, i forordning (EU) nr. 575/2013).</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0020-0060</w:t>
            </w:r>
          </w:p>
        </w:tc>
        <w:tc>
          <w:tcPr>
            <w:tcW w:w="8010" w:type="dxa"/>
          </w:tcPr>
          <w:p w14:paraId="78C0D32F"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i op til fire dage (faktor 0 %)</w:t>
            </w:r>
            <w:r>
              <w:rPr>
                <w:rStyle w:val="InstructionsTabelleberschrift"/>
                <w:sz w:val="24"/>
                <w:rFonts w:ascii="Times New Roman" w:hAnsi="Times New Roman"/>
              </w:rPr>
              <w:t xml:space="preserve"> </w:t>
            </w:r>
          </w:p>
          <w:p w14:paraId="18729DF9"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mellem 5 og 15 dage (faktor 8 %)</w:t>
            </w:r>
          </w:p>
          <w:p w14:paraId="00232284"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mellem 16 og 30 dage (faktor 50 %)</w:t>
            </w:r>
          </w:p>
          <w:p w14:paraId="5EEFD940"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mellem 31 og 45 dage (faktor 75 %)</w:t>
            </w:r>
          </w:p>
          <w:p w14:paraId="326E480A"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i 46 dage eller derover (faktor 100 %)</w:t>
            </w:r>
          </w:p>
          <w:p w14:paraId="4BCE7D0D"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 række 0020-0060 skal institutter indberette oplysninger om afviklingsrisiko/leveringsrisiko vedrørende positioner uden for handelsbeholdningen ved hjælp af de kategorier, der er nævnt i artikel 378, tabel 1, i forordning (EU) nr. 575/2013.</w:t>
            </w:r>
            <w:r>
              <w:rPr>
                <w:sz w:val="24"/>
                <w:rFonts w:ascii="Times New Roman" w:hAnsi="Times New Roman"/>
              </w:rPr>
              <w:t xml:space="preserve"> </w:t>
            </w:r>
          </w:p>
          <w:p w14:paraId="4BA03842"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Der kræves ingen kapitalgrundlagskrav i relation til afviklingsrisiko/leveringsrisiko for transaktioner, der er uafviklet i færre end fem arbejdsdage efter afviklingsdatoen.</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0070</w:t>
            </w:r>
          </w:p>
        </w:tc>
        <w:tc>
          <w:tcPr>
            <w:tcW w:w="8010" w:type="dxa"/>
          </w:tcPr>
          <w:p w14:paraId="56920EB6"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Samlede uafviklede transaktioner i handelsbeholdningen</w:t>
            </w:r>
          </w:p>
          <w:p w14:paraId="3C4B428B" w14:textId="446A5161"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Institutterne skal indberette aggregerede oplysninger om afviklingsrisiko/leveringsrisiko i relation til positioner i handelsbeholdningen (jf. artikel 92, stk. 4, litra ca), og artikel 378 i forordning (EU) nr. 575/2013).</w:t>
            </w:r>
          </w:p>
          <w:p w14:paraId="2E44B3F3"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 {r0070;c0010} skal institutter indberette den aggregerede sum af uafviklede transaktioner efter det fastsatte leveringstidspunkt til de aftalte afviklingspriser.</w:t>
            </w:r>
          </w:p>
          <w:p w14:paraId="1CB848DF"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 {r0070;c0020} skal institutter indberette aggregerede oplysninger om eksponeringen mod prisforskelle som følge af uafviklede transaktioner, der vil påføre dem et tab.</w:t>
            </w:r>
          </w:p>
          <w:p w14:paraId="64D05373" w14:textId="77777777" w:rsidR="00925646" w:rsidRPr="002A677E" w:rsidRDefault="00925646" w:rsidP="00E07FE9">
            <w:pPr>
              <w:spacing w:beforeLines="60" w:before="144" w:afterLines="60" w:after="144"/>
              <w:rPr>
                <w:b/>
                <w:sz w:val="24"/>
                <w:rFonts w:ascii="Times New Roman" w:hAnsi="Times New Roman"/>
              </w:rPr>
            </w:pPr>
            <w:r>
              <w:rPr>
                <w:sz w:val="24"/>
                <w:rFonts w:ascii="Times New Roman" w:hAnsi="Times New Roman"/>
              </w:rPr>
              <w:t xml:space="preserve">I {r0070;c0030} skal institutter indberette de aggregerede kapitalgrundlagskrav, der fås ved at lægge kapitalgrundlagskravene for uafviklede transaktioner sammen, ved at gange prisforskellen indberettet i kolonne 0020 med en relevant faktor baseret på antallet af arbejdsdage efter afviklingsdatoen (kategorier er anført i artikel 378, tabel 1, i forordning (EU) nr. 575/2013).</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0080-0120</w:t>
            </w:r>
          </w:p>
        </w:tc>
        <w:tc>
          <w:tcPr>
            <w:tcW w:w="8010" w:type="dxa"/>
          </w:tcPr>
          <w:p w14:paraId="34E9771F"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i op til fire dage (faktor 0 %)</w:t>
            </w:r>
            <w:r>
              <w:rPr>
                <w:rStyle w:val="InstructionsTabelleberschrift"/>
                <w:sz w:val="24"/>
                <w:rFonts w:ascii="Times New Roman" w:hAnsi="Times New Roman"/>
              </w:rPr>
              <w:t xml:space="preserve"> </w:t>
            </w:r>
          </w:p>
          <w:p w14:paraId="7B8BB095"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mellem 5 og 15 dage (faktor 8 %)</w:t>
            </w:r>
          </w:p>
          <w:p w14:paraId="3902398B"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mellem 16 og 30 dage (faktor 50 %)</w:t>
            </w:r>
          </w:p>
          <w:p w14:paraId="25665540"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mellem 31 og 45 dage (faktor 75 %)</w:t>
            </w:r>
          </w:p>
          <w:p w14:paraId="61E1443A" w14:textId="77777777" w:rsidR="00925646" w:rsidRPr="002A677E" w:rsidRDefault="00925646"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Transaktioner uafviklet i 46 dage eller derover (faktor 100 %)</w:t>
            </w:r>
          </w:p>
          <w:p w14:paraId="1A0345F5" w14:textId="77777777" w:rsidR="00925646" w:rsidRPr="002A677E" w:rsidRDefault="00925646" w:rsidP="00E07FE9">
            <w:pPr>
              <w:spacing w:beforeLines="60" w:before="144" w:afterLines="60" w:after="144"/>
              <w:rPr>
                <w:sz w:val="24"/>
                <w:rFonts w:ascii="Times New Roman" w:hAnsi="Times New Roman"/>
              </w:rPr>
            </w:pPr>
            <w:r>
              <w:rPr>
                <w:sz w:val="24"/>
                <w:rFonts w:ascii="Times New Roman" w:hAnsi="Times New Roman"/>
              </w:rPr>
              <w:t xml:space="preserve">I række 0080-0120 skal institutter indberette oplysninger om afviklingsrisiko/leveringsrisiko vedrørende positioner i handelsbeholdningen ved hjælp af de kategorier, der er nævnt i artikel 378, tabel 1, i forordning (EU) nr. 575/2013.</w:t>
            </w:r>
            <w:r>
              <w:rPr>
                <w:sz w:val="24"/>
                <w:rFonts w:ascii="Times New Roman" w:hAnsi="Times New Roman"/>
              </w:rPr>
              <w:t xml:space="preserve"> </w:t>
            </w:r>
          </w:p>
          <w:p w14:paraId="0A9F762A" w14:textId="77777777" w:rsidR="00925646" w:rsidRPr="002A677E" w:rsidRDefault="00925646" w:rsidP="00E07FE9">
            <w:pPr>
              <w:spacing w:beforeLines="60" w:before="144" w:afterLines="60" w:after="144"/>
              <w:rPr>
                <w:b/>
                <w:sz w:val="24"/>
                <w:rFonts w:ascii="Times New Roman" w:hAnsi="Times New Roman"/>
              </w:rPr>
            </w:pPr>
            <w:r>
              <w:rPr>
                <w:sz w:val="24"/>
                <w:rFonts w:ascii="Times New Roman" w:hAnsi="Times New Roman"/>
              </w:rPr>
              <w:t xml:space="preserve">Der kræves ingen kapitalgrundlagskrav i relation til afviklingsrisiko/leveringsrisiko for transaktioner, der er uafviklet i færre end fem arbejdsdage efter afviklingsdatoen.</w:t>
            </w:r>
          </w:p>
        </w:tc>
      </w:tr>
    </w:tbl>
    <w:p w14:paraId="5D73F136" w14:textId="77777777" w:rsidR="00925646" w:rsidRPr="002A677E" w:rsidRDefault="00925646" w:rsidP="00925646">
      <w:pPr>
        <w:spacing w:after="0"/>
        <w:rPr>
          <w:rFonts w:ascii="Times New Roman" w:hAnsi="Times New Roman"/>
          <w:sz w:val="24"/>
        </w:rPr>
      </w:pPr>
    </w:p>
    <w:p w14:paraId="43F97E9B" w14:textId="77777777" w:rsidR="00925646" w:rsidRDefault="00925646" w:rsidP="00925646">
      <w:r>
        <w:br w:type="page"/>
      </w:r>
    </w:p>
    <w:p w14:paraId="557ADFEB" w14:textId="77777777"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A0E0B"/>
    <w:rsid w:val="00631623"/>
    <w:rsid w:val="006364D5"/>
    <w:rsid w:val="00736637"/>
    <w:rsid w:val="007E5623"/>
    <w:rsid w:val="00925646"/>
    <w:rsid w:val="00960943"/>
    <w:rsid w:val="009C5DD6"/>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val="da-DK"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866917A2-5F1C-44D8-A259-8FE4BE8D611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1051</Words>
  <Characters>6013</Characters>
  <Application>Microsoft Office Word</Application>
  <DocSecurity>0</DocSecurity>
  <Lines>130</Lines>
  <Paragraphs>71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PETRE Gheorghe-Cristian (FISMA)</cp:lastModifiedBy>
  <cp:revision>9</cp:revision>
  <dcterms:created xsi:type="dcterms:W3CDTF">2024-05-28T09:25:00Z</dcterms:created>
  <dcterms:modified xsi:type="dcterms:W3CDTF">2024-07-10T18:21:00Z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