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9C87C" w14:textId="77777777" w:rsidR="00E50DD0" w:rsidRDefault="00E50DD0" w:rsidP="00E50DD0">
      <w:pPr>
        <w:jc w:val="center"/>
        <w:rPr>
          <w:sz w:val="24"/>
          <w:szCs w:val="22"/>
          <w:rFonts w:ascii="Times New Roman" w:hAnsi="Times New Roman"/>
        </w:rPr>
      </w:pPr>
      <w:r>
        <w:rPr>
          <w:sz w:val="24"/>
          <w:rFonts w:ascii="Times New Roman" w:hAnsi="Times New Roman"/>
        </w:rPr>
        <w:t xml:space="preserve">DA</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sz w:val="24"/>
          <w:rFonts w:ascii="Times New Roman" w:hAnsi="Times New Roman"/>
        </w:rPr>
      </w:pPr>
      <w:r>
        <w:rPr>
          <w:sz w:val="24"/>
          <w:rFonts w:ascii="Times New Roman" w:hAnsi="Times New Roman"/>
        </w:rPr>
        <w:t xml:space="preserve">BILAG II</w:t>
      </w:r>
    </w:p>
    <w:p w14:paraId="33BF0F02" w14:textId="77777777" w:rsidR="00DD798A" w:rsidRPr="00037E7B" w:rsidRDefault="00DD798A" w:rsidP="00DD798A">
      <w:pPr>
        <w:jc w:val="center"/>
        <w:rPr>
          <w:sz w:val="24"/>
          <w:rFonts w:ascii="Times New Roman" w:hAnsi="Times New Roman"/>
        </w:rPr>
      </w:pPr>
      <w:r>
        <w:rPr>
          <w:sz w:val="24"/>
          <w:rFonts w:ascii="Times New Roman" w:hAnsi="Times New Roman"/>
        </w:rPr>
        <w:t xml:space="preserve">"BILAG II</w:t>
      </w:r>
    </w:p>
    <w:p w14:paraId="43AF84F6" w14:textId="77777777" w:rsidR="00DD798A" w:rsidRPr="00037E7B" w:rsidRDefault="00DD798A" w:rsidP="00DD798A">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6B9B322A" w14:textId="77777777" w:rsidR="00E26A90" w:rsidRDefault="00E26A90"/>
    <w:p w14:paraId="2A45E9E8" w14:textId="77777777" w:rsidR="00A931D0" w:rsidRDefault="00A931D0" w:rsidP="00A931D0">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572B21DA" w14:textId="77777777" w:rsidR="00A931D0" w:rsidRDefault="00A931D0" w:rsidP="00A931D0">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2CBE875B" w14:textId="77777777" w:rsidR="00A931D0" w:rsidRPr="00736637" w:rsidRDefault="00A931D0" w:rsidP="00A931D0">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09.01 – Geografisk opdeling af eksponeringer efter låntagerens hjemsted:</w:t>
      </w:r>
      <w:r>
        <w:rPr>
          <w:sz w:val="24"/>
          <w:rFonts w:ascii="Times New Roman" w:hAnsi="Times New Roman"/>
        </w:rPr>
        <w:t xml:space="preserve"> </w:t>
      </w:r>
      <w:r>
        <w:rPr>
          <w:sz w:val="24"/>
          <w:rFonts w:ascii="Times New Roman" w:hAnsi="Times New Roman"/>
        </w:rPr>
        <w:t xml:space="preserve">Eksponeringer opgjort efter standardmetoden (CR GB 1)</w:t>
      </w:r>
    </w:p>
    <w:p w14:paraId="0D9A10C4"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0" w:name="_Toc360188363"/>
      <w:bookmarkStart w:id="1" w:name="_Toc473560914"/>
      <w:bookmarkStart w:id="2" w:name="_Toc151714418"/>
      <w:r>
        <w:rPr>
          <w:sz w:val="24"/>
          <w:u w:val="none"/>
          <w:rFonts w:ascii="Times New Roman" w:hAnsi="Times New Roman"/>
        </w:rPr>
        <w:t xml:space="preserve">3.4.1.1.</w:t>
      </w:r>
      <w:r>
        <w:tab/>
      </w:r>
      <w:r>
        <w:rPr>
          <w:sz w:val="24"/>
          <w:rFonts w:ascii="Times New Roman" w:hAnsi="Times New Roman"/>
        </w:rPr>
        <w:t xml:space="preserve">Instrukser vedrørende specifikke positioner</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b/>
                <w:sz w:val="24"/>
                <w:rFonts w:ascii="Times New Roman" w:hAnsi="Times New Roman"/>
              </w:rPr>
            </w:pPr>
            <w:r>
              <w:rPr>
                <w:rStyle w:val="InstructionsTabelleText"/>
                <w:b/>
                <w:sz w:val="24"/>
                <w:rFonts w:ascii="Times New Roman" w:hAnsi="Times New Roman"/>
              </w:rPr>
              <w:t xml:space="preserve">Kolonner</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4841BFD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OPRINDELIG EKSPONERING FØR ANVENDELSE AF KONVERTERINGSFAKTORER</w:t>
            </w:r>
          </w:p>
          <w:p w14:paraId="1D6A0F00" w14:textId="77777777" w:rsidR="009D6580" w:rsidRPr="002A677E" w:rsidRDefault="009D6580" w:rsidP="00822842">
            <w:pPr>
              <w:rPr>
                <w:sz w:val="24"/>
                <w:rFonts w:ascii="Times New Roman" w:hAnsi="Times New Roman"/>
              </w:rPr>
            </w:pPr>
            <w:r>
              <w:rPr>
                <w:sz w:val="24"/>
                <w:rFonts w:ascii="Times New Roman" w:hAnsi="Times New Roman"/>
              </w:rPr>
              <w:t xml:space="preserve">Samme definition som for kolonne 0010 i CR SA-skemaet.</w:t>
            </w:r>
          </w:p>
        </w:tc>
      </w:tr>
      <w:tr w:rsidR="009D6580" w:rsidRPr="002A677E" w14:paraId="5F923D3B" w14:textId="77777777" w:rsidTr="00822842">
        <w:tc>
          <w:tcPr>
            <w:tcW w:w="1188" w:type="dxa"/>
          </w:tcPr>
          <w:p w14:paraId="69087815"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640" w:type="dxa"/>
          </w:tcPr>
          <w:p w14:paraId="04F3B53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Misligholdte eksponeringer</w:t>
            </w:r>
          </w:p>
          <w:p w14:paraId="147BD4ED" w14:textId="29FBEBE8"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Oprindelig eksponering før anvendelse af konverteringsfaktorer for de eksponeringer, der er klassificeret som "eksponeringer ved misligholdelse" og for misligholdte eksponeringer henført til eksponeringsklassen "aktieeksponeringer" og misligholdte eksponeringer henført til eksponeringsklassen "Eksponeringer i form af andele eller aktier i CIU'er".</w:t>
            </w:r>
          </w:p>
          <w:p w14:paraId="6DA448AF"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Denne memorandumpost giver yderligere oplysninger om låntagerstrukturen for misligholdte eksponeringer.</w:t>
            </w:r>
            <w:r>
              <w:rPr>
                <w:sz w:val="24"/>
                <w:rStyle w:val="InstructionsTabelleText"/>
                <w:rFonts w:ascii="Times New Roman" w:hAnsi="Times New Roman"/>
              </w:rPr>
              <w:t xml:space="preserve"> </w:t>
            </w:r>
            <w:r>
              <w:rPr>
                <w:sz w:val="24"/>
                <w:rFonts w:ascii="Times New Roman" w:hAnsi="Times New Roman"/>
              </w:rPr>
              <w:t xml:space="preserve">Eksponeringer, der er klassificeret som "eksponeringer ved misligholdelse" i overensstemmelse med artikel 112, litra j), i forordning (EU) nr. 575/2013, indberettes, når låntagerne ville være blevet indberettet, hvis eksponeringerne ikke var henført til eksponeringsklassen "eksponeringer ved misligholdelse".</w:t>
            </w:r>
            <w:r>
              <w:rPr>
                <w:rStyle w:val="InstructionsTabelleText"/>
                <w:sz w:val="24"/>
                <w:rFonts w:ascii="Times New Roman" w:hAnsi="Times New Roman"/>
              </w:rPr>
              <w:t xml:space="preserve"> </w:t>
            </w:r>
          </w:p>
          <w:p w14:paraId="52855171" w14:textId="65C7A920" w:rsidR="009D6580" w:rsidRPr="002A677E" w:rsidRDefault="00123FDD" w:rsidP="00822842">
            <w:pPr>
              <w:rPr>
                <w:sz w:val="24"/>
                <w:rFonts w:ascii="Times New Roman" w:hAnsi="Times New Roman"/>
              </w:rPr>
            </w:pPr>
            <w:r>
              <w:rPr>
                <w:sz w:val="24"/>
                <w:rFonts w:ascii="Times New Roman" w:hAnsi="Times New Roman"/>
              </w:rPr>
              <w:t xml:space="preserve">Denne oplysning er en memorandumpost og påvirker dermed ikke beregningen af risikovægtede eksponeringer for eksponeringsklasserne "eksponering ved misligholdelse", "aktieeksponeringer" eller "Eksponeringer i form af andele eller aktier i CIU'er", jf. artikel 112, litra j), p) og o), i forordning (EU) nr. 575/2013.</w:t>
            </w:r>
          </w:p>
        </w:tc>
      </w:tr>
      <w:tr w:rsidR="009D6580" w:rsidRPr="002A677E" w14:paraId="12737C01" w14:textId="77777777" w:rsidTr="00822842">
        <w:tc>
          <w:tcPr>
            <w:tcW w:w="1188" w:type="dxa"/>
          </w:tcPr>
          <w:p w14:paraId="0843F0D4"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640" w:type="dxa"/>
          </w:tcPr>
          <w:p w14:paraId="317ABA2D"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Observerede nye misligholdelser for perioden</w:t>
            </w:r>
          </w:p>
          <w:p w14:paraId="4C451CE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Beløbet for oprindelige eksponeringer, som er flyttet til eksponeringsklassen "Eksponeringer ved misligholdelse" i løbet af perioden på tre måneder siden den sidste referencedato for indberetningen, indberettes i forhold til den eksponeringsklasse, som låntageren oprindeligt tilhørte.</w:t>
            </w:r>
          </w:p>
        </w:tc>
      </w:tr>
      <w:tr w:rsidR="009D6580" w:rsidRPr="002A677E" w14:paraId="59173FA8" w14:textId="77777777" w:rsidTr="00822842">
        <w:tc>
          <w:tcPr>
            <w:tcW w:w="1188" w:type="dxa"/>
          </w:tcPr>
          <w:p w14:paraId="7368E5E9"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1A491AA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Generelle kreditrisikojusteringer</w:t>
            </w:r>
          </w:p>
          <w:p w14:paraId="019027A7" w14:textId="77777777" w:rsidR="009D6580" w:rsidRPr="002A677E" w:rsidRDefault="009D6580" w:rsidP="00822842">
            <w:pPr>
              <w:rPr>
                <w:sz w:val="24"/>
                <w:rFonts w:ascii="Times New Roman" w:hAnsi="Times New Roman"/>
              </w:rPr>
            </w:pPr>
            <w:r>
              <w:rPr>
                <w:sz w:val="24"/>
                <w:rFonts w:ascii="Times New Roman" w:hAnsi="Times New Roman"/>
              </w:rPr>
              <w:t xml:space="preserve">Kreditrisikojusteringer som omhandlet i artikel 110 i forordning (EU) nr. 575/2013 og i forordning (EU) nr. 183/2014</w:t>
            </w:r>
            <w:r>
              <w:rPr>
                <w:sz w:val="24"/>
                <w:rFonts w:ascii="Times New Roman" w:hAnsi="Times New Roman"/>
              </w:rPr>
              <w:t xml:space="preserve"> </w:t>
            </w:r>
          </w:p>
          <w:p w14:paraId="124DE0E0" w14:textId="77777777" w:rsidR="009D6580" w:rsidRPr="002A677E" w:rsidRDefault="009D6580" w:rsidP="00822842">
            <w:pPr>
              <w:rPr>
                <w:sz w:val="24"/>
                <w:rFonts w:ascii="Times New Roman" w:hAnsi="Times New Roman"/>
              </w:rPr>
            </w:pPr>
            <w:r>
              <w:rPr>
                <w:sz w:val="24"/>
                <w:rFonts w:ascii="Times New Roman" w:hAnsi="Times New Roman"/>
              </w:rPr>
              <w:t xml:space="preserve">Denne post indeholder de generelle kreditrisikojusteringer, der er kvalificeret til indregning i den supplerende kapital, før det i artikel 62, litra c), i forordning (EU) nr. 575/2013 omhandlede loft anvendes.</w:t>
            </w:r>
          </w:p>
          <w:p w14:paraId="50B8B57C"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Det indberettede beløb skal være før indregning af skatteeffekten.</w:t>
            </w:r>
          </w:p>
        </w:tc>
      </w:tr>
      <w:tr w:rsidR="009D6580" w:rsidRPr="002A677E" w14:paraId="18048AF8" w14:textId="77777777" w:rsidTr="00822842">
        <w:tc>
          <w:tcPr>
            <w:tcW w:w="1188" w:type="dxa"/>
          </w:tcPr>
          <w:p w14:paraId="6BF1FDE0"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640" w:type="dxa"/>
          </w:tcPr>
          <w:p w14:paraId="3DA55F2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Specifikke kreditrisikojusteringer</w:t>
            </w:r>
          </w:p>
          <w:p w14:paraId="0C4040D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Kreditrisikojusteringer som omhandlet i artikel 110 i forordning (EU) nr. 575/2013 og i forordning (EU) nr. 183/2014</w:t>
            </w:r>
          </w:p>
        </w:tc>
      </w:tr>
      <w:tr w:rsidR="009D6580" w:rsidRPr="002A677E" w14:paraId="1433D694" w14:textId="77777777" w:rsidTr="00822842">
        <w:tc>
          <w:tcPr>
            <w:tcW w:w="1188" w:type="dxa"/>
          </w:tcPr>
          <w:p w14:paraId="0154002C"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0E9754A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Afskrivninger</w:t>
            </w:r>
          </w:p>
          <w:p w14:paraId="5E984FA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Afskrivninger som omhandlet i IFRS 9.5.4.4 og B5.4.9.</w:t>
            </w:r>
          </w:p>
        </w:tc>
      </w:tr>
      <w:tr w:rsidR="009D6580" w:rsidRPr="002A677E" w14:paraId="1CFA94CF" w14:textId="77777777" w:rsidTr="00822842">
        <w:tc>
          <w:tcPr>
            <w:tcW w:w="1188" w:type="dxa"/>
          </w:tcPr>
          <w:p w14:paraId="23BBA9F5" w14:textId="77777777" w:rsidR="009D6580" w:rsidRPr="002A677E" w:rsidRDefault="009D6580" w:rsidP="00822842">
            <w:pPr>
              <w:rPr>
                <w:sz w:val="24"/>
                <w:rFonts w:ascii="Times New Roman" w:hAnsi="Times New Roman"/>
              </w:rPr>
            </w:pPr>
            <w:r>
              <w:rPr>
                <w:sz w:val="24"/>
                <w:rFonts w:ascii="Times New Roman" w:hAnsi="Times New Roman"/>
              </w:rPr>
              <w:t xml:space="preserve">0061</w:t>
            </w:r>
          </w:p>
        </w:tc>
        <w:tc>
          <w:tcPr>
            <w:tcW w:w="8640" w:type="dxa"/>
          </w:tcPr>
          <w:p w14:paraId="7173ECB3"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Yderligere værdijusteringer og andre reduktioner af kapitalgrundlaget</w:t>
            </w:r>
          </w:p>
          <w:p w14:paraId="074C80EC"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I overensstemmelse med artikel 111 i forordning (EU) nr. 575/2013.</w:t>
            </w:r>
          </w:p>
        </w:tc>
      </w:tr>
      <w:tr w:rsidR="009D6580" w:rsidRPr="002A677E" w14:paraId="2939F77F" w14:textId="77777777" w:rsidTr="00822842">
        <w:tc>
          <w:tcPr>
            <w:tcW w:w="1188" w:type="dxa"/>
          </w:tcPr>
          <w:p w14:paraId="542B9015"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2643490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Kreditrisikojusteringer/afskrivninger for observerede nye misligholdelser</w:t>
            </w:r>
          </w:p>
          <w:p w14:paraId="7E554B6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Summen af kreditrisikojusteringer og afskrivninger for eksponeringer, der er klassificeret som "misligholdte eksponeringer" i løbet af perioden på tre måneder siden den sidste indgivelse af data.</w:t>
            </w:r>
          </w:p>
        </w:tc>
      </w:tr>
      <w:tr w:rsidR="009D6580" w:rsidRPr="002A677E" w14:paraId="2CA30DE3" w14:textId="77777777" w:rsidTr="00822842">
        <w:tc>
          <w:tcPr>
            <w:tcW w:w="1188" w:type="dxa"/>
          </w:tcPr>
          <w:p w14:paraId="2FD89795" w14:textId="77777777" w:rsidR="009D6580" w:rsidRPr="002A677E" w:rsidRDefault="009D6580" w:rsidP="00822842">
            <w:pPr>
              <w:rPr>
                <w:sz w:val="24"/>
                <w:rFonts w:ascii="Times New Roman" w:hAnsi="Times New Roman"/>
              </w:rPr>
            </w:pPr>
            <w:r>
              <w:rPr>
                <w:sz w:val="24"/>
                <w:rFonts w:ascii="Times New Roman" w:hAnsi="Times New Roman"/>
              </w:rPr>
              <w:t xml:space="preserve">0075</w:t>
            </w:r>
          </w:p>
        </w:tc>
        <w:tc>
          <w:tcPr>
            <w:tcW w:w="8640" w:type="dxa"/>
          </w:tcPr>
          <w:p w14:paraId="233BFDC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Eksponeringsværdi</w:t>
            </w:r>
          </w:p>
          <w:p w14:paraId="4F849709"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Samme definition som for kolonne 0200 i CR SA-skemaet.</w:t>
            </w:r>
          </w:p>
        </w:tc>
      </w:tr>
      <w:tr w:rsidR="009D6580" w:rsidRPr="002A677E" w14:paraId="09BD9174" w14:textId="77777777" w:rsidTr="00822842">
        <w:tc>
          <w:tcPr>
            <w:tcW w:w="1188" w:type="dxa"/>
          </w:tcPr>
          <w:p w14:paraId="06587A3C"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0B560F31" w14:textId="46CDE534"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RISIKOVÆGTEDE EKSPONERINGER FØR ANVENDELSE AF STØTTEFAKTORER OG MANGLENDE VALUTAMATCH</w:t>
            </w:r>
          </w:p>
          <w:p w14:paraId="7F91718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Samme definition som for kolonne 0215 i CR SA-skemaet.</w:t>
            </w:r>
          </w:p>
        </w:tc>
      </w:tr>
      <w:tr w:rsidR="009D6580" w:rsidRPr="002A677E" w14:paraId="172392A5" w14:textId="77777777" w:rsidTr="00822842">
        <w:tc>
          <w:tcPr>
            <w:tcW w:w="1188" w:type="dxa"/>
          </w:tcPr>
          <w:p w14:paraId="4881CC35" w14:textId="77777777" w:rsidR="009D6580" w:rsidRPr="002A677E" w:rsidRDefault="009D6580" w:rsidP="00822842">
            <w:pPr>
              <w:rPr>
                <w:sz w:val="24"/>
                <w:rFonts w:ascii="Times New Roman" w:hAnsi="Times New Roman"/>
              </w:rPr>
            </w:pPr>
            <w:r>
              <w:rPr>
                <w:sz w:val="24"/>
                <w:rFonts w:ascii="Times New Roman" w:hAnsi="Times New Roman"/>
              </w:rPr>
              <w:t xml:space="preserve">0081</w:t>
            </w:r>
          </w:p>
        </w:tc>
        <w:tc>
          <w:tcPr>
            <w:tcW w:w="8640" w:type="dxa"/>
          </w:tcPr>
          <w:p w14:paraId="3683E884" w14:textId="77777777" w:rsidR="009D6580" w:rsidRPr="002A677E" w:rsidRDefault="009D6580" w:rsidP="00822842">
            <w:pPr>
              <w:rPr>
                <w:rStyle w:val="InstructionsTabelleberschrift"/>
                <w:sz w:val="32"/>
                <w:rFonts w:ascii="Times New Roman" w:hAnsi="Times New Roman"/>
              </w:rPr>
            </w:pPr>
            <w:r>
              <w:rPr>
                <w:rStyle w:val="InstructionsTabelleberschrift"/>
                <w:sz w:val="24"/>
                <w:rFonts w:ascii="Times New Roman" w:hAnsi="Times New Roman"/>
              </w:rPr>
              <w:t xml:space="preserve">(-) JUSTERING AF DEN RISIKOVÆGTEDE EKSPONERING SOM FØLGE AF STØTTEFAKTOREN SMV</w:t>
            </w:r>
          </w:p>
          <w:p w14:paraId="7D7BF2EE"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Samme definition som for kolonne 0216 i CR SA-skemaet.</w:t>
            </w:r>
          </w:p>
        </w:tc>
      </w:tr>
      <w:tr w:rsidR="009D6580" w:rsidRPr="002A677E" w14:paraId="7C7A5C85" w14:textId="77777777" w:rsidTr="00822842">
        <w:tc>
          <w:tcPr>
            <w:tcW w:w="1188" w:type="dxa"/>
          </w:tcPr>
          <w:p w14:paraId="4ABD72EC" w14:textId="77777777" w:rsidR="009D6580" w:rsidRPr="002A677E" w:rsidRDefault="009D6580" w:rsidP="00822842">
            <w:pPr>
              <w:rPr>
                <w:sz w:val="24"/>
                <w:rFonts w:ascii="Times New Roman" w:hAnsi="Times New Roman"/>
              </w:rPr>
            </w:pPr>
            <w:r>
              <w:rPr>
                <w:sz w:val="24"/>
                <w:rFonts w:ascii="Times New Roman" w:hAnsi="Times New Roman"/>
              </w:rPr>
              <w:t xml:space="preserve">0082</w:t>
            </w:r>
          </w:p>
        </w:tc>
        <w:tc>
          <w:tcPr>
            <w:tcW w:w="8640" w:type="dxa"/>
          </w:tcPr>
          <w:p w14:paraId="60EE9D4D" w14:textId="77777777" w:rsidR="009D6580" w:rsidRPr="002A677E" w:rsidRDefault="009D6580" w:rsidP="00822842">
            <w:pPr>
              <w:rPr>
                <w:rStyle w:val="InstructionsTabelleberschrift"/>
                <w:sz w:val="32"/>
                <w:rFonts w:ascii="Times New Roman" w:hAnsi="Times New Roman"/>
              </w:rPr>
            </w:pPr>
            <w:r>
              <w:rPr>
                <w:rStyle w:val="InstructionsTabelleberschrift"/>
                <w:sz w:val="24"/>
                <w:rFonts w:ascii="Times New Roman" w:hAnsi="Times New Roman"/>
              </w:rPr>
              <w:t xml:space="preserve">(-) JUSTERING AF DEN RISIKOVÆGTEDE EKSPONERING SOM FØLGE AF STØTTEFAKTOREN INFRASTRUKTUR</w:t>
            </w:r>
          </w:p>
          <w:p w14:paraId="3D157D72"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Samme definition som for kolonne 0217 i CR SA-skemaet.</w:t>
            </w:r>
          </w:p>
        </w:tc>
      </w:tr>
      <w:tr w:rsidR="009D6580" w:rsidRPr="002A677E" w14:paraId="2271C08F" w14:textId="77777777" w:rsidTr="00822842">
        <w:tc>
          <w:tcPr>
            <w:tcW w:w="1188" w:type="dxa"/>
          </w:tcPr>
          <w:p w14:paraId="7D3C5FE9"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tcPr>
          <w:p w14:paraId="784080AC" w14:textId="77777777" w:rsidR="00AF2BE6" w:rsidRDefault="009D6580" w:rsidP="00AF2BE6">
            <w:pPr>
              <w:rPr>
                <w:b/>
                <w:sz w:val="24"/>
                <w:u w:val="single"/>
                <w:rFonts w:ascii="Times New Roman" w:hAnsi="Times New Roman"/>
              </w:rPr>
            </w:pPr>
            <w:r>
              <w:rPr>
                <w:b/>
                <w:sz w:val="24"/>
                <w:u w:val="single"/>
                <w:rFonts w:ascii="Times New Roman" w:hAnsi="Times New Roman"/>
              </w:rPr>
              <w:t xml:space="preserve">RISIKOVÆGTEDE EKSPONERINGER EFTER ANVENDELSE AF STØTTEFAKTORER OG MANGLENDE VALUTAMATCH</w:t>
            </w:r>
          </w:p>
          <w:p w14:paraId="5F17785F" w14:textId="6397E6C0" w:rsidR="009D6580" w:rsidRPr="002A677E" w:rsidRDefault="009D6580" w:rsidP="00AF2BE6">
            <w:pPr>
              <w:rPr>
                <w:b/>
                <w:sz w:val="24"/>
                <w:u w:val="single"/>
                <w:rFonts w:ascii="Times New Roman" w:hAnsi="Times New Roman"/>
              </w:rPr>
            </w:pPr>
            <w:r>
              <w:rPr>
                <w:sz w:val="24"/>
                <w:rFonts w:ascii="Times New Roman" w:hAnsi="Times New Roman"/>
              </w:rPr>
              <w:t xml:space="preserve">Samme definition som for kolonne 0220 i CR SA-skemaet.</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b/>
                <w:sz w:val="24"/>
                <w:rFonts w:ascii="Times New Roman" w:hAnsi="Times New Roman"/>
              </w:rPr>
            </w:pPr>
            <w:r>
              <w:rPr>
                <w:rStyle w:val="InstructionsTabelleText"/>
                <w:b/>
                <w:sz w:val="24"/>
                <w:rFonts w:ascii="Times New Roman" w:hAnsi="Times New Roman"/>
              </w:rPr>
              <w:t xml:space="preserve">Rækker</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sz w:val="24"/>
                <w:rFonts w:ascii="Times New Roman" w:hAnsi="Times New Roman"/>
              </w:rPr>
            </w:pPr>
            <w:r>
              <w:rPr>
                <w:sz w:val="24"/>
                <w:rFonts w:ascii="Times New Roman" w:hAnsi="Times New Roman"/>
              </w:rPr>
              <w:t xml:space="preserve">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Centralregeringer eller centralbanker</w:t>
            </w:r>
          </w:p>
          <w:p w14:paraId="701FDDD6" w14:textId="77777777" w:rsidR="009D6580" w:rsidRPr="002A677E" w:rsidRDefault="009D6580" w:rsidP="00822842">
            <w:pPr>
              <w:ind w:left="72"/>
              <w:rPr>
                <w:rStyle w:val="InstructionsTabelleText"/>
                <w:sz w:val="24"/>
                <w:rFonts w:ascii="Times New Roman" w:hAnsi="Times New Roman"/>
              </w:rPr>
            </w:pPr>
            <w:r>
              <w:rPr>
                <w:sz w:val="24"/>
                <w:rFonts w:ascii="Times New Roman" w:hAnsi="Times New Roman"/>
              </w:rPr>
              <w:t xml:space="preserve">Artikel 112, litra a), i forordning (EU) nr.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Regionale eller lokale myndigheder</w:t>
            </w:r>
          </w:p>
          <w:p w14:paraId="06578FE1"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b), i forordning (EU) nr.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Offentlige enheder</w:t>
            </w:r>
          </w:p>
          <w:p w14:paraId="451BD941"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c), i forordning (EU) nr.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Multilaterale udviklingsbanker</w:t>
            </w:r>
          </w:p>
          <w:p w14:paraId="59A02674"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d), i forordning (EU) nr.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Internationale organisationer</w:t>
            </w:r>
          </w:p>
          <w:p w14:paraId="17C7FCF4"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e), i forordning (EU) nr.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Institutter</w:t>
            </w:r>
          </w:p>
          <w:p w14:paraId="153928C3"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f), i forordning (EU) nr.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Selskaber</w:t>
            </w:r>
          </w:p>
          <w:p w14:paraId="2131631A"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g), i forordning (EU) nr.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sz w:val="24"/>
                <w:rFonts w:ascii="Times New Roman" w:hAnsi="Times New Roman"/>
              </w:rPr>
            </w:pPr>
            <w:r>
              <w:rPr>
                <w:sz w:val="24"/>
                <w:rFonts w:ascii="Times New Roman" w:hAnsi="Times New Roman"/>
              </w:rPr>
              <w:t xml:space="preserve">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Heraf: SMV</w:t>
            </w:r>
          </w:p>
          <w:p w14:paraId="54A9735B"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Samme definition som for række 0020 i CR SA-skemaet</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sz w:val="24"/>
                <w:rFonts w:ascii="Times New Roman" w:hAnsi="Times New Roman"/>
              </w:rPr>
            </w:pPr>
            <w:r>
              <w:rPr>
                <w:sz w:val="24"/>
                <w:rFonts w:ascii="Times New Roman" w:hAnsi="Times New Roman"/>
              </w:rPr>
              <w:t xml:space="preserve">0076</w:t>
            </w:r>
          </w:p>
        </w:tc>
        <w:tc>
          <w:tcPr>
            <w:tcW w:w="8701" w:type="dxa"/>
            <w:gridSpan w:val="2"/>
            <w:shd w:val="clear" w:color="auto" w:fill="FFFFFF"/>
          </w:tcPr>
          <w:p w14:paraId="77F474DF" w14:textId="77777777" w:rsidR="009D6580"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Heraf:</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Specialiseret långivning</w:t>
            </w:r>
          </w:p>
          <w:p w14:paraId="78348E89" w14:textId="77777777" w:rsidR="009D6580" w:rsidRPr="000059B8" w:rsidRDefault="009D6580" w:rsidP="00822842">
            <w:pPr>
              <w:ind w:left="72"/>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Artikel 122a i forordning (EU) nr.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Detail</w:t>
            </w:r>
          </w:p>
          <w:p w14:paraId="4C73D393"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h), i forordning (EU) nr.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sz w:val="24"/>
                <w:rFonts w:ascii="Times New Roman" w:hAnsi="Times New Roman"/>
              </w:rPr>
            </w:pPr>
            <w:r>
              <w:rPr>
                <w:sz w:val="24"/>
                <w:rFonts w:ascii="Times New Roman" w:hAnsi="Times New Roman"/>
              </w:rPr>
              <w:t xml:space="preserve">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Heraf: SMV</w:t>
            </w:r>
          </w:p>
          <w:p w14:paraId="08FE43D7"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Samme definition som for række 0020 i CR SA-skemaet</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fast ejendom og ADC-eksponeringer</w:t>
            </w:r>
          </w:p>
          <w:p w14:paraId="6DD925ED" w14:textId="77777777" w:rsidR="009D6580" w:rsidRPr="002A677E" w:rsidRDefault="009D6580" w:rsidP="00822842">
            <w:pPr>
              <w:ind w:left="72"/>
              <w:rPr>
                <w:rStyle w:val="InstructionsTabelleText"/>
                <w:sz w:val="24"/>
                <w:rFonts w:ascii="Times New Roman" w:hAnsi="Times New Roman"/>
              </w:rPr>
            </w:pPr>
            <w:r>
              <w:rPr>
                <w:sz w:val="24"/>
                <w:rFonts w:ascii="Times New Roman" w:hAnsi="Times New Roman"/>
              </w:rPr>
              <w:t xml:space="preserve">Artikel 112, litra i), i forordning (EU) nr.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beboelsesejendom – ikke-IPRE (sikret)</w:t>
            </w:r>
          </w:p>
          <w:p w14:paraId="5BC0E4C6" w14:textId="5F815813"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beboelsesejendom – ikke-IPRE (usikret)</w:t>
            </w:r>
          </w:p>
          <w:p w14:paraId="607C903E" w14:textId="583159EA"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beboelsesejendom – Andet – ikke-IPRE</w:t>
            </w:r>
          </w:p>
          <w:p w14:paraId="311E3CF5" w14:textId="5245D766"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beboelsesejendom – IPRE</w:t>
            </w:r>
          </w:p>
          <w:p w14:paraId="2090782C" w14:textId="64D92CBC"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beboelsesejendom – Andet – IPRE</w:t>
            </w:r>
          </w:p>
          <w:p w14:paraId="18E3F7B1" w14:textId="00D9A105"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erhvervsejendom – ikke-IPRE (sikret)</w:t>
            </w:r>
          </w:p>
          <w:p w14:paraId="1DD8A6CF" w14:textId="2D56F96D"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erhvervsejendom – ikke-IPRE (usikret)</w:t>
            </w:r>
          </w:p>
          <w:p w14:paraId="37DA45D4" w14:textId="1AC5F0E1"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erhvervsejendom – Andet – ikke-IPRE</w:t>
            </w:r>
          </w:p>
          <w:p w14:paraId="653F8A23" w14:textId="727D9E51"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erhvervsejendom – IPRE</w:t>
            </w:r>
          </w:p>
          <w:p w14:paraId="5C23C6C1" w14:textId="64A934FD"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Sikret ved pant i erhvervsejendom – Andet – IPRE</w:t>
            </w:r>
          </w:p>
          <w:p w14:paraId="4CFFBC8C" w14:textId="16697C60"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Erhvervelse, udvikling og bebyggelse (ADC)</w:t>
            </w:r>
          </w:p>
          <w:p w14:paraId="0CFE246E" w14:textId="00399E0A"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CR SA-skemaet.</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sz w:val="24"/>
                <w:rFonts w:ascii="Times New Roman" w:hAnsi="Times New Roman"/>
              </w:rPr>
            </w:pPr>
            <w:r>
              <w:rPr>
                <w:sz w:val="24"/>
                <w:rFonts w:ascii="Times New Roman" w:hAnsi="Times New Roman"/>
              </w:rPr>
              <w:t xml:space="preserve">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Heraf: SMV</w:t>
            </w:r>
          </w:p>
          <w:p w14:paraId="6A4AA475"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Samme definition som for række 0020 i CR SA-skemaet</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Eksponeringer ved misligholdelse</w:t>
            </w:r>
          </w:p>
          <w:p w14:paraId="24E89ACE"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j), i forordning (EU) nr.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sz w:val="24"/>
                <w:rFonts w:ascii="Times New Roman" w:hAnsi="Times New Roman"/>
              </w:rPr>
            </w:pPr>
            <w:r>
              <w:rPr>
                <w:sz w:val="24"/>
                <w:rFonts w:ascii="Times New Roman" w:hAnsi="Times New Roman"/>
              </w:rPr>
              <w:t xml:space="preserve">0115</w:t>
            </w:r>
          </w:p>
        </w:tc>
        <w:tc>
          <w:tcPr>
            <w:tcW w:w="8701" w:type="dxa"/>
            <w:gridSpan w:val="2"/>
            <w:shd w:val="clear" w:color="auto" w:fill="FFFFFF"/>
          </w:tcPr>
          <w:p w14:paraId="71EBD362" w14:textId="77777777" w:rsidR="009D6580"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Eksponeringer mod efterstillet gæld</w:t>
            </w:r>
          </w:p>
          <w:p w14:paraId="7F19547A" w14:textId="77777777" w:rsidR="009D6580" w:rsidRPr="000059B8"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Artikel 112, litra k), i forordning (EU) nr.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sz w:val="24"/>
                <w:rFonts w:ascii="Times New Roman" w:hAnsi="Times New Roman"/>
              </w:rPr>
            </w:pPr>
            <w:r>
              <w:rPr>
                <w:rStyle w:val="InstructionsTabelleberschrift"/>
                <w:sz w:val="24"/>
                <w:rFonts w:ascii="Times New Roman" w:hAnsi="Times New Roman"/>
              </w:rPr>
              <w:t xml:space="preserve">Særligt dækkede obligationer og særligt dækkede realkreditobligationer</w:t>
            </w:r>
          </w:p>
          <w:p w14:paraId="68F7689A" w14:textId="77777777" w:rsidR="009D6580" w:rsidRPr="002A677E" w:rsidRDefault="009D6580" w:rsidP="00822842">
            <w:pPr>
              <w:autoSpaceDE w:val="0"/>
              <w:autoSpaceDN w:val="0"/>
              <w:adjustRightInd w:val="0"/>
              <w:spacing w:before="0"/>
              <w:ind w:left="72"/>
              <w:jc w:val="left"/>
              <w:rPr>
                <w:rStyle w:val="InstructionsTabelleText"/>
                <w:bCs/>
                <w:sz w:val="24"/>
                <w:u w:val="single"/>
                <w:rFonts w:ascii="Times New Roman" w:hAnsi="Times New Roman"/>
              </w:rPr>
            </w:pPr>
            <w:r>
              <w:rPr>
                <w:sz w:val="24"/>
                <w:rFonts w:ascii="Times New Roman" w:hAnsi="Times New Roman"/>
              </w:rPr>
              <w:t xml:space="preserve">Artikel 112, litra l), i forordning (EU) nr.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bCs w:val="0"/>
                <w:sz w:val="24"/>
                <w:rFonts w:ascii="Times New Roman" w:hAnsi="Times New Roman"/>
              </w:rPr>
            </w:pPr>
            <w:r>
              <w:rPr>
                <w:rStyle w:val="InstructionsTabelleberschrift"/>
                <w:sz w:val="24"/>
                <w:rFonts w:ascii="Times New Roman" w:hAnsi="Times New Roman"/>
              </w:rPr>
              <w:t xml:space="preserve">Krav mod institutter og selskaber med kortsigtet kreditvurdering</w:t>
            </w:r>
          </w:p>
          <w:p w14:paraId="53F92677" w14:textId="77777777" w:rsidR="009D6580" w:rsidRPr="002A677E" w:rsidRDefault="009D6580" w:rsidP="00822842">
            <w:pPr>
              <w:ind w:left="72"/>
              <w:rPr>
                <w:sz w:val="24"/>
                <w:rFonts w:ascii="Times New Roman" w:hAnsi="Times New Roman"/>
              </w:rPr>
            </w:pPr>
            <w:r>
              <w:rPr>
                <w:sz w:val="24"/>
                <w:rFonts w:ascii="Times New Roman" w:hAnsi="Times New Roman"/>
              </w:rPr>
              <w:t xml:space="preserve">Artikel 112, litra n), i forordning (EU) nr.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Kollektive investeringsinstitutter (CIU'er)</w:t>
            </w:r>
          </w:p>
          <w:p w14:paraId="6BE6CAC2" w14:textId="77777777" w:rsidR="009D6580" w:rsidRPr="002A677E" w:rsidRDefault="009D6580" w:rsidP="00822842">
            <w:pPr>
              <w:ind w:left="72"/>
              <w:rPr>
                <w:bCs/>
                <w:sz w:val="24"/>
                <w:rFonts w:ascii="Times New Roman" w:hAnsi="Times New Roman"/>
              </w:rPr>
            </w:pPr>
            <w:r>
              <w:rPr>
                <w:sz w:val="24"/>
                <w:rFonts w:ascii="Times New Roman" w:hAnsi="Times New Roman"/>
              </w:rPr>
              <w:t xml:space="preserve">Artikel 112, litra o), i forordning (EU) nr. 575/2013</w:t>
            </w:r>
          </w:p>
          <w:p w14:paraId="0FFD53A4" w14:textId="77777777" w:rsidR="009D6580" w:rsidRPr="002A677E"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Summen af række 0141-0143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sz w:val="24"/>
                <w:rFonts w:ascii="Times New Roman" w:hAnsi="Times New Roman"/>
              </w:rPr>
            </w:pPr>
            <w:r>
              <w:rPr>
                <w:sz w:val="24"/>
                <w:rFonts w:ascii="Times New Roman" w:hAnsi="Times New Roman"/>
              </w:rPr>
              <w:t xml:space="preserve">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Transparensmetoden</w:t>
            </w:r>
          </w:p>
          <w:p w14:paraId="00783183"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Samme definition som for række 0281 i CR SA-skemaet</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sz w:val="24"/>
                <w:rFonts w:ascii="Times New Roman" w:hAnsi="Times New Roman"/>
              </w:rPr>
            </w:pPr>
            <w:r>
              <w:rPr>
                <w:sz w:val="24"/>
                <w:rFonts w:ascii="Times New Roman" w:hAnsi="Times New Roman"/>
              </w:rPr>
              <w:t xml:space="preserve">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Mandatmetoden</w:t>
            </w:r>
          </w:p>
          <w:p w14:paraId="1FD38657"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Samme definition som for række 0282 i CR SA-skemaet</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sz w:val="24"/>
                <w:rFonts w:ascii="Times New Roman" w:hAnsi="Times New Roman"/>
              </w:rPr>
            </w:pPr>
            <w:r>
              <w:rPr>
                <w:sz w:val="24"/>
                <w:rFonts w:ascii="Times New Roman" w:hAnsi="Times New Roman"/>
              </w:rPr>
              <w:t xml:space="preserve">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Fallbackmetoden</w:t>
            </w:r>
          </w:p>
          <w:p w14:paraId="2EA9AADD"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Samme definition som for række 0283 i CR SA-skemaet</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Aktieeksponeringer</w:t>
            </w:r>
          </w:p>
          <w:p w14:paraId="3170DAFB"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p), i forordning (EU) nr.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sz w:val="24"/>
                <w:rFonts w:ascii="Times New Roman" w:hAnsi="Times New Roman"/>
              </w:rPr>
            </w:pPr>
            <w:r>
              <w:rPr>
                <w:sz w:val="24"/>
                <w:rFonts w:ascii="Times New Roman" w:hAnsi="Times New Roman"/>
              </w:rPr>
              <w:t xml:space="preserve">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Andre eksponeringer</w:t>
            </w:r>
          </w:p>
          <w:p w14:paraId="5D708342"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litra q), i forordning (EU) nr.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sz w:val="24"/>
                <w:rFonts w:ascii="Times New Roman" w:hAnsi="Times New Roman"/>
              </w:rPr>
            </w:pPr>
            <w:r>
              <w:rPr>
                <w:sz w:val="24"/>
                <w:rFonts w:ascii="Times New Roman" w:hAnsi="Times New Roman"/>
              </w:rPr>
              <w:t xml:space="preserve">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Samlede eksponeringer</w:t>
            </w:r>
          </w:p>
        </w:tc>
      </w:tr>
    </w:tbl>
    <w:p w14:paraId="2EB3E5B0" w14:textId="77777777" w:rsidR="009D6580" w:rsidRPr="002A677E" w:rsidRDefault="009D6580" w:rsidP="009D6580">
      <w:pPr>
        <w:spacing w:before="0" w:after="200" w:line="312" w:lineRule="auto"/>
        <w:jc w:val="left"/>
        <w:rPr>
          <w:sz w:val="24"/>
          <w:rFonts w:ascii="Times New Roman" w:hAnsi="Times New Roman"/>
        </w:rPr>
      </w:pPr>
      <w:bookmarkStart w:id="3" w:name="_Toc292456210"/>
    </w:p>
    <w:p w14:paraId="467F6DC6"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4" w:name="_Toc360188364"/>
      <w:bookmarkStart w:id="5" w:name="_Toc473560915"/>
      <w:bookmarkStart w:id="6" w:name="_Toc151714419"/>
      <w:r>
        <w:rPr>
          <w:sz w:val="24"/>
          <w:u w:val="none"/>
          <w:rFonts w:ascii="Times New Roman" w:hAnsi="Times New Roman"/>
        </w:rPr>
        <w:t xml:space="preserve">3.4.2.</w:t>
      </w:r>
      <w:r>
        <w:tab/>
      </w:r>
      <w:r>
        <w:rPr>
          <w:sz w:val="24"/>
          <w:rFonts w:ascii="Times New Roman" w:hAnsi="Times New Roman"/>
        </w:rPr>
        <w:t xml:space="preserve">C 09.02 – Geografisk opdeling af eksponeringer efter låntagerens hjemsted:</w:t>
      </w:r>
      <w:r>
        <w:rPr>
          <w:sz w:val="24"/>
          <w:rFonts w:ascii="Times New Roman" w:hAnsi="Times New Roman"/>
        </w:rPr>
        <w:t xml:space="preserve"> </w:t>
      </w:r>
      <w:r>
        <w:rPr>
          <w:sz w:val="24"/>
          <w:rFonts w:ascii="Times New Roman" w:hAnsi="Times New Roman"/>
        </w:rPr>
        <w:t xml:space="preserve">Eksponeringer opgjort efter IRB-metoden</w:t>
      </w:r>
      <w:bookmarkEnd w:id="4"/>
      <w:r>
        <w:rPr>
          <w:sz w:val="24"/>
          <w:rFonts w:ascii="Times New Roman" w:hAnsi="Times New Roman"/>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7" w:name="_Toc360188365"/>
      <w:bookmarkStart w:id="8" w:name="_Toc473560916"/>
      <w:bookmarkStart w:id="9" w:name="_Toc151714420"/>
      <w:r>
        <w:rPr>
          <w:sz w:val="24"/>
          <w:u w:val="none"/>
          <w:rFonts w:ascii="Times New Roman" w:hAnsi="Times New Roman"/>
        </w:rPr>
        <w:t xml:space="preserve">3.4.2.1.</w:t>
      </w:r>
      <w:r>
        <w:tab/>
      </w:r>
      <w:r>
        <w:rPr>
          <w:sz w:val="24"/>
          <w:rFonts w:ascii="Times New Roman" w:hAnsi="Times New Roman"/>
        </w:rPr>
        <w:t xml:space="preserve">Instrukser vedrørende specifikke positioner</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b/>
                <w:sz w:val="24"/>
                <w:rFonts w:ascii="Times New Roman" w:hAnsi="Times New Roman"/>
              </w:rPr>
            </w:pPr>
            <w:r>
              <w:rPr>
                <w:b/>
                <w:sz w:val="24"/>
                <w:rFonts w:ascii="Times New Roman" w:hAnsi="Times New Roman"/>
              </w:rPr>
              <w:t xml:space="preserve">Kolonner</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5DA72BDB"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OPRINDELIG EKSPONERING FØR ANVENDELSE AF KONVERTERINGSFAKTORER</w:t>
            </w:r>
          </w:p>
          <w:p w14:paraId="714A5DA7" w14:textId="77777777" w:rsidR="009D6580" w:rsidRPr="002A677E" w:rsidRDefault="009D6580" w:rsidP="00822842">
            <w:pPr>
              <w:autoSpaceDE w:val="0"/>
              <w:autoSpaceDN w:val="0"/>
              <w:adjustRightInd w:val="0"/>
              <w:spacing w:before="0" w:after="0"/>
              <w:jc w:val="left"/>
              <w:rPr>
                <w:rStyle w:val="InstructionsTabelleText"/>
                <w:sz w:val="24"/>
                <w:rFonts w:ascii="Times New Roman" w:hAnsi="Times New Roman"/>
              </w:rPr>
            </w:pPr>
            <w:r>
              <w:rPr>
                <w:sz w:val="24"/>
                <w:rFonts w:ascii="Times New Roman" w:hAnsi="Times New Roman"/>
              </w:rPr>
              <w:t xml:space="preserve">Samme definition som for kolonne 0020 i CR IRB-skemaet.</w:t>
            </w:r>
          </w:p>
        </w:tc>
      </w:tr>
      <w:tr w:rsidR="009D6580" w:rsidRPr="002A677E" w14:paraId="770F3897" w14:textId="77777777" w:rsidTr="00822842">
        <w:tc>
          <w:tcPr>
            <w:tcW w:w="1188" w:type="dxa"/>
          </w:tcPr>
          <w:p w14:paraId="56E092EF"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640" w:type="dxa"/>
          </w:tcPr>
          <w:p w14:paraId="0071C394"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Heraf misligholdte</w:t>
            </w:r>
          </w:p>
          <w:p w14:paraId="2768B5B2"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Oprindelig eksponeringsværdi af de eksponeringer, der er blevet klassificeret som "misligholdte eksponeringer" i henhold til artikel 178 i forordning (EU) nr. 575/2013.</w:t>
            </w:r>
          </w:p>
        </w:tc>
      </w:tr>
      <w:tr w:rsidR="009D6580" w:rsidRPr="002A677E" w14:paraId="7AD6E18B" w14:textId="77777777" w:rsidTr="00822842">
        <w:tc>
          <w:tcPr>
            <w:tcW w:w="1188" w:type="dxa"/>
          </w:tcPr>
          <w:p w14:paraId="1DFAF6C6"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640" w:type="dxa"/>
          </w:tcPr>
          <w:p w14:paraId="3FD9DA2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Observerede nye misligholdelser for perioden</w:t>
            </w:r>
          </w:p>
          <w:p w14:paraId="2393DECB"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Den oprindelige eksponeringsværdi for disse eksponeringer, som er klassificeret som misligholdte eksponeringer i perioden på tre måneder siden den sidste referencedato for indberetning, indberettes i forhold til den eksponeringsklasse, som låntageren oprindeligt tilhørte.</w:t>
            </w:r>
            <w:r>
              <w:rPr>
                <w:rStyle w:val="InstructionsTabelleText"/>
                <w:sz w:val="24"/>
                <w:rFonts w:ascii="Times New Roman" w:hAnsi="Times New Roman"/>
              </w:rPr>
              <w:t xml:space="preserve"> </w:t>
            </w:r>
          </w:p>
        </w:tc>
      </w:tr>
      <w:tr w:rsidR="009D6580" w:rsidRPr="002A677E" w14:paraId="382342DD" w14:textId="77777777" w:rsidTr="00822842">
        <w:tc>
          <w:tcPr>
            <w:tcW w:w="1188" w:type="dxa"/>
          </w:tcPr>
          <w:p w14:paraId="20977C7F"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6E8FD64C"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Generelle kreditrisikojusteringer</w:t>
            </w:r>
          </w:p>
          <w:p w14:paraId="1F1D0A5D"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Kreditrisikojusteringer som omhandlet i artikel 110 i forordning (EU) nr. 575/2013 og i forordning (EU) nr. 183/2014</w:t>
            </w:r>
          </w:p>
        </w:tc>
      </w:tr>
      <w:tr w:rsidR="009D6580" w:rsidRPr="002A677E" w14:paraId="63C2E396" w14:textId="77777777" w:rsidTr="00822842">
        <w:tc>
          <w:tcPr>
            <w:tcW w:w="1188" w:type="dxa"/>
          </w:tcPr>
          <w:p w14:paraId="3BC8F127"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640" w:type="dxa"/>
          </w:tcPr>
          <w:p w14:paraId="26D828F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Specifikke kreditrisikojusteringer</w:t>
            </w:r>
          </w:p>
          <w:p w14:paraId="4DA8E76B"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Kreditrisikojusteringer som omhandlet i artikel 110 i forordning (EU) nr. 575/2013 og i forordning (EU) nr. 183/2014</w:t>
            </w:r>
          </w:p>
        </w:tc>
      </w:tr>
      <w:tr w:rsidR="009D6580" w:rsidRPr="002A677E" w14:paraId="24582208" w14:textId="77777777" w:rsidTr="00822842">
        <w:tc>
          <w:tcPr>
            <w:tcW w:w="1188" w:type="dxa"/>
          </w:tcPr>
          <w:p w14:paraId="46A1EB07"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4CC236D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Afskrivninger</w:t>
            </w:r>
          </w:p>
          <w:p w14:paraId="51BEEB5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Afskrivninger som omhandlet i IFRS 9.5.4.4 og B5.4.9.</w:t>
            </w:r>
          </w:p>
        </w:tc>
      </w:tr>
      <w:tr w:rsidR="009D6580" w:rsidRPr="002A677E" w14:paraId="615BD0D9" w14:textId="77777777" w:rsidTr="00822842">
        <w:tc>
          <w:tcPr>
            <w:tcW w:w="1188" w:type="dxa"/>
          </w:tcPr>
          <w:p w14:paraId="641E5F2D"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7C362C1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Kreditrisikojusteringer/afskrivninger for observerede nye misligholdelser</w:t>
            </w:r>
          </w:p>
          <w:p w14:paraId="454774E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Summen af kreditrisikojusteringer og afskrivninger for eksponeringer, der er klassificeret som "misligholdte eksponeringer" i løbet af perioden på tre måneder siden den sidste indgivelse af data.</w:t>
            </w:r>
          </w:p>
        </w:tc>
      </w:tr>
      <w:tr w:rsidR="009D6580" w:rsidRPr="002A677E" w14:paraId="4B7452D7" w14:textId="77777777" w:rsidTr="00822842">
        <w:tc>
          <w:tcPr>
            <w:tcW w:w="1188" w:type="dxa"/>
          </w:tcPr>
          <w:p w14:paraId="1A68115E"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256EF248" w14:textId="77777777" w:rsidR="009D6580" w:rsidRPr="002A677E" w:rsidRDefault="009D6580"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SKALA MED INTERNE RATINGS/PD TILDELT LÅNTAGERKLASSE ELLER PULJE (%)</w:t>
            </w:r>
          </w:p>
          <w:p w14:paraId="2C51714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Samme definition som for kolonne 0010 i CR IRB-skemaet.</w:t>
            </w:r>
          </w:p>
        </w:tc>
      </w:tr>
      <w:tr w:rsidR="009D6580" w:rsidRPr="002A677E" w14:paraId="18989AFE" w14:textId="77777777" w:rsidTr="00822842">
        <w:tc>
          <w:tcPr>
            <w:tcW w:w="1188" w:type="dxa"/>
          </w:tcPr>
          <w:p w14:paraId="489AE0F7"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tcPr>
          <w:p w14:paraId="78B53BE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EKSPONERINGSVÆGTET GENNEMSNITLIGT LGD (%)</w:t>
            </w:r>
          </w:p>
          <w:p w14:paraId="5BC89E8E"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Samme definition som for kolonne 0230 og 0240 i CR IRB-skemaet: Det eksponeringsvægtede gennemsnitlige LGD (%) skal vedrøre alle eksponeringer, herunder også eksponeringer for store enheder i den finansielle sektor og uregulerede finansielle enheder.</w:t>
            </w:r>
            <w:r>
              <w:rPr>
                <w:sz w:val="24"/>
                <w:rStyle w:val="InstructionsTabelleText"/>
                <w:rFonts w:ascii="Times New Roman" w:hAnsi="Times New Roman"/>
              </w:rPr>
              <w:t xml:space="preserve"> </w:t>
            </w:r>
            <w:r>
              <w:rPr>
                <w:sz w:val="24"/>
                <w:rFonts w:ascii="Times New Roman" w:hAnsi="Times New Roman"/>
              </w:rPr>
              <w:t xml:space="preserve">Artikel 181, stk. 1, litra h), i forordning (EU) nr. 575/2013 finder anvendelse.</w:t>
            </w:r>
          </w:p>
          <w:p w14:paraId="3A7794E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For specialiserede långivningseksponeringer, hvor PD estimeres, bør den indberettede værdi enten være den estimerede eller den lovpligtige LGD.</w:t>
            </w:r>
            <w:r>
              <w:rPr>
                <w:sz w:val="24"/>
                <w:rFonts w:ascii="Times New Roman" w:hAnsi="Times New Roman"/>
              </w:rPr>
              <w:t xml:space="preserve"> </w:t>
            </w:r>
            <w:r>
              <w:rPr>
                <w:sz w:val="24"/>
                <w:rFonts w:ascii="Times New Roman" w:hAnsi="Times New Roman"/>
              </w:rPr>
              <w:t xml:space="preserve">For specialiserede långivningseksponeringer som omhandlet i artikel 153, stk. 5, i forordning (EU) nr. 575/2013, kan data ikke indberettes, da de ikke foreligger.</w:t>
            </w:r>
          </w:p>
        </w:tc>
      </w:tr>
      <w:tr w:rsidR="009D6580" w:rsidRPr="002A677E" w14:paraId="66756C12" w14:textId="77777777" w:rsidTr="00822842">
        <w:tc>
          <w:tcPr>
            <w:tcW w:w="1188" w:type="dxa"/>
          </w:tcPr>
          <w:p w14:paraId="317ECEC7"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640" w:type="dxa"/>
          </w:tcPr>
          <w:p w14:paraId="68CF6D3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Heraf: misligholdte</w:t>
            </w:r>
          </w:p>
          <w:p w14:paraId="789E281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Eksponeringsvægtet LGD for de eksponeringer, der er blevet klassificeret som misligholdte eksponeringer i henhold til artikel 178 i forordning (EU) nr. 575/2013.</w:t>
            </w:r>
          </w:p>
        </w:tc>
      </w:tr>
      <w:tr w:rsidR="009D6580" w:rsidRPr="002A677E" w14:paraId="187792F5" w14:textId="77777777" w:rsidTr="00822842">
        <w:tc>
          <w:tcPr>
            <w:tcW w:w="1188" w:type="dxa"/>
          </w:tcPr>
          <w:p w14:paraId="41BFEDD8" w14:textId="77777777" w:rsidR="009D6580" w:rsidRPr="002A677E" w:rsidRDefault="009D6580" w:rsidP="00822842">
            <w:pPr>
              <w:rPr>
                <w:sz w:val="24"/>
                <w:rFonts w:ascii="Times New Roman" w:hAnsi="Times New Roman"/>
              </w:rPr>
            </w:pPr>
            <w:r>
              <w:rPr>
                <w:sz w:val="24"/>
                <w:rFonts w:ascii="Times New Roman" w:hAnsi="Times New Roman"/>
              </w:rPr>
              <w:t xml:space="preserve">0105</w:t>
            </w:r>
          </w:p>
        </w:tc>
        <w:tc>
          <w:tcPr>
            <w:tcW w:w="8640" w:type="dxa"/>
          </w:tcPr>
          <w:p w14:paraId="7B14423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Eksponeringsværdi</w:t>
            </w:r>
          </w:p>
          <w:p w14:paraId="533E4F5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Samme definition som for kolonne 0110 i CR IRB-skemaet.</w:t>
            </w:r>
          </w:p>
        </w:tc>
      </w:tr>
      <w:tr w:rsidR="009D6580" w:rsidRPr="002A677E" w14:paraId="48402149" w14:textId="77777777" w:rsidTr="00822842">
        <w:tc>
          <w:tcPr>
            <w:tcW w:w="1188" w:type="dxa"/>
          </w:tcPr>
          <w:p w14:paraId="3E4D7142"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640" w:type="dxa"/>
          </w:tcPr>
          <w:p w14:paraId="3BFEC9E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RISIKOVÆGTEDE EKSPONERINGER FØR ANVENDELSE AF STØTTEFAKTORER</w:t>
            </w:r>
          </w:p>
          <w:p w14:paraId="38950726"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Samme definition som for kolonne 0255 i CR IRB-skemaet.</w:t>
            </w:r>
          </w:p>
        </w:tc>
      </w:tr>
      <w:tr w:rsidR="009D6580" w:rsidRPr="002A677E" w14:paraId="321AA4CE" w14:textId="77777777" w:rsidTr="00822842">
        <w:tc>
          <w:tcPr>
            <w:tcW w:w="1188" w:type="dxa"/>
          </w:tcPr>
          <w:p w14:paraId="5F49B73F"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640" w:type="dxa"/>
          </w:tcPr>
          <w:p w14:paraId="2A07E1E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Heraf misligholdte</w:t>
            </w:r>
          </w:p>
          <w:p w14:paraId="0B72119F"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Risikovægtet eksponering for de eksponeringer, der er blevet klassificeret som misligholdte eksponeringer i henhold til artikel 178, stk. 1, i forordning (EU) nr. 575/2013.</w:t>
            </w:r>
          </w:p>
        </w:tc>
      </w:tr>
      <w:tr w:rsidR="009D6580" w:rsidRPr="002A677E" w14:paraId="4F58B17C" w14:textId="77777777" w:rsidTr="00822842">
        <w:tc>
          <w:tcPr>
            <w:tcW w:w="1188" w:type="dxa"/>
          </w:tcPr>
          <w:p w14:paraId="43313479" w14:textId="77777777" w:rsidR="009D6580" w:rsidRPr="002A677E" w:rsidRDefault="009D6580" w:rsidP="00822842">
            <w:pPr>
              <w:rPr>
                <w:sz w:val="24"/>
                <w:rFonts w:ascii="Times New Roman" w:hAnsi="Times New Roman"/>
              </w:rPr>
            </w:pPr>
            <w:r>
              <w:rPr>
                <w:sz w:val="24"/>
                <w:rFonts w:ascii="Times New Roman" w:hAnsi="Times New Roman"/>
              </w:rPr>
              <w:t xml:space="preserve">0121</w:t>
            </w:r>
          </w:p>
        </w:tc>
        <w:tc>
          <w:tcPr>
            <w:tcW w:w="8640" w:type="dxa"/>
          </w:tcPr>
          <w:p w14:paraId="51B6E44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 JUSTERING AF DEN RISIKOVÆGTEDE EKSPONERING SOM FØLGE AF STØTTEFAKTOREN SMV</w:t>
            </w:r>
          </w:p>
          <w:p w14:paraId="7060DF05"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Samme definition som for kolonne 0256 i CR IRB-skemaet.</w:t>
            </w:r>
          </w:p>
        </w:tc>
      </w:tr>
      <w:tr w:rsidR="009D6580" w:rsidRPr="002A677E" w14:paraId="6DA9FCB6" w14:textId="77777777" w:rsidTr="00822842">
        <w:tc>
          <w:tcPr>
            <w:tcW w:w="1188" w:type="dxa"/>
          </w:tcPr>
          <w:p w14:paraId="189DC6D4" w14:textId="77777777" w:rsidR="009D6580" w:rsidRPr="002A677E" w:rsidRDefault="009D6580" w:rsidP="00822842">
            <w:pPr>
              <w:rPr>
                <w:sz w:val="24"/>
                <w:rFonts w:ascii="Times New Roman" w:hAnsi="Times New Roman"/>
              </w:rPr>
            </w:pPr>
            <w:r>
              <w:rPr>
                <w:sz w:val="24"/>
                <w:rFonts w:ascii="Times New Roman" w:hAnsi="Times New Roman"/>
              </w:rPr>
              <w:t xml:space="preserve">0122</w:t>
            </w:r>
          </w:p>
        </w:tc>
        <w:tc>
          <w:tcPr>
            <w:tcW w:w="8640" w:type="dxa"/>
          </w:tcPr>
          <w:p w14:paraId="77E17241"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 JUSTERING AF DEN RISIKOVÆGTEDE EKSPONERING SOM FØLGE AF STØTTEFAKTOREN INFRASTRUKTUR</w:t>
            </w:r>
          </w:p>
          <w:p w14:paraId="1EE90D25"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Samme definition som for kolonne 0257 i CR IRB-skemaet.</w:t>
            </w:r>
          </w:p>
        </w:tc>
      </w:tr>
      <w:tr w:rsidR="009D6580" w:rsidRPr="002A677E" w14:paraId="0A79EDF4" w14:textId="77777777" w:rsidTr="00822842">
        <w:tc>
          <w:tcPr>
            <w:tcW w:w="1188" w:type="dxa"/>
          </w:tcPr>
          <w:p w14:paraId="2D50BBC4" w14:textId="77777777" w:rsidR="009D6580" w:rsidRPr="002A677E" w:rsidRDefault="009D6580" w:rsidP="00822842">
            <w:pPr>
              <w:rPr>
                <w:sz w:val="24"/>
                <w:rFonts w:ascii="Times New Roman" w:hAnsi="Times New Roman"/>
              </w:rPr>
            </w:pPr>
            <w:r>
              <w:rPr>
                <w:sz w:val="24"/>
                <w:rFonts w:ascii="Times New Roman" w:hAnsi="Times New Roman"/>
              </w:rPr>
              <w:t xml:space="preserve">0125</w:t>
            </w:r>
          </w:p>
        </w:tc>
        <w:tc>
          <w:tcPr>
            <w:tcW w:w="8640" w:type="dxa"/>
          </w:tcPr>
          <w:p w14:paraId="0D402C8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RISIKOVÆGTET EKSPONERING EFTER ANVENDELSE AF STØTTEFAKTORER</w:t>
            </w:r>
          </w:p>
          <w:p w14:paraId="71F977E8"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Samme definition som for kolonne 0260 i CR IRB-skemaet.</w:t>
            </w:r>
          </w:p>
        </w:tc>
      </w:tr>
      <w:tr w:rsidR="009D6580" w:rsidRPr="002A677E" w14:paraId="058051CC" w14:textId="77777777" w:rsidTr="00822842">
        <w:tc>
          <w:tcPr>
            <w:tcW w:w="1188" w:type="dxa"/>
          </w:tcPr>
          <w:p w14:paraId="02AA680F"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640" w:type="dxa"/>
          </w:tcPr>
          <w:p w14:paraId="5E66C6B0"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FORVENTET TAB</w:t>
            </w:r>
          </w:p>
          <w:p w14:paraId="27E13378"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Samme definition som for kolonne 0280 i CR IRB-skemaet.</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b/>
                <w:sz w:val="24"/>
                <w:rFonts w:ascii="Times New Roman" w:hAnsi="Times New Roman"/>
              </w:rPr>
            </w:pPr>
            <w:r>
              <w:rPr>
                <w:b/>
                <w:sz w:val="24"/>
                <w:rFonts w:ascii="Times New Roman" w:hAnsi="Times New Roman"/>
              </w:rPr>
              <w:t xml:space="preserve">Rækker</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sz w:val="24"/>
                <w:rFonts w:ascii="Times New Roman" w:hAnsi="Times New Roman"/>
              </w:rPr>
            </w:pPr>
            <w:r>
              <w:rPr>
                <w:sz w:val="24"/>
                <w:rFonts w:ascii="Times New Roman" w:hAnsi="Times New Roman"/>
              </w:rPr>
              <w:t xml:space="preserve">0010</w:t>
            </w:r>
          </w:p>
        </w:tc>
        <w:tc>
          <w:tcPr>
            <w:tcW w:w="8640" w:type="dxa"/>
          </w:tcPr>
          <w:p w14:paraId="349EA92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Centralregeringer og centralbanker</w:t>
            </w:r>
            <w:r>
              <w:rPr>
                <w:b/>
                <w:sz w:val="24"/>
                <w:u w:val="single"/>
                <w:rFonts w:ascii="Times New Roman" w:hAnsi="Times New Roman"/>
              </w:rPr>
              <w:t xml:space="preserve"> </w:t>
            </w:r>
          </w:p>
          <w:p w14:paraId="45CC186E" w14:textId="77777777" w:rsidR="009D6580" w:rsidRPr="002A677E" w:rsidRDefault="009D6580" w:rsidP="00822842">
            <w:pPr>
              <w:rPr>
                <w:sz w:val="24"/>
                <w:rFonts w:ascii="Times New Roman" w:hAnsi="Times New Roman"/>
              </w:rPr>
            </w:pPr>
            <w:r>
              <w:rPr>
                <w:sz w:val="24"/>
                <w:rFonts w:ascii="Times New Roman" w:hAnsi="Times New Roman"/>
              </w:rPr>
              <w:t xml:space="preserve">Artikel 147, stk. 2, litra a), i forordning (EU) nr.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sz w:val="24"/>
                <w:rFonts w:ascii="Times New Roman" w:hAnsi="Times New Roman"/>
              </w:rPr>
            </w:pPr>
            <w:r>
              <w:rPr>
                <w:sz w:val="24"/>
                <w:rFonts w:ascii="Times New Roman" w:hAnsi="Times New Roman"/>
              </w:rPr>
              <w:t xml:space="preserve">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Regionale eller lokale myndigheder</w:t>
            </w:r>
          </w:p>
          <w:p w14:paraId="4864E157"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Artikel 147, stk. 3a, i forordning (EU) nr.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sz w:val="24"/>
                <w:rFonts w:ascii="Times New Roman" w:hAnsi="Times New Roman"/>
              </w:rPr>
            </w:pPr>
            <w:r>
              <w:rPr>
                <w:sz w:val="24"/>
                <w:rFonts w:ascii="Times New Roman" w:hAnsi="Times New Roman"/>
              </w:rPr>
              <w:t xml:space="preserve">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Regionale eller lokale myndigheder</w:t>
            </w:r>
          </w:p>
          <w:p w14:paraId="19FE9B53"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Artikel 147, stk. 2, litra aa), nr. i), i forordning (EU) nr.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sz w:val="24"/>
                <w:rFonts w:ascii="Times New Roman" w:hAnsi="Times New Roman"/>
              </w:rPr>
            </w:pPr>
            <w:r>
              <w:rPr>
                <w:sz w:val="24"/>
                <w:rFonts w:ascii="Times New Roman" w:hAnsi="Times New Roman"/>
              </w:rPr>
              <w:t xml:space="preserve">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Offentlige enheder</w:t>
            </w:r>
            <w:r>
              <w:rPr>
                <w:b/>
                <w:sz w:val="24"/>
                <w:u w:val="single"/>
                <w:rFonts w:ascii="Times New Roman" w:hAnsi="Times New Roman"/>
              </w:rPr>
              <w:t xml:space="preserve"> </w:t>
            </w:r>
          </w:p>
          <w:p w14:paraId="1DE1AAE7"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Artikel 147, stk. 2, litra aa), nr. ii), i forordning (EU) nr. 575/2013</w:t>
            </w:r>
          </w:p>
        </w:tc>
      </w:tr>
      <w:tr w:rsidR="009D6580" w:rsidRPr="002A677E" w14:paraId="0C55C95D" w14:textId="77777777" w:rsidTr="00822842">
        <w:tc>
          <w:tcPr>
            <w:tcW w:w="1188" w:type="dxa"/>
          </w:tcPr>
          <w:p w14:paraId="6C8F06FC"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640" w:type="dxa"/>
          </w:tcPr>
          <w:p w14:paraId="460BDDF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Institutter</w:t>
            </w:r>
          </w:p>
          <w:p w14:paraId="504F46A3" w14:textId="77777777" w:rsidR="009D6580" w:rsidRPr="002A677E" w:rsidRDefault="009D6580" w:rsidP="00822842">
            <w:pPr>
              <w:rPr>
                <w:sz w:val="24"/>
                <w:rFonts w:ascii="Times New Roman" w:hAnsi="Times New Roman"/>
              </w:rPr>
            </w:pPr>
            <w:r>
              <w:rPr>
                <w:sz w:val="24"/>
                <w:rFonts w:ascii="Times New Roman" w:hAnsi="Times New Roman"/>
              </w:rPr>
              <w:t xml:space="preserve">Artikel 147, stk. 2, litra b), i forordning (EU) nr. 575/2013</w:t>
            </w:r>
          </w:p>
        </w:tc>
      </w:tr>
      <w:tr w:rsidR="009D6580" w:rsidRPr="002A677E" w14:paraId="2B29BE20" w14:textId="77777777" w:rsidTr="00822842">
        <w:tc>
          <w:tcPr>
            <w:tcW w:w="1188" w:type="dxa"/>
          </w:tcPr>
          <w:p w14:paraId="521AA8B6"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640" w:type="dxa"/>
          </w:tcPr>
          <w:p w14:paraId="63C7233C"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Selskaber</w:t>
            </w:r>
            <w:r>
              <w:rPr>
                <w:b/>
                <w:sz w:val="24"/>
                <w:u w:val="single"/>
                <w:rFonts w:ascii="Times New Roman" w:hAnsi="Times New Roman"/>
              </w:rPr>
              <w:t xml:space="preserve"> </w:t>
            </w:r>
          </w:p>
          <w:p w14:paraId="699F9BD2"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Alle erhvervseksponeringer som omhandlet i artikel 147, stk. 2, litra c), i forordning (EU) nr. 575/2013</w:t>
            </w:r>
          </w:p>
        </w:tc>
      </w:tr>
      <w:tr w:rsidR="009D6580" w:rsidRPr="002A677E" w14:paraId="55C3FE5A" w14:textId="77777777" w:rsidTr="00822842">
        <w:tc>
          <w:tcPr>
            <w:tcW w:w="1188" w:type="dxa"/>
          </w:tcPr>
          <w:p w14:paraId="198D8F58"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66C0F4F0"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SMV'er</w:t>
            </w:r>
          </w:p>
          <w:p w14:paraId="13819074"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Artikel 147, stk. 2, litra c), i forordning (EU) nr. 575/2013</w:t>
            </w:r>
          </w:p>
          <w:p w14:paraId="6C8F6FE1" w14:textId="408BCC75" w:rsidR="009D6580" w:rsidRPr="002A677E" w:rsidRDefault="009D6580"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Med henblik på klassificering i denne deleksponeringsklasse skal de indberettende enheder anvende definitionen af SMV i artikel 5, stk. 9, i forordning (EU) nr. 575/2013.</w:t>
            </w:r>
            <w:r>
              <w:rPr>
                <w:sz w:val="24"/>
                <w:rFonts w:ascii="Times New Roman" w:hAnsi="Times New Roman"/>
              </w:rPr>
              <w:t xml:space="preserve">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sz w:val="24"/>
                <w:rFonts w:ascii="Times New Roman" w:hAnsi="Times New Roman"/>
              </w:rPr>
            </w:pPr>
            <w:r>
              <w:rPr>
                <w:sz w:val="24"/>
                <w:rFonts w:ascii="Times New Roman" w:hAnsi="Times New Roman"/>
              </w:rPr>
              <w:t xml:space="preserve">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Store selskaber</w:t>
            </w:r>
          </w:p>
          <w:p w14:paraId="503F359E" w14:textId="77777777" w:rsidR="00B56773" w:rsidRPr="00B56773" w:rsidRDefault="00B56773" w:rsidP="00B56773">
            <w:pPr>
              <w:rPr>
                <w:bCs/>
                <w:sz w:val="24"/>
                <w:rFonts w:ascii="Times New Roman" w:hAnsi="Times New Roman"/>
              </w:rPr>
            </w:pPr>
            <w:r>
              <w:rPr>
                <w:sz w:val="24"/>
                <w:rFonts w:ascii="Times New Roman" w:hAnsi="Times New Roman"/>
              </w:rPr>
              <w:t xml:space="preserve">Artikel 147, stk. 2, litra c), i forordning (EU) nr. 575/2013</w:t>
            </w:r>
          </w:p>
          <w:p w14:paraId="23F8CBD6" w14:textId="77777777" w:rsidR="00B56773" w:rsidRPr="00E47484" w:rsidRDefault="00B56773" w:rsidP="007400C4">
            <w:pPr>
              <w:rPr>
                <w:b/>
                <w:sz w:val="24"/>
                <w:u w:val="single"/>
                <w:rFonts w:ascii="Times New Roman" w:hAnsi="Times New Roman"/>
              </w:rPr>
            </w:pPr>
            <w:r>
              <w:rPr>
                <w:sz w:val="24"/>
                <w:rFonts w:ascii="Times New Roman" w:hAnsi="Times New Roman"/>
              </w:rPr>
              <w:t xml:space="preserve">Med henblik på klassificering i denne deleksponeringsklasse skal de indberettende enheder anvende definitionen af stort selskab i artikel 142, stk. 1, nr. 5a), i forordning (EU) nr. 575/2013.</w:t>
            </w:r>
            <w:r>
              <w:rPr>
                <w:sz w:val="24"/>
                <w:b/>
                <w:u w:val="single"/>
                <w:rFonts w:ascii="Times New Roman" w:hAnsi="Times New Roman"/>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sz w:val="24"/>
                <w:rFonts w:ascii="Times New Roman" w:hAnsi="Times New Roman"/>
              </w:rPr>
            </w:pPr>
            <w:r>
              <w:rPr>
                <w:sz w:val="24"/>
                <w:rFonts w:ascii="Times New Roman" w:hAnsi="Times New Roman"/>
              </w:rPr>
              <w:t xml:space="preserve">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b/>
                <w:sz w:val="24"/>
                <w:u w:val="single"/>
                <w:rFonts w:ascii="Times New Roman" w:hAnsi="Times New Roman"/>
              </w:rPr>
            </w:pPr>
            <w:r>
              <w:rPr>
                <w:b/>
                <w:sz w:val="24"/>
                <w:u w:val="single"/>
                <w:rFonts w:ascii="Times New Roman" w:hAnsi="Times New Roman"/>
              </w:rPr>
              <w:t xml:space="preserve">Specialiseret långivning</w:t>
            </w:r>
          </w:p>
          <w:p w14:paraId="510C1D3E" w14:textId="683EFC86" w:rsidR="00B56773" w:rsidRPr="00B56773" w:rsidDel="000306F2" w:rsidRDefault="00B56773" w:rsidP="007400C4">
            <w:pPr>
              <w:rPr>
                <w:bCs/>
                <w:sz w:val="24"/>
                <w:rFonts w:ascii="Times New Roman" w:hAnsi="Times New Roman"/>
              </w:rPr>
            </w:pPr>
            <w:r>
              <w:rPr>
                <w:sz w:val="24"/>
                <w:rFonts w:ascii="Times New Roman" w:hAnsi="Times New Roman"/>
              </w:rPr>
              <w:t xml:space="preserve">Artikel 147, stk. 2, litra c), nr. ii), i forordning (EU) nr. 575/2013</w:t>
            </w:r>
            <w:r>
              <w:rPr>
                <w:sz w:val="24"/>
                <w:rFonts w:ascii="Times New Roman" w:hAnsi="Times New Roman"/>
              </w:rPr>
              <w:t xml:space="preserve"> </w:t>
            </w:r>
            <w:r>
              <w:rPr>
                <w:sz w:val="24"/>
                <w:rFonts w:ascii="Times New Roman" w:hAnsi="Times New Roman"/>
              </w:rPr>
              <w:t xml:space="preserve">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sz w:val="24"/>
                <w:rFonts w:ascii="Times New Roman" w:hAnsi="Times New Roman"/>
              </w:rPr>
            </w:pPr>
            <w:r>
              <w:rPr>
                <w:sz w:val="24"/>
                <w:rFonts w:ascii="Times New Roman" w:hAnsi="Times New Roman"/>
              </w:rPr>
              <w:t xml:space="preserve">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b/>
                <w:sz w:val="24"/>
                <w:rFonts w:ascii="Times New Roman" w:hAnsi="Times New Roman"/>
              </w:rPr>
            </w:pPr>
            <w:r>
              <w:rPr>
                <w:b/>
                <w:sz w:val="24"/>
                <w:u w:val="single"/>
                <w:rFonts w:ascii="Times New Roman" w:hAnsi="Times New Roman"/>
              </w:rPr>
              <w:t xml:space="preserve">Specialiseret långivning</w:t>
            </w:r>
            <w:r>
              <w:rPr>
                <w:b/>
                <w:sz w:val="24"/>
                <w:rFonts w:ascii="Times New Roman" w:hAnsi="Times New Roman"/>
              </w:rPr>
              <w:t xml:space="preserve"> – typer af specialiseret långivning</w:t>
            </w:r>
          </w:p>
          <w:p w14:paraId="1E4AC942" w14:textId="49F536D6" w:rsidR="00B56773" w:rsidRPr="00F16E4D" w:rsidRDefault="00B56773" w:rsidP="00822842">
            <w:pPr>
              <w:rPr>
                <w:bCs/>
                <w:sz w:val="24"/>
                <w:rFonts w:ascii="Times New Roman" w:hAnsi="Times New Roman"/>
              </w:rPr>
            </w:pPr>
            <w:r>
              <w:rPr>
                <w:sz w:val="24"/>
                <w:rFonts w:ascii="Times New Roman" w:hAnsi="Times New Roman"/>
              </w:rPr>
              <w:t xml:space="preserve">Institutterne skal indberette oplysninger om følgende typer af specialiseret långivning, der er omhandlet i artikel 147, stk. 8, andet afsnit,</w:t>
            </w:r>
            <w:r>
              <w:rPr>
                <w:sz w:val="24"/>
                <w:rFonts w:ascii="Times New Roman" w:hAnsi="Times New Roman"/>
              </w:rPr>
              <w:t xml:space="preserve"> </w:t>
            </w:r>
            <w:r>
              <w:rPr>
                <w:sz w:val="24"/>
                <w:rFonts w:ascii="Times New Roman" w:hAnsi="Times New Roman"/>
              </w:rPr>
              <w:t xml:space="preserve">i den tilsvarende række: Specialiseret långivning — "projektfinansiering, "objektfinansiering", "råvarefinansiering" og "indtægtsgenererende fast ejendom"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sz w:val="24"/>
                <w:rFonts w:ascii="Times New Roman" w:hAnsi="Times New Roman"/>
              </w:rPr>
            </w:pPr>
            <w:r>
              <w:rPr>
                <w:sz w:val="24"/>
                <w:rFonts w:ascii="Times New Roman" w:hAnsi="Times New Roman"/>
              </w:rPr>
              <w:t xml:space="preserve">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b/>
                <w:sz w:val="24"/>
                <w:u w:val="single"/>
                <w:rFonts w:ascii="Times New Roman" w:hAnsi="Times New Roman"/>
              </w:rPr>
            </w:pPr>
            <w:r>
              <w:rPr>
                <w:b/>
                <w:sz w:val="24"/>
                <w:u w:val="single"/>
                <w:rFonts w:ascii="Times New Roman" w:hAnsi="Times New Roman"/>
              </w:rPr>
              <w:t xml:space="preserve">Erhvervede fordringer</w:t>
            </w:r>
          </w:p>
          <w:p w14:paraId="40628222" w14:textId="77777777" w:rsidR="009D6580" w:rsidRPr="00E47484" w:rsidRDefault="009D6580" w:rsidP="00822842">
            <w:pPr>
              <w:rPr>
                <w:b/>
                <w:sz w:val="24"/>
                <w:u w:val="single"/>
                <w:rFonts w:ascii="Times New Roman" w:hAnsi="Times New Roman"/>
              </w:rPr>
            </w:pPr>
            <w:r>
              <w:rPr>
                <w:sz w:val="24"/>
                <w:rFonts w:ascii="Times New Roman" w:hAnsi="Times New Roman"/>
              </w:rPr>
              <w:t xml:space="preserve">Artikel 147, stk. 2, litra c), nr. iii), i forordning (EU) nr. 575/2013</w:t>
            </w:r>
          </w:p>
        </w:tc>
      </w:tr>
      <w:tr w:rsidR="00F16E4D" w:rsidRPr="002A677E" w14:paraId="27B47EEA" w14:textId="77777777" w:rsidTr="00822842">
        <w:tc>
          <w:tcPr>
            <w:tcW w:w="1188" w:type="dxa"/>
          </w:tcPr>
          <w:p w14:paraId="329ABF25" w14:textId="3906F1E5" w:rsidR="00F16E4D" w:rsidRPr="002A677E" w:rsidRDefault="00F16E4D" w:rsidP="00822842">
            <w:pPr>
              <w:rPr>
                <w:sz w:val="24"/>
                <w:rFonts w:ascii="Times New Roman" w:hAnsi="Times New Roman"/>
              </w:rPr>
            </w:pPr>
            <w:r>
              <w:rPr>
                <w:sz w:val="24"/>
                <w:rFonts w:ascii="Times New Roman" w:hAnsi="Times New Roman"/>
              </w:rPr>
              <w:t xml:space="preserve">0058</w:t>
            </w:r>
          </w:p>
        </w:tc>
        <w:tc>
          <w:tcPr>
            <w:tcW w:w="8640" w:type="dxa"/>
          </w:tcPr>
          <w:p w14:paraId="27CFAA09" w14:textId="513D8D7F" w:rsidR="00F16E4D" w:rsidRDefault="00F16E4D" w:rsidP="00822842">
            <w:pPr>
              <w:rPr>
                <w:b/>
                <w:sz w:val="24"/>
                <w:u w:val="single"/>
                <w:rFonts w:ascii="Times New Roman" w:hAnsi="Times New Roman"/>
              </w:rPr>
            </w:pPr>
            <w:r>
              <w:rPr>
                <w:b/>
                <w:sz w:val="24"/>
                <w:u w:val="single"/>
                <w:rFonts w:ascii="Times New Roman" w:hAnsi="Times New Roman"/>
              </w:rPr>
              <w:t xml:space="preserve">Andre</w:t>
            </w:r>
          </w:p>
          <w:p w14:paraId="75A3CB20" w14:textId="69737D7D" w:rsidR="00F16E4D" w:rsidRPr="002A677E" w:rsidRDefault="00F16E4D" w:rsidP="00822842">
            <w:pPr>
              <w:rPr>
                <w:b/>
                <w:sz w:val="24"/>
                <w:u w:val="single"/>
                <w:rFonts w:ascii="Times New Roman" w:hAnsi="Times New Roman"/>
              </w:rPr>
            </w:pPr>
            <w:r>
              <w:rPr>
                <w:sz w:val="24"/>
                <w:rFonts w:ascii="Times New Roman" w:hAnsi="Times New Roman"/>
              </w:rPr>
              <w:t xml:space="preserve">Artikel 147, stk. 2, litra c), nr. i), i forordning (EU) nr. 575/2013</w:t>
            </w:r>
          </w:p>
        </w:tc>
      </w:tr>
      <w:tr w:rsidR="009D6580" w:rsidRPr="002A677E" w14:paraId="3CAC5C4A" w14:textId="77777777" w:rsidTr="00822842">
        <w:tc>
          <w:tcPr>
            <w:tcW w:w="1188" w:type="dxa"/>
          </w:tcPr>
          <w:p w14:paraId="50AFEE21"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084F36E4"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Detail</w:t>
            </w:r>
          </w:p>
          <w:p w14:paraId="61F98691" w14:textId="77777777" w:rsidR="009D6580" w:rsidRPr="002A677E" w:rsidRDefault="009D6580" w:rsidP="00822842">
            <w:pPr>
              <w:rPr>
                <w:sz w:val="24"/>
                <w:rFonts w:ascii="Times New Roman" w:hAnsi="Times New Roman"/>
              </w:rPr>
            </w:pPr>
            <w:r>
              <w:rPr>
                <w:sz w:val="24"/>
                <w:rFonts w:ascii="Times New Roman" w:hAnsi="Times New Roman"/>
              </w:rPr>
              <w:t xml:space="preserve">Alle detaileksponeringer som omhandlet i artikel 147, stk. 2, litra d), i forordning (EU) nr. 575/2013.</w:t>
            </w:r>
          </w:p>
        </w:tc>
      </w:tr>
      <w:tr w:rsidR="009D6580" w:rsidRPr="002A677E" w14:paraId="3126FC45" w14:textId="77777777" w:rsidTr="00822842">
        <w:tc>
          <w:tcPr>
            <w:tcW w:w="1188" w:type="dxa"/>
          </w:tcPr>
          <w:p w14:paraId="3B5D6723"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094A84E8" w14:textId="1D426AD8" w:rsidR="009D6580" w:rsidRPr="002A677E" w:rsidRDefault="005B37F0" w:rsidP="00822842">
            <w:pPr>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Detail — Sikret ved pant i fast ejendom</w:t>
            </w:r>
          </w:p>
          <w:p w14:paraId="35B1F6E7" w14:textId="4962CAD8" w:rsidR="00FD0F61" w:rsidRDefault="00FD0F61" w:rsidP="00822842">
            <w:pPr>
              <w:pStyle w:val="ListParagraph"/>
              <w:ind w:left="0"/>
              <w:rPr>
                <w:sz w:val="24"/>
                <w:rFonts w:ascii="Times New Roman" w:hAnsi="Times New Roman"/>
              </w:rPr>
            </w:pPr>
            <w:r>
              <w:rPr>
                <w:sz w:val="24"/>
                <w:rFonts w:ascii="Times New Roman" w:hAnsi="Times New Roman"/>
              </w:rPr>
              <w:t xml:space="preserve">Detaileksponeringer som defineret i artikel 147, stk. 2, litra d), i forordning (EU) nr. 575/2013, som er sikret ved fast ejendom som defineret i artikel 4, stk. 1, nr. 75f), i forordning (EU) nr. 575/2013.</w:t>
            </w:r>
          </w:p>
          <w:p w14:paraId="0CD06107" w14:textId="22291817" w:rsidR="009D6580" w:rsidRPr="002A677E" w:rsidRDefault="00FD0F61" w:rsidP="00822842">
            <w:pPr>
              <w:pStyle w:val="ListParagraph"/>
              <w:ind w:left="0"/>
              <w:rPr>
                <w:sz w:val="24"/>
                <w:rFonts w:ascii="Times New Roman" w:hAnsi="Times New Roman"/>
              </w:rPr>
            </w:pPr>
            <w:r>
              <w:rPr>
                <w:sz w:val="24"/>
                <w:rFonts w:ascii="Times New Roman" w:hAnsi="Times New Roman"/>
              </w:rPr>
              <w:t xml:space="preserve">.</w:t>
            </w:r>
          </w:p>
        </w:tc>
      </w:tr>
      <w:tr w:rsidR="009D6580" w:rsidRPr="002A677E" w14:paraId="49CD7917" w14:textId="77777777" w:rsidTr="00822842">
        <w:tc>
          <w:tcPr>
            <w:tcW w:w="1188" w:type="dxa"/>
          </w:tcPr>
          <w:p w14:paraId="3FA8BBC8"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4738C3E5" w14:textId="186F9DD4" w:rsidR="009D6580" w:rsidRPr="002A677E" w:rsidRDefault="00FD0F61" w:rsidP="00822842">
            <w:pPr>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SMV'er</w:t>
            </w:r>
          </w:p>
          <w:p w14:paraId="67BFF2AB" w14:textId="02FB7D89" w:rsidR="009D6580" w:rsidRPr="002A677E" w:rsidRDefault="00FD0F61" w:rsidP="00822842">
            <w:pPr>
              <w:pStyle w:val="ListParagraph"/>
              <w:ind w:left="0"/>
              <w:rPr>
                <w:sz w:val="24"/>
                <w:rFonts w:ascii="Times New Roman" w:hAnsi="Times New Roman"/>
              </w:rPr>
            </w:pPr>
            <w:r>
              <w:rPr>
                <w:sz w:val="24"/>
                <w:rFonts w:ascii="Times New Roman" w:hAnsi="Times New Roman"/>
              </w:rPr>
              <w:t xml:space="preserve">Detaileksponeringer som defineret i artikel 147, stk. 2, litra d), i forordning (EU) nr. 575/2013, indberettet under B.6.1 til B.6.4, som er sikret ved fast ejendom som defineret i artikel 4, stk. 1, nr. 75f), i forordning (EU) nr. 575/2013, sammenholdt med artikel 5, stk. 8, i forordning (EU) nr. 575/2013.</w:t>
            </w:r>
            <w:r>
              <w:rPr>
                <w:sz w:val="24"/>
                <w:rFonts w:ascii="Times New Roman" w:hAnsi="Times New Roman"/>
              </w:rPr>
              <w:t xml:space="preserve">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shd w:val="clear" w:color="auto" w:fill="auto"/>
          </w:tcPr>
          <w:p w14:paraId="05695520" w14:textId="39C15E5F" w:rsidR="009D6580" w:rsidRPr="00E47484" w:rsidRDefault="00837F98" w:rsidP="00822842">
            <w:pPr>
              <w:rPr>
                <w:b/>
                <w:sz w:val="24"/>
                <w:u w:val="single"/>
                <w:rFonts w:ascii="Times New Roman" w:hAnsi="Times New Roman"/>
              </w:rPr>
            </w:pPr>
            <w:r>
              <w:rPr>
                <w:b/>
                <w:sz w:val="24"/>
                <w:u w:val="single"/>
                <w:rFonts w:ascii="Times New Roman" w:hAnsi="Times New Roman"/>
              </w:rPr>
              <w:t xml:space="preserve">Heraf: ikke-SMV'er</w:t>
            </w:r>
          </w:p>
          <w:p w14:paraId="68647661" w14:textId="272EAD03" w:rsidR="00837F98" w:rsidRDefault="00837F98" w:rsidP="00234FB5">
            <w:pPr>
              <w:pStyle w:val="ListParagraph"/>
              <w:autoSpaceDE w:val="0"/>
              <w:autoSpaceDN w:val="0"/>
              <w:adjustRightInd w:val="0"/>
              <w:spacing w:before="0" w:after="0"/>
              <w:ind w:left="0"/>
              <w:jc w:val="left"/>
              <w:rPr>
                <w:sz w:val="24"/>
                <w:rFonts w:ascii="Times New Roman" w:hAnsi="Times New Roman"/>
              </w:rPr>
            </w:pPr>
            <w:r>
              <w:rPr>
                <w:sz w:val="24"/>
                <w:rFonts w:ascii="Times New Roman" w:hAnsi="Times New Roman"/>
              </w:rPr>
              <w:t xml:space="preserve">Detaileksponeringer som defineret i artikel 147, stk. 2, litra d), i forordning (EU) nr. 575/2013, indberettet under B.6.1 til B.6.4, som er sikret ved fast ejendom som defineret i artikel 4, stk. 1, nr. 75f), i forordning (EU) nr. 575/2013, ikke sammenholdt med artikel 5, stk. 8, i forordning (EU) nr. 575/2013.</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sz w:val="24"/>
                <w:rFonts w:ascii="Times New Roman" w:hAnsi="Times New Roman"/>
              </w:rPr>
            </w:pPr>
            <w:r>
              <w:rPr>
                <w:sz w:val="24"/>
                <w:rFonts w:ascii="Times New Roman" w:hAnsi="Times New Roman"/>
              </w:rPr>
              <w:t xml:space="preserve">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b/>
                <w:sz w:val="24"/>
                <w:u w:val="single"/>
                <w:rFonts w:ascii="Times New Roman" w:hAnsi="Times New Roman"/>
              </w:rPr>
            </w:pPr>
            <w:r>
              <w:rPr>
                <w:b/>
                <w:sz w:val="24"/>
                <w:u w:val="single"/>
                <w:rFonts w:ascii="Times New Roman" w:hAnsi="Times New Roman"/>
              </w:rPr>
              <w:t xml:space="preserve">Sikret ved beboelsesejendom</w:t>
            </w:r>
          </w:p>
          <w:p w14:paraId="3B8B837D" w14:textId="77777777" w:rsidR="00910F63" w:rsidRPr="00910F63" w:rsidRDefault="00910F63" w:rsidP="00910F63">
            <w:pPr>
              <w:rPr>
                <w:bCs/>
                <w:sz w:val="24"/>
                <w:rFonts w:ascii="Times New Roman" w:hAnsi="Times New Roman"/>
              </w:rPr>
            </w:pPr>
            <w:r>
              <w:rPr>
                <w:sz w:val="24"/>
                <w:rFonts w:ascii="Times New Roman" w:hAnsi="Times New Roman"/>
              </w:rPr>
              <w:t xml:space="preserve">Detaileksponeringer som omhandlet i artikel 147, stk. 2, litra d), nr. ii), i forordning (EU) nr. 575/2013).</w:t>
            </w:r>
          </w:p>
          <w:p w14:paraId="7240267A" w14:textId="77777777" w:rsidR="00910F63" w:rsidRPr="002A677E" w:rsidRDefault="00910F63" w:rsidP="007400C4">
            <w:pPr>
              <w:rPr>
                <w:b/>
                <w:sz w:val="24"/>
                <w:u w:val="single"/>
                <w:rFonts w:ascii="Times New Roman" w:hAnsi="Times New Roman"/>
              </w:rPr>
            </w:pPr>
            <w:r>
              <w:rPr>
                <w:sz w:val="24"/>
                <w:rFonts w:ascii="Times New Roman" w:hAnsi="Times New Roman"/>
              </w:rPr>
              <w:t xml:space="preserve">Detaileksponeringer sikret ved beboelsesejendom betragtes som enhver detaileksponering sikret beboelsesejendom, der er anerkendt som sikkerhed, uanset forholdet mellem værdien af sikkerhedsstillelsen for eksponeringen eller lånets formål.</w:t>
            </w:r>
          </w:p>
        </w:tc>
      </w:tr>
      <w:tr w:rsidR="009D6580" w:rsidRPr="002A677E" w14:paraId="38AD5BBA" w14:textId="77777777" w:rsidTr="00822842">
        <w:tc>
          <w:tcPr>
            <w:tcW w:w="1188" w:type="dxa"/>
          </w:tcPr>
          <w:p w14:paraId="48A5C8D2"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640" w:type="dxa"/>
          </w:tcPr>
          <w:p w14:paraId="1B160106" w14:textId="7C65E11F"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Kvalificerede revolverende</w:t>
            </w:r>
          </w:p>
          <w:p w14:paraId="363209C3"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Detaileksponeringer, jf. artikel 147, stk. 2, litra d), nr. i), sammenholdt med artikel 154, stk. 4, i forordning (EU) nr. 575/2013.</w:t>
            </w:r>
          </w:p>
        </w:tc>
      </w:tr>
      <w:tr w:rsidR="009D6580" w:rsidRPr="002A677E" w14:paraId="26D0338D" w14:textId="77777777" w:rsidTr="00822842">
        <w:tc>
          <w:tcPr>
            <w:tcW w:w="1188" w:type="dxa"/>
          </w:tcPr>
          <w:p w14:paraId="6DA4B8E6" w14:textId="77777777" w:rsidR="009D6580" w:rsidRPr="002A677E" w:rsidRDefault="009D6580" w:rsidP="00822842">
            <w:pPr>
              <w:rPr>
                <w:sz w:val="24"/>
                <w:rFonts w:ascii="Times New Roman" w:hAnsi="Times New Roman"/>
              </w:rPr>
            </w:pPr>
            <w:r>
              <w:rPr>
                <w:sz w:val="24"/>
                <w:rFonts w:ascii="Times New Roman" w:hAnsi="Times New Roman"/>
              </w:rPr>
              <w:t xml:space="preserve">0105</w:t>
            </w:r>
          </w:p>
        </w:tc>
        <w:tc>
          <w:tcPr>
            <w:tcW w:w="8640" w:type="dxa"/>
          </w:tcPr>
          <w:p w14:paraId="63563096" w14:textId="485ECEE6" w:rsidR="009D6580" w:rsidRDefault="009D6580" w:rsidP="00822842">
            <w:pPr>
              <w:rPr>
                <w:b/>
                <w:sz w:val="24"/>
                <w:u w:val="single"/>
                <w:rFonts w:ascii="Times New Roman" w:hAnsi="Times New Roman"/>
              </w:rPr>
            </w:pPr>
            <w:r>
              <w:rPr>
                <w:b/>
                <w:sz w:val="24"/>
                <w:u w:val="single"/>
                <w:rFonts w:ascii="Times New Roman" w:hAnsi="Times New Roman"/>
              </w:rPr>
              <w:t xml:space="preserve">Erhvervede fordringer</w:t>
            </w:r>
          </w:p>
          <w:p w14:paraId="7C92CD05" w14:textId="77777777" w:rsidR="009D6580" w:rsidRPr="00B7761D" w:rsidRDefault="009D6580" w:rsidP="00822842">
            <w:pPr>
              <w:rPr>
                <w:sz w:val="18"/>
                <w:szCs w:val="18"/>
                <w:rFonts w:cs="Calibri"/>
              </w:rPr>
            </w:pPr>
            <w:r>
              <w:rPr>
                <w:sz w:val="24"/>
                <w:rFonts w:ascii="Times New Roman" w:hAnsi="Times New Roman"/>
              </w:rPr>
              <w:t xml:space="preserve">Detaileksponeringer som omhandlet i artikel 147, stk. 2, litra d), nr. iii), i forordning (EU) nr. 575/2013.</w:t>
            </w:r>
          </w:p>
        </w:tc>
      </w:tr>
      <w:tr w:rsidR="009D6580" w:rsidRPr="002A677E" w14:paraId="551F153F" w14:textId="77777777" w:rsidTr="00822842">
        <w:tc>
          <w:tcPr>
            <w:tcW w:w="1188" w:type="dxa"/>
          </w:tcPr>
          <w:p w14:paraId="1C567015"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640" w:type="dxa"/>
          </w:tcPr>
          <w:p w14:paraId="3B169086" w14:textId="5BA51B78"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Andre detaileksponeringer</w:t>
            </w:r>
          </w:p>
          <w:p w14:paraId="6BB335AD" w14:textId="5184DC86"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Detaileksponeringer som omhandlet i artikel 147, stk. 2, litra d), nr. iv), i forordning (EU) nr. 575/2013.</w:t>
            </w:r>
          </w:p>
        </w:tc>
      </w:tr>
      <w:tr w:rsidR="009D6580" w:rsidRPr="002A677E" w14:paraId="1879AB2D" w14:textId="77777777" w:rsidTr="00822842">
        <w:tc>
          <w:tcPr>
            <w:tcW w:w="1188" w:type="dxa"/>
          </w:tcPr>
          <w:p w14:paraId="247F0534"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640" w:type="dxa"/>
          </w:tcPr>
          <w:p w14:paraId="37F76446" w14:textId="0C2F5C96" w:rsidR="009D6580" w:rsidRPr="002A677E" w:rsidRDefault="00837F98" w:rsidP="00822842">
            <w:pPr>
              <w:rPr>
                <w:b/>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SMV'er</w:t>
            </w:r>
          </w:p>
          <w:p w14:paraId="28CE96BD" w14:textId="7A3420F8"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Detaileksponeringer, jf. artikel 147, stk. 2, litra d), nr. iv), i forordning (EU) nr. 575/2013, sammenholdt med artikel 5, stk. 8, i nævnte forordning.</w:t>
            </w:r>
            <w:r>
              <w:rPr>
                <w:sz w:val="24"/>
                <w:rFonts w:ascii="Times New Roman" w:hAnsi="Times New Roman"/>
              </w:rPr>
              <w:t xml:space="preserve"> </w:t>
            </w:r>
          </w:p>
        </w:tc>
      </w:tr>
      <w:tr w:rsidR="009D6580" w:rsidRPr="002A677E" w14:paraId="6140E6E8" w14:textId="77777777" w:rsidTr="00822842">
        <w:tc>
          <w:tcPr>
            <w:tcW w:w="1188" w:type="dxa"/>
          </w:tcPr>
          <w:p w14:paraId="4DD00789"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640" w:type="dxa"/>
          </w:tcPr>
          <w:p w14:paraId="40BDF108" w14:textId="2B96A314" w:rsidR="009D6580" w:rsidRPr="002A677E" w:rsidRDefault="00837F98" w:rsidP="00822842">
            <w:pPr>
              <w:rPr>
                <w:b/>
                <w:sz w:val="24"/>
                <w:u w:val="single"/>
                <w:rFonts w:ascii="Times New Roman" w:hAnsi="Times New Roman"/>
              </w:rPr>
            </w:pPr>
            <w:r>
              <w:rPr>
                <w:b/>
                <w:sz w:val="24"/>
                <w:u w:val="single"/>
                <w:rFonts w:ascii="Times New Roman" w:hAnsi="Times New Roman"/>
              </w:rPr>
              <w:t xml:space="preserve">Heraf: ikke-SMV'er</w:t>
            </w:r>
          </w:p>
          <w:p w14:paraId="51D486B6" w14:textId="251D2008" w:rsidR="009D6580" w:rsidRPr="002A677E" w:rsidRDefault="00837F98" w:rsidP="00822842">
            <w:pPr>
              <w:rPr>
                <w:sz w:val="24"/>
                <w:rFonts w:ascii="Times New Roman" w:hAnsi="Times New Roman"/>
              </w:rPr>
            </w:pPr>
            <w:r>
              <w:rPr>
                <w:sz w:val="24"/>
                <w:rFonts w:ascii="Times New Roman" w:hAnsi="Times New Roman"/>
              </w:rPr>
              <w:t xml:space="preserve">Detaileksponeringer, jf. artikel 147, stk. 2, litra d), nr. iv), i forordning (EU) nr. 575/2013, ikke sammenholdt med artikel 5, stk. 8, i nævnte forordning.</w:t>
            </w:r>
          </w:p>
        </w:tc>
      </w:tr>
      <w:tr w:rsidR="009D6580" w:rsidRPr="002A677E" w14:paraId="70A29A85" w14:textId="77777777" w:rsidTr="00822842">
        <w:tc>
          <w:tcPr>
            <w:tcW w:w="1188" w:type="dxa"/>
          </w:tcPr>
          <w:p w14:paraId="5C287489" w14:textId="77777777" w:rsidR="009D6580" w:rsidRPr="002A677E" w:rsidRDefault="009D6580" w:rsidP="00822842">
            <w:pPr>
              <w:rPr>
                <w:sz w:val="24"/>
                <w:rFonts w:ascii="Times New Roman" w:hAnsi="Times New Roman"/>
              </w:rPr>
            </w:pPr>
            <w:r>
              <w:rPr>
                <w:sz w:val="24"/>
                <w:rFonts w:ascii="Times New Roman" w:hAnsi="Times New Roman"/>
              </w:rPr>
              <w:t xml:space="preserve">0132</w:t>
            </w:r>
          </w:p>
        </w:tc>
        <w:tc>
          <w:tcPr>
            <w:tcW w:w="8640" w:type="dxa"/>
          </w:tcPr>
          <w:p w14:paraId="170B9280"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Kollektive investeringsinstitutter (CIU'er)</w:t>
            </w:r>
          </w:p>
          <w:p w14:paraId="4237C58D" w14:textId="4E266C1C" w:rsidR="009D6580" w:rsidRDefault="009D6580" w:rsidP="00822842">
            <w:pPr>
              <w:rPr>
                <w:b/>
                <w:sz w:val="24"/>
                <w:u w:val="single"/>
                <w:rFonts w:ascii="Times New Roman" w:hAnsi="Times New Roman"/>
              </w:rPr>
            </w:pPr>
            <w:r>
              <w:rPr>
                <w:sz w:val="24"/>
                <w:rFonts w:ascii="Times New Roman" w:hAnsi="Times New Roman"/>
              </w:rPr>
              <w:t xml:space="preserve">Artikel 147, stk. 2, litra ea),i forordning (EU) nr. 575/2013</w:t>
            </w:r>
          </w:p>
        </w:tc>
      </w:tr>
      <w:tr w:rsidR="009D6580" w:rsidRPr="002A677E" w14:paraId="72EBDFDD" w14:textId="77777777" w:rsidTr="00822842">
        <w:tc>
          <w:tcPr>
            <w:tcW w:w="1188" w:type="dxa"/>
          </w:tcPr>
          <w:p w14:paraId="290EDA87" w14:textId="77777777" w:rsidR="009D6580" w:rsidRPr="002A677E" w:rsidRDefault="009D6580" w:rsidP="00822842">
            <w:pPr>
              <w:rPr>
                <w:sz w:val="24"/>
                <w:rFonts w:ascii="Times New Roman" w:hAnsi="Times New Roman"/>
              </w:rPr>
            </w:pPr>
            <w:r>
              <w:rPr>
                <w:sz w:val="24"/>
                <w:rFonts w:ascii="Times New Roman" w:hAnsi="Times New Roman"/>
              </w:rPr>
              <w:t xml:space="preserve">0133</w:t>
            </w:r>
          </w:p>
        </w:tc>
        <w:tc>
          <w:tcPr>
            <w:tcW w:w="8640" w:type="dxa"/>
          </w:tcPr>
          <w:p w14:paraId="39E22A69"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Transparensmetoden</w:t>
            </w:r>
          </w:p>
          <w:p w14:paraId="3481CEEB"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Samme definition som for række 0190 i CR SA-skemaet</w:t>
            </w:r>
          </w:p>
        </w:tc>
      </w:tr>
      <w:tr w:rsidR="009D6580" w:rsidRPr="002A677E" w14:paraId="6520599F" w14:textId="77777777" w:rsidTr="00822842">
        <w:tc>
          <w:tcPr>
            <w:tcW w:w="1188" w:type="dxa"/>
          </w:tcPr>
          <w:p w14:paraId="5DF820F6" w14:textId="77777777" w:rsidR="009D6580" w:rsidRPr="002A677E" w:rsidRDefault="009D6580" w:rsidP="00822842">
            <w:pPr>
              <w:rPr>
                <w:sz w:val="24"/>
                <w:rFonts w:ascii="Times New Roman" w:hAnsi="Times New Roman"/>
              </w:rPr>
            </w:pPr>
            <w:r>
              <w:rPr>
                <w:sz w:val="24"/>
                <w:rFonts w:ascii="Times New Roman" w:hAnsi="Times New Roman"/>
              </w:rPr>
              <w:t xml:space="preserve">0134</w:t>
            </w:r>
          </w:p>
        </w:tc>
        <w:tc>
          <w:tcPr>
            <w:tcW w:w="8640" w:type="dxa"/>
          </w:tcPr>
          <w:p w14:paraId="13156AFE"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Mandatmetoden</w:t>
            </w:r>
          </w:p>
          <w:p w14:paraId="37B63BC9"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Samme definition som for række 0200 i CR SA-skemaet</w:t>
            </w:r>
          </w:p>
        </w:tc>
      </w:tr>
      <w:tr w:rsidR="009D6580" w:rsidRPr="002A677E" w14:paraId="57B2C532" w14:textId="77777777" w:rsidTr="00822842">
        <w:tc>
          <w:tcPr>
            <w:tcW w:w="1188" w:type="dxa"/>
          </w:tcPr>
          <w:p w14:paraId="251B0D2B" w14:textId="77777777" w:rsidR="009D6580" w:rsidRPr="002A677E" w:rsidRDefault="009D6580" w:rsidP="00822842">
            <w:pPr>
              <w:rPr>
                <w:sz w:val="24"/>
                <w:rFonts w:ascii="Times New Roman" w:hAnsi="Times New Roman"/>
              </w:rPr>
            </w:pPr>
            <w:r>
              <w:rPr>
                <w:sz w:val="24"/>
                <w:rFonts w:ascii="Times New Roman" w:hAnsi="Times New Roman"/>
              </w:rPr>
              <w:t xml:space="preserve">0135</w:t>
            </w:r>
          </w:p>
        </w:tc>
        <w:tc>
          <w:tcPr>
            <w:tcW w:w="8640" w:type="dxa"/>
          </w:tcPr>
          <w:p w14:paraId="19D4ED63"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Fallbackmetoden</w:t>
            </w:r>
          </w:p>
          <w:p w14:paraId="18A39C60"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Samme definition som for række 0210 i CR SA-skemaet</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Aktieeksponeringer</w:t>
            </w:r>
          </w:p>
          <w:p w14:paraId="1A033F11"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Aktieeksponeringer som omhandlet i artikel 147, stk. 2, litra e), i forordning (EU) nr.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Samlede eksponeringer</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0" w:name="_Toc360188366"/>
      <w:bookmarkStart w:id="11" w:name="_Toc473560917"/>
      <w:bookmarkStart w:id="12" w:name="_Toc151714421"/>
      <w:r>
        <w:rPr>
          <w:sz w:val="24"/>
          <w:u w:val="none"/>
          <w:rFonts w:ascii="Times New Roman" w:hAnsi="Times New Roman"/>
        </w:rPr>
        <w:t xml:space="preserve">3.4.3.</w:t>
      </w:r>
      <w:r>
        <w:tab/>
      </w:r>
      <w:r>
        <w:rPr>
          <w:sz w:val="24"/>
          <w:rFonts w:ascii="Times New Roman" w:hAnsi="Times New Roman"/>
        </w:rPr>
        <w:t xml:space="preserve">C 09.04 — Opdeling af krediteksponeringer, som er relevante for beregningen af den kontracykliske buffer, efter land og institutspecifik kontracyklisk buffersats </w:t>
      </w:r>
      <w:bookmarkEnd w:id="10"/>
      <w:r>
        <w:rPr>
          <w:sz w:val="24"/>
          <w:rFonts w:ascii="Times New Roman" w:hAnsi="Times New Roman"/>
        </w:rPr>
        <w:t xml:space="preserve">(CCB)</w:t>
      </w:r>
      <w:bookmarkEnd w:id="11"/>
      <w:bookmarkEnd w:id="12"/>
    </w:p>
    <w:p w14:paraId="600FC3A3"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3" w:name="_Toc360188367"/>
      <w:bookmarkStart w:id="14" w:name="_Toc473560918"/>
      <w:bookmarkStart w:id="15" w:name="_Toc151714422"/>
      <w:r>
        <w:rPr>
          <w:sz w:val="24"/>
          <w:u w:val="none"/>
          <w:rFonts w:ascii="Times New Roman" w:hAnsi="Times New Roman"/>
        </w:rPr>
        <w:t xml:space="preserve">3.4.3.1.</w:t>
      </w:r>
      <w:r>
        <w:tab/>
      </w:r>
      <w:r>
        <w:rPr>
          <w:sz w:val="24"/>
          <w:rFonts w:ascii="Times New Roman" w:hAnsi="Times New Roman"/>
        </w:rPr>
        <w:t xml:space="preserve">Generelle bemærkninger</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 xml:space="preserve">88</w:t>
      </w:r>
      <w:r>
        <w:fldChar w:fldCharType="end"/>
      </w:r>
      <w:r>
        <w:t xml:space="preserve">.</w:t>
      </w:r>
      <w:r>
        <w:tab/>
      </w:r>
      <w:r>
        <w:t xml:space="preserve">Dette skema har til formål at tilvejebringe flere oplysninger om elementerne af den institutspecifikke kontracykliske kapitalbuffer.</w:t>
      </w:r>
      <w:r>
        <w:t xml:space="preserve"> </w:t>
      </w:r>
      <w:r>
        <w:t xml:space="preserve">De oplysninger, der skal angives, vedrører kapitalgrundlagskravene bestemt i henhold til tredje del, afsnit II og IV, i forordning (EU) nr. 575/2013 og den geografiske beliggenhed af krediteksponeringer, securitiseringseksponeringer og eksponeringer i handelsbeholdningen, der er relevante for beregningen af den institutspecifikke kontracykliske kapitalbuffer (CCB), jf. artikel 140 i direktiv 2013/36/EU (relevante krediteksponeringer).</w:t>
      </w:r>
      <w:r>
        <w:t xml:space="preserve"> </w:t>
      </w:r>
    </w:p>
    <w:p w14:paraId="10EA3DAD"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 xml:space="preserve">89</w:t>
      </w:r>
      <w:r>
        <w:fldChar w:fldCharType="end"/>
      </w:r>
      <w:r>
        <w:t xml:space="preserve">.</w:t>
      </w:r>
      <w:r>
        <w:tab/>
      </w:r>
      <w:r>
        <w:t xml:space="preserve">I skema C 09.04 skal der indberettes oplysninger om værdien "i alt" af relevante krediteksponeringer i alle jurisdiktioner, hvor disse eksponeringer befinder sig, og individuelt for hver jurisdiktion, hvor der findes relevante krediteksponeringer.</w:t>
      </w:r>
      <w:r>
        <w:t xml:space="preserve"> </w:t>
      </w:r>
      <w:r>
        <w:t xml:space="preserve">De samlede tal og oplysninger for hver jurisdiktion indberettes i en separat dimension.</w:t>
      </w:r>
      <w:r>
        <w:t xml:space="preserve"> </w:t>
      </w:r>
    </w:p>
    <w:p w14:paraId="054CDEAF"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 xml:space="preserve">90</w:t>
      </w:r>
      <w:r>
        <w:fldChar w:fldCharType="end"/>
      </w:r>
      <w:r>
        <w:t xml:space="preserve">.</w:t>
      </w:r>
      <w:r>
        <w:tab/>
      </w:r>
      <w:r>
        <w:t xml:space="preserve">Tærsklen i denne gennemførelsesforordnings artikel 5, stk. 5, er ikke relevant i forbindelse med indberetningen af denne opdeling.</w:t>
      </w:r>
    </w:p>
    <w:bookmarkStart w:id="16" w:name="_Hlk151650982"/>
    <w:p w14:paraId="710781F7"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 xml:space="preserve">91</w:t>
      </w:r>
      <w:r>
        <w:fldChar w:fldCharType="end"/>
      </w:r>
      <w:r>
        <w:t xml:space="preserve">.</w:t>
      </w:r>
      <w:r>
        <w:tab/>
      </w:r>
      <w:r>
        <w:t xml:space="preserve">For at bestemme den geografiske beliggenhed henføres eksponeringerne på grundlag af den umiddelbare låntager, som fastsat ved Kommissionens delegerede forordning (EU) nr. 1152/2014</w:t>
      </w:r>
      <w:r>
        <w:footnoteReference w:id="1"/>
      </w:r>
      <w:r>
        <w:t xml:space="preserve">.</w:t>
      </w:r>
      <w:r>
        <w:t xml:space="preserve"> </w:t>
      </w:r>
      <w:r>
        <w:t xml:space="preserve">Kreditreduktionsteknikker medfører derfor ikke, at en eksponering henføres til en anden geografisk beliggenhed med henblik på indberetningen af oplysninger i dette skema.</w:t>
      </w:r>
    </w:p>
    <w:p w14:paraId="4811C8E1"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7" w:name="_Toc360188368"/>
      <w:bookmarkStart w:id="18" w:name="_Toc473560919"/>
      <w:bookmarkStart w:id="19" w:name="_Toc151714423"/>
      <w:bookmarkEnd w:id="16"/>
      <w:r>
        <w:rPr>
          <w:sz w:val="24"/>
          <w:u w:val="none"/>
          <w:rFonts w:ascii="Times New Roman" w:hAnsi="Times New Roman"/>
        </w:rPr>
        <w:t xml:space="preserve">3.4.3.2.</w:t>
      </w:r>
      <w:r>
        <w:tab/>
      </w:r>
      <w:r>
        <w:rPr>
          <w:sz w:val="24"/>
          <w:rFonts w:ascii="Times New Roman" w:hAnsi="Times New Roman"/>
        </w:rPr>
        <w:t xml:space="preserve">Instrukser vedrørende specifikke positioner</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b/>
                <w:sz w:val="24"/>
                <w:rFonts w:ascii="Times New Roman" w:hAnsi="Times New Roman"/>
              </w:rPr>
            </w:pPr>
            <w:r>
              <w:rPr>
                <w:b/>
                <w:sz w:val="24"/>
                <w:rFonts w:ascii="Times New Roman" w:hAnsi="Times New Roman"/>
              </w:rPr>
              <w:t xml:space="preserve">Kolonner</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0010</w:t>
            </w:r>
          </w:p>
        </w:tc>
        <w:tc>
          <w:tcPr>
            <w:tcW w:w="8131" w:type="dxa"/>
          </w:tcPr>
          <w:p w14:paraId="6A1F53D1"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Beløb</w:t>
            </w:r>
          </w:p>
          <w:p w14:paraId="4EDF643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Værdien af de relevante krediteksponeringer og de tilknyttede kapitalgrundlagskrav, der er bestemt i overensstemmelse med instrukserne for den enkelte række.</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sz w:val="24"/>
                <w:rFonts w:ascii="Times New Roman" w:hAnsi="Times New Roman"/>
              </w:rPr>
              <w:t xml:space="preserve">0020</w:t>
            </w:r>
          </w:p>
        </w:tc>
        <w:tc>
          <w:tcPr>
            <w:tcW w:w="8131" w:type="dxa"/>
          </w:tcPr>
          <w:p w14:paraId="4133F8D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Procent</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131" w:type="dxa"/>
          </w:tcPr>
          <w:p w14:paraId="61529C4E" w14:textId="77777777" w:rsidR="009D6580" w:rsidRPr="002A677E" w:rsidRDefault="009D6580" w:rsidP="00822842">
            <w:pPr>
              <w:autoSpaceDE w:val="0"/>
              <w:autoSpaceDN w:val="0"/>
              <w:adjustRightInd w:val="0"/>
              <w:rPr>
                <w:b/>
                <w:bCs/>
                <w:sz w:val="24"/>
                <w:u w:val="single"/>
                <w:rFonts w:ascii="Times New Roman" w:hAnsi="Times New Roman"/>
              </w:rPr>
            </w:pPr>
            <w:r>
              <w:rPr>
                <w:b/>
                <w:sz w:val="24"/>
                <w:u w:val="single"/>
                <w:rFonts w:ascii="Times New Roman" w:hAnsi="Times New Roman"/>
              </w:rPr>
              <w:t xml:space="preserve">Kvalitative oplysninger</w:t>
            </w:r>
          </w:p>
          <w:p w14:paraId="394356B2"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Disse oplysninger skal kun indberettes for instituttets hjemsted (den jurisdiktion, der svarer til dets hjemland) og værdien i alt for alle lande.</w:t>
            </w:r>
            <w:r>
              <w:rPr>
                <w:sz w:val="24"/>
                <w:rFonts w:ascii="Times New Roman" w:hAnsi="Times New Roman"/>
              </w:rPr>
              <w:t xml:space="preserve"> </w:t>
            </w:r>
          </w:p>
          <w:p w14:paraId="6761B5E4"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Institutterne skal indberette enten {y} eller {n} i overensstemmelse med instrukserne for den relevante række.</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b/>
                <w:sz w:val="24"/>
                <w:rFonts w:ascii="Times New Roman" w:hAnsi="Times New Roman"/>
              </w:rPr>
            </w:pPr>
            <w:r>
              <w:rPr>
                <w:b/>
                <w:sz w:val="24"/>
                <w:rFonts w:ascii="Times New Roman" w:hAnsi="Times New Roman"/>
              </w:rPr>
              <w:t xml:space="preserve">Rækker</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0010-0020</w:t>
            </w:r>
          </w:p>
        </w:tc>
        <w:tc>
          <w:tcPr>
            <w:tcW w:w="8131" w:type="dxa"/>
          </w:tcPr>
          <w:p w14:paraId="3D2862F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Relevante krediteksponeringer — Kreditrisiko</w:t>
            </w:r>
          </w:p>
          <w:p w14:paraId="516A26F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Relevante krediteksponeringer som omhandlet i artikel 140, stk. 4, litra a), i direktiv 2013/36/EU.</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sz w:val="24"/>
                <w:rFonts w:ascii="Times New Roman" w:hAnsi="Times New Roman"/>
              </w:rPr>
              <w:t xml:space="preserve">0010</w:t>
            </w:r>
          </w:p>
        </w:tc>
        <w:tc>
          <w:tcPr>
            <w:tcW w:w="8131" w:type="dxa"/>
          </w:tcPr>
          <w:p w14:paraId="60D60C47"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Eksponeringsværdi opgjort efter standardmetoden</w:t>
            </w:r>
          </w:p>
          <w:p w14:paraId="0EA1DD75"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Eksponeringsværdi beregnet i overensstemmelse med artikel 111 i forordning (EU) nr. 575/2013 for relevante krediteksponeringer som omhandlet i artikel 140, stk. 4, litra a), i direktiv 2013/36/EU.</w:t>
            </w:r>
            <w:r>
              <w:rPr>
                <w:sz w:val="24"/>
                <w:rFonts w:ascii="Times New Roman" w:hAnsi="Times New Roman"/>
              </w:rPr>
              <w:t xml:space="preserve"> </w:t>
            </w:r>
          </w:p>
          <w:p w14:paraId="72B986ED"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Eksponeringsværdien for securitiseringspositioner i anlægsbeholdningen medtages ikke i denne række, men i række 0055.</w:t>
            </w:r>
          </w:p>
        </w:tc>
      </w:tr>
      <w:tr w:rsidR="009D6580" w:rsidRPr="002A677E" w14:paraId="367F78C6" w14:textId="77777777" w:rsidTr="00822842">
        <w:tc>
          <w:tcPr>
            <w:tcW w:w="1697" w:type="dxa"/>
          </w:tcPr>
          <w:p w14:paraId="3217061B"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131" w:type="dxa"/>
          </w:tcPr>
          <w:p w14:paraId="385211C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Eksponeringsværdi opgjort efter IRB-metoden</w:t>
            </w:r>
          </w:p>
          <w:p w14:paraId="3F80BC36"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Eksponeringsværdi beregnet i overensstemmelse med artikel 166 i forordning (EU) nr. 575/2013 for relevante krediteksponeringer som omhandlet i artikel 140, stk. 4, litra a), i direktiv 2013/36/EU.</w:t>
            </w:r>
            <w:r>
              <w:rPr>
                <w:sz w:val="24"/>
                <w:rFonts w:ascii="Times New Roman" w:hAnsi="Times New Roman"/>
              </w:rPr>
              <w:t xml:space="preserve"> </w:t>
            </w:r>
          </w:p>
          <w:p w14:paraId="48C130F1"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Eksponeringsværdien for securitiseringspositioner i anlægsbeholdningen medtages ikke i denne række, men i række 0055.</w:t>
            </w:r>
          </w:p>
        </w:tc>
      </w:tr>
      <w:tr w:rsidR="009D6580" w:rsidRPr="002A677E" w14:paraId="613420F2" w14:textId="77777777" w:rsidTr="00822842">
        <w:tc>
          <w:tcPr>
            <w:tcW w:w="1697" w:type="dxa"/>
          </w:tcPr>
          <w:p w14:paraId="53491AFF" w14:textId="77777777" w:rsidR="009D6580" w:rsidRPr="002A677E" w:rsidRDefault="009D6580" w:rsidP="00822842">
            <w:pPr>
              <w:rPr>
                <w:sz w:val="24"/>
                <w:rFonts w:ascii="Times New Roman" w:hAnsi="Times New Roman"/>
              </w:rPr>
            </w:pPr>
            <w:r>
              <w:rPr>
                <w:sz w:val="24"/>
                <w:rFonts w:ascii="Times New Roman" w:hAnsi="Times New Roman"/>
              </w:rPr>
              <w:t xml:space="preserve">0030-0040</w:t>
            </w:r>
          </w:p>
        </w:tc>
        <w:tc>
          <w:tcPr>
            <w:tcW w:w="8131" w:type="dxa"/>
          </w:tcPr>
          <w:p w14:paraId="369D850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Relevante krediteksponeringer — Markedsrisiko</w:t>
            </w:r>
          </w:p>
          <w:p w14:paraId="54050F98"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Relevante krediteksponeringer som omhandlet i artikel 140, stk. 4, litra b), i direktiv 2013/36/EU.</w:t>
            </w:r>
          </w:p>
        </w:tc>
      </w:tr>
      <w:tr w:rsidR="009D6580" w:rsidRPr="002A677E" w14:paraId="670769C5" w14:textId="77777777" w:rsidTr="00822842">
        <w:tc>
          <w:tcPr>
            <w:tcW w:w="1697" w:type="dxa"/>
          </w:tcPr>
          <w:p w14:paraId="27E0BEE1"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131" w:type="dxa"/>
          </w:tcPr>
          <w:p w14:paraId="740784D8"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Sum af lange og korte positioner af eksponeringer i handelsbeholdningen for standardmetoden</w:t>
            </w:r>
          </w:p>
          <w:p w14:paraId="5F803AC4"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Sum af lange og korte nettopositioner i henhold til artikel 327 i forordning (EU) nr. 575/2013 af relevante krediteksponeringer som omhandlet i artikel 140, stk. 4, litra b), i direktiv 2013/36/EU omfattet af kapitalgrundlagskrav i henhold til tredje del, afsnit IV, kapitel 2, i forordning (EU) nr. 575/2013:</w:t>
            </w:r>
            <w:r>
              <w:rPr>
                <w:sz w:val="24"/>
                <w:rFonts w:ascii="Times New Roman" w:hAnsi="Times New Roman"/>
              </w:rPr>
              <w:t xml:space="preserve"> </w:t>
            </w:r>
          </w:p>
          <w:p w14:paraId="555B6B69"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eksponeringer mod andre gældsinstrumenter end securitisering</w:t>
            </w:r>
          </w:p>
          <w:p w14:paraId="2F347ECD"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eksponeringer mod securitiseringspositioner i handelsbeholdningen</w:t>
            </w:r>
          </w:p>
          <w:p w14:paraId="0BF14848"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eksponeringer mod korrelationshandelsporteføljer</w:t>
            </w:r>
          </w:p>
          <w:p w14:paraId="426EA269"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eksponeringer mod aktieinstrumenter</w:t>
            </w:r>
          </w:p>
          <w:p w14:paraId="29596F16" w14:textId="77777777" w:rsidR="009D6580" w:rsidRPr="002A677E" w:rsidRDefault="009D6580" w:rsidP="00822842">
            <w:pPr>
              <w:autoSpaceDE w:val="0"/>
              <w:autoSpaceDN w:val="0"/>
              <w:adjustRightInd w:val="0"/>
              <w:ind w:left="357" w:hanging="357"/>
              <w:contextualSpacing/>
              <w:rPr>
                <w:b/>
                <w:bCs/>
                <w:sz w:val="24"/>
                <w:u w:val="single"/>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eksponeringer mod CIU'er, hvor kapitalkrav beregnes i overensstemmelse med artikel 348 i forordning (EU) nr. 575/2013.</w:t>
            </w:r>
          </w:p>
        </w:tc>
      </w:tr>
      <w:tr w:rsidR="009D6580" w:rsidRPr="002A677E" w14:paraId="1B5F6FE5" w14:textId="77777777" w:rsidTr="00822842">
        <w:tc>
          <w:tcPr>
            <w:tcW w:w="1697" w:type="dxa"/>
          </w:tcPr>
          <w:p w14:paraId="22718F0C"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131" w:type="dxa"/>
          </w:tcPr>
          <w:p w14:paraId="7989891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Værdi af eksponeringer i handelsbeholdningen efter interne modeller</w:t>
            </w:r>
          </w:p>
          <w:p w14:paraId="2C5D070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For relevante krediteksponeringer som omhandlet i artikel 140, stk. 4, litra b), i direktiv 2013/36/EU omfattet af kapitalgrundlagskrav i henhold til tredje del, afsnit IV, kapitel 2 og 5, i forordning (EU) nr. 575/2013 indberettes summen af følgende:</w:t>
            </w:r>
          </w:p>
          <w:p w14:paraId="07E28E81"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dagsværdi af positioner i andet end derivater, der repræsenterer relevante krediteksponeringer som omhandlet i artikel 140, stk. 4, litra b), i direktiv 2013/36/EU, bestemt i overensstemmelse med artikel 104 i forordning (EU) nr. 575/2013</w:t>
            </w:r>
          </w:p>
          <w:p w14:paraId="198195E0" w14:textId="77777777" w:rsidR="009D6580" w:rsidRPr="002A677E" w:rsidRDefault="009D6580" w:rsidP="00822842">
            <w:pPr>
              <w:autoSpaceDE w:val="0"/>
              <w:autoSpaceDN w:val="0"/>
              <w:adjustRightInd w:val="0"/>
              <w:ind w:left="357" w:hanging="357"/>
              <w:contextualSpacing/>
              <w:rPr>
                <w:b/>
                <w:bCs/>
                <w:sz w:val="24"/>
                <w:u w:val="single"/>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notionel værdi af derivater, der repræsenterer relevante krediteksponeringer som omhandlet i artikel 140, stk. 4, litra b), i direktiv 2013/36/EU.</w:t>
            </w:r>
          </w:p>
        </w:tc>
      </w:tr>
      <w:tr w:rsidR="009D6580" w:rsidRPr="002A677E" w14:paraId="6BA1E71E" w14:textId="77777777" w:rsidTr="00822842">
        <w:tc>
          <w:tcPr>
            <w:tcW w:w="1697" w:type="dxa"/>
          </w:tcPr>
          <w:p w14:paraId="37545C8A"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131" w:type="dxa"/>
          </w:tcPr>
          <w:p w14:paraId="3A6EE46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Relevante krediteksponeringer — Securitiseringspositioner i anlægsbeholdningen</w:t>
            </w:r>
          </w:p>
          <w:p w14:paraId="4B3C8407" w14:textId="77777777" w:rsidR="009D6580" w:rsidRPr="002A677E" w:rsidRDefault="009D6580" w:rsidP="00822842">
            <w:pPr>
              <w:rPr>
                <w:sz w:val="24"/>
                <w:rFonts w:ascii="Times New Roman" w:hAnsi="Times New Roman"/>
              </w:rPr>
            </w:pPr>
            <w:r>
              <w:rPr>
                <w:sz w:val="24"/>
                <w:rFonts w:ascii="Times New Roman" w:hAnsi="Times New Roman"/>
              </w:rPr>
              <w:t xml:space="preserve">Eksponeringsværdi beregnet i overensstemmelse med artikel 248 i forordning (EU) nr. 575/2013 for relevante krediteksponeringer som omhandlet i artikel 140, stk. 4, litra c), i direktiv 2013/36/EU.</w:t>
            </w:r>
          </w:p>
        </w:tc>
      </w:tr>
      <w:tr w:rsidR="009D6580" w:rsidRPr="002A677E" w14:paraId="2A6651FC" w14:textId="77777777" w:rsidTr="00822842">
        <w:tc>
          <w:tcPr>
            <w:tcW w:w="1697" w:type="dxa"/>
          </w:tcPr>
          <w:p w14:paraId="3D2C5D4A" w14:textId="77777777" w:rsidR="009D6580" w:rsidRPr="002A677E" w:rsidRDefault="009D6580" w:rsidP="00822842">
            <w:pPr>
              <w:rPr>
                <w:sz w:val="24"/>
                <w:rFonts w:ascii="Times New Roman" w:hAnsi="Times New Roman"/>
              </w:rPr>
            </w:pPr>
            <w:r>
              <w:rPr>
                <w:sz w:val="24"/>
                <w:rFonts w:ascii="Times New Roman" w:hAnsi="Times New Roman"/>
              </w:rPr>
              <w:t xml:space="preserve">0070-0110</w:t>
            </w:r>
          </w:p>
        </w:tc>
        <w:tc>
          <w:tcPr>
            <w:tcW w:w="8131" w:type="dxa"/>
          </w:tcPr>
          <w:p w14:paraId="6A03AF3B"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Kapitalgrundlagskrav og -vægte</w:t>
            </w:r>
          </w:p>
        </w:tc>
      </w:tr>
      <w:tr w:rsidR="009D6580" w:rsidRPr="002A677E" w14:paraId="5C042A5F" w14:textId="77777777" w:rsidTr="00822842">
        <w:tc>
          <w:tcPr>
            <w:tcW w:w="1697" w:type="dxa"/>
          </w:tcPr>
          <w:p w14:paraId="32640B70"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131" w:type="dxa"/>
          </w:tcPr>
          <w:p w14:paraId="431787D4"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Samlede kapitalgrundlagskrav for kontracyklisk kapitalbuffer</w:t>
            </w:r>
          </w:p>
          <w:p w14:paraId="78C29612"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Summen af række 0080, 0090 og 0100.</w:t>
            </w:r>
          </w:p>
        </w:tc>
      </w:tr>
      <w:tr w:rsidR="009D6580" w:rsidRPr="002A677E" w14:paraId="7D74E37B" w14:textId="77777777" w:rsidTr="00822842">
        <w:tc>
          <w:tcPr>
            <w:tcW w:w="1697" w:type="dxa"/>
          </w:tcPr>
          <w:p w14:paraId="26DA65D7"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131" w:type="dxa"/>
          </w:tcPr>
          <w:p w14:paraId="2381AF17"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Kapitalgrundlagskrav for relevante krediteksponeringer — Kreditrisiko</w:t>
            </w:r>
            <w:r>
              <w:rPr>
                <w:b/>
                <w:sz w:val="24"/>
                <w:u w:val="single"/>
                <w:rFonts w:ascii="Times New Roman" w:hAnsi="Times New Roman"/>
              </w:rPr>
              <w:t xml:space="preserve"> </w:t>
            </w:r>
          </w:p>
          <w:p w14:paraId="4126D1D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Kapitalgrundlagskrav beregnet i overensstemmelse med tredje del, afsnit II, kapitel 1-4 og 6 i forordning (EU) nr. 575/2013 for relevante krediteksponeringer, som omhandlet i artikel 140, stk. 4, litra a), i direktiv 2013/36/EU, i det pågældende land.</w:t>
            </w:r>
          </w:p>
          <w:p w14:paraId="094DA9D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Kapitalgrundlagskrav for securitiseringspositioner i anlægsbeholdningen medtages ikke i denne række, men i række 0100.</w:t>
            </w:r>
          </w:p>
          <w:p w14:paraId="037A1499"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Kapitalgrundlagskravene er 8 % af den risikovægtede eksponering bestemt i overensstemmelse med tredje del, afsnit II, kapitel 1-4 og 6, i forordning (EU) nr. 575/2013.</w:t>
            </w:r>
          </w:p>
        </w:tc>
      </w:tr>
      <w:tr w:rsidR="009D6580" w:rsidRPr="002A677E" w14:paraId="6CE5DB0E" w14:textId="77777777" w:rsidTr="00822842">
        <w:tc>
          <w:tcPr>
            <w:tcW w:w="1697" w:type="dxa"/>
          </w:tcPr>
          <w:p w14:paraId="0847E4D7"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131" w:type="dxa"/>
          </w:tcPr>
          <w:p w14:paraId="4922C90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Kapitalgrundlagskrav for relevante krediteksponeringer — Markedsrisiko</w:t>
            </w:r>
            <w:r>
              <w:rPr>
                <w:b/>
                <w:sz w:val="24"/>
                <w:u w:val="single"/>
                <w:rFonts w:ascii="Times New Roman" w:hAnsi="Times New Roman"/>
              </w:rPr>
              <w:t xml:space="preserve"> </w:t>
            </w:r>
          </w:p>
          <w:p w14:paraId="5686B88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Kapitalgrundlagskrav beregnet i overensstemmelse med tredje del, afsnit IV, kapitel 2, i forordning (EU) nr. 575/2013 for specifik risiko eller i overensstemmelse med tredje del, afsnit IV, kapitel 5, i forordning (EU) nr. 575/2013 for forøget misligholdelses- og migreringsrisiko for relevante krediteksponeringer, som omhandlet i artikel 140, stk. 4, litra b), i direktiv 2013/36/EU, i det pågældende land.</w:t>
            </w:r>
            <w:r>
              <w:rPr>
                <w:sz w:val="24"/>
                <w:rFonts w:ascii="Times New Roman" w:hAnsi="Times New Roman"/>
              </w:rPr>
              <w:t xml:space="preserve"> </w:t>
            </w:r>
          </w:p>
          <w:p w14:paraId="09611817"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Kapitalgrundlagskravene for relevante krediteksponeringer inden for markedsrisikorammen omfatter bl.a. kapitalgrundlagskrav for securitiseringspositioner beregnet i overensstemmelse med tredje del, afsnit IV, kapitel 2, i forordning (EU) nr. 575/2013 og kapitalgrundlagskravene for eksponeringer mod CIU'er bestemt i overensstemmelse med artikel 348 i nævnte forordning.</w:t>
            </w:r>
          </w:p>
        </w:tc>
      </w:tr>
      <w:tr w:rsidR="009D6580" w:rsidRPr="002A677E" w14:paraId="655D63DC" w14:textId="77777777" w:rsidTr="00822842">
        <w:tc>
          <w:tcPr>
            <w:tcW w:w="1697" w:type="dxa"/>
          </w:tcPr>
          <w:p w14:paraId="4911AAD6"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131" w:type="dxa"/>
          </w:tcPr>
          <w:p w14:paraId="45D3AC3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Kapitalgrundlagskrav for relevante krediteksponeringer — Securitiseringspositioner i anlægsbeholdningen</w:t>
            </w:r>
          </w:p>
          <w:p w14:paraId="6483412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Kapitalgrundlagskrav beregnet i overensstemmelse med tredje del, afsnit II, kapitel 5 i forordning (EU) nr. 575/2013 for relevante krediteksponeringer, som omhandlet i artikel 140, stk. 4, litra c), i direktiv 2013/36/EU, i det pågældende land.</w:t>
            </w:r>
          </w:p>
          <w:p w14:paraId="1A6665D5"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Kapitalgrundlagskravene er 8 % af den risikovægtede eksponering beregnet i overensstemmelse med tredje del, afsnit II, kapitel 5, i forordning (EU) nr. 575/2013.</w:t>
            </w:r>
          </w:p>
        </w:tc>
      </w:tr>
      <w:tr w:rsidR="009D6580" w:rsidRPr="002A677E" w14:paraId="4015A9D7" w14:textId="77777777" w:rsidTr="00822842">
        <w:tc>
          <w:tcPr>
            <w:tcW w:w="1697" w:type="dxa"/>
          </w:tcPr>
          <w:p w14:paraId="4ACCD3B3"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131" w:type="dxa"/>
          </w:tcPr>
          <w:p w14:paraId="2EE25FA2"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Vægte for kapitalgrundlagskrav</w:t>
            </w:r>
          </w:p>
          <w:p w14:paraId="3D7B8904" w14:textId="77777777" w:rsidR="009D6580" w:rsidRPr="002A677E" w:rsidRDefault="009D6580" w:rsidP="00822842">
            <w:pPr>
              <w:rPr>
                <w:sz w:val="24"/>
                <w:rFonts w:ascii="Times New Roman" w:hAnsi="Times New Roman"/>
              </w:rPr>
            </w:pPr>
            <w:r>
              <w:rPr>
                <w:sz w:val="24"/>
                <w:rFonts w:ascii="Times New Roman" w:hAnsi="Times New Roman"/>
              </w:rPr>
              <w:t xml:space="preserve">Den vægt, der anvendes på den kontracykliske buffersats i hvert land, beregnes som en andel af kapitalgrundlagskrav på følgende måde:</w:t>
            </w:r>
          </w:p>
          <w:p w14:paraId="47443D03" w14:textId="77777777" w:rsidR="009D6580" w:rsidRPr="002A677E" w:rsidRDefault="009D6580" w:rsidP="00822842">
            <w:pPr>
              <w:rPr>
                <w:sz w:val="24"/>
                <w:rFonts w:ascii="Times New Roman" w:hAnsi="Times New Roman"/>
              </w:rPr>
            </w:pPr>
            <w:r>
              <w:rPr>
                <w:sz w:val="24"/>
                <w:rFonts w:ascii="Times New Roman" w:hAnsi="Times New Roman"/>
              </w:rPr>
              <w:t xml:space="preserve">1.</w:t>
            </w:r>
            <w:r>
              <w:tab/>
            </w:r>
            <w:r>
              <w:rPr>
                <w:sz w:val="24"/>
                <w:rFonts w:ascii="Times New Roman" w:hAnsi="Times New Roman"/>
              </w:rPr>
              <w:t xml:space="preserve">Tæller:</w:t>
            </w:r>
            <w:r>
              <w:rPr>
                <w:sz w:val="24"/>
                <w:rFonts w:ascii="Times New Roman" w:hAnsi="Times New Roman"/>
              </w:rPr>
              <w:t xml:space="preserve"> </w:t>
            </w:r>
            <w:r>
              <w:rPr>
                <w:sz w:val="24"/>
                <w:rFonts w:ascii="Times New Roman" w:hAnsi="Times New Roman"/>
              </w:rPr>
              <w:t xml:space="preserve">de samlede kapitalgrundlagskrav, der vedrører de relevante krediteksponeringer i det pågældende land [r0070; c0010; landeark]</w:t>
            </w:r>
            <w:r>
              <w:rPr>
                <w:sz w:val="24"/>
                <w:rFonts w:ascii="Times New Roman" w:hAnsi="Times New Roman"/>
              </w:rPr>
              <w:t xml:space="preserve"> </w:t>
            </w:r>
          </w:p>
          <w:p w14:paraId="1FE57EC6"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2.</w:t>
            </w:r>
            <w:r>
              <w:tab/>
            </w:r>
            <w:r>
              <w:rPr>
                <w:sz w:val="24"/>
                <w:rFonts w:ascii="Times New Roman" w:hAnsi="Times New Roman"/>
              </w:rPr>
              <w:t xml:space="preserve">Nævner:</w:t>
            </w:r>
            <w:r>
              <w:rPr>
                <w:sz w:val="24"/>
                <w:rFonts w:ascii="Times New Roman" w:hAnsi="Times New Roman"/>
              </w:rPr>
              <w:t xml:space="preserve"> </w:t>
            </w:r>
            <w:r>
              <w:rPr>
                <w:sz w:val="24"/>
                <w:rFonts w:ascii="Times New Roman" w:hAnsi="Times New Roman"/>
              </w:rPr>
              <w:t xml:space="preserve">de samlede kapitalgrundlagskrav, der vedrører alle krediteksponeringer, der er relevante for beregningen af den kontracykliske buffer, jf. artikel 140, stk. 4, i direktiv 2013/36/EU [r0070;c0110; "I alt"].</w:t>
            </w:r>
          </w:p>
          <w:p w14:paraId="423D2DDF"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Oplysninger om kapitalgrundlagskrav skal ikke indberettes for "I alt" for alle lande.</w:t>
            </w:r>
          </w:p>
        </w:tc>
      </w:tr>
      <w:tr w:rsidR="009D6580" w:rsidRPr="002A677E" w14:paraId="5C4BC14D" w14:textId="77777777" w:rsidTr="00822842">
        <w:tc>
          <w:tcPr>
            <w:tcW w:w="1697" w:type="dxa"/>
          </w:tcPr>
          <w:p w14:paraId="1A21712D" w14:textId="77777777" w:rsidR="009D6580" w:rsidRPr="002A677E" w:rsidRDefault="009D6580" w:rsidP="00822842">
            <w:pPr>
              <w:rPr>
                <w:sz w:val="24"/>
                <w:rFonts w:ascii="Times New Roman" w:hAnsi="Times New Roman"/>
              </w:rPr>
            </w:pPr>
            <w:r>
              <w:rPr>
                <w:sz w:val="24"/>
                <w:rFonts w:ascii="Times New Roman" w:hAnsi="Times New Roman"/>
              </w:rPr>
              <w:t xml:space="preserve">0120-0140</w:t>
            </w:r>
          </w:p>
        </w:tc>
        <w:tc>
          <w:tcPr>
            <w:tcW w:w="8131" w:type="dxa"/>
          </w:tcPr>
          <w:p w14:paraId="0FFF9D8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Kontracykliske buffersatser</w:t>
            </w:r>
          </w:p>
        </w:tc>
      </w:tr>
      <w:tr w:rsidR="009D6580" w:rsidRPr="002A677E" w14:paraId="3D2AE883" w14:textId="77777777" w:rsidTr="00822842">
        <w:tc>
          <w:tcPr>
            <w:tcW w:w="1697" w:type="dxa"/>
          </w:tcPr>
          <w:p w14:paraId="61437EB6"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131" w:type="dxa"/>
          </w:tcPr>
          <w:p w14:paraId="756100DA"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Kontracyklisk kapitalbuffersats fastsat af udpeget myndighed</w:t>
            </w:r>
          </w:p>
          <w:p w14:paraId="256AAB4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Kontracyklisk kapitalbuffersats, der er fastsat for det pågældende land af den udpegede myndighed for det pågældende land, jf. artikel 136, 137 og 139, artikel 140, stk. 2, litra a) og c), og artikel 140, stk. 3, litra b), i direktiv 2013/36/EU.</w:t>
            </w:r>
          </w:p>
          <w:p w14:paraId="08387A1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Denne række udfyldes ikke, når der ikke er fastsat en kontracyklisk kapitalbuffersats for det pågældende land af den udpegede myndighed for det pågældende land.</w:t>
            </w:r>
          </w:p>
          <w:p w14:paraId="79AF7A0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Kontracykliske kapitalbuffersatser, der blev fastsat af den udpegede myndighed, men som endnu ikke finder anvendelse i det pågældende land på referencedatoen for indberetning, skal ikke indberettes.</w:t>
            </w:r>
          </w:p>
          <w:p w14:paraId="5BEA0E13"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Oplysninger om den kontracykliske kapitalbuffersats, der er fastsat af den udpegede myndighed, skal ikke indberettes for "I alt" for alle lande.</w:t>
            </w:r>
            <w:r>
              <w:rPr>
                <w:sz w:val="24"/>
                <w:rFonts w:ascii="Times New Roman" w:hAnsi="Times New Roman"/>
              </w:rPr>
              <w:t xml:space="preserve"> </w:t>
            </w:r>
          </w:p>
        </w:tc>
      </w:tr>
      <w:tr w:rsidR="009D6580" w:rsidRPr="002A677E" w14:paraId="01E6253D" w14:textId="77777777" w:rsidTr="00822842">
        <w:tc>
          <w:tcPr>
            <w:tcW w:w="1697" w:type="dxa"/>
          </w:tcPr>
          <w:p w14:paraId="3226BBDD"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131" w:type="dxa"/>
          </w:tcPr>
          <w:p w14:paraId="1301D1B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Kontracyklisk kapitalbuffersats, der finder anvendelse på instituttets land</w:t>
            </w:r>
          </w:p>
          <w:p w14:paraId="47D66D49"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Kontracyklisk kapitalbuffersats, der blev fastsat for det pågældende land af den udpegede myndighed for instituttets hjemsted, jf. artikel 137, 138 og 139, artikel 140, stk. 2, litra b), og artikel 140, stk. 3, litra a), i direktiv 2013/36/EU.</w:t>
            </w:r>
            <w:r>
              <w:rPr>
                <w:sz w:val="24"/>
                <w:rFonts w:ascii="Times New Roman" w:hAnsi="Times New Roman"/>
              </w:rPr>
              <w:t xml:space="preserve"> </w:t>
            </w:r>
            <w:r>
              <w:rPr>
                <w:sz w:val="24"/>
                <w:rFonts w:ascii="Times New Roman" w:hAnsi="Times New Roman"/>
              </w:rPr>
              <w:t xml:space="preserve">Kontracykliske kapitalbuffersatser, der endnu ikke finder anvendelse på referencedatoen for indberetning, skal ikke indberettes.</w:t>
            </w:r>
          </w:p>
          <w:p w14:paraId="082B5846"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Oplysninger om den kontracykliske kapitalbuffersats, der finder anvendelse i instituttets land, skal ikke indberettes for "I alt" for alle lande.</w:t>
            </w:r>
          </w:p>
        </w:tc>
      </w:tr>
      <w:tr w:rsidR="009D6580" w:rsidRPr="002A677E" w14:paraId="3FF424DB" w14:textId="77777777" w:rsidTr="00822842">
        <w:tc>
          <w:tcPr>
            <w:tcW w:w="1697" w:type="dxa"/>
          </w:tcPr>
          <w:p w14:paraId="752F444A"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131" w:type="dxa"/>
          </w:tcPr>
          <w:p w14:paraId="315BAE64"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Institutspecifik kontracyklisk kapitalbuffersats</w:t>
            </w:r>
            <w:r>
              <w:rPr>
                <w:b/>
                <w:sz w:val="24"/>
                <w:u w:val="single"/>
                <w:rFonts w:ascii="Times New Roman" w:hAnsi="Times New Roman"/>
              </w:rPr>
              <w:t xml:space="preserve"> </w:t>
            </w:r>
          </w:p>
          <w:p w14:paraId="253E0547"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Institutspecifik kontracyklisk kapitalbuffersats beregnet i overensstemmelse med artikel 140, stk. 1, i direktiv 2013/36/EU.</w:t>
            </w:r>
            <w:r>
              <w:rPr>
                <w:sz w:val="24"/>
                <w:rFonts w:ascii="Times New Roman" w:hAnsi="Times New Roman"/>
              </w:rPr>
              <w:t xml:space="preserve"> </w:t>
            </w:r>
          </w:p>
          <w:p w14:paraId="575D2B3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Den institutspecifikke kontracykliske buffersats beregnes som det vægtede gennemsnit af de kontracykliske buffersatser, der finder anvendelse i de jurisdiktioner, hvor instituttets relevante krediteksponeringer befinder sig eller anvendes med henblik på artikel 140 i medfør af artikel 139, stk. 2 eller 3, i direktiv 2013/36/EU.</w:t>
            </w:r>
            <w:r>
              <w:rPr>
                <w:sz w:val="24"/>
                <w:rFonts w:ascii="Times New Roman" w:hAnsi="Times New Roman"/>
              </w:rPr>
              <w:t xml:space="preserve"> </w:t>
            </w:r>
            <w:r>
              <w:rPr>
                <w:sz w:val="24"/>
                <w:rFonts w:ascii="Times New Roman" w:hAnsi="Times New Roman"/>
              </w:rPr>
              <w:t xml:space="preserve">Den relevante kontracykliske buffersats indberettes i [r0120; c0020; landeark] eller [r0130; c0020; landeark], alt efter hvad der er relevant.</w:t>
            </w:r>
          </w:p>
          <w:p w14:paraId="2C4ECBB2" w14:textId="77777777" w:rsidR="009D6580" w:rsidRPr="002A677E" w:rsidRDefault="009D6580" w:rsidP="00822842">
            <w:pPr>
              <w:autoSpaceDE w:val="0"/>
              <w:autoSpaceDN w:val="0"/>
              <w:adjustRightInd w:val="0"/>
              <w:rPr>
                <w:b/>
                <w:strike/>
                <w:sz w:val="24"/>
                <w:rFonts w:ascii="Times New Roman" w:hAnsi="Times New Roman"/>
              </w:rPr>
            </w:pPr>
            <w:r>
              <w:rPr>
                <w:sz w:val="24"/>
                <w:rFonts w:ascii="Times New Roman" w:hAnsi="Times New Roman"/>
              </w:rPr>
              <w:t xml:space="preserve">Den vægt, der anvendes på den kontracykliske buffersats i hvert land, er andelen af kapitalgrundlagskrav i forhold til de samlede kapitalgrundlagskrav og indberettes i [r0110; c0020; landeark].</w:t>
            </w:r>
            <w:r>
              <w:rPr>
                <w:sz w:val="24"/>
                <w:rFonts w:ascii="Times New Roman" w:hAnsi="Times New Roman"/>
              </w:rPr>
              <w:t xml:space="preserve"> </w:t>
            </w:r>
          </w:p>
          <w:p w14:paraId="65E93DC9"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Oplysninger om den institutspecifikke kontracykliske kapitalbuffersats skal kun indberettes for "i alt" for alle lande og ikke særskilt for hvert land.</w:t>
            </w:r>
          </w:p>
        </w:tc>
      </w:tr>
      <w:tr w:rsidR="009D6580" w:rsidRPr="002A677E" w14:paraId="0CA64D03" w14:textId="77777777" w:rsidTr="00822842">
        <w:tc>
          <w:tcPr>
            <w:tcW w:w="1697" w:type="dxa"/>
          </w:tcPr>
          <w:p w14:paraId="1436C16C" w14:textId="77777777" w:rsidR="009D6580" w:rsidRPr="002A677E" w:rsidRDefault="009D6580" w:rsidP="00822842">
            <w:pPr>
              <w:rPr>
                <w:sz w:val="24"/>
                <w:rFonts w:ascii="Times New Roman" w:hAnsi="Times New Roman"/>
              </w:rPr>
            </w:pPr>
            <w:r>
              <w:rPr>
                <w:sz w:val="24"/>
                <w:rFonts w:ascii="Times New Roman" w:hAnsi="Times New Roman"/>
              </w:rPr>
              <w:t xml:space="preserve">0150 - 0160</w:t>
            </w:r>
          </w:p>
        </w:tc>
        <w:tc>
          <w:tcPr>
            <w:tcW w:w="8131" w:type="dxa"/>
          </w:tcPr>
          <w:p w14:paraId="13A71A3D"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Anvendelse af tærsklen på 2 %</w:t>
            </w:r>
          </w:p>
        </w:tc>
      </w:tr>
      <w:tr w:rsidR="009D6580" w:rsidRPr="002A677E" w14:paraId="4C39701D" w14:textId="77777777" w:rsidTr="00822842">
        <w:tc>
          <w:tcPr>
            <w:tcW w:w="1697" w:type="dxa"/>
          </w:tcPr>
          <w:p w14:paraId="62E51E11"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131" w:type="dxa"/>
          </w:tcPr>
          <w:p w14:paraId="0ABF51F0" w14:textId="77777777" w:rsidR="009D6580" w:rsidRPr="002A677E" w:rsidRDefault="009D6580" w:rsidP="00822842">
            <w:pPr>
              <w:autoSpaceDE w:val="0"/>
              <w:autoSpaceDN w:val="0"/>
              <w:adjustRightInd w:val="0"/>
              <w:rPr>
                <w:sz w:val="24"/>
                <w:rFonts w:ascii="Times New Roman" w:hAnsi="Times New Roman"/>
              </w:rPr>
            </w:pPr>
            <w:r>
              <w:rPr>
                <w:sz w:val="24"/>
                <w:b/>
                <w:u w:val="single"/>
                <w:rFonts w:ascii="Times New Roman" w:hAnsi="Times New Roman"/>
              </w:rPr>
              <w:t xml:space="preserve">Anvendelse af tærsklen på 2 % for generel krediteksponering</w:t>
            </w:r>
            <w:r>
              <w:rPr>
                <w:sz w:val="24"/>
                <w:rFonts w:ascii="Times New Roman" w:hAnsi="Times New Roman"/>
              </w:rPr>
              <w:t xml:space="preserve"> </w:t>
            </w:r>
          </w:p>
          <w:p w14:paraId="68B71CE8"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I henhold til artikel 2, stk. 5, litra b), i Kommissionens delegerede forordning (EU) nr. 1152/2014 kan udenlandske generelle krediteksponeringer, hvis samlede omfang ikke overstiger 2 % af summen af instituttets krediteksponeringer, eksponeringer i handelsbeholdningen og securitiseringseksponeringer, henføres til instituttets hjemsted.</w:t>
            </w:r>
            <w:r>
              <w:rPr>
                <w:sz w:val="24"/>
                <w:rFonts w:ascii="Times New Roman" w:hAnsi="Times New Roman"/>
              </w:rPr>
              <w:t xml:space="preserve"> </w:t>
            </w:r>
            <w:r>
              <w:rPr>
                <w:sz w:val="24"/>
                <w:rFonts w:ascii="Times New Roman" w:hAnsi="Times New Roman"/>
              </w:rPr>
              <w:t xml:space="preserve">Ved beregning af summen af de generelle krediteksponeringer, eksponeringer i handelsbeholdningen og securitiseringseksponeringer ses der bort fra generelle krediteksponeringer, hvis beliggenhed er fastlagt i overensstemmelse med artikel 2, stk. 5, litra a), og artikel 2, stk. 4, i Kommissionens delegerede forordning (EU) nr. 1152/2014.</w:t>
            </w:r>
          </w:p>
          <w:p w14:paraId="53DCDD6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Hvis instituttet anvender denne undtagelse, skal det angive "y" i skemaet for den jurisdiktion, der svarer til dens hjemsted, og for "I alt" for alle lande.</w:t>
            </w:r>
          </w:p>
          <w:p w14:paraId="5B2597B2"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Hvis et institut ikke anvender undtagelsen, skal det angive "n" i den relevante celle.</w:t>
            </w:r>
          </w:p>
        </w:tc>
      </w:tr>
      <w:tr w:rsidR="009D6580" w:rsidRPr="002A677E" w14:paraId="7179BBF6" w14:textId="77777777" w:rsidTr="00822842">
        <w:tc>
          <w:tcPr>
            <w:tcW w:w="1697" w:type="dxa"/>
          </w:tcPr>
          <w:p w14:paraId="528EEA51" w14:textId="77777777" w:rsidR="009D6580" w:rsidRPr="002A677E" w:rsidRDefault="009D6580" w:rsidP="00822842">
            <w:pPr>
              <w:rPr>
                <w:sz w:val="24"/>
                <w:rFonts w:ascii="Times New Roman" w:hAnsi="Times New Roman"/>
              </w:rPr>
            </w:pPr>
            <w:r>
              <w:rPr>
                <w:sz w:val="24"/>
                <w:rFonts w:ascii="Times New Roman" w:hAnsi="Times New Roman"/>
              </w:rPr>
              <w:t xml:space="preserve">0160</w:t>
            </w:r>
          </w:p>
        </w:tc>
        <w:tc>
          <w:tcPr>
            <w:tcW w:w="8131" w:type="dxa"/>
          </w:tcPr>
          <w:p w14:paraId="4FC000D6" w14:textId="77777777" w:rsidR="009D6580" w:rsidRPr="002A677E" w:rsidRDefault="009D6580" w:rsidP="00822842">
            <w:pPr>
              <w:autoSpaceDE w:val="0"/>
              <w:autoSpaceDN w:val="0"/>
              <w:adjustRightInd w:val="0"/>
              <w:rPr>
                <w:sz w:val="24"/>
                <w:rFonts w:ascii="Times New Roman" w:hAnsi="Times New Roman"/>
              </w:rPr>
            </w:pPr>
            <w:r>
              <w:rPr>
                <w:b/>
                <w:sz w:val="24"/>
                <w:u w:val="single"/>
                <w:rFonts w:ascii="Times New Roman" w:hAnsi="Times New Roman"/>
              </w:rPr>
              <w:t xml:space="preserve">Anvendelse af tærsklen på 2 % for eksponeringer i handelsbeholdningen</w:t>
            </w:r>
          </w:p>
          <w:p w14:paraId="13ED02AA"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I henhold til artikel 3, stk. 3, i Kommissionens delegerede forordning (EU) nr. 1152/2014 kan institutter henføre eksponeringer i handelsbeholdningen til deres hjemsted, hvis de samlede eksponeringer i handelsbeholdningen ikke overstiger 2 % af deres samlede generelle krediteksponeringer, eksponeringer i handelsbeholdningen og securitiseringseksponeringer.</w:t>
            </w:r>
          </w:p>
          <w:p w14:paraId="068BDCF9" w14:textId="77777777" w:rsidR="009D6580" w:rsidRPr="002A677E" w:rsidRDefault="009D6580" w:rsidP="00822842">
            <w:pPr>
              <w:rPr>
                <w:sz w:val="24"/>
                <w:rFonts w:ascii="Times New Roman" w:hAnsi="Times New Roman"/>
              </w:rPr>
            </w:pPr>
            <w:r>
              <w:rPr>
                <w:sz w:val="24"/>
                <w:rFonts w:ascii="Times New Roman" w:hAnsi="Times New Roman"/>
              </w:rPr>
              <w:t xml:space="preserve">Hvis instituttet anvender denne undtagelse, skal det angive "y" i skemaet for den jurisdiktion, der svarer til dens hjemsted, og for "I alt" for alle lande.</w:t>
            </w:r>
          </w:p>
          <w:p w14:paraId="3EA8EC30"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Hvis et institut ikke anvender undtagelsen, skal det angive "n" i den relevante celle.</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tab/>
      </w:r>
      <w:r>
        <w:rPr>
          <w:color w:val="444444"/>
          <w:sz w:val="20"/>
          <w:rFonts w:ascii="Times New Roman" w:hAnsi="Times New Roman"/>
        </w:rPr>
        <w:t xml:space="preserve">Kommissionens delegerede forordning (EU) nr. 1152/2014 af 4. juni 2014 om supplerende regler til Europa-Parlamentets og Rådets direktiv 2013/36/EU for så vidt angår reguleringsmæssige tekniske standarder vedrørende identifikationen af den geografiske beliggenhed af de relevante krediteksponeringer med henblik på beregning af institutspecifikke kontracykliske kapitalbuffersatser (EUT L 309 af 30.10.2014, s.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val="da-DK"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val="da-DK"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val="da-DK"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val="da-DK"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val="da-DK"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val="da-DK"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val="da-DK"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da-DK"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da-DK"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da-DK"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da-DK"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da-DK"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da-DK"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val="da-DK"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da-D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val="da-DK"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da-DK"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da-DK"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val="da-DK"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da-DK"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val="da-DK"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da-DK"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val="da-DK"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da-DK"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val="da-DK"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da-DK"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da-DK"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val="da-DK"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val="da-DK"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val="da-DK"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da-DK"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lang w:val="da-DK"/>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da-DK"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lang w:val="da-DK"/>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val="da-DK"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da-DK"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lang w:val="da-DK"/>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lang w:val="da-DK"/>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lang w:val="da-DK"/>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lang w:val="da-DK"/>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9D6580"/>
    <w:pPr>
      <w:numPr>
        <w:numId w:val="23"/>
      </w:numPr>
      <w:spacing w:after="0" w:line="240" w:lineRule="auto"/>
    </w:pPr>
    <w:rPr>
      <w:rFonts w:eastAsiaTheme="minorEastAsia"/>
      <w:kern w:val="0"/>
      <w:lang w:val="da-DK"/>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lang w:val="da-DK"/>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lang w:val="da-DK"/>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da-DK"/>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lang w:val="da-DK"/>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lang w:val="da-DK"/>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val="da-DK"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lang w:val="da-DK"/>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lang w:val="da-DK"/>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lang w:val="da-DK"/>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lang w:val="da-DK"/>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da-DK"/>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da-DK"/>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val="da-DK"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lang w:val="da-DK"/>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lang w:val="da-DK"/>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val="da-DK"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val="da-DK"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val="da-DK"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val="da-DK"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val="da-DK"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da-DK"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val="da-DK"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EC83B7-2AB6-46B1-A64F-00752A093850}"/>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3827</Words>
  <Characters>22237</Characters>
  <Application>Microsoft Office Word</Application>
  <DocSecurity>0</DocSecurity>
  <Lines>427</Lines>
  <Paragraphs>138</Paragraphs>
  <ScaleCrop>false</ScaleCrop>
  <Company/>
  <LinksUpToDate>false</LinksUpToDate>
  <CharactersWithSpaces>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2024-07-04T16:47:00Z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