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sz w:val="24"/>
          <w:rFonts w:ascii="Times New Roman" w:hAnsi="Times New Roman"/>
        </w:rPr>
      </w:pPr>
      <w:bookmarkStart w:id="0" w:name="_Toc310414964"/>
      <w:r>
        <w:rPr>
          <w:sz w:val="24"/>
          <w:rFonts w:ascii="Times New Roman" w:hAnsi="Times New Roman"/>
        </w:rPr>
        <w:t xml:space="preserve">ANEXO XXV</w:t>
      </w:r>
    </w:p>
    <w:p w14:paraId="09068E28" w14:textId="245D3A73" w:rsidR="009D4EFF" w:rsidRDefault="009D4EFF" w:rsidP="00754B43">
      <w:pPr>
        <w:spacing w:before="0"/>
        <w:jc w:val="center"/>
        <w:rPr>
          <w:b/>
          <w:sz w:val="24"/>
          <w:rFonts w:ascii="Times New Roman" w:hAnsi="Times New Roman"/>
        </w:rPr>
      </w:pPr>
      <w:r>
        <w:rPr>
          <w:b/>
          <w:sz w:val="24"/>
          <w:rFonts w:ascii="Times New Roman" w:hAnsi="Times New Roman"/>
        </w:rPr>
        <w:t xml:space="preserve">INSTRUCCIONES PARA COMPLETAR LAS PLANTILLAS DE LIQUIDEZ DEL ANEXO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b/>
          <w:sz w:val="24"/>
          <w:rFonts w:ascii="Times New Roman" w:hAnsi="Times New Roman"/>
        </w:rPr>
      </w:pPr>
      <w:r>
        <w:rPr>
          <w:b/>
          <w:sz w:val="24"/>
          <w:rFonts w:ascii="Times New Roman" w:hAnsi="Times New Roman"/>
        </w:rPr>
        <w:t xml:space="preserve">PARTE 1:</w:t>
      </w:r>
      <w:r>
        <w:rPr>
          <w:b/>
          <w:sz w:val="24"/>
          <w:rFonts w:ascii="Times New Roman" w:hAnsi="Times New Roman"/>
        </w:rPr>
        <w:t xml:space="preserve"> </w:t>
      </w:r>
      <w:r>
        <w:rPr>
          <w:b/>
          <w:sz w:val="24"/>
          <w:rFonts w:ascii="Times New Roman" w:hAnsi="Times New Roman"/>
        </w:rPr>
        <w:t xml:space="preserve">ACTIVOS LÍQUIDOS</w:t>
      </w:r>
    </w:p>
    <w:bookmarkEnd w:id="0"/>
    <w:p w14:paraId="2D20B30B"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Activos líquidos</w:t>
      </w:r>
    </w:p>
    <w:p w14:paraId="5A818423"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bookmarkStart w:id="1" w:name="_Toc308175819"/>
      <w:bookmarkStart w:id="2" w:name="_Toc310414966"/>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Observaciones generales</w:t>
      </w:r>
      <w:bookmarkEnd w:id="1"/>
      <w:bookmarkEnd w:id="2"/>
    </w:p>
    <w:p w14:paraId="35B71612" w14:textId="7CB84DE3" w:rsidR="006E48EA" w:rsidRPr="000B6B22" w:rsidRDefault="006E48EA">
      <w:pPr>
        <w:pStyle w:val="InstructionsText2"/>
        <w:spacing w:after="120"/>
        <w:rPr>
          <w:sz w:val="24"/>
          <w:szCs w:val="24"/>
          <w:rFonts w:cs="Times New Roman"/>
        </w:rPr>
      </w:pPr>
      <w:r>
        <w:rPr>
          <w:sz w:val="24"/>
        </w:rPr>
        <w:t xml:space="preserve">Se trata de una plantilla resumen que contiene información sobre los activos, a fin de dar cuenta del requisito de cobertura de la liquidez tal como se especifica en el Reglamento Delegado (UE) 2015/61 de la Comisión</w:t>
      </w:r>
      <w:r w:rsidR="0070035D" w:rsidRPr="000B6B22">
        <w:rPr>
          <w:rStyle w:val="FootnoteReference"/>
          <w:rFonts w:ascii="Times New Roman" w:hAnsi="Times New Roman" w:cs="Times New Roman"/>
          <w:sz w:val="24"/>
          <w:szCs w:val="24"/>
        </w:rPr>
        <w:footnoteReference w:id="2"/>
      </w:r>
      <w:r>
        <w:rPr>
          <w:sz w:val="24"/>
        </w:rPr>
        <w:t xml:space="preserve">.</w:t>
      </w:r>
      <w:r>
        <w:rPr>
          <w:sz w:val="24"/>
        </w:rPr>
        <w:t xml:space="preserve"> </w:t>
      </w:r>
      <w:r>
        <w:rPr>
          <w:sz w:val="24"/>
        </w:rPr>
        <w:t xml:space="preserve">Las partidas que no deben ser cumplimentadas por las entidades de crédito están sombreadas en gris.</w:t>
      </w:r>
    </w:p>
    <w:p w14:paraId="4BD684D5" w14:textId="66206934" w:rsidR="006E48EA" w:rsidRPr="000B6B22" w:rsidRDefault="006E48EA">
      <w:pPr>
        <w:pStyle w:val="InstructionsText2"/>
        <w:spacing w:after="120"/>
        <w:rPr>
          <w:sz w:val="24"/>
          <w:szCs w:val="24"/>
          <w:rFonts w:cs="Times New Roman"/>
        </w:rPr>
      </w:pPr>
      <w:r>
        <w:rPr>
          <w:sz w:val="24"/>
        </w:rPr>
        <w:t xml:space="preserve">Los activos comunicados deberán cumplir los requisitos establecidos en el título II del Reglamento Delegado (UE) 2015/61.</w:t>
      </w:r>
    </w:p>
    <w:p w14:paraId="7FB2C67A" w14:textId="2438D97E" w:rsidR="006E48EA" w:rsidRPr="000B6B22" w:rsidRDefault="006E48EA">
      <w:pPr>
        <w:pStyle w:val="InstructionsText2"/>
        <w:spacing w:after="120"/>
        <w:rPr>
          <w:sz w:val="24"/>
          <w:szCs w:val="24"/>
          <w:rFonts w:cs="Times New Roman"/>
        </w:rPr>
      </w:pPr>
      <w:r>
        <w:rPr>
          <w:sz w:val="24"/>
        </w:rPr>
        <w:t xml:space="preserve">No obstante lo dispuesto en el punto 2, las entidades de crédito no aplicarán las limitaciones en materia de divisas con arreglo al artículo 8, apartado 6, al artículo 10, apartado 1, letra d), y al artículo 12, apartado 1, letra c), del Reglamento Delegado (UE) 2015/61, al cumplimentar la plantilla sobre la base de una divisa distinta, según lo dispuesto en el artículo 415, apartado 2, del Reglamento (UE) n.º 575/2013.</w:t>
      </w:r>
      <w:r>
        <w:rPr>
          <w:sz w:val="24"/>
        </w:rPr>
        <w:t xml:space="preserve"> </w:t>
      </w:r>
      <w:r>
        <w:rPr>
          <w:sz w:val="24"/>
        </w:rPr>
        <w:t xml:space="preserve">Las entidades de crédito aplicarán, sin embargo, restricciones por países.</w:t>
      </w:r>
    </w:p>
    <w:p w14:paraId="08753421" w14:textId="33FC7351" w:rsidR="006E48EA" w:rsidRPr="000B6B22" w:rsidRDefault="006E48EA">
      <w:pPr>
        <w:pStyle w:val="InstructionsText2"/>
        <w:spacing w:after="120"/>
        <w:rPr>
          <w:sz w:val="24"/>
          <w:szCs w:val="24"/>
          <w:rFonts w:cs="Times New Roman"/>
        </w:rPr>
      </w:pPr>
      <w:r>
        <w:rPr>
          <w:sz w:val="24"/>
        </w:rPr>
        <w:t xml:space="preserve">Las entidades de crédito presentarán la plantilla en las correspondientes divisas con arreglo al artículo 415, apartado 2, del Reglamento (UE) n.º 575/2013.</w:t>
      </w:r>
    </w:p>
    <w:p w14:paraId="135D8891" w14:textId="35DC3B30" w:rsidR="006E48EA" w:rsidRPr="000B6B22" w:rsidRDefault="00A35BA4">
      <w:pPr>
        <w:pStyle w:val="InstructionsText2"/>
        <w:spacing w:after="120"/>
        <w:rPr>
          <w:sz w:val="24"/>
          <w:szCs w:val="24"/>
          <w:rFonts w:cs="Times New Roman"/>
        </w:rPr>
      </w:pPr>
      <w:r>
        <w:rPr>
          <w:sz w:val="24"/>
        </w:rPr>
        <w:t xml:space="preserve">De conformidad con el artículo 9 del Reglamento Delegado (UE) 2015/61, las entidades de crédito comunicarán, en su caso, el importe / valor de mercado de los activos líquidos, teniendo en cuenta las salidas y entradas netas de liquidez resultantes de una liquidación temprana de la cobertura, según se menciona en el artículo 8, apartado 5, letra b), y con arreglo a los oportunos recortes de valoración establecidos en el capítulo 2 de ese Reglamento Delegado.</w:t>
      </w:r>
    </w:p>
    <w:p w14:paraId="064CED75" w14:textId="254AB0D5" w:rsidR="006E48EA" w:rsidRPr="000B6B22" w:rsidRDefault="0070035D">
      <w:pPr>
        <w:pStyle w:val="InstructionsText2"/>
        <w:spacing w:after="120"/>
        <w:rPr>
          <w:sz w:val="24"/>
          <w:szCs w:val="24"/>
          <w:rFonts w:cs="Times New Roman"/>
        </w:rPr>
      </w:pPr>
      <w:r>
        <w:rPr>
          <w:sz w:val="24"/>
          <w:rStyle w:val="HTMLTypewriter"/>
          <w:rFonts w:ascii="Times New Roman" w:hAnsi="Times New Roman"/>
        </w:rPr>
        <w:t xml:space="preserve">El Reglamento Delegado (UE) 2015/61 solo hace referencia a índices y recortes de valoración.</w:t>
      </w:r>
      <w:r>
        <w:rPr>
          <w:sz w:val="24"/>
          <w:rStyle w:val="HTMLTypewriter"/>
          <w:rFonts w:ascii="Times New Roman" w:hAnsi="Times New Roman"/>
        </w:rPr>
        <w:t xml:space="preserve"> </w:t>
      </w:r>
      <w:r>
        <w:rPr>
          <w:sz w:val="24"/>
          <w:rStyle w:val="HTMLTypewriter"/>
          <w:rFonts w:ascii="Times New Roman" w:hAnsi="Times New Roman"/>
        </w:rPr>
        <w:t xml:space="preserve">En las presentes instrucciones, el término «ponderado» se entenderá como un término general que indica el importe obtenido tras aplicar los correspondientes recortes de valoración, índices y cualesquiera otras instrucciones adicionales pertinentes (por ejemplo, en el caso de operaciones de préstamo y financiación garantizadas).</w:t>
      </w:r>
      <w:r>
        <w:rPr>
          <w:sz w:val="24"/>
          <w:rStyle w:val="HTMLTypewriter"/>
          <w:rFonts w:ascii="Times New Roman" w:hAnsi="Times New Roman"/>
        </w:rPr>
        <w:t xml:space="preserve"> </w:t>
      </w:r>
      <w:r>
        <w:rPr>
          <w:sz w:val="24"/>
          <w:rStyle w:val="HTMLTypewriter"/>
          <w:rFonts w:ascii="Times New Roman" w:hAnsi="Times New Roman"/>
        </w:rPr>
        <w:t xml:space="preserve">El término «ponderación» en el contexto de las presentes instrucciones se refiere a un número comprendido entre 0 y 1, que, multiplicado por el importe, arroja, respectivamente, el importe o valor ponderado a que se refiere el artículo 9 del Reglamento Delegado (UE) 2015/61</w:t>
      </w:r>
      <w:r>
        <w:rPr>
          <w:sz w:val="24"/>
        </w:rPr>
        <w:t xml:space="preserve">.</w:t>
      </w:r>
    </w:p>
    <w:p w14:paraId="503E5F9E" w14:textId="3D6E9DFE" w:rsidR="006E48EA" w:rsidRPr="000B6B22" w:rsidRDefault="006E48EA">
      <w:pPr>
        <w:pStyle w:val="InstructionsText2"/>
        <w:spacing w:after="120"/>
        <w:rPr>
          <w:sz w:val="24"/>
          <w:szCs w:val="24"/>
          <w:rFonts w:cs="Times New Roman"/>
        </w:rPr>
      </w:pPr>
      <w:r>
        <w:rPr>
          <w:sz w:val="24"/>
        </w:rPr>
        <w:t xml:space="preserve">Las entidades de crédito no comunicarán partidas por duplicado, ya sea dentro de las secciones de las plantillas 1.1.1., 1.1.2., 1.2.1. y 1.2.2., o entre las mismas.</w:t>
      </w:r>
      <w:r>
        <w:rPr>
          <w:sz w:val="24"/>
        </w:rPr>
        <w:t xml:space="preserve"> </w:t>
      </w:r>
    </w:p>
    <w:p w14:paraId="54D6516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Observaciones específicas</w:t>
      </w:r>
    </w:p>
    <w:p w14:paraId="3CFE794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1.2.1.</w:t>
      </w:r>
      <w:r>
        <w:rPr>
          <w:sz w:val="24"/>
          <w:u w:val="none"/>
          <w:rFonts w:ascii="Times New Roman" w:hAnsi="Times New Roman"/>
        </w:rPr>
        <w:tab/>
      </w:r>
      <w:r>
        <w:rPr>
          <w:sz w:val="24"/>
          <w:u w:val="none"/>
          <w:rFonts w:ascii="Times New Roman" w:hAnsi="Times New Roman"/>
        </w:rPr>
        <w:t xml:space="preserve">Requisitos específicos relativos a los OIC</w:t>
      </w:r>
    </w:p>
    <w:p w14:paraId="09802304" w14:textId="4229D4DA" w:rsidR="006E48EA" w:rsidRPr="000B6B22" w:rsidRDefault="006E48EA">
      <w:pPr>
        <w:pStyle w:val="InstructionsText2"/>
        <w:spacing w:after="120"/>
        <w:rPr>
          <w:sz w:val="24"/>
          <w:szCs w:val="24"/>
          <w:rFonts w:cs="Times New Roman"/>
        </w:rPr>
      </w:pPr>
      <w:r>
        <w:rPr>
          <w:sz w:val="24"/>
        </w:rPr>
        <w:t xml:space="preserve">En las partidas 1.1.1.10., 1.1.1.11., 1.2.1.6., 1.1.2.2., 1.2.2.10., 1.2.2.11., 1.2.2.12. y 1.2.2.13. de la plantilla, las entidades de crédito comunicarán la proporción oportuna del valor de mercado de los OIC correspondiente a los activos líquidos subyacentes al OIC con arreglo al artículo 15, apartado 4, del Reglamento Delegado (UE) 2015/61.</w:t>
      </w:r>
    </w:p>
    <w:p w14:paraId="13CC1218"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1.2.2.</w:t>
      </w:r>
      <w:r>
        <w:rPr>
          <w:sz w:val="24"/>
          <w:u w:val="none"/>
          <w:rFonts w:ascii="Times New Roman" w:hAnsi="Times New Roman"/>
        </w:rPr>
        <w:tab/>
      </w:r>
      <w:r>
        <w:rPr>
          <w:sz w:val="24"/>
          <w:u w:val="none"/>
          <w:rFonts w:ascii="Times New Roman" w:hAnsi="Times New Roman"/>
        </w:rPr>
        <w:t xml:space="preserve">Requisitos específicos relativos a las disposiciones de anterioridad y disposiciones transitorias</w:t>
      </w:r>
    </w:p>
    <w:p w14:paraId="16DEDAB1" w14:textId="4E0E163B" w:rsidR="006E48EA" w:rsidRPr="000B6B22" w:rsidRDefault="006E48EA">
      <w:pPr>
        <w:pStyle w:val="InstructionsText2"/>
        <w:spacing w:after="120"/>
        <w:rPr>
          <w:sz w:val="24"/>
          <w:szCs w:val="24"/>
          <w:rFonts w:cs="Times New Roman"/>
        </w:rPr>
      </w:pPr>
      <w:r>
        <w:rPr>
          <w:sz w:val="24"/>
        </w:rPr>
        <w:t xml:space="preserve">Las entidades de crédito comunicarán las partidas a que se refieren los artículos 35 a 37 del Reglamento Delegado (UE) 2015/61 en las oportunas filas de activos.</w:t>
      </w:r>
      <w:r>
        <w:rPr>
          <w:sz w:val="24"/>
        </w:rPr>
        <w:t xml:space="preserve"> </w:t>
      </w:r>
      <w:r>
        <w:rPr>
          <w:sz w:val="24"/>
        </w:rPr>
        <w:t xml:space="preserve">El total de todos los importes de activos comunicados con arreglo a estos artículos se consignará asimismo en la sección «pro memoria» a efectos de referencia.</w:t>
      </w:r>
    </w:p>
    <w:p w14:paraId="7E788613"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1.2.3.</w:t>
      </w:r>
      <w:r>
        <w:rPr>
          <w:sz w:val="24"/>
          <w:u w:val="none"/>
          <w:rFonts w:ascii="Times New Roman" w:hAnsi="Times New Roman"/>
        </w:rPr>
        <w:tab/>
      </w:r>
      <w:r>
        <w:rPr>
          <w:sz w:val="24"/>
          <w:u w:val="none"/>
          <w:rFonts w:ascii="Times New Roman" w:hAnsi="Times New Roman"/>
        </w:rPr>
        <w:t xml:space="preserve">Requisitos específicos para la comunicación de información por parte de las entidades centrales</w:t>
      </w:r>
    </w:p>
    <w:p w14:paraId="70BC7592" w14:textId="5A862313" w:rsidR="006E48EA" w:rsidRPr="000B6B22" w:rsidRDefault="006E48EA">
      <w:pPr>
        <w:pStyle w:val="InstructionsText2"/>
        <w:spacing w:after="120"/>
        <w:rPr>
          <w:sz w:val="24"/>
          <w:szCs w:val="24"/>
          <w:rFonts w:cs="Times New Roman"/>
        </w:rPr>
      </w:pPr>
      <w:r>
        <w:rPr>
          <w:sz w:val="24"/>
        </w:rPr>
        <w:t xml:space="preserve">Al comunicar los activos líquidos correspondientes a los depósitos de entidades de crédito constituidos en la entidad central que tengan la consideración de activos líquidos de la entidad de crédito depositante, las entidades centrales velarán por que el importe comunicado de dichos activos tras el recorte de valoración no exceda de las salidas de los depósitos correspondientes de conformidad con el artículo 27, apartado 3, del Reglamento Delegado (UE) 2015/61.</w:t>
      </w:r>
    </w:p>
    <w:p w14:paraId="08F746D2"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1.2.4.</w:t>
      </w:r>
      <w:r>
        <w:rPr>
          <w:sz w:val="24"/>
          <w:u w:val="none"/>
          <w:rFonts w:ascii="Times New Roman" w:hAnsi="Times New Roman"/>
        </w:rPr>
        <w:tab/>
      </w:r>
      <w:r>
        <w:rPr>
          <w:sz w:val="24"/>
          <w:u w:val="none"/>
          <w:rFonts w:ascii="Times New Roman" w:hAnsi="Times New Roman"/>
        </w:rPr>
        <w:t xml:space="preserve">Requisitos específicos relativos a las operaciones de liquidación y con inicio diferido</w:t>
      </w:r>
    </w:p>
    <w:p w14:paraId="1164A59B" w14:textId="4F671D1D" w:rsidR="006E48EA" w:rsidRPr="000B6B22" w:rsidRDefault="006E48EA">
      <w:pPr>
        <w:pStyle w:val="InstructionsText2"/>
        <w:spacing w:after="120"/>
        <w:rPr>
          <w:sz w:val="24"/>
          <w:szCs w:val="24"/>
          <w:rFonts w:cs="Times New Roman"/>
        </w:rPr>
      </w:pPr>
      <w:r>
        <w:rPr>
          <w:sz w:val="24"/>
        </w:rPr>
        <w:t xml:space="preserve">Todos los activos que cumplan lo dispuesto en los artículos 7, 8 y 9 del Reglamento Delegado (UE) 2015/61 y que figuren en las existencias de la entidad de crédito en la fecha de referencia se consignarán en la correspondiente fila de la plantilla C72, aun cuando se vendan o utilicen en operaciones a plazo garantizadas.</w:t>
      </w:r>
      <w:r>
        <w:rPr>
          <w:sz w:val="24"/>
        </w:rPr>
        <w:t xml:space="preserve"> </w:t>
      </w:r>
      <w:r>
        <w:rPr>
          <w:sz w:val="24"/>
        </w:rPr>
        <w:t xml:space="preserve">Por razones de coherencia, en esta plantilla no se comunicarán activos líquidos derivados de operaciones con inicio diferido referentes a compras de activos líquidos acordadas contractualmente pero aún no liquidadas y compras a plazo de activos líquidos.</w:t>
      </w:r>
    </w:p>
    <w:p w14:paraId="5D31F171" w14:textId="63C94CE8" w:rsidR="006E48EA" w:rsidRPr="000B6B22" w:rsidRDefault="0062089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1.2.5.</w:t>
      </w:r>
      <w:r>
        <w:rPr>
          <w:sz w:val="24"/>
          <w:u w:val="none"/>
          <w:rFonts w:ascii="Times New Roman" w:hAnsi="Times New Roman"/>
        </w:rPr>
        <w:tab/>
      </w:r>
      <w:r>
        <w:rPr>
          <w:sz w:val="24"/>
          <w:u w:val="none"/>
          <w:rFonts w:ascii="Times New Roman" w:hAnsi="Times New Roman"/>
        </w:rPr>
        <w:t xml:space="preserve">Subplantilla de activos líquidos</w:t>
      </w:r>
    </w:p>
    <w:p w14:paraId="6008567D" w14:textId="2FCA01BD" w:rsidR="006E48EA" w:rsidRPr="000B6B22" w:rsidRDefault="0062089A">
      <w:pPr>
        <w:pStyle w:val="Instructionsberschrift2"/>
        <w:numPr>
          <w:ilvl w:val="0"/>
          <w:numId w:val="0"/>
        </w:numPr>
        <w:spacing w:before="0" w:after="120"/>
        <w:rPr>
          <w:sz w:val="24"/>
          <w:u w:val="none"/>
          <w:rFonts w:ascii="Times New Roman" w:hAnsi="Times New Roman" w:cs="Times New Roman"/>
        </w:rPr>
      </w:pPr>
      <w:bookmarkStart w:id="3" w:name="_Toc308175821"/>
      <w:bookmarkStart w:id="4" w:name="_Toc310414968"/>
      <w:r>
        <w:rPr>
          <w:sz w:val="24"/>
          <w:u w:val="none"/>
          <w:rFonts w:ascii="Times New Roman" w:hAnsi="Times New Roman"/>
        </w:rPr>
        <w:t xml:space="preserve">1.2.5.1</w:t>
      </w:r>
      <w:r>
        <w:rPr>
          <w:sz w:val="24"/>
          <w:u w:val="none"/>
          <w:rFonts w:ascii="Times New Roman" w:hAnsi="Times New Roman"/>
        </w:rPr>
        <w:tab/>
      </w:r>
      <w:r>
        <w:rPr>
          <w:sz w:val="24"/>
          <w:u w:val="none"/>
          <w:rFonts w:ascii="Times New Roman" w:hAnsi="Times New Roman"/>
        </w:rPr>
        <w:t xml:space="preserve">Instrucciones relativas a columnas específicas</w:t>
      </w:r>
      <w:bookmarkEnd w:id="3"/>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Columna</w:t>
            </w:r>
          </w:p>
        </w:tc>
        <w:tc>
          <w:tcPr>
            <w:tcW w:w="7182" w:type="dxa"/>
            <w:shd w:val="clear" w:color="auto" w:fill="auto"/>
          </w:tcPr>
          <w:p w14:paraId="5F18A003"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Referencias jurídicas e instrucciones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82" w:type="dxa"/>
            <w:shd w:val="clear" w:color="auto" w:fill="auto"/>
          </w:tcPr>
          <w:p w14:paraId="6C510055"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Importe / valor de mercado</w:t>
            </w:r>
          </w:p>
          <w:p w14:paraId="7A86ACBE" w14:textId="78756635" w:rsidR="006E48EA" w:rsidRPr="000B6B22" w:rsidRDefault="006E48EA">
            <w:pPr>
              <w:pStyle w:val="InstructionsText"/>
              <w:spacing w:after="120"/>
              <w:rPr>
                <w:sz w:val="24"/>
                <w:szCs w:val="24"/>
                <w:rFonts w:eastAsia="Calibri" w:cs="Times New Roman"/>
              </w:rPr>
            </w:pPr>
            <w:r>
              <w:rPr>
                <w:sz w:val="24"/>
              </w:rPr>
              <w:t xml:space="preserve">Las entidades de crédito comunicarán en la columna 0010 el valor de mercado o el importe, en su caso, de los activos líquidos con arreglo al título II del Reglamento Delegado (UE) 2015/61.</w:t>
            </w:r>
          </w:p>
          <w:p w14:paraId="16EF3725" w14:textId="4ADEF39E" w:rsidR="006E48EA" w:rsidRPr="000B6B22" w:rsidRDefault="006E48EA">
            <w:pPr>
              <w:pStyle w:val="InstructionsText"/>
              <w:spacing w:after="120"/>
              <w:rPr>
                <w:sz w:val="24"/>
                <w:szCs w:val="24"/>
                <w:rFonts w:eastAsia="Calibri" w:cs="Times New Roman"/>
              </w:rPr>
            </w:pPr>
            <w:r>
              <w:rPr>
                <w:sz w:val="24"/>
              </w:rPr>
              <w:t xml:space="preserve">El importe / valor de mercado indicado en la columna 0010:</w:t>
            </w:r>
          </w:p>
          <w:p w14:paraId="72235291"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tendrá en cuenta las salidas netas y las entradas netas por liquidación temprana de coberturas según se contempla en el artículo 8, apartado 5, de ese mismo Reglamento;</w:t>
            </w:r>
          </w:p>
          <w:p w14:paraId="5023737E"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no tendrá en cuenta los recortes de valoración contemplados en el título II de dicho Reglamento;</w:t>
            </w:r>
          </w:p>
          <w:p w14:paraId="7B129B7C" w14:textId="4D4ED89C"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incluirá, en las correspondientes filas de activos, la proporción de los depósitos a que se refiere el artículo 16, apartado 1, letra a), del citado Reglamento que consistan en activos específicos diferentes;</w:t>
            </w:r>
          </w:p>
          <w:p w14:paraId="13E3E7C6"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se reducirá, en su caso, por el importe de los depósitos contemplados en el artículo 16, constituidos en la entidad central de crédito, conforme al artículo 27, apartado 3, del referido Reglamento.</w:t>
            </w:r>
          </w:p>
          <w:p w14:paraId="7DF933B9" w14:textId="509AEEF6" w:rsidR="006E48EA" w:rsidRPr="000B6B22" w:rsidRDefault="006E48EA">
            <w:pPr>
              <w:pStyle w:val="InstructionsText"/>
              <w:spacing w:after="120"/>
              <w:rPr>
                <w:sz w:val="24"/>
                <w:szCs w:val="24"/>
                <w:rFonts w:eastAsia="Calibri" w:cs="Times New Roman"/>
              </w:rPr>
            </w:pPr>
            <w:r>
              <w:rPr>
                <w:sz w:val="24"/>
              </w:rPr>
              <w:t xml:space="preserve">En relación con el artículo 8, apartado 5, del Reglamento Delegado (UE) 2015/61, las entidades de crédito tendrán en cuenta el flujo de caja neto, ya sea de salida o de entrada, que pueda producirse si la cobertura se liquida en la fecha de referencia de la información.</w:t>
            </w:r>
            <w:r>
              <w:rPr>
                <w:sz w:val="24"/>
              </w:rPr>
              <w:t xml:space="preserve"> </w:t>
            </w:r>
            <w:r>
              <w:rPr>
                <w:sz w:val="24"/>
              </w:rPr>
              <w:t xml:space="preserve">Las entidades de crédito no tendrán en cuenta aquí las posibles variaciones futuras de valor del activo.</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82" w:type="dxa"/>
            <w:shd w:val="clear" w:color="auto" w:fill="auto"/>
          </w:tcPr>
          <w:p w14:paraId="5E801B77"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Ponderación estándar</w:t>
            </w:r>
          </w:p>
          <w:p w14:paraId="6901B289" w14:textId="7F78CCA9" w:rsidR="006E48EA" w:rsidRPr="000B6B22" w:rsidRDefault="00575F76">
            <w:pPr>
              <w:pStyle w:val="InstructionsText"/>
              <w:spacing w:after="120"/>
              <w:rPr>
                <w:sz w:val="24"/>
                <w:szCs w:val="24"/>
                <w:rFonts w:eastAsia="Calibri" w:cs="Times New Roman"/>
              </w:rPr>
            </w:pPr>
            <w:r>
              <w:rPr>
                <w:sz w:val="24"/>
              </w:rPr>
              <w:t xml:space="preserve">En la columna 0020 figurarán las ponderaciones que reflejen el </w:t>
            </w:r>
            <w:r>
              <w:rPr>
                <w:sz w:val="24"/>
                <w:rStyle w:val="HTMLTypewriter"/>
                <w:rFonts w:ascii="Times New Roman" w:hAnsi="Times New Roman"/>
              </w:rPr>
              <w:t xml:space="preserve">importe obtenido tras la aplicación de los respectivos recortes de valoración</w:t>
            </w:r>
            <w:r>
              <w:rPr>
                <w:sz w:val="24"/>
              </w:rPr>
              <w:t xml:space="preserve"> contemplados en el título II del Reglamento Delegado (UE) 2015/61.</w:t>
            </w:r>
            <w:r>
              <w:rPr>
                <w:sz w:val="24"/>
              </w:rPr>
              <w:t xml:space="preserve"> </w:t>
            </w:r>
            <w:r>
              <w:rPr>
                <w:sz w:val="24"/>
              </w:rPr>
              <w:t xml:space="preserve">Las ponderaciones tienen por objeto reflejar la reducción del valor de los activos líquidos tras la aplicación de los oportunos recortes de valoración.</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82" w:type="dxa"/>
            <w:shd w:val="clear" w:color="auto" w:fill="auto"/>
          </w:tcPr>
          <w:p w14:paraId="7A221A08" w14:textId="0FFA180E" w:rsidR="006E48EA" w:rsidRPr="000B6B22" w:rsidRDefault="006E48EA">
            <w:pPr>
              <w:spacing w:before="0"/>
              <w:rPr>
                <w:sz w:val="24"/>
                <w:rFonts w:ascii="Times New Roman" w:eastAsia="Calibri" w:hAnsi="Times New Roman"/>
              </w:rPr>
            </w:pPr>
            <w:r>
              <w:rPr>
                <w:rStyle w:val="FormatvorlageInstructionsTabelleText"/>
                <w:b/>
                <w:sz w:val="24"/>
                <w:rFonts w:ascii="Times New Roman" w:hAnsi="Times New Roman"/>
              </w:rPr>
              <w:t xml:space="preserve">Ponderación aplicable</w:t>
            </w:r>
          </w:p>
          <w:p w14:paraId="033F8F70" w14:textId="1EC9DC65" w:rsidR="006E48EA" w:rsidRPr="000B6B22" w:rsidRDefault="006E48EA">
            <w:pPr>
              <w:pStyle w:val="InstructionsText"/>
              <w:spacing w:after="120"/>
              <w:rPr>
                <w:sz w:val="24"/>
                <w:szCs w:val="24"/>
                <w:rFonts w:eastAsia="Calibri" w:cs="Times New Roman"/>
              </w:rPr>
            </w:pPr>
            <w:r>
              <w:rPr>
                <w:sz w:val="24"/>
              </w:rPr>
              <w:t xml:space="preserve">Las entidades de crédito comunicarán en la columna 0030 la ponderación aplicable a los activos líquidos establecidos en el título II del Reglamento Delegado (UE) 2015/61.</w:t>
            </w:r>
            <w:r>
              <w:rPr>
                <w:sz w:val="24"/>
              </w:rPr>
              <w:t xml:space="preserve"> </w:t>
            </w:r>
            <w:r>
              <w:rPr>
                <w:sz w:val="24"/>
              </w:rPr>
              <w:t xml:space="preserve">Las ponderaciones aplicables pueden arrojar valores medios ponderados y se consignarán en cifras decimales (es decir, 1,00 para una ponderación aplicable del 100 por cien, o 0,50 para una ponderación aplicable del 50 por ciento).</w:t>
            </w:r>
            <w:r>
              <w:rPr>
                <w:sz w:val="24"/>
              </w:rPr>
              <w:t xml:space="preserve"> </w:t>
            </w:r>
            <w:r>
              <w:rPr>
                <w:sz w:val="24"/>
              </w:rPr>
              <w:t xml:space="preserve">Las ponderaciones aplicables pueden reflejar, aunque no exclusivamente, decisiones adoptadas discrecionalmente por las empresas o las autoridades nacionales.</w:t>
            </w:r>
            <w:r>
              <w:rPr>
                <w:sz w:val="24"/>
              </w:rPr>
              <w:t xml:space="preserve"> </w:t>
            </w:r>
            <w:r>
              <w:rPr>
                <w:sz w:val="24"/>
              </w:rPr>
              <w:t xml:space="preserve">La cifra comunicada en la columna 0030 no podrá ser superior a la de la columna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0040</w:t>
            </w:r>
          </w:p>
        </w:tc>
        <w:tc>
          <w:tcPr>
            <w:tcW w:w="7182" w:type="dxa"/>
            <w:shd w:val="clear" w:color="auto" w:fill="auto"/>
          </w:tcPr>
          <w:p w14:paraId="6B4342D5" w14:textId="55937FD5" w:rsidR="006E48EA" w:rsidRPr="000B6B22" w:rsidRDefault="006E48EA">
            <w:pPr>
              <w:spacing w:before="0"/>
              <w:rPr>
                <w:b/>
                <w:sz w:val="24"/>
                <w:rFonts w:ascii="Times New Roman" w:eastAsia="Calibri" w:hAnsi="Times New Roman"/>
              </w:rPr>
            </w:pPr>
            <w:r>
              <w:rPr>
                <w:b/>
                <w:sz w:val="24"/>
                <w:rFonts w:ascii="Times New Roman" w:hAnsi="Times New Roman"/>
              </w:rPr>
              <w:t xml:space="preserve">Valor con arreglo al artículo 9</w:t>
            </w:r>
          </w:p>
          <w:p w14:paraId="3DD790D0" w14:textId="1F71ECA0" w:rsidR="006E48EA" w:rsidRPr="000B6B22" w:rsidRDefault="006E48EA">
            <w:pPr>
              <w:pStyle w:val="InstructionsText"/>
              <w:spacing w:after="120"/>
              <w:rPr>
                <w:sz w:val="24"/>
                <w:szCs w:val="24"/>
                <w:rFonts w:eastAsia="Calibri" w:cs="Times New Roman"/>
              </w:rPr>
            </w:pPr>
            <w:r>
              <w:rPr>
                <w:sz w:val="24"/>
              </w:rPr>
              <w:t xml:space="preserve">Las entidades de crédito comunicarán en la columna 0040 el valor del activo líquido determinado de conformidad con el artículo 9 del Reglamento Delegado (UE) 2015/61, que será el importe / valor de mercado, teniendo en cuenta las salidas y entradas netas de liquidez resultantes de una liquidación temprana de coberturas, multiplicado por la ponderación aplicable.</w:t>
            </w:r>
          </w:p>
        </w:tc>
      </w:tr>
    </w:tbl>
    <w:p w14:paraId="0F791B3D" w14:textId="2FD347F3" w:rsidR="006E48EA" w:rsidRPr="000B6B22" w:rsidRDefault="0062089A">
      <w:pPr>
        <w:pStyle w:val="Instructionsberschrift2"/>
        <w:numPr>
          <w:ilvl w:val="0"/>
          <w:numId w:val="0"/>
        </w:numPr>
        <w:spacing w:before="0" w:after="120"/>
        <w:rPr>
          <w:sz w:val="24"/>
          <w:u w:val="none"/>
          <w:rFonts w:ascii="Times New Roman" w:hAnsi="Times New Roman" w:cs="Times New Roman"/>
        </w:rPr>
      </w:pPr>
      <w:r>
        <w:rPr>
          <w:sz w:val="24"/>
          <w:u w:val="none"/>
          <w:rFonts w:ascii="Times New Roman" w:hAnsi="Times New Roman"/>
        </w:rPr>
        <w:t xml:space="preserve">1.2.5.2</w:t>
      </w:r>
      <w:r>
        <w:rPr>
          <w:sz w:val="24"/>
          <w:u w:val="none"/>
          <w:rFonts w:ascii="Times New Roman" w:hAnsi="Times New Roman"/>
        </w:rPr>
        <w:tab/>
      </w:r>
      <w:r>
        <w:rPr>
          <w:sz w:val="24"/>
          <w:u w:val="none"/>
          <w:rFonts w:ascii="Times New Roman" w:hAnsi="Times New Roman"/>
        </w:rPr>
        <w:t xml:space="preserve">Instrucciones relativas a filas concretas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bCs w:val="0"/>
                <w:sz w:val="24"/>
                <w:szCs w:val="24"/>
                <w:u w:val="single"/>
                <w:rFonts w:ascii="Times New Roman" w:eastAsia="SimSun" w:hAnsi="Times New Roman"/>
              </w:rPr>
            </w:pPr>
            <w:r>
              <w:rPr>
                <w:rStyle w:val="InstructionsTabelleText"/>
                <w:sz w:val="24"/>
                <w:rFonts w:ascii="Times New Roman" w:hAnsi="Times New Roman"/>
              </w:rPr>
              <w:t xml:space="preserve">Fila</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sz w:val="24"/>
                <w:szCs w:val="24"/>
                <w:rFonts w:ascii="Times New Roman" w:eastAsia="SimSun" w:hAnsi="Times New Roman"/>
              </w:rPr>
            </w:pPr>
            <w:r>
              <w:rPr>
                <w:rStyle w:val="InstructionsTabelleText"/>
                <w:sz w:val="24"/>
                <w:rFonts w:ascii="Times New Roman" w:hAnsi="Times New Roman"/>
              </w:rPr>
              <w:t xml:space="preserve">Referencias jurídicas e instrucciones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TOTAL DE ACTIVOS LÍQUIDOS SIN AJUSTES</w:t>
            </w:r>
          </w:p>
          <w:p w14:paraId="6F3ECBE7" w14:textId="74F2E35E" w:rsidR="006E48EA" w:rsidRPr="000B6B22" w:rsidRDefault="006E48EA">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Título II del Reglamento Delegado (UE) 2015/61</w:t>
            </w:r>
          </w:p>
          <w:p w14:paraId="3509EB14" w14:textId="678C2A15"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Las entidades de crédito comunicarán en la columna 0010 el importe total/valor de mercado total de sus activos líquidos.</w:t>
            </w:r>
          </w:p>
          <w:p w14:paraId="35016665" w14:textId="0737491D" w:rsidR="006E48EA" w:rsidRPr="000B6B22" w:rsidRDefault="00FB499E">
            <w:pPr>
              <w:pStyle w:val="InstructionsText"/>
              <w:spacing w:after="120"/>
              <w:rPr>
                <w:rStyle w:val="FormatvorlageInstructionsTabelleText"/>
                <w:b/>
                <w:sz w:val="24"/>
                <w:szCs w:val="24"/>
                <w:rFonts w:ascii="Times New Roman" w:hAnsi="Times New Roman"/>
              </w:rPr>
            </w:pPr>
            <w:r>
              <w:rPr>
                <w:rStyle w:val="FormatvorlageInstructionsTabelleText"/>
                <w:sz w:val="24"/>
                <w:rFonts w:ascii="Times New Roman" w:hAnsi="Times New Roman"/>
              </w:rPr>
              <w:t xml:space="preserve">Las entidades de crédito comunicarán en la columna 0040 el valor total de sus activos líquidos calculado con arreglo al artículo 9.</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Total de activos de nivel 1 sin ajustes</w:t>
            </w:r>
          </w:p>
          <w:p w14:paraId="7BC9F4FA" w14:textId="6C857949" w:rsidR="006E48EA" w:rsidRPr="000B6B22" w:rsidRDefault="006E48EA">
            <w:pPr>
              <w:pStyle w:val="InstructionsText"/>
              <w:spacing w:after="120"/>
              <w:rPr>
                <w:sz w:val="24"/>
                <w:szCs w:val="24"/>
                <w:rFonts w:cs="Times New Roman"/>
              </w:rPr>
            </w:pPr>
            <w:r>
              <w:rPr>
                <w:sz w:val="24"/>
              </w:rPr>
              <w:t xml:space="preserve">Artículos 10, 15, 16 y 19 del Reglamento Delegado (UE) 2015/61</w:t>
            </w:r>
          </w:p>
          <w:p w14:paraId="5202088B" w14:textId="0A6262CF"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Los activos comunicados en esta sección se habrán identificado explícitamente como activos de nivel 1, o tratado como tales, de conformidad con </w:t>
            </w:r>
            <w:r>
              <w:rPr>
                <w:sz w:val="24"/>
              </w:rPr>
              <w:t xml:space="preserve">el Reglamento Delegado (UE) 2015/61.</w:t>
            </w:r>
          </w:p>
          <w:p w14:paraId="7F520E8A" w14:textId="6EFC9D12"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Las entidades de crédito comunicarán en la columna 0010 el importe total/valor de mercado total de sus activos líquidos de nivel 1.</w:t>
            </w:r>
          </w:p>
          <w:p w14:paraId="4A1AD6EE" w14:textId="0EE0B941" w:rsidR="006E48EA" w:rsidRPr="000B6B22" w:rsidRDefault="00FB499E">
            <w:pPr>
              <w:pStyle w:val="InstructionsText"/>
              <w:spacing w:after="120"/>
              <w:rPr>
                <w:rStyle w:val="FormatvorlageInstructionsTabelleText"/>
                <w:b/>
                <w:bCs/>
                <w:sz w:val="24"/>
                <w:szCs w:val="24"/>
                <w:rFonts w:ascii="Times New Roman" w:hAnsi="Times New Roman"/>
              </w:rPr>
            </w:pPr>
            <w:r>
              <w:rPr>
                <w:rStyle w:val="FormatvorlageInstructionsTabelleText"/>
                <w:sz w:val="24"/>
                <w:rFonts w:ascii="Times New Roman" w:hAnsi="Times New Roman"/>
              </w:rPr>
              <w:t xml:space="preserve">Las entidades de crédito comunicarán en la columna 0040 el valor total de sus activos líquidos de nivel 1 calculado con arreglo al artículo 9.</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17" w:type="dxa"/>
            <w:shd w:val="clear" w:color="auto" w:fill="auto"/>
          </w:tcPr>
          <w:p w14:paraId="3997E083" w14:textId="77777777" w:rsidR="006E48EA" w:rsidRPr="000B6B22" w:rsidRDefault="006E48EA">
            <w:pPr>
              <w:pStyle w:val="InstructionsText"/>
              <w:spacing w:after="120"/>
              <w:rPr>
                <w:sz w:val="24"/>
                <w:szCs w:val="24"/>
                <w:rFonts w:cs="Times New Roman"/>
              </w:rPr>
            </w:pPr>
            <w:r>
              <w:rPr>
                <w:sz w:val="24"/>
              </w:rPr>
              <w:t xml:space="preserve">1.1.1.</w:t>
            </w:r>
            <w:r>
              <w:rPr>
                <w:sz w:val="24"/>
              </w:rPr>
              <w:t xml:space="preserve"> </w:t>
            </w:r>
            <w:r>
              <w:rPr>
                <w:sz w:val="24"/>
              </w:rPr>
              <w:t xml:space="preserve">Total de activos de NIVEL 1 sin ajustes, excluidos los bonos garantizados de calidad sumamente elevada</w:t>
            </w:r>
          </w:p>
          <w:p w14:paraId="33D17879" w14:textId="5E2FA351" w:rsidR="006E48EA" w:rsidRPr="000B6B22" w:rsidRDefault="006E48EA">
            <w:pPr>
              <w:pStyle w:val="InstructionsText"/>
              <w:spacing w:after="120"/>
              <w:rPr>
                <w:rStyle w:val="FormatvorlageInstructionsTabelleText"/>
                <w:bCs/>
                <w:sz w:val="24"/>
                <w:szCs w:val="24"/>
                <w:rFonts w:ascii="Times New Roman" w:hAnsi="Times New Roman"/>
              </w:rPr>
            </w:pPr>
            <w:r>
              <w:rPr>
                <w:sz w:val="24"/>
              </w:rPr>
              <w:t xml:space="preserve">Artículos 10, 15, 16 y 19 del Reglamento Delegado (UE) 2015/61</w:t>
            </w:r>
          </w:p>
          <w:p w14:paraId="06079932" w14:textId="6B051E0E"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Los activos comunicados en esta subsección se habrán identificado explícitamente como activos de nivel 1, o tratado como tales, de conformidad con </w:t>
            </w:r>
            <w:r>
              <w:rPr>
                <w:sz w:val="24"/>
              </w:rPr>
              <w:t xml:space="preserve"> el Reglamento Delegado (UE) 2015/61.</w:t>
            </w:r>
            <w:r>
              <w:rPr>
                <w:sz w:val="24"/>
              </w:rPr>
              <w:t xml:space="preserve"> </w:t>
            </w:r>
            <w:r>
              <w:rPr>
                <w:sz w:val="24"/>
              </w:rPr>
              <w:t xml:space="preserve">Los activos y activos subyacentes que puedan ser considerados bonos garantizados de calidad sumamente elevada, tal como se mencionan en el artículo 10, apartado 1, letra f), del Reglamento Delegado (UE) 2015/61, no se comunicarán en esta subsección.</w:t>
            </w:r>
          </w:p>
          <w:p w14:paraId="6EE6FC2C" w14:textId="004BEE0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Las entidades de crédito comunicarán en la columna 0010 la suma del importe / valor de mercado total de los activos de nivel 1, excepto bonos garantizados de calidad sumamente elevada, sin tener en cuenta los requisitos del artículo 17 del Reglamento Delegado (UE) 2015/61.</w:t>
            </w:r>
          </w:p>
          <w:p w14:paraId="0E9DB3E4" w14:textId="649936CF" w:rsidR="006E48EA" w:rsidRPr="000B6B22" w:rsidRDefault="006E48EA">
            <w:pPr>
              <w:pStyle w:val="InstructionsText"/>
              <w:spacing w:after="120"/>
              <w:rPr>
                <w:sz w:val="24"/>
                <w:szCs w:val="24"/>
                <w:rFonts w:cs="Times New Roman"/>
              </w:rPr>
            </w:pPr>
            <w:r>
              <w:rPr>
                <w:rStyle w:val="InstructionsTabelleberschrift"/>
                <w:b w:val="0"/>
                <w:sz w:val="24"/>
                <w:u w:val="none"/>
                <w:rFonts w:ascii="Times New Roman" w:hAnsi="Times New Roman"/>
              </w:rPr>
              <w:t xml:space="preserve">Las entidades de crédito comunicarán en la columna 0040 la suma del importe ponderado total de los activos de nivel 1, excepto bonos garantizados de calidad sumamente elevada, sin tener en cuenta los requisitos del artículo 17 del Reglamento Delegado (UE)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sz w:val="24"/>
                <w:rFonts w:ascii="Times New Roman" w:hAnsi="Times New Roman"/>
              </w:rPr>
            </w:pPr>
            <w:r>
              <w:rPr>
                <w:sz w:val="24"/>
                <w:rFonts w:ascii="Times New Roman" w:hAnsi="Times New Roman"/>
              </w:rPr>
              <w:t xml:space="preserve">0040</w:t>
            </w:r>
          </w:p>
        </w:tc>
        <w:tc>
          <w:tcPr>
            <w:tcW w:w="7125" w:type="dxa"/>
            <w:gridSpan w:val="2"/>
          </w:tcPr>
          <w:p w14:paraId="5C969370"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Monedas y billetes</w:t>
            </w:r>
          </w:p>
          <w:p w14:paraId="68BF0307" w14:textId="34A3D0A9" w:rsidR="006E48EA" w:rsidRPr="000B6B22" w:rsidRDefault="00223992">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Artículo 10, apartado 1, letra a), </w:t>
            </w:r>
            <w:r>
              <w:rPr>
                <w:sz w:val="24"/>
              </w:rPr>
              <w:t xml:space="preserve">del Reglamento Delegado (UE) 2015/61.</w:t>
            </w:r>
          </w:p>
          <w:p w14:paraId="7A741B1F" w14:textId="64D8A1FA"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Importe total del efectivo procedente de monedas y billetes de banco.</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sz w:val="24"/>
                <w:rFonts w:ascii="Times New Roman" w:hAnsi="Times New Roman"/>
              </w:rPr>
            </w:pPr>
            <w:r>
              <w:rPr>
                <w:sz w:val="24"/>
                <w:rFonts w:ascii="Times New Roman" w:hAnsi="Times New Roman"/>
              </w:rPr>
              <w:t xml:space="preserve">0050</w:t>
            </w:r>
          </w:p>
        </w:tc>
        <w:tc>
          <w:tcPr>
            <w:tcW w:w="7125" w:type="dxa"/>
            <w:gridSpan w:val="2"/>
          </w:tcPr>
          <w:p w14:paraId="0BB29739"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Reservas en bancos centrales que puedan ser retiradas</w:t>
            </w:r>
          </w:p>
          <w:p w14:paraId="48ECC62E" w14:textId="5CEFADCB" w:rsidR="006E48EA" w:rsidRPr="000B6B22" w:rsidRDefault="00223992">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Artículo 10, apartado 1, letra b), inciso iii), </w:t>
            </w:r>
            <w:r>
              <w:rPr>
                <w:sz w:val="24"/>
              </w:rPr>
              <w:t xml:space="preserve">del Reglamento Delegado (UE) 2015/61.</w:t>
            </w:r>
          </w:p>
          <w:p w14:paraId="1405DAC5" w14:textId="65CADA8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Importe total de las reservas que puedan ser retiradas en cualquier momento durante períodos de tensión, mantenidas por la entidad de crédito en el BCE, en el banco central de un Estado miembro o en el banco central de un tercer país, siempre que una agencia externa de calificación crediticia (ECAI) designada asigne a las exposiciones frente al banco central o la administración central de ese tercer país una evaluación de crédito que corresponda, al menos, al nivel 1 de calidad crediticia, con arreglo al artículo 114, apartado 2, del Reglamento (UE) n.º 575/2013.</w:t>
            </w:r>
          </w:p>
          <w:p w14:paraId="7148156E" w14:textId="322F07D3"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El importe que se permitirá retirar vendrá especificado en un acuerdo entre la autoridad competente de la entidad de crédito y el banco central en el que se mantengan las reservas, o en las normas aplicables del tercer país a que se refiere el artículo 10, apartado 1, letra b), inciso iii), </w:t>
            </w:r>
            <w:r>
              <w:rPr>
                <w:sz w:val="24"/>
              </w:rPr>
              <w:t xml:space="preserve">del Reglamento Delegado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sz w:val="24"/>
                <w:rFonts w:ascii="Times New Roman" w:hAnsi="Times New Roman"/>
              </w:rPr>
            </w:pPr>
            <w:r>
              <w:rPr>
                <w:sz w:val="24"/>
                <w:rFonts w:ascii="Times New Roman" w:hAnsi="Times New Roman"/>
              </w:rPr>
              <w:t xml:space="preserve">0060</w:t>
            </w:r>
          </w:p>
        </w:tc>
        <w:tc>
          <w:tcPr>
            <w:tcW w:w="7125" w:type="dxa"/>
            <w:gridSpan w:val="2"/>
          </w:tcPr>
          <w:p w14:paraId="22A1155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1.1.1.3.</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Activos de bancos centrales</w:t>
            </w:r>
          </w:p>
          <w:p w14:paraId="2169F27D" w14:textId="514BF0C2" w:rsidR="006E48EA" w:rsidRPr="000B6B22" w:rsidRDefault="00485545">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Artículo 10, apartado 1, letra b), incisos i) y ii), </w:t>
            </w:r>
            <w:r>
              <w:rPr>
                <w:sz w:val="24"/>
                <w:rStyle w:val="FormatvorlageInstructionsTabelleText"/>
                <w:rFonts w:ascii="Times New Roman" w:hAnsi="Times New Roman"/>
              </w:rPr>
              <w:t xml:space="preserve">del Reglamento Delegado (UE) 2015/61.</w:t>
            </w:r>
          </w:p>
          <w:p w14:paraId="46C91814" w14:textId="2955E824"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Activos que constituyan créditos frente a, o garantizados por, el BCE, el banco central de un Estado miembro o el banco central de un tercer país, siempre que una agencia externa de calificación crediticia (ECAI) designada asigne a las exposiciones frente al banco central o la administración central de ese tercer país una evaluación de crédito que corresponda, al menos, al nivel 1 de calidad crediticia, con arreglo al artículo 114, apartado 2, del Reglamento (UE) n.º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sz w:val="24"/>
                <w:rFonts w:ascii="Times New Roman" w:hAnsi="Times New Roman"/>
              </w:rPr>
            </w:pPr>
            <w:r>
              <w:rPr>
                <w:sz w:val="24"/>
                <w:rFonts w:ascii="Times New Roman" w:hAnsi="Times New Roman"/>
              </w:rPr>
              <w:t xml:space="preserve">0070</w:t>
            </w:r>
          </w:p>
        </w:tc>
        <w:tc>
          <w:tcPr>
            <w:tcW w:w="7125" w:type="dxa"/>
            <w:gridSpan w:val="2"/>
          </w:tcPr>
          <w:p w14:paraId="36FFB5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Activos de administraciones centrales</w:t>
            </w:r>
          </w:p>
          <w:p w14:paraId="650673B2" w14:textId="5FB76A5E" w:rsidR="006E48EA" w:rsidRPr="000B6B22" w:rsidRDefault="00485545">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Artículo 10, apartado 1, letra c), incisos i) y ii), </w:t>
            </w:r>
            <w:r>
              <w:rPr>
                <w:sz w:val="24"/>
                <w:rStyle w:val="FormatvorlageInstructionsTabelleText"/>
                <w:rFonts w:ascii="Times New Roman" w:hAnsi="Times New Roman"/>
              </w:rPr>
              <w:t xml:space="preserve">del </w:t>
            </w:r>
            <w:r>
              <w:rPr>
                <w:sz w:val="24"/>
              </w:rPr>
              <w:t xml:space="preserve">Reglamento Delegado (UE) 2015/61.</w:t>
            </w:r>
          </w:p>
          <w:p w14:paraId="38CCFA3C" w14:textId="1A788852"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Activos que constituyan créditos frente a, o garantizados por, la administración central de un Estado miembro o la administración central de un tercer país, a condición de que una ECAI designada les asigne una evaluación de crédito que corresponda, al menos, al nivel 1 de calidad crediticia, con arreglo al artículo 114, apartado 2, del Reglamento (UE) n.º 575/2013.</w:t>
            </w:r>
          </w:p>
          <w:p w14:paraId="211C5F6F" w14:textId="1D12620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En esta fila se consignarán los activos emitidos por entidades de crédito que se beneficien de una garantía de la administración central de un Estado miembro, de conformidad con el artículo 35 del Reglamento Delegado (UE) 2015/61.</w:t>
            </w:r>
          </w:p>
          <w:p w14:paraId="26DA2899" w14:textId="654818EF"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En esta fila se consignarán los activos emitidos por una de las agencias de gestión de activos deteriorados patrocinadas por Estados miembros a que se refiere el artículo 36 del Reglamento Delegado (UE)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sz w:val="24"/>
                <w:rFonts w:ascii="Times New Roman" w:hAnsi="Times New Roman"/>
              </w:rPr>
            </w:pPr>
            <w:r>
              <w:rPr>
                <w:sz w:val="24"/>
                <w:rFonts w:ascii="Times New Roman" w:hAnsi="Times New Roman"/>
              </w:rPr>
              <w:t xml:space="preserve">0080</w:t>
            </w:r>
          </w:p>
        </w:tc>
        <w:tc>
          <w:tcPr>
            <w:tcW w:w="7125" w:type="dxa"/>
            <w:gridSpan w:val="2"/>
          </w:tcPr>
          <w:p w14:paraId="7D8B2843"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1.1.1.5.</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Activos de administraciones regionales o autoridades locales</w:t>
            </w:r>
          </w:p>
          <w:p w14:paraId="029EC914" w14:textId="43AC4CAA"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Artículo 10, apartado 1, letra c), incisos iii) y iv), </w:t>
            </w:r>
            <w:r>
              <w:rPr>
                <w:sz w:val="24"/>
                <w:rStyle w:val="FormatvorlageInstructionsTabelleText"/>
                <w:rFonts w:ascii="Times New Roman" w:hAnsi="Times New Roman"/>
              </w:rPr>
              <w:t xml:space="preserve">del Reglamento Delegado (UE) 2015/61.</w:t>
            </w:r>
          </w:p>
          <w:p w14:paraId="032BF348" w14:textId="77777777"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Activos</w:t>
            </w:r>
            <w:r>
              <w:rPr>
                <w:sz w:val="24"/>
                <w:rFonts w:ascii="Times New Roman" w:hAnsi="Times New Roman"/>
              </w:rPr>
              <w:t xml:space="preserve"> </w:t>
            </w:r>
            <w:r>
              <w:rPr>
                <w:sz w:val="24"/>
                <w:rStyle w:val="FormatvorlageInstructionsTabelleText"/>
                <w:rFonts w:ascii="Times New Roman" w:hAnsi="Times New Roman"/>
              </w:rPr>
              <w:t xml:space="preserve">que constituyan créditos frente a, o garantizados por, administraciones regionales o autoridades locales de un Estado miembro, a condición de que reciban el mismo tratamiento que las exposiciones frente a la administración central de ese Estado miembro, con arreglo al artículo 115, apartado 2, del Reglamento (UE) n.º 575/2013.</w:t>
            </w:r>
          </w:p>
          <w:p w14:paraId="2B60D552" w14:textId="1BDC5521"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rFonts w:ascii="Times New Roman" w:hAnsi="Times New Roman"/>
              </w:rPr>
              <w:t xml:space="preserve">Activos</w:t>
            </w:r>
            <w:r>
              <w:rPr>
                <w:sz w:val="24"/>
                <w:rFonts w:ascii="Times New Roman" w:hAnsi="Times New Roman"/>
              </w:rPr>
              <w:t xml:space="preserve"> </w:t>
            </w:r>
            <w:r>
              <w:rPr>
                <w:sz w:val="24"/>
                <w:rStyle w:val="FormatvorlageInstructionsTabelleText"/>
                <w:rFonts w:ascii="Times New Roman" w:hAnsi="Times New Roman"/>
              </w:rPr>
              <w:t xml:space="preserve">que constituyan créditos frente a, o garantizados por, las administraciones regionales o las autoridades locales de un tercer país a las que una ECAI designada haya asignado una evaluación de crédito que corresponda, al menos, al nivel 1 de calidad crediticia, con arreglo al artículo 114, apartado 2, del Reglamento (UE) n.º 575/2013, y que reciban el mismo tratamiento que las exposiciones frente a la administración central de ese tercer país, de conformidad con el artículo 115, apartado 4, del Reglamento (UE) n.º 575/2013.</w:t>
            </w:r>
          </w:p>
          <w:p w14:paraId="4329CC4C" w14:textId="19F179F8"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En esta fila se consignarán los activos emitidos por entidades de crédito que se beneficien de una garantía de una administración regional o una autoridad local de un Estado miembro, de conformidad con el artículo 35 del Reglamento Delegado (UE)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sz w:val="24"/>
                <w:rFonts w:ascii="Times New Roman" w:hAnsi="Times New Roman"/>
              </w:rPr>
            </w:pPr>
            <w:r>
              <w:rPr>
                <w:sz w:val="24"/>
                <w:rFonts w:ascii="Times New Roman" w:hAnsi="Times New Roman"/>
              </w:rPr>
              <w:t xml:space="preserve">0090</w:t>
            </w:r>
          </w:p>
        </w:tc>
        <w:tc>
          <w:tcPr>
            <w:tcW w:w="7125" w:type="dxa"/>
            <w:gridSpan w:val="2"/>
          </w:tcPr>
          <w:p w14:paraId="06C69A3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1.1.1.6.</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Activos de entes del sector público</w:t>
            </w:r>
          </w:p>
          <w:p w14:paraId="68ADA6CC" w14:textId="5FE0DD35"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Artículo 10, apartado 1, letra c), incisos v) y vi), </w:t>
            </w:r>
            <w:r>
              <w:rPr>
                <w:sz w:val="24"/>
                <w:rStyle w:val="FormatvorlageInstructionsTabelleText"/>
                <w:rFonts w:ascii="Times New Roman" w:hAnsi="Times New Roman"/>
              </w:rPr>
              <w:t xml:space="preserve">del </w:t>
            </w:r>
            <w:r>
              <w:rPr>
                <w:sz w:val="24"/>
              </w:rPr>
              <w:t xml:space="preserve">Reglamento Delegado (UE) 2015/61.</w:t>
            </w:r>
          </w:p>
          <w:p w14:paraId="68E4C124" w14:textId="4D5C218D"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Activos</w:t>
            </w:r>
            <w:r>
              <w:rPr>
                <w:sz w:val="24"/>
                <w:rFonts w:ascii="Times New Roman" w:hAnsi="Times New Roman"/>
              </w:rPr>
              <w:t xml:space="preserve"> </w:t>
            </w:r>
            <w:r>
              <w:rPr>
                <w:sz w:val="24"/>
                <w:rStyle w:val="FormatvorlageInstructionsTabelleText"/>
                <w:rFonts w:ascii="Times New Roman" w:hAnsi="Times New Roman"/>
              </w:rPr>
              <w:t xml:space="preserve">que constituyan créditos frente a, o garantizados por, entes del sector público de un Estado miembro, a condición de que reciban el mismo tratamiento que las exposiciones frente a la administración central, las administraciones regionales o las autoridades locales de ese Estado miembro o tercer país, con arreglo al artículo 116, apartado 4, del Reglamento (UE) n.º 575/2013.</w:t>
            </w:r>
          </w:p>
          <w:p w14:paraId="77D1C8CF" w14:textId="50932A59"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Toda exposición frente a la administración central de un tercer país según se menciona en un apartado precedente deberá recibir de una ECAI designada una evaluación de crédito que corresponda, al menos, al nivel 1 de calidad crediticia, con arreglo al artículo 114, apartado 2, del Reglamento (UE) n.º 575/2013.</w:t>
            </w:r>
          </w:p>
          <w:p w14:paraId="02BCADDA" w14:textId="54106C4A"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Toda exposición frente a la administración regional o la autoridad local de un tercer país mencionada en esta subsección deberá recibir el mismo tratamiento que las exposiciones frente a la administración central de ese tercer país, con arreglo al artículo 115, apartado 4, del Reglamento (UE) n.º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sz w:val="24"/>
                <w:rFonts w:ascii="Times New Roman" w:hAnsi="Times New Roman"/>
              </w:rPr>
            </w:pPr>
            <w:r>
              <w:rPr>
                <w:sz w:val="24"/>
                <w:rFonts w:ascii="Times New Roman" w:hAnsi="Times New Roman"/>
              </w:rPr>
              <w:t xml:space="preserve">0100</w:t>
            </w:r>
          </w:p>
        </w:tc>
        <w:tc>
          <w:tcPr>
            <w:tcW w:w="7125" w:type="dxa"/>
            <w:gridSpan w:val="2"/>
          </w:tcPr>
          <w:p w14:paraId="454B4362" w14:textId="15173AE3" w:rsidR="006E48EA" w:rsidRPr="000B6B22" w:rsidRDefault="006E48EA">
            <w:pPr>
              <w:pStyle w:val="InstructionsText"/>
              <w:spacing w:after="120"/>
              <w:rPr>
                <w:rStyle w:val="InstructionsTabelleberschrift"/>
                <w:b w:val="0"/>
                <w:bCs/>
                <w:sz w:val="24"/>
                <w:szCs w:val="24"/>
                <w:rFonts w:ascii="Times New Roman" w:hAnsi="Times New Roman"/>
              </w:rPr>
            </w:pPr>
            <w:r>
              <w:rPr>
                <w:rStyle w:val="InstructionsTabelleberschrift"/>
                <w:sz w:val="24"/>
                <w:u w:val="none"/>
                <w:rFonts w:ascii="Times New Roman" w:hAnsi="Times New Roman"/>
              </w:rPr>
              <w:t xml:space="preserve">1.1.1.7.</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Activos de administraciones centrales y bancos centrales reconocibles en moneda nacional y divisas</w:t>
            </w:r>
          </w:p>
          <w:p w14:paraId="7364CE28" w14:textId="62D58994" w:rsidR="006E48EA" w:rsidRPr="000B6B22" w:rsidRDefault="00485545">
            <w:pPr>
              <w:pStyle w:val="InstructionsText"/>
              <w:spacing w:after="120"/>
              <w:rPr>
                <w:rStyle w:val="InstructionsTabelleberschrift"/>
                <w:b w:val="0"/>
                <w:sz w:val="24"/>
                <w:szCs w:val="24"/>
                <w:rFonts w:ascii="Times New Roman" w:hAnsi="Times New Roman"/>
              </w:rPr>
            </w:pPr>
            <w:r>
              <w:rPr>
                <w:sz w:val="24"/>
                <w:rStyle w:val="InstructionsTabelleberschrift"/>
                <w:b w:val="0"/>
                <w:u w:val="none"/>
                <w:rFonts w:ascii="Times New Roman" w:hAnsi="Times New Roman"/>
              </w:rPr>
              <w:t xml:space="preserve">Artículo 10, apartado 1, letra d), </w:t>
            </w:r>
            <w:r>
              <w:rPr>
                <w:sz w:val="24"/>
                <w:rStyle w:val="FormatvorlageInstructionsTabelleText"/>
                <w:rFonts w:ascii="Times New Roman" w:hAnsi="Times New Roman"/>
              </w:rPr>
              <w:t xml:space="preserve">del </w:t>
            </w:r>
            <w:r>
              <w:rPr>
                <w:sz w:val="24"/>
                <w:rFonts w:ascii="Times New Roman" w:hAnsi="Times New Roman"/>
              </w:rPr>
              <w:t xml:space="preserve">Reglamento Delegado (UE) 2015/61</w:t>
            </w:r>
            <w:r>
              <w:rPr>
                <w:sz w:val="24"/>
              </w:rPr>
              <w:t xml:space="preserve">.</w:t>
            </w:r>
          </w:p>
          <w:p w14:paraId="77EE456C" w14:textId="50793805" w:rsidR="006E48EA" w:rsidRPr="009D4EFF" w:rsidRDefault="006E48EA">
            <w:pPr>
              <w:pStyle w:val="InstructionsText"/>
              <w:spacing w:after="120"/>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Activos que constituyan créditos frente a, o garantizados por, la administración central o el banco central, y reservas mantenidas en un banco central con arreglo a las condiciones del artículo 10, apartado 1, letra d), inciso ii), del Reglamento Delegado (UE) 2015/61, de un tercer país que no haya recibido por parte de una ECAI designada una evaluación de crédito que corresponda, al menos, al nivel 1 de calidad crediticia, a condición de que la entidad de crédito reconozca el total de esos activos como de nivel 1 hasta el importe de las salidas netas de liquidez en que haya incurrido en condiciones de tensión en la misma moneda.</w:t>
            </w:r>
          </w:p>
          <w:p w14:paraId="55DF6FA5" w14:textId="556702F6"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Activos que constituyan créditos frente a, o garantizados por, la administración central o el banco central, y reservas mantenidas en un banco central con arreglo a las condiciones del artículo 10, apartado 1, letra d), inciso ii), del Reglamento Delegado (UE) 2015/61, de un tercer país que no haya recibido por parte de una ECAI designada una evaluación de crédito que corresponda, al menos, al nivel 1 de calidad crediticia, cuando tales activos no estén denominados en la moneda nacional de ese tercer país, a condición de que la entidad de crédito reconozca los activos como de nivel 1 hasta el importe de sus salidas netas de liquidez en condiciones de tensión en tal divisa, correspondientes a sus operaciones en el país en que se asuma el riesgo de liquidez.</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sz w:val="24"/>
                <w:rFonts w:ascii="Times New Roman" w:hAnsi="Times New Roman"/>
              </w:rPr>
            </w:pPr>
            <w:r>
              <w:rPr>
                <w:sz w:val="24"/>
                <w:rFonts w:ascii="Times New Roman" w:hAnsi="Times New Roman"/>
              </w:rPr>
              <w:t xml:space="preserve">0110</w:t>
            </w:r>
          </w:p>
        </w:tc>
        <w:tc>
          <w:tcPr>
            <w:tcW w:w="7125" w:type="dxa"/>
            <w:gridSpan w:val="2"/>
          </w:tcPr>
          <w:p w14:paraId="53C251E6"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1.1.1.8.</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Activos de entidades de crédito (protegidas por la administración de un Estado miembro, que concedan préstamos promocionales)</w:t>
            </w:r>
          </w:p>
          <w:p w14:paraId="289FE6A7" w14:textId="08BC87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Artículo 10, apartado 1, letra e), incisos i) y ii), </w:t>
            </w:r>
            <w:r>
              <w:rPr>
                <w:sz w:val="24"/>
                <w:rStyle w:val="FormatvorlageInstructionsTabelleText"/>
                <w:rFonts w:ascii="Times New Roman" w:hAnsi="Times New Roman"/>
              </w:rPr>
              <w:t xml:space="preserve">del </w:t>
            </w:r>
            <w:r>
              <w:rPr>
                <w:sz w:val="24"/>
              </w:rPr>
              <w:t xml:space="preserve">Reglamento Delegado (UE) 2015/61.</w:t>
            </w:r>
          </w:p>
          <w:p w14:paraId="0986761B" w14:textId="373ACE7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Activos emitidos por entidades de crédito constituidas o establecidas por la administración central, una administración regional o una autoridad local de un Estado miembro que tenga la obligación legal de proteger la base económica de la entidad de crédito y de mantener su viabilidad financiera.</w:t>
            </w:r>
          </w:p>
          <w:p w14:paraId="34496170" w14:textId="660E6C76"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Activos emitidos por una entidad que otorgue préstamos promocionales con arreglo al artículo 10, apartado 1, letra e), inciso ii), del Reglamento Delegado (UE) 2015/61.</w:t>
            </w:r>
          </w:p>
          <w:p w14:paraId="71177326" w14:textId="5263D98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Toda exposición frente a una administración regional o autoridad local de las mencionadas más arriba deberá recibir el mismo tratamiento que las exposiciones frente a la administración central de ese Estado miembro, con arreglo al artículo 115, apartado 2, del Reglamento (UE) n.º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sz w:val="24"/>
                <w:rFonts w:ascii="Times New Roman" w:hAnsi="Times New Roman"/>
              </w:rPr>
            </w:pPr>
            <w:r>
              <w:rPr>
                <w:sz w:val="24"/>
                <w:rFonts w:ascii="Times New Roman" w:hAnsi="Times New Roman"/>
              </w:rPr>
              <w:t xml:space="preserve">0120</w:t>
            </w:r>
          </w:p>
        </w:tc>
        <w:tc>
          <w:tcPr>
            <w:tcW w:w="7125" w:type="dxa"/>
            <w:gridSpan w:val="2"/>
          </w:tcPr>
          <w:p w14:paraId="0D5179AF"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1.1.1.9.</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Activos de bancos multilaterales de desarrollo y organizaciones internacionales</w:t>
            </w:r>
          </w:p>
          <w:p w14:paraId="1FF33250" w14:textId="14CB01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Artículo 10, apartado 1, letra g), </w:t>
            </w:r>
            <w:r>
              <w:rPr>
                <w:sz w:val="24"/>
                <w:rStyle w:val="FormatvorlageInstructionsTabelleText"/>
                <w:rFonts w:ascii="Times New Roman" w:hAnsi="Times New Roman"/>
              </w:rPr>
              <w:t xml:space="preserve">del </w:t>
            </w:r>
            <w:r>
              <w:rPr>
                <w:sz w:val="24"/>
                <w:rFonts w:ascii="Times New Roman" w:hAnsi="Times New Roman"/>
              </w:rPr>
              <w:t xml:space="preserve">Reglamento Delegado (UE) 2015/61</w:t>
            </w:r>
            <w:r>
              <w:rPr>
                <w:sz w:val="24"/>
              </w:rPr>
              <w:t xml:space="preserve">.</w:t>
            </w:r>
          </w:p>
          <w:p w14:paraId="3F23877C" w14:textId="5B9D417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Activos que constituyan créditos frente a, o garantizados por, los bancos multilaterales de desarrollo y las organizaciones internacionales a que se refieren el artículo 117, apartado 2, y el artículo 118 del Reglamento (UE) n.º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sz w:val="24"/>
                <w:rFonts w:ascii="Times New Roman" w:hAnsi="Times New Roman"/>
              </w:rPr>
            </w:pPr>
            <w:r>
              <w:rPr>
                <w:sz w:val="24"/>
                <w:rFonts w:ascii="Times New Roman" w:hAnsi="Times New Roman"/>
              </w:rPr>
              <w:t xml:space="preserve">0130</w:t>
            </w:r>
          </w:p>
        </w:tc>
        <w:tc>
          <w:tcPr>
            <w:tcW w:w="7125" w:type="dxa"/>
            <w:gridSpan w:val="2"/>
          </w:tcPr>
          <w:p w14:paraId="3AAFB551"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1.1.1.10.</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Acciones/participaciones en OIC admisibles:</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el subyacente consiste en monedas/billetes o exposiciones frente a bancos centrales</w:t>
            </w:r>
          </w:p>
          <w:p w14:paraId="7D3B6BCF" w14:textId="7CACB305" w:rsidR="006E48EA" w:rsidRPr="000B6B22" w:rsidRDefault="00485545">
            <w:pPr>
              <w:pStyle w:val="InstructionsText"/>
              <w:spacing w:after="120"/>
              <w:rPr>
                <w:rStyle w:val="InstructionsTabelleberschrift"/>
                <w:b w:val="0"/>
                <w:bCs/>
                <w:sz w:val="24"/>
                <w:szCs w:val="24"/>
                <w:rFonts w:ascii="Times New Roman" w:hAnsi="Times New Roman"/>
              </w:rPr>
            </w:pPr>
            <w:r>
              <w:rPr>
                <w:sz w:val="24"/>
                <w:rStyle w:val="InstructionsTabelleberschrift"/>
                <w:b w:val="0"/>
                <w:u w:val="none"/>
                <w:rFonts w:ascii="Times New Roman" w:hAnsi="Times New Roman"/>
              </w:rPr>
              <w:t xml:space="preserve">Artículo 15, apartado 2, letra a) </w:t>
            </w:r>
            <w:r>
              <w:rPr>
                <w:sz w:val="24"/>
                <w:rStyle w:val="FormatvorlageInstructionsTabelleText"/>
                <w:rFonts w:ascii="Times New Roman" w:hAnsi="Times New Roman"/>
              </w:rPr>
              <w:t xml:space="preserve">del </w:t>
            </w:r>
            <w:r>
              <w:rPr>
                <w:sz w:val="24"/>
              </w:rPr>
              <w:t xml:space="preserve">Reglamento Delegado (UE) 2015/61.</w:t>
            </w:r>
          </w:p>
          <w:p w14:paraId="4703F57B" w14:textId="3AE59D98"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Acciones o participaciones en OIC cuyos activos subyacentes correspondan a monedas, billetes y exposiciones frente al BCE, el banco central de un Estado miembro o el banco central de un tercer país, siempre que una agencia externa de calificación crediticia (ECAI) designada asigne a las exposiciones frente al banco central o la administración central de ese tercer país una evaluación de crédito que corresponda, al menos, al nivel 1 de calidad crediticia,</w:t>
            </w:r>
            <w:r>
              <w:rPr>
                <w:rStyle w:val="InstructionsTabelleberschrift"/>
                <w:b w:val="0"/>
                <w:sz w:val="24"/>
                <w:rFonts w:ascii="Times New Roman" w:hAnsi="Times New Roman"/>
              </w:rPr>
              <w:t xml:space="preserve"> con arreglo al</w:t>
            </w:r>
            <w:r>
              <w:rPr>
                <w:rStyle w:val="InstructionsTabelleberschrift"/>
                <w:b w:val="0"/>
                <w:sz w:val="24"/>
                <w:u w:val="none"/>
                <w:rFonts w:ascii="Times New Roman" w:hAnsi="Times New Roman"/>
              </w:rPr>
              <w:t xml:space="preserve"> artículo 114, apartado 2, del Reglamento (UE) n.º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sz w:val="24"/>
                <w:rFonts w:ascii="Times New Roman" w:hAnsi="Times New Roman"/>
              </w:rPr>
            </w:pPr>
            <w:r>
              <w:rPr>
                <w:sz w:val="24"/>
                <w:rFonts w:ascii="Times New Roman" w:hAnsi="Times New Roman"/>
              </w:rPr>
              <w:t xml:space="preserve">0140</w:t>
            </w:r>
          </w:p>
        </w:tc>
        <w:tc>
          <w:tcPr>
            <w:tcW w:w="7125" w:type="dxa"/>
            <w:gridSpan w:val="2"/>
          </w:tcPr>
          <w:p w14:paraId="04C5469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Acciones/participaciones en OIC admisibles:</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el subyacente consiste en activos de nivel 1, excepto bonos garantizados de calidad sumamente elevada</w:t>
            </w:r>
          </w:p>
          <w:p w14:paraId="7ACCDDD4" w14:textId="66C26539"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Artículo 15, apartado 2, letra b), </w:t>
            </w:r>
            <w:r>
              <w:rPr>
                <w:sz w:val="24"/>
                <w:rStyle w:val="FormatvorlageInstructionsTabelleText"/>
                <w:rFonts w:ascii="Times New Roman" w:hAnsi="Times New Roman"/>
              </w:rPr>
              <w:t xml:space="preserve">del </w:t>
            </w:r>
            <w:r>
              <w:rPr>
                <w:sz w:val="24"/>
                <w:rFonts w:ascii="Times New Roman" w:hAnsi="Times New Roman"/>
              </w:rPr>
              <w:t xml:space="preserve">Reglamento Delegado (UE) 2015/61</w:t>
            </w:r>
          </w:p>
          <w:p w14:paraId="60CC32EB" w14:textId="15DB9382"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Acciones o participaciones en OIC cuyos activos subyacentes correspondan a activos que puedan considerarse activos de nivel 1, a excepción de monedas, billetes, exposiciones frente al BCE, al banco central de un Estado miembro o al banco central de un tercer país, y los bonos garantizados de calidad sumamente elevada contemplados en el artículo 10, apartado 1, letra f), del Reglamento Delegado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sz w:val="24"/>
                <w:rFonts w:ascii="Times New Roman" w:hAnsi="Times New Roman"/>
              </w:rPr>
            </w:pPr>
            <w:r>
              <w:rPr>
                <w:sz w:val="24"/>
                <w:rFonts w:ascii="Times New Roman" w:hAnsi="Times New Roman"/>
              </w:rPr>
              <w:t xml:space="preserve">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sz w:val="24"/>
                <w:u w:val="none"/>
                <w:rFonts w:ascii="Times New Roman" w:hAnsi="Times New Roman"/>
              </w:rPr>
              <w:t xml:space="preserve">1.1.1.12.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Enfoques alternativos de tratamiento de la liquidez:</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línea de crédito de un banco central</w:t>
            </w:r>
          </w:p>
          <w:p w14:paraId="519DCA76" w14:textId="1E3024E9" w:rsidR="006E48EA" w:rsidRPr="000B6B22" w:rsidRDefault="00762F31">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Artículo 19, apartado 1, letra b), </w:t>
            </w:r>
            <w:r>
              <w:rPr>
                <w:sz w:val="24"/>
                <w:rStyle w:val="FormatvorlageInstructionsTabelleText"/>
                <w:rFonts w:ascii="Times New Roman" w:hAnsi="Times New Roman"/>
              </w:rPr>
              <w:t xml:space="preserve">del </w:t>
            </w:r>
            <w:r>
              <w:rPr>
                <w:sz w:val="24"/>
                <w:rFonts w:ascii="Times New Roman" w:hAnsi="Times New Roman"/>
              </w:rPr>
              <w:t xml:space="preserve">Reglamento Delegado (UE) 2015/61</w:t>
            </w:r>
          </w:p>
          <w:p w14:paraId="781E1693" w14:textId="23B69A0D" w:rsidR="006E48EA" w:rsidRPr="000B6B22" w:rsidRDefault="006E48EA">
            <w:pPr>
              <w:pStyle w:val="InstructionsText"/>
              <w:spacing w:after="120"/>
              <w:rPr>
                <w:rStyle w:val="InstructionsTabelleberschrift"/>
                <w:bCs/>
                <w:sz w:val="24"/>
                <w:szCs w:val="24"/>
                <w:rFonts w:ascii="Times New Roman" w:hAnsi="Times New Roman"/>
              </w:rPr>
            </w:pPr>
            <w:r>
              <w:rPr>
                <w:sz w:val="24"/>
              </w:rPr>
              <w:t xml:space="preserve">Importe no utilizado de las líneas de crédito del BCE, el banco central de un Estado miembro o el banco central de un tercer país, siempre que la línea de crédito cumpla los requisitos establecidos en el artículo 19, apartado 1, letra b), incisos i) a iii), del Reglamento Delegado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sz w:val="24"/>
                <w:rFonts w:ascii="Times New Roman" w:hAnsi="Times New Roman"/>
              </w:rPr>
            </w:pPr>
            <w:r>
              <w:rPr>
                <w:sz w:val="24"/>
                <w:rFonts w:ascii="Times New Roman" w:hAnsi="Times New Roman"/>
              </w:rPr>
              <w:t xml:space="preserve">0160</w:t>
            </w:r>
          </w:p>
        </w:tc>
        <w:tc>
          <w:tcPr>
            <w:tcW w:w="7125" w:type="dxa"/>
            <w:gridSpan w:val="2"/>
            <w:shd w:val="clear" w:color="auto" w:fill="FFFFFF"/>
          </w:tcPr>
          <w:p w14:paraId="02D2F03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1.1.1.13.</w:t>
            </w:r>
            <w:r>
              <w:rPr>
                <w:b/>
                <w:sz w:val="24"/>
                <w:rFonts w:ascii="Times New Roman" w:hAnsi="Times New Roman"/>
              </w:rPr>
              <w:t xml:space="preserve"> </w:t>
            </w:r>
            <w:r>
              <w:rPr>
                <w:b/>
                <w:sz w:val="24"/>
                <w:rFonts w:ascii="Times New Roman" w:hAnsi="Times New Roman"/>
              </w:rPr>
              <w:t xml:space="preserve">Entidades de crédito centrales:</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 que se consideren activos líquidos de la entidad de crédito depositante</w:t>
            </w:r>
          </w:p>
          <w:p w14:paraId="3DD38AE4" w14:textId="14B0FC31" w:rsidR="006E48EA" w:rsidRPr="000B6B22" w:rsidRDefault="006E48EA">
            <w:pPr>
              <w:spacing w:before="0"/>
              <w:ind w:left="33"/>
              <w:rPr>
                <w:bCs/>
                <w:sz w:val="24"/>
                <w:rFonts w:ascii="Times New Roman" w:hAnsi="Times New Roman"/>
              </w:rPr>
            </w:pPr>
            <w:r>
              <w:rPr>
                <w:sz w:val="24"/>
                <w:rFonts w:ascii="Times New Roman" w:hAnsi="Times New Roman"/>
              </w:rPr>
              <w:t xml:space="preserve">Artículo 27, apartado 3, del Reglamento Delegado (UE) 2015/61</w:t>
            </w:r>
          </w:p>
          <w:p w14:paraId="2461B912" w14:textId="1F7138EE" w:rsidR="006E48EA" w:rsidRPr="000B6B22" w:rsidRDefault="00592A6C">
            <w:pPr>
              <w:spacing w:before="0"/>
              <w:ind w:left="33"/>
              <w:rPr>
                <w:sz w:val="24"/>
                <w:rFonts w:ascii="Times New Roman" w:hAnsi="Times New Roman"/>
              </w:rPr>
            </w:pPr>
            <w:r>
              <w:rPr>
                <w:sz w:val="24"/>
                <w:rFonts w:ascii="Times New Roman" w:hAnsi="Times New Roman"/>
              </w:rPr>
              <w:t xml:space="preserve">De conformidad con el artículo 27, apartado 3, del Reglamento Delegado (UE) 2015/61, es necesario indicar los activos líquidos que correspondan a los depósitos de entidades de crédito constituidos en la entidad central y que se consideren activos líquidos de la entidad de crédito depositante.</w:t>
            </w:r>
            <w:r>
              <w:rPr>
                <w:sz w:val="24"/>
                <w:rFonts w:ascii="Times New Roman" w:hAnsi="Times New Roman"/>
              </w:rPr>
              <w:t xml:space="preserve"> </w:t>
            </w:r>
            <w:r>
              <w:rPr>
                <w:sz w:val="24"/>
                <w:rFonts w:ascii="Times New Roman" w:hAnsi="Times New Roman"/>
              </w:rPr>
              <w:t xml:space="preserve">Esos activos líquidos no se contabilizarán para cubrir salidas distintas de las procedentes de los correspondientes depósitos y no se tomarán en consideración para el cálculo de la composición del colchón de liquidez restante, con arreglo al artículo 17, para la entidad central a nivel individual.</w:t>
            </w:r>
          </w:p>
          <w:p w14:paraId="786E9F39" w14:textId="2C1084DC" w:rsidR="006E48EA" w:rsidRPr="000B6B22" w:rsidRDefault="006E48EA">
            <w:pPr>
              <w:spacing w:before="0"/>
              <w:ind w:left="33"/>
              <w:rPr>
                <w:bCs/>
                <w:sz w:val="24"/>
                <w:rFonts w:ascii="Times New Roman" w:hAnsi="Times New Roman"/>
              </w:rPr>
            </w:pPr>
            <w:r>
              <w:rPr>
                <w:sz w:val="24"/>
                <w:rFonts w:ascii="Times New Roman" w:hAnsi="Times New Roman"/>
              </w:rPr>
              <w:t xml:space="preserve">Al comunicar esos activos, las entidades centrales velarán por que el importe comunicado de esos activos líquidos tras el recorte de valoración no exceda de las salidas de los depósitos correspondientes.</w:t>
            </w:r>
          </w:p>
          <w:p w14:paraId="2B8EDBF8" w14:textId="2F40A490"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Los activos contemplados en esta fila serán activos de nivel 1, excepto bonos garantizados de calidad sumamente elevada.</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sz w:val="24"/>
                <w:rFonts w:ascii="Times New Roman" w:hAnsi="Times New Roman"/>
              </w:rPr>
            </w:pPr>
            <w:r>
              <w:rPr>
                <w:sz w:val="24"/>
                <w:rFonts w:ascii="Times New Roman" w:hAnsi="Times New Roman"/>
              </w:rPr>
              <w:t xml:space="preserve">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Enfoques alternativos de tratamiento de la liquidez:</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activos de nivel 2A reconocidos como de nivel 1</w:t>
            </w:r>
          </w:p>
          <w:p w14:paraId="22491EAB" w14:textId="030DF634" w:rsidR="006E48EA" w:rsidRPr="000B6B22" w:rsidRDefault="00762F31">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Artículo 19, apartado 1, letra c), </w:t>
            </w:r>
            <w:r>
              <w:rPr>
                <w:sz w:val="24"/>
                <w:rStyle w:val="FormatvorlageInstructionsTabelleText"/>
                <w:rFonts w:ascii="Times New Roman" w:hAnsi="Times New Roman"/>
              </w:rPr>
              <w:t xml:space="preserve">del </w:t>
            </w:r>
            <w:r>
              <w:rPr>
                <w:sz w:val="24"/>
              </w:rPr>
              <w:t xml:space="preserve">Reglamento Delegado (UE) 2015/61.</w:t>
            </w:r>
          </w:p>
          <w:p w14:paraId="6562511C" w14:textId="5DF5F8DC"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Cuando exista un déficit de activos de nivel 1, las entidades de crédito comunicarán el importe de los activos de nivel 2A que reconozcan como activos de nivel 1 y que no comuniquen como de nivel 2A, con arreglo al artículo 19, apartado 1, letra c), del Reglamento Delegado (UE) 2015/61.</w:t>
            </w:r>
            <w:r>
              <w:rPr>
                <w:sz w:val="24"/>
                <w:rFonts w:ascii="Times New Roman" w:hAnsi="Times New Roman"/>
              </w:rPr>
              <w:t xml:space="preserve"> </w:t>
            </w:r>
            <w:r>
              <w:rPr>
                <w:sz w:val="24"/>
                <w:rFonts w:ascii="Times New Roman" w:hAnsi="Times New Roman"/>
              </w:rPr>
              <w:t xml:space="preserve">Esos activos no se consignarán en la sección correspondiente a los activos de nivel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sz w:val="24"/>
                <w:rFonts w:ascii="Times New Roman" w:hAnsi="Times New Roman"/>
              </w:rPr>
            </w:pPr>
            <w:r>
              <w:rPr>
                <w:sz w:val="24"/>
                <w:rFonts w:ascii="Times New Roman" w:hAnsi="Times New Roman"/>
              </w:rPr>
              <w:t xml:space="preserve">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Total de bonos garantizados de calidad sumamente elevada de nivel 1 sin ajustes</w:t>
            </w:r>
          </w:p>
          <w:p w14:paraId="199D7109" w14:textId="070235FE" w:rsidR="006E48EA" w:rsidRPr="000B6B22" w:rsidRDefault="006E48EA">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Artículos 10, 15 y 16 del </w:t>
            </w:r>
            <w:r>
              <w:rPr>
                <w:sz w:val="24"/>
              </w:rPr>
              <w:t xml:space="preserve">Reglamento Delegado (UE) 2015/61.</w:t>
            </w:r>
          </w:p>
          <w:p w14:paraId="30667FE9" w14:textId="7F862AE7"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Los activos consignados en esta subsección habrán sido explícitamente identificados o tratados como activos de nivel 1 de conformidad </w:t>
            </w:r>
            <w:r>
              <w:rPr>
                <w:sz w:val="24"/>
              </w:rPr>
              <w:t xml:space="preserve">con el Reglamento Delegado (UE) 2015/61 y, bien consistirán en bonos garantizados de calidad sumamente elevada contemplados en el artículo 10, apartado 1, letra f), del Reglamento Delegado (UE) 2015/61, bien sus activos subyacentes podrán tener tal consideración.</w:t>
            </w:r>
          </w:p>
          <w:p w14:paraId="04635A7D" w14:textId="4058F3E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Las entidades de crédito comunicarán en la columna 0010 la suma del importe / valor de mercado total de los bonos garantizados de calidad sumamente elevada de nivel 1, sin tener en cuenta los requisitos del artículo 17 del Reglamento Delegado (UE) 2015/61.</w:t>
            </w:r>
          </w:p>
          <w:p w14:paraId="1280E935" w14:textId="2F90BE0E"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Las entidades de crédito comunicarán en la columna 0040 la suma del importe ponderado total de los bonos garantizados de calidad sumamente elevada de nivel 1, sin tener en cuenta los requisitos del artículo 17 del Reglamento Delegado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sz w:val="24"/>
                <w:rFonts w:ascii="Times New Roman" w:hAnsi="Times New Roman"/>
              </w:rPr>
            </w:pPr>
            <w:r>
              <w:rPr>
                <w:sz w:val="24"/>
                <w:rFonts w:ascii="Times New Roman" w:hAnsi="Times New Roman"/>
              </w:rPr>
              <w:t xml:space="preserve">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Bonos garantizados de calidad sumamente elevada</w:t>
            </w:r>
          </w:p>
          <w:p w14:paraId="5EC24061" w14:textId="6BE8A6B3" w:rsidR="006E48EA" w:rsidRPr="000B6B22" w:rsidRDefault="00DD4C72">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Artículo 10, apartado 1, letra f), </w:t>
            </w:r>
            <w:r>
              <w:rPr>
                <w:sz w:val="24"/>
                <w:rStyle w:val="FormatvorlageInstructionsTabelleText"/>
                <w:rFonts w:ascii="Times New Roman" w:hAnsi="Times New Roman"/>
              </w:rPr>
              <w:t xml:space="preserve">del </w:t>
            </w:r>
            <w:r>
              <w:rPr>
                <w:sz w:val="24"/>
              </w:rPr>
              <w:t xml:space="preserve">Reglamento Delegado (UE) 2015/61.</w:t>
            </w:r>
          </w:p>
          <w:p w14:paraId="4344EAB7" w14:textId="5ED7E538" w:rsidR="006E48EA" w:rsidRPr="000B6B22" w:rsidRDefault="006E48EA">
            <w:pPr>
              <w:pStyle w:val="InstructionsText"/>
              <w:spacing w:after="120"/>
              <w:rPr>
                <w:rStyle w:val="InstructionsTabelleberschrift"/>
                <w:bCs/>
                <w:sz w:val="24"/>
                <w:szCs w:val="24"/>
                <w:rFonts w:ascii="Times New Roman" w:hAnsi="Times New Roman"/>
              </w:rPr>
            </w:pPr>
            <w:r>
              <w:rPr>
                <w:sz w:val="24"/>
                <w:rStyle w:val="InstructionsTabelleberschrift"/>
                <w:b w:val="0"/>
                <w:u w:val="none"/>
                <w:rFonts w:ascii="Times New Roman" w:hAnsi="Times New Roman"/>
              </w:rPr>
              <w:t xml:space="preserve">Activos que representen exposiciones en forma de bonos garantizados de calidad sumamente elevada y que cumplan lo dispuesto en el artículo 10, apartado 1, letra f), </w:t>
            </w:r>
            <w:r>
              <w:rPr>
                <w:sz w:val="24"/>
                <w:rStyle w:val="FormatvorlageInstructionsTabelleText"/>
                <w:rFonts w:ascii="Times New Roman" w:hAnsi="Times New Roman"/>
              </w:rPr>
              <w:t xml:space="preserve">del </w:t>
            </w:r>
            <w:r>
              <w:rPr>
                <w:sz w:val="24"/>
                <w:rFonts w:ascii="Times New Roman" w:hAnsi="Times New Roman"/>
              </w:rPr>
              <w:t xml:space="preserve">Reglamento Delegado (UE)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sz w:val="24"/>
                <w:rFonts w:ascii="Times New Roman" w:hAnsi="Times New Roman"/>
              </w:rPr>
            </w:pPr>
            <w:r>
              <w:rPr>
                <w:sz w:val="24"/>
                <w:rFonts w:ascii="Times New Roman" w:hAnsi="Times New Roman"/>
              </w:rPr>
              <w:t xml:space="preserve">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Acciones/participaciones en OIC admisibles:</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el subyacente consiste en bonos garantizados de calidad sumamente elevada</w:t>
            </w:r>
          </w:p>
          <w:p w14:paraId="3B0BFAA9" w14:textId="19E8AFCC" w:rsidR="006E48EA" w:rsidRPr="000B6B22" w:rsidRDefault="00DD4C72">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Artículo 15, apartado 2, letra c), </w:t>
            </w:r>
            <w:r>
              <w:rPr>
                <w:sz w:val="24"/>
                <w:rStyle w:val="FormatvorlageInstructionsTabelleText"/>
                <w:rFonts w:ascii="Times New Roman" w:hAnsi="Times New Roman"/>
              </w:rPr>
              <w:t xml:space="preserve">del </w:t>
            </w:r>
            <w:r>
              <w:rPr>
                <w:sz w:val="24"/>
              </w:rPr>
              <w:t xml:space="preserve">Reglamento Delegado (UE) 2015/61.</w:t>
            </w:r>
          </w:p>
          <w:p w14:paraId="6030D2C0" w14:textId="1B816FC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Acciones o participaciones en OIC cuyos activos subyacentes correspondan a activos que puedan considerarse bonos garantizados de calidad sumamente elevada según se contemplan en el artículo 10, apartado 1, letra f), del Reglamento Delegado (UE)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sz w:val="24"/>
                <w:rFonts w:ascii="Times New Roman" w:hAnsi="Times New Roman"/>
              </w:rPr>
            </w:pPr>
            <w:r>
              <w:rPr>
                <w:sz w:val="24"/>
                <w:rFonts w:ascii="Times New Roman" w:hAnsi="Times New Roman"/>
              </w:rPr>
              <w:t xml:space="preserve">0210</w:t>
            </w:r>
          </w:p>
        </w:tc>
        <w:tc>
          <w:tcPr>
            <w:tcW w:w="7125" w:type="dxa"/>
            <w:gridSpan w:val="2"/>
            <w:shd w:val="clear" w:color="auto" w:fill="FFFFFF"/>
          </w:tcPr>
          <w:p w14:paraId="03C4353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1.1.2.3.</w:t>
            </w:r>
            <w:r>
              <w:rPr>
                <w:b/>
                <w:sz w:val="24"/>
                <w:rFonts w:ascii="Times New Roman" w:hAnsi="Times New Roman"/>
              </w:rPr>
              <w:t xml:space="preserve"> </w:t>
            </w:r>
            <w:r>
              <w:rPr>
                <w:b/>
                <w:sz w:val="24"/>
                <w:rFonts w:ascii="Times New Roman" w:hAnsi="Times New Roman"/>
              </w:rPr>
              <w:t xml:space="preserve">Entidades de crédito centrales:</w:t>
            </w:r>
            <w:r>
              <w:rPr>
                <w:b/>
                <w:sz w:val="24"/>
                <w:rFonts w:ascii="Times New Roman" w:hAnsi="Times New Roman"/>
              </w:rPr>
              <w:t xml:space="preserve"> </w:t>
            </w:r>
            <w:r>
              <w:rPr>
                <w:b/>
                <w:sz w:val="24"/>
                <w:rFonts w:ascii="Times New Roman" w:hAnsi="Times New Roman"/>
              </w:rPr>
              <w:t xml:space="preserve">bonos garantizados de calidad sumamente elevada de nivel 1 que se consideren activos líquidos de la entidad de crédito depositante</w:t>
            </w:r>
          </w:p>
          <w:p w14:paraId="73FD21F1" w14:textId="49802B21" w:rsidR="006E48EA" w:rsidRPr="000B6B22" w:rsidRDefault="006E48EA">
            <w:pPr>
              <w:spacing w:before="0"/>
              <w:ind w:left="33"/>
              <w:rPr>
                <w:bCs/>
                <w:sz w:val="24"/>
                <w:rFonts w:ascii="Times New Roman" w:hAnsi="Times New Roman"/>
              </w:rPr>
            </w:pPr>
            <w:r>
              <w:rPr>
                <w:sz w:val="24"/>
                <w:rFonts w:ascii="Times New Roman" w:hAnsi="Times New Roman"/>
              </w:rPr>
              <w:t xml:space="preserve">Artículo 27, apartado 3, del Reglamento Delegado (UE) 2015/61</w:t>
            </w:r>
          </w:p>
          <w:p w14:paraId="575A1C12" w14:textId="41D35D81" w:rsidR="006E48EA" w:rsidRPr="000B6B22" w:rsidRDefault="00592A6C">
            <w:pPr>
              <w:spacing w:before="0"/>
              <w:ind w:left="33"/>
              <w:rPr>
                <w:sz w:val="24"/>
                <w:rFonts w:ascii="Times New Roman" w:hAnsi="Times New Roman"/>
              </w:rPr>
            </w:pPr>
            <w:r>
              <w:rPr>
                <w:sz w:val="24"/>
                <w:rFonts w:ascii="Times New Roman" w:hAnsi="Times New Roman"/>
              </w:rPr>
              <w:t xml:space="preserve">De conformidad con el artículo 27, apartado 3, del Reglamento Delegado (UE) 2015/61, es necesario indicar los activos líquidos que correspondan a los depósitos de entidades de crédito constituidos en la entidad central y que se consideren activos líquidos de la entidad de crédito depositante.</w:t>
            </w:r>
            <w:r>
              <w:rPr>
                <w:sz w:val="24"/>
                <w:rFonts w:ascii="Times New Roman" w:hAnsi="Times New Roman"/>
              </w:rPr>
              <w:t xml:space="preserve"> </w:t>
            </w:r>
            <w:r>
              <w:rPr>
                <w:sz w:val="24"/>
                <w:rFonts w:ascii="Times New Roman" w:hAnsi="Times New Roman"/>
              </w:rPr>
              <w:t xml:space="preserve">Esos activos líquidos no se contabilizarán para cubrir salidas distintas de las procedentes de los correspondientes depósitos y no se tomarán en consideración para el cálculo de la composición del colchón de liquidez restante, con arreglo al artículo 17 del Reglamento Delegado (UE) 2015/61, para la entidad central a nivel individual.</w:t>
            </w:r>
          </w:p>
          <w:p w14:paraId="4011C61B" w14:textId="7E055849" w:rsidR="006E48EA" w:rsidRPr="000B6B22" w:rsidRDefault="006E48EA">
            <w:pPr>
              <w:spacing w:before="0"/>
              <w:ind w:left="33"/>
              <w:rPr>
                <w:bCs/>
                <w:sz w:val="24"/>
                <w:rFonts w:ascii="Times New Roman" w:hAnsi="Times New Roman"/>
              </w:rPr>
            </w:pPr>
            <w:r>
              <w:rPr>
                <w:sz w:val="24"/>
                <w:rFonts w:ascii="Times New Roman" w:hAnsi="Times New Roman"/>
              </w:rPr>
              <w:t xml:space="preserve">Al comunicar estos activos, las entidades centrales velarán por que el importe comunicado de esos activos líquidos tras el recorte de valoración no exceda de las salidas de los depósitos correspondientes.</w:t>
            </w:r>
          </w:p>
          <w:p w14:paraId="3EDA2916" w14:textId="4FAA2EB6"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Los activos contemplados en esta fila son bonos garantizados de calidad sumamente elevada de nivel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sz w:val="24"/>
                <w:rFonts w:ascii="Times New Roman" w:hAnsi="Times New Roman"/>
              </w:rPr>
            </w:pPr>
            <w:r>
              <w:rPr>
                <w:sz w:val="24"/>
                <w:rFonts w:ascii="Times New Roman" w:hAnsi="Times New Roman"/>
              </w:rPr>
              <w:t xml:space="preserve">0220</w:t>
            </w:r>
          </w:p>
        </w:tc>
        <w:tc>
          <w:tcPr>
            <w:tcW w:w="7125" w:type="dxa"/>
            <w:gridSpan w:val="2"/>
            <w:shd w:val="clear" w:color="auto" w:fill="FFFFFF"/>
          </w:tcPr>
          <w:p w14:paraId="67D0574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Total de activos de nivel 2 sin ajustes</w:t>
            </w:r>
          </w:p>
          <w:p w14:paraId="576511AF" w14:textId="0A9F6A3C" w:rsidR="006E48EA" w:rsidRPr="000B6B22" w:rsidRDefault="006E48EA">
            <w:pPr>
              <w:spacing w:before="0"/>
              <w:ind w:left="33"/>
              <w:rPr>
                <w:bCs/>
                <w:sz w:val="24"/>
                <w:rFonts w:ascii="Times New Roman" w:hAnsi="Times New Roman"/>
              </w:rPr>
            </w:pPr>
            <w:r>
              <w:rPr>
                <w:sz w:val="24"/>
                <w:rFonts w:ascii="Times New Roman" w:hAnsi="Times New Roman"/>
              </w:rPr>
              <w:t xml:space="preserve">Artículos 11 a 16 y artículo 19 del </w:t>
            </w:r>
            <w:r>
              <w:rPr>
                <w:sz w:val="24"/>
                <w:rFonts w:ascii="Times New Roman" w:hAnsi="Times New Roman"/>
              </w:rPr>
              <w:t xml:space="preserve">Reglamento Delegado (UE) 2015/61</w:t>
            </w:r>
          </w:p>
          <w:p w14:paraId="33E4C7B1" w14:textId="4B93549B" w:rsidR="006E48EA" w:rsidRPr="000B6B22" w:rsidRDefault="006E48EA">
            <w:pPr>
              <w:spacing w:before="0"/>
              <w:ind w:left="33"/>
              <w:rPr>
                <w:bCs/>
                <w:sz w:val="24"/>
                <w:rFonts w:ascii="Times New Roman" w:hAnsi="Times New Roman"/>
              </w:rPr>
            </w:pPr>
            <w:r>
              <w:rPr>
                <w:sz w:val="24"/>
                <w:rFonts w:ascii="Times New Roman" w:hAnsi="Times New Roman"/>
              </w:rPr>
              <w:t xml:space="preserve">Los activos comunicados en esta sección se habrán identificado explícitamente como activos de nivel 2A o 2B, o tratado como tales, de conformidad con el </w:t>
            </w:r>
            <w:r>
              <w:rPr>
                <w:sz w:val="24"/>
                <w:rFonts w:ascii="Times New Roman" w:hAnsi="Times New Roman"/>
              </w:rPr>
              <w:t xml:space="preserve">Reglamento Delegado (UE) 2015/61 de la Comisión</w:t>
            </w:r>
            <w:r>
              <w:rPr>
                <w:sz w:val="24"/>
                <w:rFonts w:ascii="Times New Roman" w:hAnsi="Times New Roman"/>
              </w:rPr>
              <w:t xml:space="preserve">.</w:t>
            </w:r>
          </w:p>
          <w:p w14:paraId="6F5F136B" w14:textId="4ECEDAE7" w:rsidR="006E48EA" w:rsidRPr="000B6B22" w:rsidRDefault="00FB499E">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Las entidades de crédito comunicarán en la columna 0010 el importe total/valor de mercado total de sus activos líquidos de nivel 2.</w:t>
            </w:r>
          </w:p>
          <w:p w14:paraId="4360F38A" w14:textId="15E0F4F2" w:rsidR="006E48EA" w:rsidRPr="000B6B22" w:rsidRDefault="00FB499E" w:rsidP="009D4EFF">
            <w:pPr>
              <w:pStyle w:val="InstructionsText"/>
              <w:rPr>
                <w:b/>
                <w:sz w:val="24"/>
              </w:rPr>
            </w:pPr>
            <w:r>
              <w:rPr>
                <w:rStyle w:val="FormatvorlageInstructionsTabelleText"/>
                <w:sz w:val="24"/>
                <w:rFonts w:ascii="Times New Roman" w:hAnsi="Times New Roman"/>
              </w:rPr>
              <w:t xml:space="preserve">Las entidades de crédito comunicarán en la columna 0040 el valor total de sus activos líquidos de nivel 2 calculado con arreglo al artículo 9.</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sz w:val="24"/>
                <w:rFonts w:ascii="Times New Roman" w:hAnsi="Times New Roman"/>
              </w:rPr>
            </w:pPr>
            <w:r>
              <w:rPr>
                <w:sz w:val="24"/>
                <w:rFonts w:ascii="Times New Roman" w:hAnsi="Times New Roman"/>
              </w:rPr>
              <w:t xml:space="preserve">0230</w:t>
            </w:r>
          </w:p>
        </w:tc>
        <w:tc>
          <w:tcPr>
            <w:tcW w:w="7125" w:type="dxa"/>
            <w:gridSpan w:val="2"/>
            <w:shd w:val="clear" w:color="auto" w:fill="FFFFFF"/>
          </w:tcPr>
          <w:p w14:paraId="7C3C3167"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Total de activos de NIVEL 2A sin ajustes</w:t>
            </w:r>
          </w:p>
          <w:p w14:paraId="38C401AD" w14:textId="035E6574" w:rsidR="006E48EA" w:rsidRPr="000B6B22" w:rsidRDefault="006E48EA">
            <w:pPr>
              <w:spacing w:before="0"/>
              <w:ind w:left="33"/>
              <w:rPr>
                <w:sz w:val="24"/>
                <w:rFonts w:ascii="Times New Roman" w:hAnsi="Times New Roman"/>
              </w:rPr>
            </w:pPr>
            <w:r>
              <w:rPr>
                <w:sz w:val="24"/>
                <w:rFonts w:ascii="Times New Roman" w:hAnsi="Times New Roman"/>
              </w:rPr>
              <w:t xml:space="preserve">Artículos 11, 15 y 19 del Reglamento Delegado (UE) 2015/61</w:t>
            </w:r>
          </w:p>
          <w:p w14:paraId="400EFF6D" w14:textId="3608C090" w:rsidR="006E48EA" w:rsidRPr="000B6B22" w:rsidRDefault="006E48EA">
            <w:pPr>
              <w:spacing w:before="0"/>
              <w:ind w:left="33"/>
              <w:rPr>
                <w:bCs/>
                <w:sz w:val="24"/>
                <w:rFonts w:ascii="Times New Roman" w:hAnsi="Times New Roman"/>
              </w:rPr>
            </w:pPr>
            <w:r>
              <w:rPr>
                <w:sz w:val="24"/>
                <w:rFonts w:ascii="Times New Roman" w:hAnsi="Times New Roman"/>
              </w:rPr>
              <w:t xml:space="preserve">Los activos comunicados en esta subsección se habrán identificado explícitamente como activos de nivel 2A, o tratado como tales, de conformidad con el </w:t>
            </w:r>
            <w:r>
              <w:rPr>
                <w:sz w:val="24"/>
                <w:rFonts w:ascii="Times New Roman" w:hAnsi="Times New Roman"/>
              </w:rPr>
              <w:t xml:space="preserve">Reglamento Delegado (UE) 2015/61.</w:t>
            </w:r>
          </w:p>
          <w:p w14:paraId="6ACEAC6F" w14:textId="61BE1F1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Las entidades de crédito comunicarán en la columna 0010 la suma del importe / valor de mercado total de los activos de nivel 2A, sin tener en cuenta los requisitos del artículo 17 del Reglamento Delegado (UE) 2015/61.</w:t>
            </w:r>
          </w:p>
          <w:p w14:paraId="14A58F25" w14:textId="72219E89" w:rsidR="006E48EA" w:rsidRPr="000B6B22" w:rsidRDefault="006E48EA" w:rsidP="009D4EFF">
            <w:pPr>
              <w:pStyle w:val="InstructionsText"/>
              <w:spacing w:after="120"/>
              <w:rPr>
                <w:b/>
                <w:sz w:val="24"/>
              </w:rPr>
            </w:pPr>
            <w:r>
              <w:rPr>
                <w:rStyle w:val="InstructionsTabelleberschrift"/>
                <w:b w:val="0"/>
                <w:sz w:val="24"/>
                <w:u w:val="none"/>
                <w:rFonts w:ascii="Times New Roman" w:hAnsi="Times New Roman"/>
              </w:rPr>
              <w:t xml:space="preserve">Las entidades de crédito comunicarán en la columna 0040 la suma del importe ponderado total de los activos de nivel 2A, sin tener en cuenta los requisitos del artículo 17 del Reglamento Delegado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sz w:val="24"/>
                <w:rFonts w:ascii="Times New Roman" w:hAnsi="Times New Roman"/>
              </w:rPr>
            </w:pPr>
            <w:r>
              <w:rPr>
                <w:sz w:val="24"/>
                <w:rFonts w:ascii="Times New Roman" w:hAnsi="Times New Roman"/>
              </w:rPr>
              <w:t xml:space="preserve">0240</w:t>
            </w:r>
          </w:p>
        </w:tc>
        <w:tc>
          <w:tcPr>
            <w:tcW w:w="7125" w:type="dxa"/>
            <w:gridSpan w:val="2"/>
            <w:shd w:val="clear" w:color="auto" w:fill="FFFFFF"/>
          </w:tcPr>
          <w:p w14:paraId="2024A61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Activos de administraciones regionales / autoridades locales o entes del sector público (Estados miembros, ponderación de riesgo 20 %)</w:t>
            </w:r>
          </w:p>
          <w:p w14:paraId="178CD9A0" w14:textId="77A9BE9E" w:rsidR="006E48EA" w:rsidRPr="000B6B22" w:rsidRDefault="00762F31">
            <w:pPr>
              <w:spacing w:before="0"/>
              <w:ind w:left="33"/>
              <w:rPr>
                <w:b/>
                <w:bCs/>
                <w:sz w:val="24"/>
                <w:rFonts w:ascii="Times New Roman" w:hAnsi="Times New Roman"/>
              </w:rPr>
            </w:pPr>
            <w:r>
              <w:rPr>
                <w:sz w:val="24"/>
                <w:rFonts w:ascii="Times New Roman" w:hAnsi="Times New Roman"/>
              </w:rPr>
              <w:t xml:space="preserve">Artículo 11, apartado 1, letra a), del Reglamento Delegado (UE) 2015/61</w:t>
            </w:r>
          </w:p>
          <w:p w14:paraId="7BF70E5F" w14:textId="0ECBD792" w:rsidR="006E48EA" w:rsidRPr="000B6B22" w:rsidRDefault="006E48EA">
            <w:pPr>
              <w:spacing w:before="0"/>
              <w:ind w:left="33"/>
              <w:rPr>
                <w:b/>
                <w:sz w:val="24"/>
                <w:rFonts w:ascii="Times New Roman" w:hAnsi="Times New Roman"/>
              </w:rPr>
            </w:pPr>
            <w:r>
              <w:rPr>
                <w:sz w:val="24"/>
                <w:rFonts w:ascii="Times New Roman" w:hAnsi="Times New Roman"/>
              </w:rPr>
              <w:t xml:space="preserve">Activos que constituyan créditos frente a, o garantizados por, administraciones regionales, autoridades locales o entes del sector público de un Estado miembro, cuando las exposiciones reciban una ponderación de riesgo del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sz w:val="24"/>
                <w:rFonts w:ascii="Times New Roman" w:hAnsi="Times New Roman"/>
              </w:rPr>
            </w:pPr>
            <w:r>
              <w:rPr>
                <w:sz w:val="24"/>
                <w:rFonts w:ascii="Times New Roman" w:hAnsi="Times New Roman"/>
              </w:rPr>
              <w:t xml:space="preserve">0250</w:t>
            </w:r>
          </w:p>
        </w:tc>
        <w:tc>
          <w:tcPr>
            <w:tcW w:w="7125" w:type="dxa"/>
            <w:gridSpan w:val="2"/>
            <w:shd w:val="clear" w:color="auto" w:fill="FFFFFF"/>
          </w:tcPr>
          <w:p w14:paraId="14022348" w14:textId="660ACB7A" w:rsidR="006E48EA" w:rsidRPr="000B6B22" w:rsidRDefault="006E48EA">
            <w:pPr>
              <w:spacing w:before="0"/>
              <w:ind w:left="33"/>
              <w:rPr>
                <w:b/>
                <w:sz w:val="24"/>
                <w:rFonts w:ascii="Times New Roman" w:hAnsi="Times New Roman"/>
              </w:rPr>
            </w:pPr>
            <w:r>
              <w:rPr>
                <w:b/>
                <w:sz w:val="24"/>
                <w:rFonts w:ascii="Times New Roman" w:hAnsi="Times New Roman"/>
              </w:rPr>
              <w:t xml:space="preserve">1.2.1.2.</w:t>
            </w:r>
            <w:r>
              <w:rPr>
                <w:b/>
                <w:sz w:val="24"/>
                <w:rFonts w:ascii="Times New Roman" w:hAnsi="Times New Roman"/>
              </w:rPr>
              <w:t xml:space="preserve"> </w:t>
            </w:r>
            <w:r>
              <w:rPr>
                <w:b/>
                <w:sz w:val="24"/>
                <w:rFonts w:ascii="Times New Roman" w:hAnsi="Times New Roman"/>
              </w:rPr>
              <w:t xml:space="preserve">Activos de bancos centrales, administraciones centrales/regionales, autoridades locales o entes del sector público (terceros países, ponderación de riesgo 20 %)</w:t>
            </w:r>
          </w:p>
          <w:p w14:paraId="56F66E8E" w14:textId="6D3E7451" w:rsidR="006E48EA" w:rsidRPr="000B6B22" w:rsidRDefault="00762F31">
            <w:pPr>
              <w:spacing w:before="0"/>
              <w:ind w:left="33"/>
              <w:rPr>
                <w:b/>
                <w:sz w:val="24"/>
                <w:rFonts w:ascii="Times New Roman" w:hAnsi="Times New Roman"/>
              </w:rPr>
            </w:pPr>
            <w:r>
              <w:rPr>
                <w:sz w:val="24"/>
                <w:rFonts w:ascii="Times New Roman" w:hAnsi="Times New Roman"/>
              </w:rPr>
              <w:t xml:space="preserve">Artículo 11, apartado 1, letra b), del Reglamento Delegado (UE) 2015/61</w:t>
            </w:r>
          </w:p>
          <w:p w14:paraId="14D750CF" w14:textId="3D19C1CC" w:rsidR="006E48EA" w:rsidRPr="000B6B22" w:rsidRDefault="006E48EA">
            <w:pPr>
              <w:spacing w:before="0"/>
              <w:ind w:left="33"/>
              <w:rPr>
                <w:b/>
                <w:sz w:val="24"/>
                <w:rFonts w:ascii="Times New Roman" w:hAnsi="Times New Roman"/>
              </w:rPr>
            </w:pPr>
            <w:r>
              <w:rPr>
                <w:sz w:val="24"/>
                <w:rFonts w:ascii="Times New Roman" w:hAnsi="Times New Roman"/>
              </w:rPr>
              <w:t xml:space="preserve">Activos que constituyan créditos frente a, o garantizados por, la administración central o el banco central de un tercer país, o una administración regional, una autoridad local o un ente del sector público de un tercer país, a condición de que se asigne a esos activos una ponderación de riesgo del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sz w:val="24"/>
                <w:rFonts w:ascii="Times New Roman" w:hAnsi="Times New Roman"/>
              </w:rPr>
            </w:pPr>
            <w:r>
              <w:rPr>
                <w:sz w:val="24"/>
                <w:rFonts w:ascii="Times New Roman" w:hAnsi="Times New Roman"/>
              </w:rPr>
              <w:t xml:space="preserve">0260</w:t>
            </w:r>
          </w:p>
        </w:tc>
        <w:tc>
          <w:tcPr>
            <w:tcW w:w="7125" w:type="dxa"/>
            <w:gridSpan w:val="2"/>
            <w:shd w:val="clear" w:color="auto" w:fill="FFFFFF"/>
          </w:tcPr>
          <w:p w14:paraId="4E1F706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1.2.1.3.</w:t>
            </w:r>
            <w:r>
              <w:rPr>
                <w:b/>
                <w:sz w:val="24"/>
                <w:rFonts w:ascii="Times New Roman" w:hAnsi="Times New Roman"/>
              </w:rPr>
              <w:t xml:space="preserve"> </w:t>
            </w:r>
            <w:r>
              <w:rPr>
                <w:b/>
                <w:sz w:val="24"/>
                <w:rFonts w:ascii="Times New Roman" w:hAnsi="Times New Roman"/>
              </w:rPr>
              <w:t xml:space="preserve">Bonos garantizados de calidad elevada (nivel de calidad crediticia 2)</w:t>
            </w:r>
          </w:p>
          <w:p w14:paraId="31787B1F" w14:textId="1C299F25" w:rsidR="006E48EA" w:rsidRPr="000B6B22" w:rsidRDefault="00762F31">
            <w:pPr>
              <w:spacing w:before="0"/>
              <w:ind w:left="33"/>
              <w:rPr>
                <w:sz w:val="24"/>
                <w:rFonts w:ascii="Times New Roman" w:hAnsi="Times New Roman"/>
              </w:rPr>
            </w:pPr>
            <w:r>
              <w:rPr>
                <w:sz w:val="24"/>
                <w:rFonts w:ascii="Times New Roman" w:hAnsi="Times New Roman"/>
              </w:rPr>
              <w:t xml:space="preserve">Artículo 11, apartado 1, letra c), del Reglamento Delegado (UE) 2015/61</w:t>
            </w:r>
          </w:p>
          <w:p w14:paraId="69B434C2" w14:textId="202C8D12" w:rsidR="006E48EA" w:rsidRPr="000B6B22" w:rsidRDefault="006E48EA" w:rsidP="009D4EFF">
            <w:pPr>
              <w:spacing w:before="0"/>
              <w:ind w:left="33"/>
              <w:rPr>
                <w:b/>
                <w:sz w:val="24"/>
                <w:rFonts w:ascii="Times New Roman" w:hAnsi="Times New Roman"/>
              </w:rPr>
            </w:pPr>
            <w:r>
              <w:rPr>
                <w:sz w:val="24"/>
                <w:rFonts w:ascii="Times New Roman" w:hAnsi="Times New Roman"/>
              </w:rPr>
              <w:t xml:space="preserve">Activos que representen exposiciones en forma de bonos garantizados de calidad elevada y que cumplan lo dispuesto en el artículo 11, apartado 1, letra c), del Reglamento Delegado (UE) 2015/61, a condición de que una ECAI designada asigne a esos activos una evaluación de crédito que corresponda, al menos, al nivel 2 de calidad crediticia, con arreglo al artículo 129, apartado 4, del Reglamento (UE) n.º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sz w:val="24"/>
                <w:rFonts w:ascii="Times New Roman" w:hAnsi="Times New Roman"/>
              </w:rPr>
            </w:pPr>
            <w:r>
              <w:rPr>
                <w:sz w:val="24"/>
                <w:rFonts w:ascii="Times New Roman" w:hAnsi="Times New Roman"/>
              </w:rPr>
              <w:t xml:space="preserve">0270</w:t>
            </w:r>
          </w:p>
        </w:tc>
        <w:tc>
          <w:tcPr>
            <w:tcW w:w="7125" w:type="dxa"/>
            <w:gridSpan w:val="2"/>
            <w:shd w:val="clear" w:color="auto" w:fill="FFFFFF"/>
          </w:tcPr>
          <w:p w14:paraId="726E1DC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1.2.1.4.</w:t>
            </w:r>
            <w:r>
              <w:rPr>
                <w:b/>
                <w:sz w:val="24"/>
                <w:rFonts w:ascii="Times New Roman" w:hAnsi="Times New Roman"/>
              </w:rPr>
              <w:t xml:space="preserve"> </w:t>
            </w:r>
            <w:r>
              <w:rPr>
                <w:b/>
                <w:sz w:val="24"/>
                <w:rFonts w:ascii="Times New Roman" w:hAnsi="Times New Roman"/>
              </w:rPr>
              <w:t xml:space="preserve">Bonos garantizados de calidad elevada (terceros países, nivel de calidad crediticia 1)</w:t>
            </w:r>
          </w:p>
          <w:p w14:paraId="15ECAB9E" w14:textId="5B16661D" w:rsidR="006E48EA" w:rsidRPr="000B6B22" w:rsidRDefault="00762F31">
            <w:pPr>
              <w:spacing w:before="0"/>
              <w:ind w:left="33"/>
              <w:rPr>
                <w:bCs/>
                <w:sz w:val="24"/>
                <w:rFonts w:ascii="Times New Roman" w:hAnsi="Times New Roman"/>
              </w:rPr>
            </w:pPr>
            <w:r>
              <w:rPr>
                <w:sz w:val="24"/>
                <w:rFonts w:ascii="Times New Roman" w:hAnsi="Times New Roman"/>
              </w:rPr>
              <w:t xml:space="preserve">Artículo 11, apartado 1, letra d), del Reglamento Delegado (UE) 2015/61</w:t>
            </w:r>
          </w:p>
          <w:p w14:paraId="2AB2502F" w14:textId="682CBCD6" w:rsidR="006E48EA" w:rsidRPr="000B6B22" w:rsidRDefault="006E48EA">
            <w:pPr>
              <w:spacing w:before="0"/>
              <w:ind w:left="33"/>
              <w:rPr>
                <w:b/>
                <w:sz w:val="24"/>
                <w:rFonts w:ascii="Times New Roman" w:hAnsi="Times New Roman"/>
              </w:rPr>
            </w:pPr>
            <w:r>
              <w:rPr>
                <w:sz w:val="24"/>
                <w:rFonts w:ascii="Times New Roman" w:hAnsi="Times New Roman"/>
              </w:rPr>
              <w:t xml:space="preserve">Activos que representen exposiciones en forma de bonos garantizados emitidos por entidades de crédito de terceros países y que cumplan lo dispuesto en el artículo 11, apartado 1, letra d),</w:t>
            </w:r>
            <w:r>
              <w:rPr>
                <w:sz w:val="24"/>
                <w:b/>
                <w:rFonts w:ascii="Times New Roman" w:hAnsi="Times New Roman"/>
              </w:rPr>
              <w:t xml:space="preserve"> </w:t>
            </w:r>
            <w:r>
              <w:rPr>
                <w:sz w:val="24"/>
                <w:rFonts w:ascii="Times New Roman" w:hAnsi="Times New Roman"/>
              </w:rPr>
              <w:t xml:space="preserve">del Reglamento Delegado (UE) 2015/61, a condición de que una ECAI designada asigne a esos activos una evaluación de crédito que corresponda, al menos, al nivel 1 de calidad crediticia, con arreglo al artículo 129, apartado 4, del Reglamento (UE) n.º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sz w:val="24"/>
                <w:rFonts w:ascii="Times New Roman" w:hAnsi="Times New Roman"/>
              </w:rPr>
            </w:pPr>
            <w:r>
              <w:rPr>
                <w:sz w:val="24"/>
                <w:rFonts w:ascii="Times New Roman" w:hAnsi="Times New Roman"/>
              </w:rPr>
              <w:t xml:space="preserve">0280</w:t>
            </w:r>
          </w:p>
        </w:tc>
        <w:tc>
          <w:tcPr>
            <w:tcW w:w="7125" w:type="dxa"/>
            <w:gridSpan w:val="2"/>
            <w:shd w:val="clear" w:color="auto" w:fill="FFFFFF"/>
          </w:tcPr>
          <w:p w14:paraId="061D13A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1.2.1.5.</w:t>
            </w:r>
            <w:r>
              <w:rPr>
                <w:b/>
                <w:sz w:val="24"/>
                <w:rFonts w:ascii="Times New Roman" w:hAnsi="Times New Roman"/>
              </w:rPr>
              <w:t xml:space="preserve"> </w:t>
            </w:r>
            <w:r>
              <w:rPr>
                <w:b/>
                <w:sz w:val="24"/>
                <w:rFonts w:ascii="Times New Roman" w:hAnsi="Times New Roman"/>
              </w:rPr>
              <w:t xml:space="preserve">Valores representativos de deuda de empresas (nivel de calidad crediticia 1)</w:t>
            </w:r>
          </w:p>
          <w:p w14:paraId="0EBD2A2D" w14:textId="64CFB6E4" w:rsidR="006E48EA" w:rsidRPr="000B6B22" w:rsidRDefault="00762F31">
            <w:pPr>
              <w:spacing w:before="0"/>
              <w:ind w:left="33"/>
              <w:rPr>
                <w:bCs/>
                <w:sz w:val="24"/>
                <w:rFonts w:ascii="Times New Roman" w:hAnsi="Times New Roman"/>
              </w:rPr>
            </w:pPr>
            <w:r>
              <w:rPr>
                <w:sz w:val="24"/>
                <w:rFonts w:ascii="Times New Roman" w:hAnsi="Times New Roman"/>
              </w:rPr>
              <w:t xml:space="preserve">Artículo 11, apartado 1, letra e), del Reglamento Delegado (UE) 2015/61</w:t>
            </w:r>
          </w:p>
          <w:p w14:paraId="054D1A9A" w14:textId="17553AA8" w:rsidR="006E48EA" w:rsidRPr="000B6B22" w:rsidRDefault="006E48EA">
            <w:pPr>
              <w:spacing w:before="0"/>
              <w:ind w:left="33"/>
              <w:rPr>
                <w:b/>
                <w:sz w:val="24"/>
                <w:rFonts w:ascii="Times New Roman" w:hAnsi="Times New Roman"/>
              </w:rPr>
            </w:pPr>
            <w:r>
              <w:rPr>
                <w:sz w:val="24"/>
                <w:rFonts w:ascii="Times New Roman" w:hAnsi="Times New Roman"/>
              </w:rPr>
              <w:t xml:space="preserve">Valores representativos de deuda de empresas que cumplan lo dispuesto en el artículo 11, apartado 1, letra e), del </w:t>
            </w:r>
            <w:r>
              <w:rPr>
                <w:sz w:val="24"/>
                <w:rFonts w:ascii="Times New Roman" w:hAnsi="Times New Roman"/>
              </w:rPr>
              <w:t xml:space="preserve">Reglamento Delegado (UE)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sz w:val="24"/>
                <w:rFonts w:ascii="Times New Roman" w:hAnsi="Times New Roman"/>
              </w:rPr>
            </w:pPr>
            <w:r>
              <w:rPr>
                <w:sz w:val="24"/>
                <w:rFonts w:ascii="Times New Roman" w:hAnsi="Times New Roman"/>
              </w:rPr>
              <w:t xml:space="preserve">0290</w:t>
            </w:r>
          </w:p>
        </w:tc>
        <w:tc>
          <w:tcPr>
            <w:tcW w:w="7125" w:type="dxa"/>
            <w:gridSpan w:val="2"/>
            <w:shd w:val="clear" w:color="auto" w:fill="FFFFFF"/>
          </w:tcPr>
          <w:p w14:paraId="0A71A002"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1.2.1.6.</w:t>
            </w:r>
            <w:r>
              <w:rPr>
                <w:b/>
                <w:sz w:val="24"/>
                <w:rFonts w:ascii="Times New Roman" w:hAnsi="Times New Roman"/>
              </w:rPr>
              <w:t xml:space="preserve"> </w:t>
            </w:r>
            <w:r>
              <w:rPr>
                <w:b/>
                <w:sz w:val="24"/>
                <w:rFonts w:ascii="Times New Roman" w:hAnsi="Times New Roman"/>
              </w:rPr>
              <w:t xml:space="preserve">Acciones/participaciones en OIC admisibles:</w:t>
            </w:r>
            <w:r>
              <w:rPr>
                <w:b/>
                <w:sz w:val="24"/>
                <w:rFonts w:ascii="Times New Roman" w:hAnsi="Times New Roman"/>
              </w:rPr>
              <w:t xml:space="preserve"> </w:t>
            </w:r>
            <w:r>
              <w:rPr>
                <w:b/>
                <w:sz w:val="24"/>
                <w:rFonts w:ascii="Times New Roman" w:hAnsi="Times New Roman"/>
              </w:rPr>
              <w:t xml:space="preserve">el subyacente consiste en activos de nivel 2A</w:t>
            </w:r>
          </w:p>
          <w:p w14:paraId="5485CCA8" w14:textId="676B0AF2" w:rsidR="006E48EA" w:rsidRPr="000B6B22" w:rsidRDefault="00762F31">
            <w:pPr>
              <w:spacing w:before="0"/>
              <w:ind w:left="33"/>
              <w:rPr>
                <w:b/>
                <w:bCs/>
                <w:sz w:val="24"/>
                <w:rFonts w:ascii="Times New Roman" w:hAnsi="Times New Roman"/>
              </w:rPr>
            </w:pPr>
            <w:r>
              <w:rPr>
                <w:sz w:val="24"/>
                <w:rFonts w:ascii="Times New Roman" w:hAnsi="Times New Roman"/>
              </w:rPr>
              <w:t xml:space="preserve">Artículo 15, apartado 2, letra d), del </w:t>
            </w:r>
            <w:r>
              <w:rPr>
                <w:sz w:val="24"/>
                <w:rFonts w:ascii="Times New Roman" w:hAnsi="Times New Roman"/>
              </w:rPr>
              <w:t xml:space="preserve">Reglamento Delegado (UE) 2015/61</w:t>
            </w:r>
          </w:p>
          <w:p w14:paraId="7D7EFF89" w14:textId="3BB7FB80" w:rsidR="006E48EA" w:rsidRPr="000B6B22" w:rsidRDefault="006E48EA">
            <w:pPr>
              <w:spacing w:before="0"/>
              <w:ind w:left="33"/>
              <w:rPr>
                <w:b/>
                <w:sz w:val="24"/>
                <w:rFonts w:ascii="Times New Roman" w:hAnsi="Times New Roman"/>
              </w:rPr>
            </w:pPr>
            <w:r>
              <w:rPr>
                <w:sz w:val="24"/>
                <w:rFonts w:ascii="Times New Roman" w:hAnsi="Times New Roman"/>
              </w:rPr>
              <w:t xml:space="preserve">Acciones o participaciones en OIC cuyos activos subyacentes correspondan a activos que puedan considerarse activos de nivel 2A según se establece en el artículo 11 del Reglamento Delegado (UE)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sz w:val="24"/>
                <w:rFonts w:ascii="Times New Roman" w:hAnsi="Times New Roman"/>
              </w:rPr>
            </w:pPr>
            <w:r>
              <w:rPr>
                <w:sz w:val="24"/>
                <w:rFonts w:ascii="Times New Roman" w:hAnsi="Times New Roman"/>
              </w:rPr>
              <w:t xml:space="preserve">0300</w:t>
            </w:r>
          </w:p>
        </w:tc>
        <w:tc>
          <w:tcPr>
            <w:tcW w:w="7125" w:type="dxa"/>
            <w:gridSpan w:val="2"/>
            <w:shd w:val="clear" w:color="auto" w:fill="FFFFFF"/>
          </w:tcPr>
          <w:p w14:paraId="009EA6D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1.2.1.7.</w:t>
            </w:r>
            <w:r>
              <w:rPr>
                <w:b/>
                <w:sz w:val="24"/>
                <w:rFonts w:ascii="Times New Roman" w:hAnsi="Times New Roman"/>
              </w:rPr>
              <w:t xml:space="preserve"> </w:t>
            </w:r>
            <w:r>
              <w:rPr>
                <w:b/>
                <w:sz w:val="24"/>
                <w:rFonts w:ascii="Times New Roman" w:hAnsi="Times New Roman"/>
              </w:rPr>
              <w:t xml:space="preserve">Entidades de crédito centrales:</w:t>
            </w:r>
            <w:r>
              <w:rPr>
                <w:b/>
                <w:sz w:val="24"/>
                <w:rFonts w:ascii="Times New Roman" w:hAnsi="Times New Roman"/>
              </w:rPr>
              <w:t xml:space="preserve"> </w:t>
            </w:r>
            <w:r>
              <w:rPr>
                <w:b/>
                <w:sz w:val="24"/>
                <w:rFonts w:ascii="Times New Roman" w:hAnsi="Times New Roman"/>
              </w:rPr>
              <w:t xml:space="preserve">activos de nivel 2A que se consideren activos líquidos de la entidad de crédito depositante</w:t>
            </w:r>
          </w:p>
          <w:p w14:paraId="477BEB3A" w14:textId="3826F3DD" w:rsidR="006E48EA" w:rsidRPr="000B6B22" w:rsidRDefault="006E48EA">
            <w:pPr>
              <w:spacing w:before="0"/>
              <w:ind w:left="33"/>
              <w:rPr>
                <w:bCs/>
                <w:sz w:val="24"/>
                <w:rFonts w:ascii="Times New Roman" w:hAnsi="Times New Roman"/>
              </w:rPr>
            </w:pPr>
            <w:r>
              <w:rPr>
                <w:sz w:val="24"/>
                <w:rFonts w:ascii="Times New Roman" w:hAnsi="Times New Roman"/>
              </w:rPr>
              <w:t xml:space="preserve">Artículo 27, apartado 3, del Reglamento Delegado (UE) 2015/61</w:t>
            </w:r>
          </w:p>
          <w:p w14:paraId="144118BA" w14:textId="29A1F154" w:rsidR="006E48EA" w:rsidRPr="000B6B22" w:rsidRDefault="00592A6C">
            <w:pPr>
              <w:spacing w:before="0"/>
              <w:ind w:left="33"/>
              <w:rPr>
                <w:sz w:val="24"/>
                <w:rFonts w:ascii="Times New Roman" w:hAnsi="Times New Roman"/>
              </w:rPr>
            </w:pPr>
            <w:r>
              <w:rPr>
                <w:sz w:val="24"/>
                <w:rFonts w:ascii="Times New Roman" w:hAnsi="Times New Roman"/>
              </w:rPr>
              <w:t xml:space="preserve">De conformidad con el artículo 27, apartado 3, del Reglamento Delegado (UE) 2015/61, es necesario indicar los activos líquidos que correspondan a los depósitos de entidades de crédito constituidos en la entidad central y que se consideren activos líquidos de la entidad de crédito depositante.</w:t>
            </w:r>
            <w:r>
              <w:rPr>
                <w:sz w:val="24"/>
                <w:rFonts w:ascii="Times New Roman" w:hAnsi="Times New Roman"/>
              </w:rPr>
              <w:t xml:space="preserve"> </w:t>
            </w:r>
            <w:r>
              <w:rPr>
                <w:sz w:val="24"/>
                <w:rFonts w:ascii="Times New Roman" w:hAnsi="Times New Roman"/>
              </w:rPr>
              <w:t xml:space="preserve">Esos activos líquidos no se contabilizarán para cubrir salidas distintas de las procedentes de los correspondientes depósitos y no se tomarán en consideración para el cálculo de la composición del colchón de liquidez restante, con arreglo al artículo 17 del Reglamento Delegado (UE) 2015/61, para la entidad central a nivel individual.</w:t>
            </w:r>
          </w:p>
          <w:p w14:paraId="447C2B69" w14:textId="314B91D3" w:rsidR="006E48EA" w:rsidRPr="000B6B22" w:rsidRDefault="006E48EA">
            <w:pPr>
              <w:spacing w:before="0"/>
              <w:ind w:left="33"/>
              <w:rPr>
                <w:b/>
                <w:sz w:val="24"/>
                <w:rFonts w:ascii="Times New Roman" w:hAnsi="Times New Roman"/>
              </w:rPr>
            </w:pPr>
            <w:r>
              <w:rPr>
                <w:sz w:val="24"/>
                <w:rFonts w:ascii="Times New Roman" w:hAnsi="Times New Roman"/>
              </w:rPr>
              <w:t xml:space="preserve">Al comunicar estos activos, las entidades centrales velarán por que el importe comunicado de esos activos líquidos tras el recorte de valoración no exceda de las salidas de los depósitos correspondientes.</w:t>
            </w:r>
          </w:p>
          <w:p w14:paraId="3B3CBEB5" w14:textId="3B262079" w:rsidR="006E48EA" w:rsidRPr="000B6B22" w:rsidRDefault="006E48EA">
            <w:pPr>
              <w:spacing w:before="0"/>
              <w:ind w:left="33"/>
              <w:rPr>
                <w:b/>
                <w:sz w:val="24"/>
                <w:rFonts w:ascii="Times New Roman" w:hAnsi="Times New Roman"/>
              </w:rPr>
            </w:pPr>
            <w:r>
              <w:rPr>
                <w:sz w:val="24"/>
                <w:rFonts w:ascii="Times New Roman" w:hAnsi="Times New Roman"/>
              </w:rPr>
              <w:t xml:space="preserve">Los activos contemplados en esta fila son activos de nivel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sz w:val="24"/>
                <w:rFonts w:ascii="Times New Roman" w:hAnsi="Times New Roman"/>
              </w:rPr>
            </w:pPr>
            <w:r>
              <w:rPr>
                <w:sz w:val="24"/>
                <w:rFonts w:ascii="Times New Roman" w:hAnsi="Times New Roman"/>
              </w:rPr>
              <w:t xml:space="preserve">0310</w:t>
            </w:r>
          </w:p>
        </w:tc>
        <w:tc>
          <w:tcPr>
            <w:tcW w:w="7125" w:type="dxa"/>
            <w:gridSpan w:val="2"/>
            <w:shd w:val="clear" w:color="auto" w:fill="FFFFFF"/>
          </w:tcPr>
          <w:p w14:paraId="3FD76B1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Total de activos de NIVEL 2B sin ajustes</w:t>
            </w:r>
          </w:p>
          <w:p w14:paraId="4678D485" w14:textId="6C15F124" w:rsidR="006E48EA" w:rsidRPr="000B6B22" w:rsidRDefault="006E48EA">
            <w:pPr>
              <w:spacing w:before="0"/>
              <w:ind w:left="33"/>
              <w:rPr>
                <w:sz w:val="24"/>
                <w:rFonts w:ascii="Times New Roman" w:hAnsi="Times New Roman"/>
              </w:rPr>
            </w:pPr>
            <w:r>
              <w:rPr>
                <w:sz w:val="24"/>
                <w:rFonts w:ascii="Times New Roman" w:hAnsi="Times New Roman"/>
              </w:rPr>
              <w:t xml:space="preserve">Artículos 12 a 16 y artículo 19 del Reglamento Delegado (UE) 2015/61</w:t>
            </w:r>
          </w:p>
          <w:p w14:paraId="07BABB78" w14:textId="5204BA6B" w:rsidR="006E48EA" w:rsidRPr="000B6B22" w:rsidRDefault="006E48EA">
            <w:pPr>
              <w:spacing w:before="0"/>
              <w:ind w:left="33"/>
              <w:rPr>
                <w:bCs/>
                <w:sz w:val="24"/>
                <w:rFonts w:ascii="Times New Roman" w:hAnsi="Times New Roman"/>
              </w:rPr>
            </w:pPr>
            <w:r>
              <w:rPr>
                <w:sz w:val="24"/>
                <w:rFonts w:ascii="Times New Roman" w:hAnsi="Times New Roman"/>
              </w:rPr>
              <w:t xml:space="preserve">Los activos comunicados en esta subsección se habrán identificado explícitamente como activos de nivel 2B de conformidad con el </w:t>
            </w:r>
            <w:r>
              <w:rPr>
                <w:sz w:val="24"/>
                <w:rFonts w:ascii="Times New Roman" w:hAnsi="Times New Roman"/>
              </w:rPr>
              <w:t xml:space="preserve">Reglamento Delegado (UE) 2015/61.</w:t>
            </w:r>
          </w:p>
          <w:p w14:paraId="73EC8074" w14:textId="58BFD23B"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Las entidades de crédito comunicarán en la columna 0010 la suma del importe / valor de mercado total de los activos de nivel 2B, sin tener en cuenta los requisitos del artículo 17 del Reglamento Delegado (UE) 2015/61.</w:t>
            </w:r>
          </w:p>
          <w:p w14:paraId="7B4EF9A6" w14:textId="030A4C22" w:rsidR="006E48EA" w:rsidRPr="000B6B22" w:rsidRDefault="006E48EA">
            <w:pPr>
              <w:spacing w:before="0"/>
              <w:ind w:left="33"/>
              <w:rPr>
                <w:b/>
                <w:sz w:val="24"/>
                <w:rFonts w:ascii="Times New Roman" w:hAnsi="Times New Roman"/>
              </w:rPr>
            </w:pPr>
            <w:r>
              <w:rPr>
                <w:rStyle w:val="InstructionsTabelleberschrift"/>
                <w:b w:val="0"/>
                <w:sz w:val="24"/>
                <w:u w:val="none"/>
                <w:rFonts w:ascii="Times New Roman" w:hAnsi="Times New Roman"/>
              </w:rPr>
              <w:t xml:space="preserve">Las entidades de crédito comunicarán en la columna 0040 la suma del importe ponderado total de los activos de nivel 2B, sin tener en cuenta los requisitos del artículo 17 del Reglamento Delegado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sz w:val="24"/>
                <w:rFonts w:ascii="Times New Roman" w:hAnsi="Times New Roman"/>
              </w:rPr>
            </w:pPr>
            <w:r>
              <w:rPr>
                <w:sz w:val="24"/>
                <w:rFonts w:ascii="Times New Roman" w:hAnsi="Times New Roman"/>
              </w:rPr>
              <w:t xml:space="preserve">0320</w:t>
            </w:r>
          </w:p>
        </w:tc>
        <w:tc>
          <w:tcPr>
            <w:tcW w:w="7125" w:type="dxa"/>
            <w:gridSpan w:val="2"/>
            <w:shd w:val="clear" w:color="auto" w:fill="FFFFFF"/>
          </w:tcPr>
          <w:p w14:paraId="4386FB2A"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Bonos de titulización de activos (residenciales, nivel de calidad crediticia 1)</w:t>
            </w:r>
          </w:p>
          <w:p w14:paraId="3C73763C" w14:textId="2643A2BB" w:rsidR="006E48EA" w:rsidRPr="000B6B22" w:rsidRDefault="00762F31">
            <w:pPr>
              <w:spacing w:before="0"/>
              <w:ind w:left="33"/>
              <w:rPr>
                <w:b/>
                <w:bCs/>
                <w:sz w:val="24"/>
                <w:rFonts w:ascii="Times New Roman" w:hAnsi="Times New Roman"/>
              </w:rPr>
            </w:pPr>
            <w:r>
              <w:rPr>
                <w:sz w:val="24"/>
                <w:rFonts w:ascii="Times New Roman" w:hAnsi="Times New Roman"/>
              </w:rPr>
              <w:t xml:space="preserve">Artículo 12, apartado 1, letra a), y artículo 13, apartado 2, letra g), incisos i) y ii), del Reglamento Delegado (UE) 2015/61.</w:t>
            </w:r>
          </w:p>
          <w:p w14:paraId="51139131" w14:textId="3D17697A" w:rsidR="006E48EA" w:rsidRPr="000B6B22" w:rsidRDefault="006E48EA">
            <w:pPr>
              <w:spacing w:before="0"/>
              <w:ind w:left="33"/>
              <w:rPr>
                <w:sz w:val="24"/>
                <w:rFonts w:ascii="Times New Roman" w:hAnsi="Times New Roman"/>
              </w:rPr>
            </w:pPr>
            <w:r>
              <w:rPr>
                <w:sz w:val="24"/>
                <w:rFonts w:ascii="Times New Roman" w:hAnsi="Times New Roman"/>
              </w:rPr>
              <w:t xml:space="preserve">Exposiciones en forma de bonos de titulización de activos que cumplan los requisitos del artículo 13 del Reglamento Delegado (UE) 2015/61, siempre que estén respaldados por préstamos sobre inmuebles residenciales con garantía de primera hipoteca o préstamos sobre inmuebles residenciales plenamente garantizados de conformidad con lo dispuesto en el artículo 13, apartado 2, letra g), incisos i) y ii), del Reglamento Delegado (UE) 2015/61.</w:t>
            </w:r>
          </w:p>
          <w:p w14:paraId="28F9A861" w14:textId="207D3F80" w:rsidR="006E48EA" w:rsidRPr="000B6B22" w:rsidRDefault="006E48EA">
            <w:pPr>
              <w:spacing w:before="0"/>
              <w:rPr>
                <w:b/>
                <w:sz w:val="24"/>
                <w:rFonts w:ascii="Times New Roman" w:hAnsi="Times New Roman"/>
              </w:rPr>
            </w:pPr>
            <w:r>
              <w:rPr>
                <w:rStyle w:val="FormatvorlageInstructionsTabelleText"/>
                <w:sz w:val="24"/>
                <w:rFonts w:ascii="Times New Roman" w:hAnsi="Times New Roman"/>
              </w:rPr>
              <w:t xml:space="preserve">Los activos que sean objeto de la disposición transitoria prevista en el artículo 37 del Reglamento Delegado (UE) 2015/61 se comunicarán en esta fila.</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sz w:val="24"/>
                <w:rFonts w:ascii="Times New Roman" w:hAnsi="Times New Roman"/>
              </w:rPr>
            </w:pPr>
            <w:r>
              <w:rPr>
                <w:sz w:val="24"/>
                <w:rFonts w:ascii="Times New Roman" w:hAnsi="Times New Roman"/>
              </w:rPr>
              <w:t xml:space="preserve">0330</w:t>
            </w:r>
          </w:p>
        </w:tc>
        <w:tc>
          <w:tcPr>
            <w:tcW w:w="7125" w:type="dxa"/>
            <w:gridSpan w:val="2"/>
            <w:shd w:val="clear" w:color="auto" w:fill="FFFFFF"/>
          </w:tcPr>
          <w:p w14:paraId="1813ABB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1.2.2.2.</w:t>
            </w:r>
            <w:r>
              <w:rPr>
                <w:b/>
                <w:sz w:val="24"/>
                <w:rFonts w:ascii="Times New Roman" w:hAnsi="Times New Roman"/>
              </w:rPr>
              <w:t xml:space="preserve"> </w:t>
            </w:r>
            <w:r>
              <w:rPr>
                <w:b/>
                <w:sz w:val="24"/>
                <w:rFonts w:ascii="Times New Roman" w:hAnsi="Times New Roman"/>
              </w:rPr>
              <w:t xml:space="preserve">Bonos de titulización de activos (automóviles, nivel de calidad crediticia 1)</w:t>
            </w:r>
          </w:p>
          <w:p w14:paraId="5FC4D813" w14:textId="7FF9DD53" w:rsidR="006E48EA" w:rsidRPr="000B6B22" w:rsidRDefault="00762F31">
            <w:pPr>
              <w:spacing w:before="0"/>
              <w:ind w:left="33"/>
              <w:rPr>
                <w:sz w:val="24"/>
                <w:rFonts w:ascii="Times New Roman" w:hAnsi="Times New Roman"/>
              </w:rPr>
            </w:pPr>
            <w:r>
              <w:rPr>
                <w:sz w:val="24"/>
                <w:rFonts w:ascii="Times New Roman" w:hAnsi="Times New Roman"/>
              </w:rPr>
              <w:t xml:space="preserve">Artículo 12, apartado 1, letra a), y artículo 13, apartado 2, letra g), inciso iv), del Reglamento Delegado (UE) 2015/61</w:t>
            </w:r>
          </w:p>
          <w:p w14:paraId="733176F7" w14:textId="2FACB276" w:rsidR="006E48EA" w:rsidRPr="000B6B22" w:rsidRDefault="006E48EA">
            <w:pPr>
              <w:spacing w:before="0"/>
              <w:ind w:left="33"/>
              <w:rPr>
                <w:b/>
                <w:sz w:val="24"/>
                <w:rFonts w:ascii="Times New Roman" w:hAnsi="Times New Roman"/>
              </w:rPr>
            </w:pPr>
            <w:r>
              <w:rPr>
                <w:sz w:val="24"/>
                <w:rFonts w:ascii="Times New Roman" w:hAnsi="Times New Roman"/>
              </w:rPr>
              <w:t xml:space="preserve">Exposiciones en forma de bonos de titulización de activos que cumplan los requisitos del artículo 13 del Reglamento Delegado (UE) 2015/61, siempre que estén respaldados por préstamos para automóviles y arrendamientos de automóviles de conformidad con lo dispuesto en el artículo 13, apartado 2, letra g), inciso iv), del Reglamento Delegado (UE)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sz w:val="24"/>
                <w:rFonts w:ascii="Times New Roman" w:hAnsi="Times New Roman"/>
              </w:rPr>
            </w:pPr>
            <w:r>
              <w:rPr>
                <w:sz w:val="24"/>
                <w:rFonts w:ascii="Times New Roman" w:hAnsi="Times New Roman"/>
              </w:rPr>
              <w:t xml:space="preserve">0340</w:t>
            </w:r>
          </w:p>
        </w:tc>
        <w:tc>
          <w:tcPr>
            <w:tcW w:w="7125" w:type="dxa"/>
            <w:gridSpan w:val="2"/>
            <w:shd w:val="clear" w:color="auto" w:fill="FFFFFF"/>
          </w:tcPr>
          <w:p w14:paraId="713BDBAD"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1.2.2.3.</w:t>
            </w:r>
            <w:r>
              <w:rPr>
                <w:b/>
                <w:sz w:val="24"/>
                <w:rFonts w:ascii="Times New Roman" w:hAnsi="Times New Roman"/>
              </w:rPr>
              <w:t xml:space="preserve"> </w:t>
            </w:r>
            <w:r>
              <w:rPr>
                <w:b/>
                <w:sz w:val="24"/>
                <w:rFonts w:ascii="Times New Roman" w:hAnsi="Times New Roman"/>
              </w:rPr>
              <w:t xml:space="preserve">Bonos garantizados de calidad elevada (ponderación de riesgo 35 %)</w:t>
            </w:r>
          </w:p>
          <w:p w14:paraId="695B8350" w14:textId="0F4735B5" w:rsidR="006E48EA" w:rsidRPr="000B6B22" w:rsidRDefault="00762F31">
            <w:pPr>
              <w:spacing w:before="0"/>
              <w:ind w:left="33"/>
              <w:rPr>
                <w:sz w:val="24"/>
                <w:rFonts w:ascii="Times New Roman" w:hAnsi="Times New Roman"/>
              </w:rPr>
            </w:pPr>
            <w:r>
              <w:rPr>
                <w:sz w:val="24"/>
                <w:rFonts w:ascii="Times New Roman" w:hAnsi="Times New Roman"/>
              </w:rPr>
              <w:t xml:space="preserve">Artículo 12, apartado 1, letra e), del Reglamento Delegado (UE) 2015/61</w:t>
            </w:r>
          </w:p>
          <w:p w14:paraId="28F743AD" w14:textId="39E41641" w:rsidR="006E48EA" w:rsidRPr="000B6B22" w:rsidRDefault="006E48EA">
            <w:pPr>
              <w:spacing w:before="0"/>
              <w:ind w:left="33"/>
              <w:rPr>
                <w:b/>
                <w:sz w:val="24"/>
                <w:rFonts w:ascii="Times New Roman" w:hAnsi="Times New Roman"/>
              </w:rPr>
            </w:pPr>
            <w:r>
              <w:rPr>
                <w:sz w:val="24"/>
                <w:rFonts w:ascii="Times New Roman" w:hAnsi="Times New Roman"/>
              </w:rPr>
              <w:t xml:space="preserve">Activos que representen exposiciones en forma de bonos garantizados emitidos por entidades de crédito y que cumplan lo dispuesto en el artículo 12, apartado 1, letra e), del </w:t>
            </w:r>
            <w:r>
              <w:rPr>
                <w:sz w:val="24"/>
                <w:rFonts w:ascii="Times New Roman" w:hAnsi="Times New Roman"/>
              </w:rPr>
              <w:t xml:space="preserve">Reglamento Delegado (UE) 2015/61</w:t>
            </w:r>
            <w:r>
              <w:rPr>
                <w:sz w:val="24"/>
                <w:rFonts w:ascii="Times New Roman" w:hAnsi="Times New Roman"/>
              </w:rPr>
              <w:t xml:space="preserve">, a condición de que el conjunto de activos subyacentes consista exclusivamente en exposiciones que puedan optar a una ponderación de riesgo del 35 % o inferior con arreglo al artículo 125 del Reglamento (UE) n.º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sz w:val="24"/>
                <w:rFonts w:ascii="Times New Roman" w:hAnsi="Times New Roman"/>
              </w:rPr>
            </w:pPr>
            <w:r>
              <w:rPr>
                <w:sz w:val="24"/>
                <w:rFonts w:ascii="Times New Roman" w:hAnsi="Times New Roman"/>
              </w:rPr>
              <w:t xml:space="preserve">0350</w:t>
            </w:r>
          </w:p>
        </w:tc>
        <w:tc>
          <w:tcPr>
            <w:tcW w:w="7125" w:type="dxa"/>
            <w:gridSpan w:val="2"/>
            <w:shd w:val="clear" w:color="auto" w:fill="FFFFFF"/>
          </w:tcPr>
          <w:p w14:paraId="5BBC4661" w14:textId="7E36899C" w:rsidR="006E48EA" w:rsidRPr="000B6B22" w:rsidRDefault="006E48EA">
            <w:pPr>
              <w:spacing w:before="0"/>
              <w:ind w:left="33"/>
              <w:rPr>
                <w:b/>
                <w:sz w:val="24"/>
                <w:rFonts w:ascii="Times New Roman" w:hAnsi="Times New Roman"/>
              </w:rPr>
            </w:pPr>
            <w:r>
              <w:rPr>
                <w:b/>
                <w:sz w:val="24"/>
                <w:rFonts w:ascii="Times New Roman" w:hAnsi="Times New Roman"/>
              </w:rPr>
              <w:t xml:space="preserve">1.2.2.4.</w:t>
            </w:r>
            <w:r>
              <w:rPr>
                <w:b/>
                <w:sz w:val="24"/>
                <w:rFonts w:ascii="Times New Roman" w:hAnsi="Times New Roman"/>
              </w:rPr>
              <w:t xml:space="preserve"> </w:t>
            </w:r>
            <w:r>
              <w:rPr>
                <w:b/>
                <w:sz w:val="24"/>
                <w:rFonts w:ascii="Times New Roman" w:hAnsi="Times New Roman"/>
              </w:rPr>
              <w:t xml:space="preserve">Bonos de titulización de activos (comerciales o particulares, Estados miembros, nivel de calidad crediticia 1)</w:t>
            </w:r>
          </w:p>
          <w:p w14:paraId="467D6F32" w14:textId="0D4A2940" w:rsidR="006E48EA" w:rsidRPr="000B6B22" w:rsidRDefault="00762F31">
            <w:pPr>
              <w:spacing w:before="0"/>
              <w:ind w:left="33"/>
              <w:rPr>
                <w:sz w:val="24"/>
                <w:rFonts w:ascii="Times New Roman" w:hAnsi="Times New Roman"/>
              </w:rPr>
            </w:pPr>
            <w:r>
              <w:rPr>
                <w:sz w:val="24"/>
                <w:rFonts w:ascii="Times New Roman" w:hAnsi="Times New Roman"/>
              </w:rPr>
              <w:t xml:space="preserve">Artículo 12, apartado 1, letra a), y artículo 13, apartado 2, letra g), incisos iii) y v), del Reglamento Delegado (UE) 2015/61</w:t>
            </w:r>
          </w:p>
          <w:p w14:paraId="3974A81B" w14:textId="711D2E39" w:rsidR="006E48EA" w:rsidRPr="000B6B22" w:rsidRDefault="006E48EA">
            <w:pPr>
              <w:spacing w:before="0"/>
              <w:ind w:left="33"/>
              <w:rPr>
                <w:b/>
                <w:sz w:val="24"/>
                <w:rFonts w:ascii="Times New Roman" w:hAnsi="Times New Roman"/>
              </w:rPr>
            </w:pPr>
            <w:r>
              <w:rPr>
                <w:sz w:val="24"/>
                <w:rFonts w:ascii="Times New Roman" w:hAnsi="Times New Roman"/>
              </w:rPr>
              <w:t xml:space="preserve">Exposiciones en forma de bonos de titulización de activos que cumplan los requisitos del artículo 13 del Reglamento Delegado (UE) 2015/61, siempre que estén respaldados por los activos contemplados en el artículo 13, apartado 2, letra g), incisos iii) y v), del Reglamento Delegado (UE) 2015/61.</w:t>
            </w:r>
            <w:r>
              <w:rPr>
                <w:sz w:val="24"/>
                <w:rFonts w:ascii="Times New Roman" w:hAnsi="Times New Roman"/>
              </w:rPr>
              <w:t xml:space="preserve"> </w:t>
            </w:r>
            <w:r>
              <w:rPr>
                <w:sz w:val="24"/>
                <w:rFonts w:ascii="Times New Roman" w:hAnsi="Times New Roman"/>
              </w:rPr>
              <w:t xml:space="preserve">Cabe señalar que a los efectos del artículo 13, apartado 2, letra g), inciso iii), al menos el 80 % de los prestatarios del conjunto habrán de ser pequeñas y medianas empresas en el momento de emitirse la titulización.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sz w:val="24"/>
                <w:rFonts w:ascii="Times New Roman" w:hAnsi="Times New Roman"/>
              </w:rPr>
            </w:pPr>
            <w:r>
              <w:rPr>
                <w:sz w:val="24"/>
                <w:rFonts w:ascii="Times New Roman" w:hAnsi="Times New Roman"/>
              </w:rPr>
              <w:t xml:space="preserve">0360</w:t>
            </w:r>
          </w:p>
        </w:tc>
        <w:tc>
          <w:tcPr>
            <w:tcW w:w="7125" w:type="dxa"/>
            <w:gridSpan w:val="2"/>
            <w:shd w:val="clear" w:color="auto" w:fill="FFFFFF"/>
          </w:tcPr>
          <w:p w14:paraId="6AAD44C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1.2.2.5.</w:t>
            </w:r>
            <w:r>
              <w:rPr>
                <w:b/>
                <w:sz w:val="24"/>
                <w:rFonts w:ascii="Times New Roman" w:hAnsi="Times New Roman"/>
              </w:rPr>
              <w:t xml:space="preserve"> </w:t>
            </w:r>
            <w:r>
              <w:rPr>
                <w:b/>
                <w:sz w:val="24"/>
                <w:rFonts w:ascii="Times New Roman" w:hAnsi="Times New Roman"/>
              </w:rPr>
              <w:t xml:space="preserve">Valores representativos de deuda de empresas (nivel de calidad crediticia 2/3)</w:t>
            </w:r>
          </w:p>
          <w:p w14:paraId="10B959A4" w14:textId="078346D5" w:rsidR="006E48EA" w:rsidRPr="000B6B22" w:rsidRDefault="00762F31">
            <w:pPr>
              <w:spacing w:before="0"/>
              <w:ind w:left="33"/>
              <w:rPr>
                <w:sz w:val="24"/>
                <w:rFonts w:ascii="Times New Roman" w:hAnsi="Times New Roman"/>
              </w:rPr>
            </w:pPr>
            <w:r>
              <w:rPr>
                <w:sz w:val="24"/>
                <w:rFonts w:ascii="Times New Roman" w:hAnsi="Times New Roman"/>
              </w:rPr>
              <w:t xml:space="preserve">Artículo 12, apartado 1, letra b), del Reglamento Delegado (UE) 2015/61</w:t>
            </w:r>
          </w:p>
          <w:p w14:paraId="6192FD68" w14:textId="52411240" w:rsidR="006E48EA" w:rsidRPr="000B6B22" w:rsidRDefault="006E48EA">
            <w:pPr>
              <w:spacing w:before="0"/>
              <w:ind w:left="33"/>
              <w:rPr>
                <w:b/>
                <w:sz w:val="24"/>
                <w:rFonts w:ascii="Times New Roman" w:hAnsi="Times New Roman"/>
              </w:rPr>
            </w:pPr>
            <w:r>
              <w:rPr>
                <w:sz w:val="24"/>
                <w:rFonts w:ascii="Times New Roman" w:hAnsi="Times New Roman"/>
              </w:rPr>
              <w:t xml:space="preserve">Valores representativos de deuda de empresas que cumplan lo dispuesto en el artículo 12, apartado 1, letra b), del </w:t>
            </w:r>
            <w:r>
              <w:rPr>
                <w:sz w:val="24"/>
                <w:rFonts w:ascii="Times New Roman" w:hAnsi="Times New Roman"/>
              </w:rPr>
              <w:t xml:space="preserve">Reglamento Delegado (UE)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sz w:val="24"/>
                <w:rFonts w:ascii="Times New Roman" w:hAnsi="Times New Roman"/>
              </w:rPr>
            </w:pPr>
            <w:r>
              <w:rPr>
                <w:sz w:val="24"/>
                <w:rFonts w:ascii="Times New Roman" w:hAnsi="Times New Roman"/>
              </w:rPr>
              <w:t xml:space="preserve">0370</w:t>
            </w:r>
          </w:p>
        </w:tc>
        <w:tc>
          <w:tcPr>
            <w:tcW w:w="7125" w:type="dxa"/>
            <w:gridSpan w:val="2"/>
            <w:shd w:val="clear" w:color="auto" w:fill="FFFFFF"/>
          </w:tcPr>
          <w:p w14:paraId="1E45EFA1" w14:textId="2565F5EC" w:rsidR="006E48EA" w:rsidRPr="000B6B22" w:rsidRDefault="006E48EA">
            <w:pPr>
              <w:spacing w:before="0"/>
              <w:ind w:left="33"/>
              <w:rPr>
                <w:b/>
                <w:sz w:val="24"/>
                <w:rFonts w:ascii="Times New Roman" w:hAnsi="Times New Roman"/>
              </w:rPr>
            </w:pPr>
            <w:r>
              <w:rPr>
                <w:b/>
                <w:sz w:val="24"/>
                <w:rFonts w:ascii="Times New Roman" w:hAnsi="Times New Roman"/>
              </w:rPr>
              <w:t xml:space="preserve">1.2.2.6.</w:t>
            </w:r>
            <w:r>
              <w:rPr>
                <w:b/>
                <w:sz w:val="24"/>
                <w:rFonts w:ascii="Times New Roman" w:hAnsi="Times New Roman"/>
              </w:rPr>
              <w:t xml:space="preserve"> </w:t>
            </w:r>
            <w:r>
              <w:rPr>
                <w:b/>
                <w:sz w:val="24"/>
                <w:rFonts w:ascii="Times New Roman" w:hAnsi="Times New Roman"/>
              </w:rPr>
              <w:t xml:space="preserve">Valores representativos de deuda de empresas — activos no generadores de intereses (en poder de entidades de crédito por motivos religiosos) (nivel de calidad crediticia 1/2/3)</w:t>
            </w:r>
          </w:p>
          <w:p w14:paraId="2A95B17C" w14:textId="53981BF3" w:rsidR="006E48EA" w:rsidRPr="000B6B22" w:rsidRDefault="006E48EA">
            <w:pPr>
              <w:spacing w:before="0"/>
              <w:ind w:left="33"/>
              <w:rPr>
                <w:bCs/>
                <w:sz w:val="24"/>
                <w:rFonts w:ascii="Times New Roman" w:hAnsi="Times New Roman"/>
              </w:rPr>
            </w:pPr>
            <w:r>
              <w:rPr>
                <w:sz w:val="24"/>
                <w:rFonts w:ascii="Times New Roman" w:hAnsi="Times New Roman"/>
              </w:rPr>
              <w:t xml:space="preserve">Artículo 12, apartado 3, del Reglamento Delegado (UE) 2015/61</w:t>
            </w:r>
          </w:p>
          <w:p w14:paraId="1F6564B2" w14:textId="0D75227B" w:rsidR="006E48EA" w:rsidRPr="000B6B22" w:rsidRDefault="00223992">
            <w:pPr>
              <w:spacing w:before="0"/>
              <w:ind w:left="33"/>
              <w:rPr>
                <w:bCs/>
                <w:sz w:val="24"/>
                <w:rFonts w:ascii="Times New Roman" w:hAnsi="Times New Roman"/>
              </w:rPr>
            </w:pPr>
            <w:r>
              <w:rPr>
                <w:sz w:val="24"/>
                <w:rFonts w:ascii="Times New Roman" w:hAnsi="Times New Roman"/>
              </w:rPr>
              <w:t xml:space="preserve">La autoridad competente podrá conceder a las entidades de crédito que, de conformidad con sus estatutos, no puedan, por razones de práctica religiosa, poseer activos que devenguen intereses, una excepción al artículo 12, apartado 1, letra b), incisos ii) y iii), del Reglamento Delegado (UE) 2015/61, a condición de que se acredite la insuficiente disponibilidad de activos no generadores de intereses que cumplan los requisitos establecidos en esos epígrafes y que los activos no generadores de intereses en cuestión sean adecuadamente líquidos en los mercados privados.</w:t>
            </w:r>
          </w:p>
          <w:p w14:paraId="6F34CD8E" w14:textId="61B87D0F" w:rsidR="006E48EA" w:rsidRPr="000B6B22" w:rsidRDefault="006E48EA">
            <w:pPr>
              <w:spacing w:before="0"/>
              <w:ind w:left="33"/>
              <w:rPr>
                <w:b/>
                <w:sz w:val="24"/>
                <w:rFonts w:ascii="Times New Roman" w:hAnsi="Times New Roman"/>
              </w:rPr>
            </w:pPr>
            <w:r>
              <w:rPr>
                <w:sz w:val="24"/>
                <w:rFonts w:ascii="Times New Roman" w:hAnsi="Times New Roman"/>
              </w:rPr>
              <w:t xml:space="preserve">Esas entidades de crédito comunicarán los valores representativos de deuda de empresas que incorporen activos no generadores de intereses, siempre que cumplan los requisitos del artículo 12, apartado 1, letra b), inciso i), del Reglamento Delegado (UE) 2015/61 y que la autoridad competente haya autorizado la oportuna excepción.</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sz w:val="24"/>
                <w:rFonts w:ascii="Times New Roman" w:hAnsi="Times New Roman"/>
              </w:rPr>
            </w:pPr>
            <w:r>
              <w:rPr>
                <w:sz w:val="24"/>
                <w:rFonts w:ascii="Times New Roman" w:hAnsi="Times New Roman"/>
              </w:rPr>
              <w:t xml:space="preserve">0380</w:t>
            </w:r>
          </w:p>
        </w:tc>
        <w:tc>
          <w:tcPr>
            <w:tcW w:w="7125" w:type="dxa"/>
            <w:gridSpan w:val="2"/>
            <w:shd w:val="clear" w:color="auto" w:fill="FFFFFF"/>
          </w:tcPr>
          <w:p w14:paraId="3C0E8B9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1.2.2.7.</w:t>
            </w:r>
            <w:r>
              <w:rPr>
                <w:b/>
                <w:sz w:val="24"/>
                <w:rFonts w:ascii="Times New Roman" w:hAnsi="Times New Roman"/>
              </w:rPr>
              <w:t xml:space="preserve"> </w:t>
            </w:r>
            <w:r>
              <w:rPr>
                <w:b/>
                <w:sz w:val="24"/>
                <w:rFonts w:ascii="Times New Roman" w:hAnsi="Times New Roman"/>
              </w:rPr>
              <w:t xml:space="preserve">Acciones (índice bursátil importante)</w:t>
            </w:r>
          </w:p>
          <w:p w14:paraId="5E3ABFB8" w14:textId="2AE2D6B6" w:rsidR="006E48EA" w:rsidRPr="000B6B22" w:rsidRDefault="00762F31">
            <w:pPr>
              <w:spacing w:before="0"/>
              <w:ind w:left="33"/>
              <w:rPr>
                <w:bCs/>
                <w:sz w:val="24"/>
                <w:rFonts w:ascii="Times New Roman" w:hAnsi="Times New Roman"/>
              </w:rPr>
            </w:pPr>
            <w:r>
              <w:rPr>
                <w:sz w:val="24"/>
                <w:rFonts w:ascii="Times New Roman" w:hAnsi="Times New Roman"/>
              </w:rPr>
              <w:t xml:space="preserve">Artículo 12, apartado 1, letra c), del Reglamento Delegado (UE) 2015/61</w:t>
            </w:r>
          </w:p>
          <w:p w14:paraId="5523E2E6" w14:textId="7DA28103" w:rsidR="006E48EA" w:rsidRPr="000B6B22" w:rsidRDefault="006E48EA">
            <w:pPr>
              <w:spacing w:before="0"/>
              <w:ind w:left="33"/>
              <w:rPr>
                <w:bCs/>
                <w:sz w:val="24"/>
                <w:rFonts w:ascii="Times New Roman" w:hAnsi="Times New Roman"/>
              </w:rPr>
            </w:pPr>
            <w:r>
              <w:rPr>
                <w:sz w:val="24"/>
                <w:rFonts w:ascii="Times New Roman" w:hAnsi="Times New Roman"/>
              </w:rPr>
              <w:t xml:space="preserve">Acciones que cumplan lo dispuesto en el artículo 12, apartado 1, letra c), del </w:t>
            </w:r>
            <w:r>
              <w:rPr>
                <w:sz w:val="24"/>
                <w:rFonts w:ascii="Times New Roman" w:hAnsi="Times New Roman"/>
              </w:rPr>
              <w:t xml:space="preserve">Reglamento Delegado (UE) 2015/61 y estén denominadas en la moneda del Estado miembro de origen de la entidad de crédito.</w:t>
            </w:r>
          </w:p>
          <w:p w14:paraId="790214B6" w14:textId="5E3C44C0" w:rsidR="006E48EA" w:rsidRPr="000B6B22" w:rsidRDefault="006E48EA">
            <w:pPr>
              <w:spacing w:before="0"/>
              <w:ind w:left="33"/>
              <w:rPr>
                <w:b/>
                <w:sz w:val="24"/>
                <w:rFonts w:ascii="Times New Roman" w:hAnsi="Times New Roman"/>
              </w:rPr>
            </w:pPr>
            <w:r>
              <w:rPr>
                <w:sz w:val="24"/>
                <w:rFonts w:ascii="Times New Roman" w:hAnsi="Times New Roman"/>
              </w:rPr>
              <w:t xml:space="preserve">Las entidades de crédito comunicarán también aquellas acciones que cumplan lo dispuesto en el artículo 12, apartado 1, letra c), y estén denominadas en una moneda diferente, siempre que se contabilicen como activos de nivel 2B únicamente hasta el importe necesario para cubrir las salidas de liquidez en dicha moneda o en el país en que se asuma el riesgo de liquidez.</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sz w:val="24"/>
                <w:rFonts w:ascii="Times New Roman" w:hAnsi="Times New Roman"/>
              </w:rPr>
            </w:pPr>
            <w:r>
              <w:rPr>
                <w:sz w:val="24"/>
                <w:rFonts w:ascii="Times New Roman" w:hAnsi="Times New Roman"/>
              </w:rPr>
              <w:t xml:space="preserve">0390</w:t>
            </w:r>
          </w:p>
        </w:tc>
        <w:tc>
          <w:tcPr>
            <w:tcW w:w="7125" w:type="dxa"/>
            <w:gridSpan w:val="2"/>
            <w:shd w:val="clear" w:color="auto" w:fill="FFFFFF"/>
          </w:tcPr>
          <w:p w14:paraId="04F0521F" w14:textId="492672E9" w:rsidR="006E48EA" w:rsidRPr="000B6B22" w:rsidRDefault="006E48EA">
            <w:pPr>
              <w:spacing w:before="0"/>
              <w:ind w:left="33"/>
              <w:rPr>
                <w:b/>
                <w:sz w:val="24"/>
                <w:rFonts w:ascii="Times New Roman" w:hAnsi="Times New Roman"/>
              </w:rPr>
            </w:pPr>
            <w:r>
              <w:rPr>
                <w:b/>
                <w:sz w:val="24"/>
                <w:rFonts w:ascii="Times New Roman" w:hAnsi="Times New Roman"/>
              </w:rPr>
              <w:t xml:space="preserve">1.2.2.8.</w:t>
            </w:r>
            <w:r>
              <w:rPr>
                <w:b/>
                <w:sz w:val="24"/>
                <w:rFonts w:ascii="Times New Roman" w:hAnsi="Times New Roman"/>
              </w:rPr>
              <w:t xml:space="preserve"> </w:t>
            </w:r>
            <w:r>
              <w:rPr>
                <w:b/>
                <w:sz w:val="24"/>
                <w:rFonts w:ascii="Times New Roman" w:hAnsi="Times New Roman"/>
              </w:rPr>
              <w:t xml:space="preserve">Activos no generadores de intereses (en poder de entidades de crédito por motivos religiosos) (nivel de calidad crediticia 3-5)</w:t>
            </w:r>
          </w:p>
          <w:p w14:paraId="128B1A20" w14:textId="59DC1D37" w:rsidR="006E48EA" w:rsidRPr="000B6B22" w:rsidRDefault="00DD4C72">
            <w:pPr>
              <w:spacing w:before="0"/>
              <w:ind w:left="33"/>
              <w:rPr>
                <w:bCs/>
                <w:sz w:val="24"/>
                <w:rFonts w:ascii="Times New Roman" w:hAnsi="Times New Roman"/>
              </w:rPr>
            </w:pPr>
            <w:r>
              <w:rPr>
                <w:sz w:val="24"/>
                <w:rFonts w:ascii="Times New Roman" w:hAnsi="Times New Roman"/>
              </w:rPr>
              <w:t xml:space="preserve">Artículo 12, apartado 1, letra f), del Reglamento Delegado (UE) 2015/61</w:t>
            </w:r>
          </w:p>
          <w:p w14:paraId="68878A1F" w14:textId="63132378" w:rsidR="006E48EA" w:rsidRPr="000B6B22" w:rsidRDefault="006E48EA">
            <w:pPr>
              <w:spacing w:before="0"/>
              <w:ind w:left="33"/>
              <w:rPr>
                <w:b/>
                <w:sz w:val="24"/>
                <w:rFonts w:ascii="Times New Roman" w:hAnsi="Times New Roman"/>
              </w:rPr>
            </w:pPr>
            <w:r>
              <w:rPr>
                <w:sz w:val="24"/>
                <w:rFonts w:ascii="Times New Roman" w:hAnsi="Times New Roman"/>
              </w:rPr>
              <w:t xml:space="preserve">En el caso de las entidades de crédito que, de conformidad con sus estatutos, no puedan, por razones de práctica religiosa, poseer activos que devenguen intereses, activos no generadores de intereses que constituyan créditos frente a, o garantizados por, bancos centrales o la administración central o el banco central de un tercer país, o una administración regional, una autoridad local o un ente público de un tercer país, a condición de que estos activos hayan recibido una evaluación de crédito de una ECAI designada que corresponda, al menos, al nivel 5 de calidad crediticia, con arreglo al artículo 114 del Reglamento (UE) n.º 575/2013, o a un nivel de calidad crediticia equivalente, en el caso de una evaluación de crédito a corto plazo.</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sz w:val="24"/>
                <w:rFonts w:ascii="Times New Roman" w:hAnsi="Times New Roman"/>
              </w:rPr>
            </w:pPr>
            <w:r>
              <w:rPr>
                <w:sz w:val="24"/>
                <w:rFonts w:ascii="Times New Roman" w:hAnsi="Times New Roman"/>
              </w:rPr>
              <w:t xml:space="preserve">0400</w:t>
            </w:r>
          </w:p>
        </w:tc>
        <w:tc>
          <w:tcPr>
            <w:tcW w:w="7125" w:type="dxa"/>
            <w:gridSpan w:val="2"/>
            <w:shd w:val="clear" w:color="auto" w:fill="FFFFFF"/>
          </w:tcPr>
          <w:p w14:paraId="6C1A4B58"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1.2.2.9.</w:t>
            </w:r>
            <w:r>
              <w:rPr>
                <w:b/>
                <w:sz w:val="24"/>
                <w:rFonts w:ascii="Times New Roman" w:hAnsi="Times New Roman"/>
              </w:rPr>
              <w:t xml:space="preserve"> </w:t>
            </w:r>
            <w:r>
              <w:rPr>
                <w:b/>
                <w:sz w:val="24"/>
                <w:rFonts w:ascii="Times New Roman" w:hAnsi="Times New Roman"/>
              </w:rPr>
              <w:t xml:space="preserve">Líneas de liquidez comprometidas de uso restringido de bancos centrales</w:t>
            </w:r>
          </w:p>
          <w:p w14:paraId="53FD0878" w14:textId="70448FBA" w:rsidR="006E48EA" w:rsidRPr="000B6B22" w:rsidRDefault="00762F31">
            <w:pPr>
              <w:spacing w:before="0"/>
              <w:ind w:left="33"/>
              <w:rPr>
                <w:sz w:val="24"/>
                <w:rFonts w:ascii="Times New Roman" w:hAnsi="Times New Roman"/>
              </w:rPr>
            </w:pPr>
            <w:r>
              <w:rPr>
                <w:sz w:val="24"/>
                <w:rFonts w:ascii="Times New Roman" w:hAnsi="Times New Roman"/>
              </w:rPr>
              <w:t xml:space="preserve">Artículo 12, apartado 1, letra d), y artículo 14 del </w:t>
            </w:r>
            <w:r>
              <w:rPr>
                <w:sz w:val="24"/>
                <w:rFonts w:ascii="Times New Roman" w:hAnsi="Times New Roman"/>
              </w:rPr>
              <w:t xml:space="preserve">Reglamento Delegado (UE) 2015/61</w:t>
            </w:r>
          </w:p>
          <w:p w14:paraId="40E6E3FB" w14:textId="114ACA4F" w:rsidR="006E48EA" w:rsidRPr="000B6B22" w:rsidRDefault="006E48EA">
            <w:pPr>
              <w:spacing w:before="0"/>
              <w:ind w:left="33"/>
              <w:rPr>
                <w:b/>
                <w:sz w:val="24"/>
                <w:rFonts w:ascii="Times New Roman" w:hAnsi="Times New Roman"/>
              </w:rPr>
            </w:pPr>
            <w:r>
              <w:rPr>
                <w:sz w:val="24"/>
                <w:rFonts w:ascii="Times New Roman" w:hAnsi="Times New Roman"/>
              </w:rPr>
              <w:t xml:space="preserve">Importe no utilizado de las líneas de liquidez comprometidas de uso restringido otorgadas por bancos centrales que cumplan lo dispuesto en el artículo 14 del </w:t>
            </w:r>
            <w:r>
              <w:rPr>
                <w:sz w:val="24"/>
                <w:rFonts w:ascii="Times New Roman" w:hAnsi="Times New Roman"/>
              </w:rPr>
              <w:t xml:space="preserve">Reglamento Delegado (UE)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sz w:val="24"/>
                <w:rFonts w:ascii="Times New Roman" w:hAnsi="Times New Roman"/>
              </w:rPr>
            </w:pPr>
            <w:r>
              <w:rPr>
                <w:sz w:val="24"/>
                <w:rFonts w:ascii="Times New Roman" w:hAnsi="Times New Roman"/>
              </w:rPr>
              <w:t xml:space="preserve">0410</w:t>
            </w:r>
          </w:p>
        </w:tc>
        <w:tc>
          <w:tcPr>
            <w:tcW w:w="7125" w:type="dxa"/>
            <w:gridSpan w:val="2"/>
            <w:shd w:val="clear" w:color="auto" w:fill="FFFFFF"/>
          </w:tcPr>
          <w:p w14:paraId="0AC07B90" w14:textId="7D3FF65D" w:rsidR="006E48EA" w:rsidRPr="000B6B22" w:rsidRDefault="006E48EA">
            <w:pPr>
              <w:spacing w:before="0"/>
              <w:ind w:left="33"/>
              <w:rPr>
                <w:b/>
                <w:sz w:val="24"/>
                <w:rFonts w:ascii="Times New Roman" w:hAnsi="Times New Roman"/>
              </w:rPr>
            </w:pPr>
            <w:r>
              <w:rPr>
                <w:b/>
                <w:sz w:val="24"/>
                <w:rFonts w:ascii="Times New Roman" w:hAnsi="Times New Roman"/>
              </w:rPr>
              <w:t xml:space="preserve">1.2.2.10.</w:t>
            </w:r>
            <w:r>
              <w:rPr>
                <w:b/>
                <w:sz w:val="24"/>
                <w:rFonts w:ascii="Times New Roman" w:hAnsi="Times New Roman"/>
              </w:rPr>
              <w:t xml:space="preserve"> </w:t>
            </w:r>
            <w:r>
              <w:rPr>
                <w:b/>
                <w:sz w:val="24"/>
                <w:rFonts w:ascii="Times New Roman" w:hAnsi="Times New Roman"/>
              </w:rPr>
              <w:t xml:space="preserve">Acciones/participaciones en OIC admisibles:</w:t>
            </w:r>
            <w:r>
              <w:rPr>
                <w:b/>
                <w:sz w:val="24"/>
                <w:rFonts w:ascii="Times New Roman" w:hAnsi="Times New Roman"/>
              </w:rPr>
              <w:t xml:space="preserve"> </w:t>
            </w:r>
            <w:r>
              <w:rPr>
                <w:b/>
                <w:sz w:val="24"/>
                <w:rFonts w:ascii="Times New Roman" w:hAnsi="Times New Roman"/>
              </w:rPr>
              <w:t xml:space="preserve">el subyacente consiste en bonos de titulización de activos (residenciales o automóviles, nivel de calidad crediticia 1)</w:t>
            </w:r>
          </w:p>
          <w:p w14:paraId="60011F11" w14:textId="19DB3A6F" w:rsidR="006E48EA" w:rsidRPr="000B6B22" w:rsidRDefault="00DD4C72">
            <w:pPr>
              <w:spacing w:before="0"/>
              <w:ind w:left="33"/>
              <w:rPr>
                <w:sz w:val="24"/>
                <w:rFonts w:ascii="Times New Roman" w:hAnsi="Times New Roman"/>
              </w:rPr>
            </w:pPr>
            <w:r>
              <w:rPr>
                <w:sz w:val="24"/>
                <w:rFonts w:ascii="Times New Roman" w:hAnsi="Times New Roman"/>
              </w:rPr>
              <w:t xml:space="preserve">Artículo 15, apartado 2, letra e), del Reglamento Delegado (UE) 2015/61</w:t>
            </w:r>
          </w:p>
          <w:p w14:paraId="12BB2005" w14:textId="0A5D767D" w:rsidR="006E48EA" w:rsidRPr="000B6B22" w:rsidRDefault="006E48EA">
            <w:pPr>
              <w:spacing w:before="0"/>
              <w:ind w:left="33"/>
              <w:rPr>
                <w:b/>
                <w:sz w:val="24"/>
                <w:rFonts w:ascii="Times New Roman" w:hAnsi="Times New Roman"/>
              </w:rPr>
            </w:pPr>
            <w:r>
              <w:rPr>
                <w:sz w:val="24"/>
                <w:rFonts w:ascii="Times New Roman" w:hAnsi="Times New Roman"/>
              </w:rPr>
              <w:t xml:space="preserve">Acciones o participaciones en OIC cuyos activos subyacentes correspondan a activos que puedan considerarse activos de nivel 2B con arreglo a lo previsto en el artículo 13, apartado 2, letra g), incisos i), ii) y iv), del Reglamento Delegado (UE)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sz w:val="24"/>
                <w:rFonts w:ascii="Times New Roman" w:hAnsi="Times New Roman"/>
              </w:rPr>
            </w:pPr>
            <w:r>
              <w:rPr>
                <w:sz w:val="24"/>
                <w:rFonts w:ascii="Times New Roman" w:hAnsi="Times New Roman"/>
              </w:rPr>
              <w:t xml:space="preserve">0420</w:t>
            </w:r>
          </w:p>
        </w:tc>
        <w:tc>
          <w:tcPr>
            <w:tcW w:w="7125" w:type="dxa"/>
            <w:gridSpan w:val="2"/>
            <w:shd w:val="clear" w:color="auto" w:fill="FFFFFF"/>
          </w:tcPr>
          <w:p w14:paraId="2D2596E8" w14:textId="3E975BCC" w:rsidR="006E48EA" w:rsidRPr="000B6B22" w:rsidRDefault="006E48EA">
            <w:pPr>
              <w:spacing w:before="0"/>
              <w:ind w:left="33"/>
              <w:rPr>
                <w:b/>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Acciones/participaciones en OIC admisibles:</w:t>
            </w:r>
            <w:r>
              <w:rPr>
                <w:b/>
                <w:sz w:val="24"/>
                <w:rFonts w:ascii="Times New Roman" w:hAnsi="Times New Roman"/>
              </w:rPr>
              <w:t xml:space="preserve"> </w:t>
            </w:r>
            <w:r>
              <w:rPr>
                <w:b/>
                <w:sz w:val="24"/>
                <w:rFonts w:ascii="Times New Roman" w:hAnsi="Times New Roman"/>
              </w:rPr>
              <w:t xml:space="preserve">el subyacente consiste en bonos garantizados de calidad elevada (ponderación de riesgo 35 %)</w:t>
            </w:r>
          </w:p>
          <w:p w14:paraId="25584DDF" w14:textId="4FA97866" w:rsidR="006E48EA" w:rsidRPr="000B6B22" w:rsidRDefault="00DD4C72">
            <w:pPr>
              <w:spacing w:before="0"/>
              <w:ind w:left="33"/>
              <w:rPr>
                <w:sz w:val="24"/>
                <w:rFonts w:ascii="Times New Roman" w:hAnsi="Times New Roman"/>
              </w:rPr>
            </w:pPr>
            <w:r>
              <w:rPr>
                <w:sz w:val="24"/>
                <w:rFonts w:ascii="Times New Roman" w:hAnsi="Times New Roman"/>
              </w:rPr>
              <w:t xml:space="preserve">Artículo 15, apartado 2, letra f), del Reglamento Delegado (UE) 2015/61</w:t>
            </w:r>
          </w:p>
          <w:p w14:paraId="4D41FCE3" w14:textId="337CD259" w:rsidR="006E48EA" w:rsidRPr="000B6B22" w:rsidRDefault="006E48EA">
            <w:pPr>
              <w:spacing w:before="0"/>
              <w:ind w:left="33"/>
              <w:rPr>
                <w:b/>
                <w:sz w:val="24"/>
                <w:rFonts w:ascii="Times New Roman" w:hAnsi="Times New Roman"/>
              </w:rPr>
            </w:pPr>
            <w:r>
              <w:rPr>
                <w:sz w:val="24"/>
                <w:rFonts w:ascii="Times New Roman" w:hAnsi="Times New Roman"/>
              </w:rPr>
              <w:t xml:space="preserve">Acciones o participaciones en OIC cuyos activos subyacentes correspondan a activos que puedan considerarse activos de nivel 2B con arreglo a lo previsto en el artículo 12, apartado 1, letra e), del Reglamento Delegado (UE)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sz w:val="24"/>
                <w:rFonts w:ascii="Times New Roman" w:hAnsi="Times New Roman"/>
              </w:rPr>
            </w:pPr>
            <w:r>
              <w:rPr>
                <w:sz w:val="24"/>
                <w:rFonts w:ascii="Times New Roman" w:hAnsi="Times New Roman"/>
              </w:rPr>
              <w:t xml:space="preserve">0430</w:t>
            </w:r>
          </w:p>
        </w:tc>
        <w:tc>
          <w:tcPr>
            <w:tcW w:w="7125" w:type="dxa"/>
            <w:gridSpan w:val="2"/>
            <w:shd w:val="clear" w:color="auto" w:fill="FFFFFF"/>
          </w:tcPr>
          <w:p w14:paraId="0C83C425"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Acciones/participaciones en OIC admisibles:</w:t>
            </w:r>
            <w:r>
              <w:rPr>
                <w:b/>
                <w:sz w:val="24"/>
                <w:rFonts w:ascii="Times New Roman" w:hAnsi="Times New Roman"/>
              </w:rPr>
              <w:t xml:space="preserve"> </w:t>
            </w:r>
            <w:r>
              <w:rPr>
                <w:b/>
                <w:sz w:val="24"/>
                <w:rFonts w:ascii="Times New Roman" w:hAnsi="Times New Roman"/>
              </w:rPr>
              <w:t xml:space="preserve">el subyacente consiste en bonos de titulización de activos (comerciales o particulares, Estados miembros, nivel de calidad crediticia 1)</w:t>
            </w:r>
          </w:p>
          <w:p w14:paraId="4B2DEA62" w14:textId="569E6C62" w:rsidR="006E48EA" w:rsidRPr="000B6B22" w:rsidRDefault="00DD4C72">
            <w:pPr>
              <w:spacing w:before="0"/>
              <w:ind w:left="33"/>
              <w:rPr>
                <w:sz w:val="24"/>
                <w:rFonts w:ascii="Times New Roman" w:hAnsi="Times New Roman"/>
              </w:rPr>
            </w:pPr>
            <w:r>
              <w:rPr>
                <w:sz w:val="24"/>
                <w:rFonts w:ascii="Times New Roman" w:hAnsi="Times New Roman"/>
              </w:rPr>
              <w:t xml:space="preserve">Artículo 15, apartado 2, letra g), del Reglamento Delegado (UE) 2015/61</w:t>
            </w:r>
          </w:p>
          <w:p w14:paraId="0BBC5CC7" w14:textId="16B0D374" w:rsidR="006E48EA" w:rsidRPr="000B6B22" w:rsidRDefault="006E48EA">
            <w:pPr>
              <w:spacing w:before="0"/>
              <w:ind w:left="33"/>
              <w:rPr>
                <w:b/>
                <w:sz w:val="24"/>
                <w:rFonts w:ascii="Times New Roman" w:hAnsi="Times New Roman"/>
              </w:rPr>
            </w:pPr>
            <w:r>
              <w:rPr>
                <w:sz w:val="24"/>
                <w:rFonts w:ascii="Times New Roman" w:hAnsi="Times New Roman"/>
              </w:rPr>
              <w:t xml:space="preserve">Acciones o participaciones en OIC cuyos activos subyacentes correspondan a activos que puedan considerarse activos de nivel 2B con arreglo a lo previsto en el artículo 13, apartado 2, letra g), incisos iii) y v), del Reglamento Delegado (UE) 2015/61.</w:t>
            </w:r>
            <w:r>
              <w:rPr>
                <w:sz w:val="24"/>
                <w:rFonts w:ascii="Times New Roman" w:hAnsi="Times New Roman"/>
              </w:rPr>
              <w:t xml:space="preserve"> </w:t>
            </w:r>
            <w:r>
              <w:rPr>
                <w:sz w:val="24"/>
                <w:rFonts w:ascii="Times New Roman" w:hAnsi="Times New Roman"/>
              </w:rPr>
              <w:t xml:space="preserve">Cabe señalar que a los efectos del artículo 13, apartado 2, letra g), inciso iii), al menos el 80 % de los prestatarios del conjunto habrán de ser pequeñas y medianas empresas en el momento de emitirse la titulización.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sz w:val="24"/>
                <w:rFonts w:ascii="Times New Roman" w:hAnsi="Times New Roman"/>
              </w:rPr>
            </w:pPr>
            <w:r>
              <w:rPr>
                <w:sz w:val="24"/>
                <w:rFonts w:ascii="Times New Roman" w:hAnsi="Times New Roman"/>
              </w:rPr>
              <w:t xml:space="preserve">0440</w:t>
            </w:r>
          </w:p>
        </w:tc>
        <w:tc>
          <w:tcPr>
            <w:tcW w:w="7125" w:type="dxa"/>
            <w:gridSpan w:val="2"/>
            <w:shd w:val="clear" w:color="auto" w:fill="FFFFFF"/>
          </w:tcPr>
          <w:p w14:paraId="253F21CB"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Acciones/participaciones en OIC admisibles:</w:t>
            </w:r>
            <w:r>
              <w:rPr>
                <w:b/>
                <w:sz w:val="24"/>
                <w:rFonts w:ascii="Times New Roman" w:hAnsi="Times New Roman"/>
              </w:rPr>
              <w:t xml:space="preserve"> </w:t>
            </w:r>
            <w:r>
              <w:rPr>
                <w:b/>
                <w:sz w:val="24"/>
                <w:rFonts w:ascii="Times New Roman" w:hAnsi="Times New Roman"/>
              </w:rPr>
              <w:t xml:space="preserve">el subyacente consiste en valores representativos de deuda de empresas (nivel de calidad crediticia 2/3), acciones (índice bursátil importante) o activos no generadores de intereses (en poder de entidades de crédito por motivos religiosos) (nivel de calidad crediticia 3-5)</w:t>
            </w:r>
          </w:p>
          <w:p w14:paraId="5CF65DF5" w14:textId="0467921C" w:rsidR="006E48EA" w:rsidRPr="000B6B22" w:rsidRDefault="00DD4C72">
            <w:pPr>
              <w:spacing w:before="0"/>
              <w:ind w:left="33"/>
              <w:rPr>
                <w:b/>
                <w:bCs/>
                <w:sz w:val="24"/>
                <w:rFonts w:ascii="Times New Roman" w:hAnsi="Times New Roman"/>
              </w:rPr>
            </w:pPr>
            <w:r>
              <w:rPr>
                <w:sz w:val="24"/>
                <w:rFonts w:ascii="Times New Roman" w:hAnsi="Times New Roman"/>
              </w:rPr>
              <w:t xml:space="preserve">Artículo 15, apartado 2, letra h), del Reglamento Delegado (UE) 2015/61</w:t>
            </w:r>
          </w:p>
          <w:p w14:paraId="4AECB1A3" w14:textId="18ACD98B" w:rsidR="006E48EA" w:rsidRPr="000B6B22" w:rsidRDefault="006E48EA">
            <w:pPr>
              <w:spacing w:before="0"/>
              <w:ind w:left="33"/>
              <w:rPr>
                <w:b/>
                <w:sz w:val="24"/>
                <w:rFonts w:ascii="Times New Roman" w:hAnsi="Times New Roman"/>
              </w:rPr>
            </w:pPr>
            <w:r>
              <w:rPr>
                <w:sz w:val="24"/>
                <w:rFonts w:ascii="Times New Roman" w:hAnsi="Times New Roman"/>
              </w:rPr>
              <w:t xml:space="preserve">Acciones o participaciones en OIC cuyos activos subyacentes correspondan a valores representativos de deuda de empresas que cumplan lo dispuesto en el artículo 12, apartado 1, letra b), del Reglamento Delegado (UE) 2015/61, acciones que cumplan lo dispuesto en el artículo 12, apartado 1, letra c), de dicho Reglamento o activos no generadores de intereses que cumplan lo dispuesto en el artículo 12, apartado 1, letra f), de ese mismo Reglamento.</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sz w:val="24"/>
                <w:rFonts w:ascii="Times New Roman" w:hAnsi="Times New Roman"/>
              </w:rPr>
            </w:pPr>
            <w:r>
              <w:rPr>
                <w:sz w:val="24"/>
                <w:rFonts w:ascii="Times New Roman" w:hAnsi="Times New Roman"/>
              </w:rPr>
              <w:t xml:space="preserve">0450</w:t>
            </w:r>
          </w:p>
        </w:tc>
        <w:tc>
          <w:tcPr>
            <w:tcW w:w="7125" w:type="dxa"/>
            <w:gridSpan w:val="2"/>
            <w:shd w:val="clear" w:color="auto" w:fill="FFFFFF"/>
          </w:tcPr>
          <w:p w14:paraId="0F09FD7B" w14:textId="3A225927" w:rsidR="006E48EA" w:rsidRPr="000B6B22" w:rsidRDefault="006E48EA">
            <w:pPr>
              <w:spacing w:before="0"/>
              <w:ind w:left="33"/>
              <w:rPr>
                <w:b/>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Depósitos por los miembros de la red en la entidad central (inversión no obligada)</w:t>
            </w:r>
          </w:p>
          <w:p w14:paraId="064872FC" w14:textId="52C2F4B9" w:rsidR="006E48EA" w:rsidRPr="000B6B22" w:rsidRDefault="00DD4C72">
            <w:pPr>
              <w:spacing w:before="0"/>
              <w:ind w:left="33"/>
              <w:rPr>
                <w:sz w:val="24"/>
                <w:rFonts w:ascii="Times New Roman" w:hAnsi="Times New Roman"/>
              </w:rPr>
            </w:pPr>
            <w:r>
              <w:rPr>
                <w:sz w:val="24"/>
                <w:rFonts w:ascii="Times New Roman" w:hAnsi="Times New Roman"/>
              </w:rPr>
              <w:t xml:space="preserve">Artículo 16, apartado 1, letra b), del Reglamento Delegado (UE) 2015/61</w:t>
            </w:r>
          </w:p>
          <w:p w14:paraId="722CBF74" w14:textId="1C3348F5" w:rsidR="006E48EA" w:rsidRPr="000B6B22" w:rsidRDefault="006E48EA">
            <w:pPr>
              <w:spacing w:before="0"/>
              <w:ind w:left="33"/>
              <w:rPr>
                <w:sz w:val="24"/>
                <w:rFonts w:ascii="Times New Roman" w:hAnsi="Times New Roman"/>
              </w:rPr>
            </w:pPr>
            <w:r>
              <w:rPr>
                <w:sz w:val="24"/>
                <w:rFonts w:ascii="Times New Roman" w:hAnsi="Times New Roman"/>
              </w:rPr>
              <w:t xml:space="preserve">Depósito mínimo que la entidad de crédito mantenga en la entidad de crédito central, a condición de que forme parte de un sistema institucional de protección según se contempla en el artículo 113, apartado 7, del Reglamento (UE) n.º 575/2013, una red que pueda acogerse a la exención prevista en el artículo 10 de dicho Reglamento o una red de cooperativas de crédito en un Estado miembro regulada por disposiciones legales o contractuales.</w:t>
            </w:r>
          </w:p>
          <w:p w14:paraId="25A9A02B" w14:textId="76829A1F" w:rsidR="006E48EA" w:rsidRPr="000B6B22" w:rsidRDefault="006E48EA">
            <w:pPr>
              <w:spacing w:before="0"/>
              <w:ind w:left="33"/>
              <w:rPr>
                <w:sz w:val="24"/>
                <w:rFonts w:ascii="Times New Roman" w:hAnsi="Times New Roman"/>
              </w:rPr>
            </w:pPr>
            <w:r>
              <w:rPr>
                <w:sz w:val="24"/>
                <w:rFonts w:ascii="Times New Roman" w:hAnsi="Times New Roman"/>
              </w:rPr>
              <w:t xml:space="preserve">Las entidades de crédito velarán por que la entidad central no esté obligada, en virtud de disposiciones legales o contractuales, a mantener los depósitos o a invertirlos en activos líquidos de un nivel o categoría especificados.</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sz w:val="24"/>
                <w:rFonts w:ascii="Times New Roman" w:hAnsi="Times New Roman"/>
              </w:rPr>
            </w:pPr>
            <w:r>
              <w:rPr>
                <w:sz w:val="24"/>
                <w:rFonts w:ascii="Times New Roman" w:hAnsi="Times New Roman"/>
              </w:rPr>
              <w:t xml:space="preserve">0460</w:t>
            </w:r>
          </w:p>
        </w:tc>
        <w:tc>
          <w:tcPr>
            <w:tcW w:w="7125" w:type="dxa"/>
            <w:gridSpan w:val="2"/>
            <w:shd w:val="clear" w:color="auto" w:fill="FFFFFF"/>
          </w:tcPr>
          <w:p w14:paraId="6859A571"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Financiación de liquidez de la entidad central a disposición de los miembros de la red (garantías reales no especificadas)</w:t>
            </w:r>
          </w:p>
          <w:p w14:paraId="1C5CBFDF" w14:textId="0B5F7D2B" w:rsidR="006E48EA" w:rsidRPr="000B6B22" w:rsidRDefault="006E48EA">
            <w:pPr>
              <w:spacing w:before="0"/>
              <w:ind w:left="33"/>
              <w:rPr>
                <w:sz w:val="24"/>
                <w:rFonts w:ascii="Times New Roman" w:hAnsi="Times New Roman"/>
              </w:rPr>
            </w:pPr>
            <w:r>
              <w:rPr>
                <w:sz w:val="24"/>
                <w:rFonts w:ascii="Times New Roman" w:hAnsi="Times New Roman"/>
              </w:rPr>
              <w:t xml:space="preserve">Artículo 16, apartado 2, del Reglamento Delegado (UE) 2015/61</w:t>
            </w:r>
          </w:p>
          <w:p w14:paraId="15E0DF47" w14:textId="69518F4B" w:rsidR="006E48EA" w:rsidRPr="000B6B22" w:rsidRDefault="006E48EA">
            <w:pPr>
              <w:spacing w:before="0"/>
              <w:ind w:left="33"/>
              <w:rPr>
                <w:b/>
                <w:sz w:val="24"/>
                <w:rFonts w:ascii="Times New Roman" w:hAnsi="Times New Roman"/>
              </w:rPr>
            </w:pPr>
            <w:r>
              <w:rPr>
                <w:sz w:val="24"/>
                <w:rFonts w:ascii="Times New Roman" w:hAnsi="Times New Roman"/>
              </w:rPr>
              <w:t xml:space="preserve">Importe no utilizado de la financiación de liquidez limitada que cumpla lo dispuesto en el artículo 16, apartado 2, del </w:t>
            </w:r>
            <w:r>
              <w:rPr>
                <w:sz w:val="24"/>
                <w:rFonts w:ascii="Times New Roman" w:hAnsi="Times New Roman"/>
              </w:rPr>
              <w:t xml:space="preserve">Reglamento Delegado (UE)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sz w:val="24"/>
                <w:rFonts w:ascii="Times New Roman" w:hAnsi="Times New Roman"/>
              </w:rPr>
            </w:pPr>
            <w:r>
              <w:rPr>
                <w:sz w:val="24"/>
                <w:rFonts w:ascii="Times New Roman" w:hAnsi="Times New Roman"/>
              </w:rPr>
              <w:t xml:space="preserve">0470</w:t>
            </w:r>
          </w:p>
        </w:tc>
        <w:tc>
          <w:tcPr>
            <w:tcW w:w="7125" w:type="dxa"/>
            <w:gridSpan w:val="2"/>
            <w:shd w:val="clear" w:color="auto" w:fill="FFFFFF"/>
          </w:tcPr>
          <w:p w14:paraId="6776C7F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Entidades de crédito centrales:</w:t>
            </w:r>
            <w:r>
              <w:rPr>
                <w:b/>
                <w:sz w:val="24"/>
                <w:rFonts w:ascii="Times New Roman" w:hAnsi="Times New Roman"/>
              </w:rPr>
              <w:t xml:space="preserve"> </w:t>
            </w:r>
            <w:r>
              <w:rPr>
                <w:b/>
                <w:sz w:val="24"/>
                <w:rFonts w:ascii="Times New Roman" w:hAnsi="Times New Roman"/>
              </w:rPr>
              <w:t xml:space="preserve">activos de nivel 2B que se consideren activos líquidos de la entidad de crédito depositante</w:t>
            </w:r>
          </w:p>
          <w:p w14:paraId="43B4FA57" w14:textId="1AB5970F" w:rsidR="006E48EA" w:rsidRPr="000B6B22" w:rsidRDefault="006E48EA">
            <w:pPr>
              <w:spacing w:before="0"/>
              <w:ind w:left="33"/>
              <w:rPr>
                <w:bCs/>
                <w:sz w:val="24"/>
                <w:rFonts w:ascii="Times New Roman" w:hAnsi="Times New Roman"/>
              </w:rPr>
            </w:pPr>
            <w:r>
              <w:rPr>
                <w:sz w:val="24"/>
                <w:rFonts w:ascii="Times New Roman" w:hAnsi="Times New Roman"/>
              </w:rPr>
              <w:t xml:space="preserve">Artículo 27, apartado 3, del Reglamento Delegado (UE) 2015/61</w:t>
            </w:r>
          </w:p>
          <w:p w14:paraId="15F5F2B2" w14:textId="39ED2491" w:rsidR="006E48EA" w:rsidRPr="000B6B22" w:rsidRDefault="006E48EA">
            <w:pPr>
              <w:spacing w:before="0"/>
              <w:ind w:left="33"/>
              <w:rPr>
                <w:sz w:val="24"/>
                <w:rFonts w:ascii="Times New Roman" w:hAnsi="Times New Roman"/>
              </w:rPr>
            </w:pPr>
            <w:r>
              <w:rPr>
                <w:sz w:val="24"/>
                <w:rFonts w:ascii="Times New Roman" w:hAnsi="Times New Roman"/>
              </w:rPr>
              <w:t xml:space="preserve">De conformidad con el artículo 27, apartado 3, del Reglamento Delegado (UE) 2015/61</w:t>
            </w:r>
            <w:r>
              <w:rPr>
                <w:sz w:val="24"/>
                <w:rFonts w:ascii="Times New Roman" w:hAnsi="Times New Roman"/>
              </w:rPr>
              <w:t xml:space="preserve">, es necesario indicar los activos líquidos que correspondan a los depósitos de entidades de crédito constituidos en la entidad central y que se consideren activos líquidos de la entidad de crédito depositante</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Esos activos líquidos no se contabilizarán para cubrir salidas distintas de las procedentes de los correspondientes depósitos y no se tomarán en consideración para el cálculo de la composición del colchón de liquidez restante, con arreglo al artículo 17, para la entidad central a nivel individual.</w:t>
            </w:r>
          </w:p>
          <w:p w14:paraId="2F3A2634" w14:textId="59A09B8D" w:rsidR="006E48EA" w:rsidRPr="000B6B22" w:rsidRDefault="006E48EA">
            <w:pPr>
              <w:spacing w:before="0"/>
              <w:ind w:left="33"/>
              <w:rPr>
                <w:bCs/>
                <w:sz w:val="24"/>
                <w:rFonts w:ascii="Times New Roman" w:hAnsi="Times New Roman"/>
              </w:rPr>
            </w:pPr>
            <w:r>
              <w:rPr>
                <w:sz w:val="24"/>
                <w:rFonts w:ascii="Times New Roman" w:hAnsi="Times New Roman"/>
              </w:rPr>
              <w:t xml:space="preserve">Al comunicar estos activos, las entidades centrales velarán por que el importe comunicado de esos activos líquidos tras el recorte de valoración no exceda de las salidas de los depósitos correspondientes.</w:t>
            </w:r>
          </w:p>
          <w:p w14:paraId="31FBDA10" w14:textId="77777777" w:rsidR="006E48EA" w:rsidRPr="000B6B22" w:rsidRDefault="006E48EA">
            <w:pPr>
              <w:spacing w:before="0"/>
              <w:ind w:left="33"/>
              <w:rPr>
                <w:b/>
                <w:sz w:val="24"/>
                <w:rFonts w:ascii="Times New Roman" w:hAnsi="Times New Roman"/>
              </w:rPr>
            </w:pPr>
            <w:r>
              <w:rPr>
                <w:sz w:val="24"/>
                <w:rFonts w:ascii="Times New Roman" w:hAnsi="Times New Roman"/>
              </w:rPr>
              <w:t xml:space="preserve">Los activos a que se refiere esta fila son activos de nivel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b/>
                <w:sz w:val="24"/>
                <w:rFonts w:ascii="Times New Roman" w:hAnsi="Times New Roman"/>
              </w:rPr>
            </w:pPr>
            <w:r>
              <w:rPr>
                <w:b/>
                <w:sz w:val="24"/>
                <w:rFonts w:ascii="Times New Roman" w:hAnsi="Times New Roman"/>
              </w:rPr>
              <w:t xml:space="preserve">PRO MEMORIA</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sz w:val="24"/>
                <w:rFonts w:ascii="Times New Roman" w:hAnsi="Times New Roman"/>
              </w:rPr>
            </w:pPr>
            <w:r>
              <w:rPr>
                <w:sz w:val="24"/>
                <w:rFonts w:ascii="Times New Roman" w:hAnsi="Times New Roman"/>
              </w:rPr>
              <w:t xml:space="preserve">0485</w:t>
            </w:r>
          </w:p>
        </w:tc>
        <w:tc>
          <w:tcPr>
            <w:tcW w:w="7125" w:type="dxa"/>
            <w:gridSpan w:val="2"/>
            <w:shd w:val="clear" w:color="auto" w:fill="FFFFFF"/>
          </w:tcPr>
          <w:p w14:paraId="6AE21776" w14:textId="29AF70E7" w:rsidR="008E0E1A" w:rsidRPr="000B6B22" w:rsidRDefault="008E0E1A">
            <w:pPr>
              <w:spacing w:before="0"/>
              <w:ind w:left="33"/>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Depósitos por los miembros de la red en la entidad central (inversión obligada)</w:t>
            </w:r>
          </w:p>
          <w:p w14:paraId="7FBD1F18" w14:textId="1A48C16F" w:rsidR="008E0E1A" w:rsidRPr="000B6B22" w:rsidRDefault="00DD4C72">
            <w:pPr>
              <w:spacing w:before="0"/>
              <w:ind w:left="33"/>
              <w:rPr>
                <w:sz w:val="24"/>
                <w:rFonts w:ascii="Times New Roman" w:hAnsi="Times New Roman"/>
              </w:rPr>
            </w:pPr>
            <w:r>
              <w:rPr>
                <w:sz w:val="24"/>
                <w:rFonts w:ascii="Times New Roman" w:hAnsi="Times New Roman"/>
              </w:rPr>
              <w:t xml:space="preserve">Artículo 16, apartado 1, letra a), del </w:t>
            </w:r>
            <w:r>
              <w:rPr>
                <w:sz w:val="24"/>
                <w:rFonts w:ascii="Times New Roman" w:hAnsi="Times New Roman"/>
              </w:rPr>
              <w:t xml:space="preserve">Reglamento Delegado (UE) 2015/61.</w:t>
            </w:r>
          </w:p>
          <w:p w14:paraId="36B9E6DD" w14:textId="78F324AE" w:rsidR="008E0E1A" w:rsidRPr="000B6B22" w:rsidRDefault="008E0E1A">
            <w:pPr>
              <w:spacing w:before="0"/>
              <w:ind w:left="33"/>
              <w:rPr>
                <w:b/>
                <w:sz w:val="24"/>
                <w:rFonts w:ascii="Times New Roman" w:hAnsi="Times New Roman"/>
              </w:rPr>
            </w:pPr>
            <w:r>
              <w:rPr>
                <w:sz w:val="24"/>
                <w:rFonts w:ascii="Times New Roman" w:hAnsi="Times New Roman"/>
              </w:rPr>
              <w:t xml:space="preserve">Las entidades de crédito comunicarán el importe total de los activos comunicados en las secciones anteriores, con arreglo a lo dispuesto en el artículo 16, apartado 1, letra a), del Reglamento Delegado (UE)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sz w:val="24"/>
                <w:rFonts w:ascii="Times New Roman" w:hAnsi="Times New Roman"/>
              </w:rPr>
            </w:pPr>
            <w:r>
              <w:rPr>
                <w:sz w:val="24"/>
                <w:rFonts w:ascii="Times New Roman" w:hAnsi="Times New Roman"/>
              </w:rPr>
              <w:t xml:space="preserve">0580</w:t>
            </w:r>
          </w:p>
        </w:tc>
        <w:tc>
          <w:tcPr>
            <w:tcW w:w="7125" w:type="dxa"/>
            <w:gridSpan w:val="2"/>
            <w:shd w:val="clear" w:color="auto" w:fill="FFFFFF"/>
          </w:tcPr>
          <w:p w14:paraId="2D95B476" w14:textId="1E863E1B" w:rsidR="001610DF" w:rsidRPr="000B6B22" w:rsidRDefault="008E0E1A">
            <w:pPr>
              <w:spacing w:before="0"/>
              <w:ind w:left="33"/>
              <w:rPr>
                <w:b/>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Activos de nivel 1/2A/2B excluidos por razones monetarias</w:t>
            </w:r>
          </w:p>
          <w:p w14:paraId="5ED093AB" w14:textId="22D331C1" w:rsidR="001610DF" w:rsidRPr="000B6B22" w:rsidRDefault="008A1680">
            <w:pPr>
              <w:spacing w:before="0"/>
              <w:ind w:left="33"/>
              <w:rPr>
                <w:b/>
                <w:sz w:val="24"/>
                <w:rFonts w:ascii="Times New Roman" w:hAnsi="Times New Roman"/>
              </w:rPr>
            </w:pPr>
            <w:r>
              <w:rPr>
                <w:sz w:val="24"/>
                <w:rFonts w:ascii="Times New Roman" w:hAnsi="Times New Roman"/>
              </w:rPr>
              <w:t xml:space="preserve">Artículo 8, apartado 6, artículo 10, apartado 1, letra d), y artículo 12, apartado 1, letra c), del </w:t>
            </w:r>
            <w:r>
              <w:rPr>
                <w:sz w:val="24"/>
                <w:rFonts w:ascii="Times New Roman" w:hAnsi="Times New Roman"/>
              </w:rPr>
              <w:t xml:space="preserve">Reglamento Delegado (UE) 2015/61</w:t>
            </w:r>
          </w:p>
          <w:p w14:paraId="4912F30C" w14:textId="1B288D69" w:rsidR="001610DF" w:rsidRPr="000B6B22" w:rsidRDefault="001610DF">
            <w:pPr>
              <w:spacing w:before="0"/>
              <w:ind w:left="33"/>
              <w:rPr>
                <w:b/>
                <w:sz w:val="24"/>
                <w:rFonts w:ascii="Times New Roman" w:hAnsi="Times New Roman"/>
              </w:rPr>
            </w:pPr>
            <w:r>
              <w:rPr>
                <w:sz w:val="24"/>
                <w:rFonts w:ascii="Times New Roman" w:hAnsi="Times New Roman"/>
              </w:rPr>
              <w:t xml:space="preserve">Las entidades comunicarán la parte de los activos de nivel 1, de nivel 2A y de nivel 2B mencionados en los artículos 10 a 16 que no puedan reconocer de conformidad con el artículo 8, apartado 6, el artículo 10, apartado 1, letra d), y el artículo 12, apartado 1, letra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sz w:val="24"/>
                <w:rFonts w:ascii="Times New Roman" w:hAnsi="Times New Roman"/>
              </w:rPr>
            </w:pPr>
            <w:r>
              <w:rPr>
                <w:sz w:val="24"/>
                <w:rFonts w:ascii="Times New Roman" w:hAnsi="Times New Roman"/>
              </w:rPr>
              <w:t xml:space="preserve">0590</w:t>
            </w:r>
          </w:p>
        </w:tc>
        <w:tc>
          <w:tcPr>
            <w:tcW w:w="7125" w:type="dxa"/>
            <w:gridSpan w:val="2"/>
            <w:shd w:val="clear" w:color="auto" w:fill="FFFFFF"/>
          </w:tcPr>
          <w:p w14:paraId="22945565" w14:textId="419CD43A" w:rsidR="001610DF" w:rsidRPr="000B6B22" w:rsidRDefault="008E0E1A">
            <w:pPr>
              <w:spacing w:before="0"/>
              <w:ind w:left="33"/>
              <w:rPr>
                <w:b/>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Activos de nivel 1/2A/2B excluidos por razones operativas, excepto las monetarias</w:t>
            </w:r>
          </w:p>
          <w:p w14:paraId="2BF4C9BB" w14:textId="29A9C871" w:rsidR="001610DF" w:rsidRPr="000B6B22" w:rsidRDefault="008A1680">
            <w:pPr>
              <w:spacing w:before="0"/>
              <w:ind w:left="33"/>
              <w:rPr>
                <w:b/>
                <w:bCs/>
                <w:sz w:val="24"/>
                <w:rFonts w:ascii="Times New Roman" w:hAnsi="Times New Roman"/>
              </w:rPr>
            </w:pPr>
            <w:r>
              <w:rPr>
                <w:sz w:val="24"/>
                <w:rFonts w:ascii="Times New Roman" w:hAnsi="Times New Roman"/>
              </w:rPr>
              <w:t xml:space="preserve">Artículo 8 del Reglamento Delegado (UE) 2015/61</w:t>
            </w:r>
          </w:p>
          <w:p w14:paraId="2DBDE97A" w14:textId="7DC5B5E1" w:rsidR="001610DF" w:rsidRPr="000B6B22" w:rsidRDefault="001610DF">
            <w:pPr>
              <w:spacing w:before="0"/>
              <w:ind w:left="33"/>
              <w:rPr>
                <w:b/>
                <w:sz w:val="24"/>
                <w:rFonts w:ascii="Times New Roman" w:hAnsi="Times New Roman"/>
              </w:rPr>
            </w:pPr>
            <w:r>
              <w:rPr>
                <w:sz w:val="24"/>
                <w:rFonts w:ascii="Times New Roman" w:hAnsi="Times New Roman"/>
              </w:rPr>
              <w:t xml:space="preserve">Las entidades de crédito comunicarán los activos que cumplan lo dispuesto en el artículo 7 del Reglamento Delegado (UE) 2015/61, pero que no satisfagan los requisitos establecidos en el artículo 8 de ese Reglamento Delegado, siempre que no se hayan consignado en la fila 0580 por razones monetarias.</w:t>
            </w:r>
          </w:p>
        </w:tc>
      </w:tr>
    </w:tbl>
    <w:p w14:paraId="410D89DD" w14:textId="77777777" w:rsidR="006E48EA" w:rsidRPr="000B6B22" w:rsidRDefault="006E48EA">
      <w:pPr>
        <w:spacing w:before="0"/>
        <w:rPr>
          <w:sz w:val="24"/>
          <w:rFonts w:ascii="Times New Roman" w:hAnsi="Times New Roman"/>
        </w:rPr>
      </w:pPr>
      <w:r>
        <w:br w:type="page"/>
      </w:r>
    </w:p>
    <w:p w14:paraId="3F6EB39C" w14:textId="6DBB31FE" w:rsidR="006E48EA" w:rsidRPr="000B6B22" w:rsidRDefault="006E48EA" w:rsidP="009D4EFF">
      <w:pPr>
        <w:spacing w:before="0"/>
        <w:ind w:right="1988"/>
        <w:rPr>
          <w:sz w:val="24"/>
          <w:rFonts w:ascii="Times New Roman" w:eastAsia="Verdana" w:hAnsi="Times New Roman"/>
        </w:rPr>
      </w:pPr>
      <w:r>
        <w:rPr>
          <w:b/>
          <w:sz w:val="24"/>
          <w:u w:color="000000"/>
          <w:rFonts w:ascii="Times New Roman" w:hAnsi="Times New Roman"/>
        </w:rPr>
        <w:t xml:space="preserve">PARTE 2.</w:t>
      </w:r>
      <w:r>
        <w:rPr>
          <w:b/>
          <w:sz w:val="24"/>
          <w:u w:color="000000"/>
          <w:rFonts w:ascii="Times New Roman" w:hAnsi="Times New Roman"/>
        </w:rPr>
        <w:t xml:space="preserve"> </w:t>
      </w:r>
      <w:r>
        <w:rPr>
          <w:b/>
          <w:sz w:val="24"/>
          <w:u w:color="000000"/>
          <w:rFonts w:ascii="Times New Roman" w:hAnsi="Times New Roman"/>
        </w:rPr>
        <w:t xml:space="preserve">SALIDAS</w:t>
      </w:r>
    </w:p>
    <w:p w14:paraId="14ED36B9" w14:textId="5BDC31A5"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Salidas</w:t>
      </w:r>
    </w:p>
    <w:p w14:paraId="6B5922E2" w14:textId="10281299"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Observaciones generales</w:t>
      </w:r>
    </w:p>
    <w:p w14:paraId="559C2379" w14:textId="1DA73C99" w:rsidR="006E48EA" w:rsidRPr="000B6B22" w:rsidRDefault="006E48EA" w:rsidP="009D4EFF">
      <w:pPr>
        <w:widowControl w:val="0"/>
        <w:tabs>
          <w:tab w:val="left" w:pos="1397"/>
        </w:tabs>
        <w:spacing w:before="0"/>
        <w:ind w:left="1396" w:right="114" w:hanging="849"/>
        <w:rPr>
          <w:sz w:val="24"/>
          <w:rFonts w:ascii="Times New Roman" w:eastAsia="Verdana"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Se trata de una plantilla resumen que contiene información sobre las salidas de liquidez durante los 30 días siguientes, con vistas a dar cuenta del requisito de cobertura de la liquidez que se especifica en el Reglamento Delegado (UE) 2015/61.</w:t>
      </w:r>
      <w:r>
        <w:rPr>
          <w:sz w:val="24"/>
          <w:rFonts w:ascii="Times New Roman" w:hAnsi="Times New Roman"/>
        </w:rPr>
        <w:t xml:space="preserve"> </w:t>
      </w:r>
      <w:r>
        <w:rPr>
          <w:sz w:val="24"/>
          <w:rFonts w:ascii="Times New Roman" w:hAnsi="Times New Roman"/>
        </w:rPr>
        <w:t xml:space="preserve">Las partidas que no deben ser cumplimentadas por las entidades de crédito están sombreadas en gris.</w:t>
      </w:r>
    </w:p>
    <w:p w14:paraId="6209BE09" w14:textId="1C451C68" w:rsidR="006E48EA" w:rsidRPr="000B6B22" w:rsidRDefault="006E48EA" w:rsidP="009D4EFF">
      <w:pPr>
        <w:widowControl w:val="0"/>
        <w:tabs>
          <w:tab w:val="left" w:pos="1397"/>
        </w:tabs>
        <w:spacing w:before="0"/>
        <w:ind w:left="1396" w:right="118" w:hanging="849"/>
        <w:rPr>
          <w:sz w:val="24"/>
          <w:rFonts w:ascii="Times New Roman" w:eastAsia="Verdana"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Las entidades de crédito presentarán la plantilla en las correspondientes monedas con arreglo al artículo 415, apartado 2, del Reglamento (UE) n.º 575/2013.</w:t>
      </w:r>
    </w:p>
    <w:p w14:paraId="2ACC3A62" w14:textId="33CC7108" w:rsidR="006E48EA" w:rsidRPr="000B6B22" w:rsidRDefault="006E48EA" w:rsidP="009D4EFF">
      <w:pPr>
        <w:widowControl w:val="0"/>
        <w:spacing w:before="0"/>
        <w:ind w:left="1396" w:right="114" w:hanging="829"/>
        <w:rPr>
          <w:sz w:val="24"/>
          <w:rFonts w:ascii="Times New Roman" w:eastAsia="Verdana" w:hAnsi="Times New Roman"/>
        </w:rPr>
      </w:pPr>
      <w:r>
        <w:rPr>
          <w:sz w:val="24"/>
          <w:rFonts w:ascii="Times New Roman" w:hAnsi="Times New Roman"/>
        </w:rPr>
        <w:t xml:space="preserve">3.</w:t>
      </w:r>
      <w:r>
        <w:rPr>
          <w:sz w:val="24"/>
          <w:rFonts w:ascii="Times New Roman" w:hAnsi="Times New Roman"/>
        </w:rPr>
        <w:tab/>
      </w:r>
      <w:r>
        <w:rPr>
          <w:sz w:val="24"/>
          <w:rFonts w:ascii="Times New Roman" w:hAnsi="Times New Roman"/>
        </w:rPr>
        <w:t xml:space="preserve">En la plantilla conexa a las presentes instrucciones se incluyen algunas partidas pro memoria.</w:t>
      </w:r>
      <w:r>
        <w:rPr>
          <w:sz w:val="24"/>
          <w:rFonts w:ascii="Times New Roman" w:hAnsi="Times New Roman"/>
        </w:rPr>
        <w:t xml:space="preserve"> </w:t>
      </w:r>
      <w:r>
        <w:rPr>
          <w:sz w:val="24"/>
          <w:rFonts w:ascii="Times New Roman" w:hAnsi="Times New Roman"/>
        </w:rPr>
        <w:t xml:space="preserve">Si bien no son estrictamente necesarias para el cálculo de la ratio en sí, deben cumplimentarse,</w:t>
      </w:r>
      <w:r>
        <w:rPr>
          <w:sz w:val="24"/>
          <w:rFonts w:ascii="Times New Roman" w:hAnsi="Times New Roman"/>
        </w:rPr>
        <w:t xml:space="preserve"> </w:t>
      </w:r>
      <w:r>
        <w:rPr>
          <w:sz w:val="24"/>
          <w:rFonts w:ascii="Times New Roman" w:hAnsi="Times New Roman"/>
        </w:rPr>
        <w:t xml:space="preserve">ya que proporcionan a las autoridades competentes información sin la cual no podría llevar a cabo una evaluación adecuada del cumplimiento de los requisitos de liquidez por parte de las entidades de crédito.</w:t>
      </w:r>
      <w:r>
        <w:rPr>
          <w:sz w:val="24"/>
          <w:rFonts w:ascii="Times New Roman" w:hAnsi="Times New Roman"/>
        </w:rPr>
        <w:t xml:space="preserve"> </w:t>
      </w:r>
      <w:r>
        <w:rPr>
          <w:sz w:val="24"/>
          <w:rFonts w:ascii="Times New Roman" w:hAnsi="Times New Roman"/>
        </w:rPr>
        <w:t xml:space="preserve">En algunos casos ofrecen un mayor desglose de las partidas incluidas en las secciones principales de las plantillas y, en otros, reflejan recursos de liquidez adicionales a los que pueden tener acceso las entidades de crédito.</w:t>
      </w:r>
    </w:p>
    <w:p w14:paraId="77E896A4" w14:textId="45190344" w:rsidR="006E48EA" w:rsidRPr="000B6B22" w:rsidRDefault="006E48EA" w:rsidP="009D4EFF">
      <w:pPr>
        <w:widowControl w:val="0"/>
        <w:tabs>
          <w:tab w:val="left" w:pos="1397"/>
        </w:tabs>
        <w:spacing w:before="0"/>
        <w:ind w:left="1396" w:right="116" w:hanging="849"/>
        <w:rPr>
          <w:sz w:val="24"/>
          <w:rFonts w:ascii="Times New Roman" w:eastAsia="Verdana" w:hAnsi="Times New Roman"/>
        </w:rPr>
      </w:pPr>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De conformidad con el artículo 22, apartado 1, del Reglamento Delegado (UE) 2015/61, las salidas de liquidez:</w:t>
      </w:r>
    </w:p>
    <w:p w14:paraId="30E81800" w14:textId="5488AFA4" w:rsidR="006E48EA" w:rsidRPr="000B6B22" w:rsidRDefault="006E48EA" w:rsidP="009D4EFF">
      <w:pPr>
        <w:widowControl w:val="0"/>
        <w:tabs>
          <w:tab w:val="left" w:pos="2530"/>
        </w:tabs>
        <w:spacing w:before="0"/>
        <w:ind w:left="2529" w:right="115" w:hanging="681"/>
        <w:rPr>
          <w:sz w:val="24"/>
          <w:rFonts w:ascii="Times New Roman" w:eastAsia="Verdana"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incluirán las categorías a que se refiere el artículo 22, apartado 2, del Reglamento Delegado (UE) 2015/61</w:t>
      </w:r>
    </w:p>
    <w:p w14:paraId="52ED8CBE" w14:textId="1AC6F794" w:rsidR="006E48EA" w:rsidRPr="000B6B22" w:rsidRDefault="006E48EA" w:rsidP="009D4EFF">
      <w:pPr>
        <w:widowControl w:val="0"/>
        <w:tabs>
          <w:tab w:val="left" w:pos="2530"/>
        </w:tabs>
        <w:spacing w:before="0"/>
        <w:ind w:left="2529" w:right="113" w:hanging="732"/>
        <w:rPr>
          <w:sz w:val="24"/>
          <w:rFonts w:ascii="Times New Roman" w:eastAsia="Verdana"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se calcularán multiplicando los saldos vivos de diversas categorías de pasivos y compromisos fuera de balance por los índices a los que se prevé que se retirarán o se utilizarán conforme se indica en el Reglamento Delegado (UE) 2015/61.</w:t>
      </w:r>
    </w:p>
    <w:p w14:paraId="7E3D3F91" w14:textId="5E14A9CD" w:rsidR="006E48EA" w:rsidRPr="000B6B22" w:rsidRDefault="006E48EA" w:rsidP="009D4EFF">
      <w:pPr>
        <w:widowControl w:val="0"/>
        <w:tabs>
          <w:tab w:val="left" w:pos="1397"/>
        </w:tabs>
        <w:spacing w:before="0"/>
        <w:ind w:left="1396" w:right="115" w:hanging="849"/>
        <w:rPr>
          <w:sz w:val="24"/>
          <w:rFonts w:ascii="Times New Roman" w:eastAsia="Verdana" w:hAnsi="Times New Roman"/>
        </w:rPr>
      </w:pPr>
      <w:r>
        <w:rPr>
          <w:sz w:val="24"/>
          <w:rFonts w:ascii="Times New Roman" w:hAnsi="Times New Roman"/>
        </w:rPr>
        <w:t xml:space="preserve">5.</w:t>
      </w:r>
      <w:r>
        <w:rPr>
          <w:sz w:val="24"/>
          <w:rFonts w:ascii="Times New Roman" w:hAnsi="Times New Roman"/>
        </w:rPr>
        <w:tab/>
      </w:r>
      <w:r>
        <w:rPr>
          <w:sz w:val="24"/>
          <w:rFonts w:ascii="Times New Roman" w:hAnsi="Times New Roman"/>
        </w:rPr>
        <w:t xml:space="preserve">El Reglamento Delegado (UE) 2015/61 solo hace referencia a los índices y recortes de valoración aplicables, y el término «ponderación» remite simplemente a ellos.</w:t>
      </w:r>
      <w:r>
        <w:rPr>
          <w:sz w:val="24"/>
          <w:rFonts w:ascii="Times New Roman" w:hAnsi="Times New Roman"/>
        </w:rPr>
        <w:t xml:space="preserve"> </w:t>
      </w:r>
      <w:r>
        <w:rPr>
          <w:sz w:val="24"/>
          <w:rFonts w:ascii="Times New Roman" w:hAnsi="Times New Roman"/>
        </w:rPr>
        <w:t xml:space="preserve">El término «ponderado» en las presentes instrucciones se entenderá como un término general que indica el importe obtenido tras aplicar los correspondientes recortes de valoración, índices y cualesquiera otras instrucciones adicionales pertinentes (por ejemplo, en el caso de operaciones de préstamo y financiación garantizadas).</w:t>
      </w:r>
    </w:p>
    <w:p w14:paraId="0EBCA91F" w14:textId="59C310C9" w:rsidR="006E48EA" w:rsidRPr="000B6B22" w:rsidRDefault="006E48EA" w:rsidP="009D4EFF">
      <w:pPr>
        <w:widowControl w:val="0"/>
        <w:tabs>
          <w:tab w:val="left" w:pos="1397"/>
        </w:tabs>
        <w:spacing w:before="0"/>
        <w:ind w:left="1396" w:right="113" w:hanging="849"/>
        <w:rPr>
          <w:sz w:val="24"/>
          <w:rFonts w:ascii="Times New Roman" w:eastAsia="Verdana" w:hAnsi="Times New Roman"/>
        </w:rPr>
      </w:pPr>
      <w:r>
        <w:rPr>
          <w:sz w:val="24"/>
          <w:rFonts w:ascii="Times New Roman" w:hAnsi="Times New Roman"/>
        </w:rPr>
        <w:t xml:space="preserve">6.</w:t>
      </w:r>
      <w:r>
        <w:rPr>
          <w:sz w:val="24"/>
          <w:rFonts w:ascii="Times New Roman" w:hAnsi="Times New Roman"/>
        </w:rPr>
        <w:tab/>
      </w:r>
      <w:r>
        <w:rPr>
          <w:sz w:val="24"/>
          <w:rFonts w:ascii="Times New Roman" w:hAnsi="Times New Roman"/>
        </w:rPr>
        <w:t xml:space="preserve">Las salidas en el marco de un grupo o un sistema institucional de protección (salvo las salidas derivadas de líneas de crédito o liquidez no utilizadas otorgadas por los miembros de un grupo o un sistema institucional de protección en relación con las cuales la autoridad competente haya autorizado la aplicación de un índice de salida preferencial y las salidas de depósitos operativos mantenidos en el marco de un sistema institucional de protección o red de cooperativas) se asignarán a las categorías pertinentes.</w:t>
      </w:r>
      <w:r>
        <w:rPr>
          <w:sz w:val="24"/>
          <w:rFonts w:ascii="Times New Roman" w:hAnsi="Times New Roman"/>
        </w:rPr>
        <w:t xml:space="preserve"> </w:t>
      </w:r>
      <w:r>
        <w:rPr>
          <w:sz w:val="24"/>
          <w:rFonts w:ascii="Times New Roman" w:hAnsi="Times New Roman"/>
        </w:rPr>
        <w:t xml:space="preserve">Esas salidas se comunicarán asimismo por separado como partidas pro memoria.</w:t>
      </w:r>
    </w:p>
    <w:p w14:paraId="76B0BF15" w14:textId="34AA8642" w:rsidR="006E48EA" w:rsidRPr="000B6B22" w:rsidRDefault="006E48EA" w:rsidP="009D4EFF">
      <w:pPr>
        <w:widowControl w:val="0"/>
        <w:spacing w:before="0"/>
        <w:ind w:left="1376" w:right="116" w:hanging="809"/>
        <w:rPr>
          <w:sz w:val="24"/>
          <w:rFonts w:ascii="Times New Roman" w:eastAsia="Verdana" w:hAnsi="Times New Roman"/>
        </w:rPr>
      </w:pPr>
      <w:r>
        <w:rPr>
          <w:sz w:val="24"/>
          <w:rFonts w:ascii="Times New Roman" w:hAnsi="Times New Roman"/>
        </w:rPr>
        <w:t xml:space="preserve">7.</w:t>
      </w:r>
      <w:r>
        <w:rPr>
          <w:sz w:val="24"/>
          <w:rFonts w:ascii="Times New Roman" w:hAnsi="Times New Roman"/>
        </w:rPr>
        <w:tab/>
      </w:r>
      <w:r>
        <w:rPr>
          <w:sz w:val="24"/>
          <w:rFonts w:ascii="Times New Roman" w:hAnsi="Times New Roman"/>
        </w:rPr>
        <w:t xml:space="preserve">Las salidas de liquidez se comunicarán solo una vez en la plantilla, salvo que sean aplicables salidas adicionales conforme a lo dispuesto en el artículo 30 del Reglamento Delegado (UE) 2015/61 o cuando la partida sea una partida «de los/las cuales» o una partida pro memoria.</w:t>
      </w:r>
      <w:r>
        <w:rPr>
          <w:sz w:val="24"/>
          <w:rFonts w:ascii="Times New Roman" w:hAnsi="Times New Roman"/>
        </w:rPr>
        <w:t xml:space="preserve"> </w:t>
      </w:r>
    </w:p>
    <w:p w14:paraId="759F8B00" w14:textId="0A11D0D4" w:rsidR="006E48EA" w:rsidRPr="000B6B22" w:rsidRDefault="006E48EA" w:rsidP="009D4EFF">
      <w:pPr>
        <w:widowControl w:val="0"/>
        <w:tabs>
          <w:tab w:val="left" w:pos="1377"/>
        </w:tabs>
        <w:spacing w:before="0"/>
        <w:ind w:left="1376" w:hanging="849"/>
        <w:rPr>
          <w:sz w:val="24"/>
          <w:rFonts w:ascii="Times New Roman" w:eastAsia="Verdana" w:hAnsi="Times New Roman"/>
        </w:rPr>
      </w:pPr>
      <w:r>
        <w:rPr>
          <w:sz w:val="24"/>
          <w:rFonts w:ascii="Times New Roman" w:hAnsi="Times New Roman"/>
        </w:rPr>
        <w:t xml:space="preserve">8.</w:t>
      </w:r>
      <w:r>
        <w:rPr>
          <w:sz w:val="24"/>
          <w:rFonts w:ascii="Times New Roman" w:hAnsi="Times New Roman"/>
        </w:rPr>
        <w:tab/>
      </w:r>
      <w:r>
        <w:rPr>
          <w:sz w:val="24"/>
          <w:rFonts w:ascii="Times New Roman" w:hAnsi="Times New Roman"/>
        </w:rPr>
        <w:t xml:space="preserve">En el caso de la comunicación de información por separado a que se refiere el artículo 415, apartado 2, del Reglamento (UE) n.º 575/2013, se aplicarán siempre las siguientes disposiciones:</w:t>
      </w:r>
    </w:p>
    <w:p w14:paraId="04A4814E" w14:textId="77777777" w:rsidR="006E48EA" w:rsidRPr="000B6B22" w:rsidRDefault="006E48EA" w:rsidP="009D4EFF">
      <w:pPr>
        <w:widowControl w:val="0"/>
        <w:tabs>
          <w:tab w:val="left" w:pos="1737"/>
        </w:tabs>
        <w:spacing w:before="0"/>
        <w:ind w:left="173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 únicamente se comunicarán las partidas y los flujos denominados en esa moneda;</w:t>
      </w:r>
    </w:p>
    <w:p w14:paraId="36013C04" w14:textId="77777777"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en caso de desfase de monedas entre componentes de una operación, únicamente se comunicará la</w:t>
      </w:r>
      <w:r>
        <w:rPr>
          <w:sz w:val="24"/>
          <w:rFonts w:ascii="Times New Roman" w:hAnsi="Times New Roman"/>
        </w:rPr>
        <w:t xml:space="preserve"> </w:t>
      </w:r>
      <w:r>
        <w:rPr>
          <w:sz w:val="24"/>
          <w:u w:color="000000"/>
          <w:rFonts w:ascii="Times New Roman" w:hAnsi="Times New Roman"/>
        </w:rPr>
        <w:t xml:space="preserve">parte expresada en esa moneda;</w:t>
      </w:r>
    </w:p>
    <w:p w14:paraId="68684582" w14:textId="51842861"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en los casos en que el Reglamento Delegado (UE) 2015/61 permita la compensación, esta</w:t>
      </w:r>
      <w:r>
        <w:rPr>
          <w:sz w:val="24"/>
          <w:rFonts w:ascii="Times New Roman" w:hAnsi="Times New Roman"/>
        </w:rPr>
        <w:t xml:space="preserve"> </w:t>
      </w:r>
      <w:r>
        <w:rPr>
          <w:sz w:val="24"/>
          <w:u w:color="000000"/>
          <w:rFonts w:ascii="Times New Roman" w:hAnsi="Times New Roman"/>
        </w:rPr>
        <w:t xml:space="preserve">solo podrá aplicarse a los flujos en esa moneda;</w:t>
      </w:r>
    </w:p>
    <w:p w14:paraId="033F8730" w14:textId="69CD1D84" w:rsidR="006E48EA" w:rsidRPr="000B6B22" w:rsidRDefault="006E48EA" w:rsidP="009D4EFF">
      <w:pPr>
        <w:widowControl w:val="0"/>
        <w:tabs>
          <w:tab w:val="left" w:pos="1737"/>
        </w:tabs>
        <w:spacing w:before="0"/>
        <w:ind w:left="1736" w:right="119"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 cuando un flujo pueda producirse en distintas monedas, la entidad de crédito determinará en qué moneda es probable que se produzca y comunicará la partida únicamente en esa moneda concreta.</w:t>
      </w:r>
    </w:p>
    <w:p w14:paraId="3731F2B0" w14:textId="12CB8C9C" w:rsidR="006E48EA" w:rsidRPr="000B6B22" w:rsidRDefault="006E48EA" w:rsidP="009D4EFF">
      <w:pPr>
        <w:widowControl w:val="0"/>
        <w:tabs>
          <w:tab w:val="left" w:pos="1377"/>
        </w:tabs>
        <w:spacing w:before="0"/>
        <w:ind w:left="1376" w:right="115" w:hanging="849"/>
        <w:rPr>
          <w:sz w:val="24"/>
          <w:rFonts w:ascii="Times New Roman" w:eastAsia="Verdana" w:hAnsi="Times New Roman"/>
        </w:rPr>
      </w:pPr>
      <w:r>
        <w:rPr>
          <w:sz w:val="24"/>
          <w:rFonts w:ascii="Times New Roman" w:hAnsi="Times New Roman"/>
        </w:rPr>
        <w:t xml:space="preserve">9.</w:t>
      </w:r>
      <w:r>
        <w:rPr>
          <w:sz w:val="24"/>
          <w:rFonts w:ascii="Times New Roman" w:hAnsi="Times New Roman"/>
        </w:rPr>
        <w:tab/>
      </w:r>
      <w:r>
        <w:rPr>
          <w:sz w:val="24"/>
          <w:rFonts w:ascii="Times New Roman" w:hAnsi="Times New Roman"/>
        </w:rPr>
        <w:t xml:space="preserve">Las ponderaciones estándar que se indican en la columna 0040 de la plantilla C 73.00 del anexo XXIV son las especificadas por defecto en el Reglamento Delegado (UE) 2015/61 y se incluyen aquí con fines de información.</w:t>
      </w:r>
    </w:p>
    <w:p w14:paraId="123810E6" w14:textId="25DE07FA" w:rsidR="006E48EA" w:rsidRPr="000B6B22" w:rsidRDefault="006E48EA" w:rsidP="009D4EFF">
      <w:pPr>
        <w:widowControl w:val="0"/>
        <w:tabs>
          <w:tab w:val="left" w:pos="1377"/>
        </w:tabs>
        <w:spacing w:before="0"/>
        <w:ind w:left="1376" w:right="113" w:hanging="849"/>
        <w:rPr>
          <w:sz w:val="24"/>
          <w:rFonts w:ascii="Times New Roman" w:eastAsia="Verdana" w:hAnsi="Times New Roman"/>
        </w:rPr>
      </w:pPr>
      <w:r>
        <w:rPr>
          <w:sz w:val="24"/>
          <w:rFonts w:ascii="Times New Roman" w:hAnsi="Times New Roman"/>
        </w:rPr>
        <w:t xml:space="preserve">10.</w:t>
      </w:r>
      <w:r>
        <w:rPr>
          <w:sz w:val="24"/>
          <w:rFonts w:ascii="Times New Roman" w:hAnsi="Times New Roman"/>
        </w:rPr>
        <w:tab/>
      </w:r>
      <w:r>
        <w:rPr>
          <w:sz w:val="24"/>
          <w:rFonts w:ascii="Times New Roman" w:hAnsi="Times New Roman"/>
        </w:rPr>
        <w:t xml:space="preserve">La plantilla contiene información sobre los flujos de liquidez con garantías reales, mencionados como «operaciones de préstamo garantizadas y operaciones vinculadas al mercado de capitales» en el Reglamento Delegado (UE) 2015/61, a efectos del cálculo de la ratio de cobertura de liquidez, tal como se define en dicho Reglamento.</w:t>
      </w:r>
      <w:r>
        <w:rPr>
          <w:sz w:val="24"/>
          <w:rFonts w:ascii="Times New Roman" w:hAnsi="Times New Roman"/>
        </w:rPr>
        <w:t xml:space="preserve"> </w:t>
      </w:r>
      <w:r>
        <w:rPr>
          <w:sz w:val="24"/>
          <w:rFonts w:ascii="Times New Roman" w:hAnsi="Times New Roman"/>
        </w:rPr>
        <w:t xml:space="preserve">Cuando esas operaciones se realicen con el respaldo de un conjunto de garantías reales, la identificación de los activos específicos pignorados a efectos de la comunicación de información en esta plantilla se hará con arreglo a las categorías de activos líquidos que se especifican en el título II, capítulo 2, del Reglamento Delegado (UE) 2015/61, empezando por los activos menos líquidos.</w:t>
      </w:r>
      <w:r>
        <w:rPr>
          <w:sz w:val="24"/>
          <w:rFonts w:ascii="Times New Roman" w:hAnsi="Times New Roman"/>
        </w:rPr>
        <w:t xml:space="preserve"> </w:t>
      </w:r>
      <w:r>
        <w:rPr>
          <w:sz w:val="24"/>
          <w:rFonts w:ascii="Times New Roman" w:hAnsi="Times New Roman"/>
        </w:rPr>
        <w:t xml:space="preserve">Al mismo tiempo, en el caso de las operaciones con vencimientos residuales diferentes realizadas con el respaldo de un conjunto de garantías reales, los activos menos líquidos se asignarán en primer lugar a las operaciones con vencimientos residuales más largos.</w:t>
      </w:r>
    </w:p>
    <w:p w14:paraId="0BED1290" w14:textId="413E3E76" w:rsidR="006E48EA" w:rsidRPr="000B6B22" w:rsidRDefault="006E48EA" w:rsidP="009D4EFF">
      <w:pPr>
        <w:widowControl w:val="0"/>
        <w:spacing w:before="0"/>
        <w:ind w:left="1396" w:right="116" w:hanging="850"/>
        <w:rPr>
          <w:sz w:val="24"/>
          <w:rFonts w:ascii="Times New Roman" w:eastAsia="Verdana"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Se destina una plantilla específica a las permutas de garantías reales, la plantilla C 75.01 del anexo XXIV.</w:t>
      </w:r>
      <w:r>
        <w:rPr>
          <w:sz w:val="24"/>
          <w:rFonts w:ascii="Times New Roman" w:hAnsi="Times New Roman"/>
        </w:rPr>
        <w:t xml:space="preserve"> </w:t>
      </w:r>
      <w:r>
        <w:rPr>
          <w:sz w:val="24"/>
          <w:rFonts w:ascii="Times New Roman" w:hAnsi="Times New Roman"/>
        </w:rPr>
        <w:t xml:space="preserve">Las permutas de garantías reales, que son operaciones de intercambio de unas garantías reales por otras, no se consignarán en la plantilla de salidas C 73.00 del anexo XXIV, que engloba únicamente las operaciones de intercambio de efectivo por garantías reales.</w:t>
      </w:r>
    </w:p>
    <w:p w14:paraId="20EDCAF9" w14:textId="3BF31C3F"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Observaciones específicas relativas a las operaciones de liquidación y con inicio diferido</w:t>
      </w:r>
    </w:p>
    <w:p w14:paraId="5D906FD2" w14:textId="6CD4CA45" w:rsidR="006E48EA"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Las entidades de crédito comunicarán las salidas derivadas de pactos de recompra, pactos de recompra inversa y permutas de garantías reales con inicio diferido que se inicien en el plazo de 30 días y venzan después de ese plazo cuando el componente inicial genere una salida.</w:t>
      </w:r>
      <w:r>
        <w:rPr>
          <w:sz w:val="24"/>
          <w:rFonts w:ascii="Times New Roman" w:hAnsi="Times New Roman"/>
        </w:rPr>
        <w:t xml:space="preserve"> </w:t>
      </w:r>
      <w:r>
        <w:rPr>
          <w:sz w:val="24"/>
          <w:rFonts w:ascii="Times New Roman" w:hAnsi="Times New Roman"/>
        </w:rPr>
        <w:t xml:space="preserve">En el caso de los pactos de recompra inversa, el importe que vaya a prestarse a la contraparte se considerará una salida y se consignará en la partida 1.1.8.6, una vez deducido el valor de mercado del activo que vaya a recibirse como garantía real y tras aplicar el correspondiente recorte de valoración aplicable a efectos de la ratio de cobertura de liquidez si el activo puede considerarse líquido.</w:t>
      </w:r>
      <w:r>
        <w:rPr>
          <w:sz w:val="24"/>
          <w:rFonts w:ascii="Times New Roman" w:hAnsi="Times New Roman"/>
        </w:rPr>
        <w:t xml:space="preserve"> </w:t>
      </w:r>
      <w:r>
        <w:rPr>
          <w:sz w:val="24"/>
          <w:rFonts w:ascii="Times New Roman" w:hAnsi="Times New Roman"/>
        </w:rPr>
        <w:t xml:space="preserve">Si el importe que vaya a prestarse es inferior al valor de mercado del activo (después del recorte de valoración aplicable a efectos de la ratio de cobertura de liquidez) que se vaya a recibir como garantía real, la diferencia se consignará como entrada.</w:t>
      </w:r>
      <w:r>
        <w:rPr>
          <w:sz w:val="24"/>
          <w:rFonts w:ascii="Times New Roman" w:hAnsi="Times New Roman"/>
        </w:rPr>
        <w:t xml:space="preserve"> </w:t>
      </w:r>
      <w:r>
        <w:rPr>
          <w:sz w:val="24"/>
          <w:rFonts w:ascii="Times New Roman" w:hAnsi="Times New Roman"/>
        </w:rPr>
        <w:t xml:space="preserve">Si la garantía real que se vaya a recibir no puede considerarse un activo líquido, la salida se consignará íntegramente.</w:t>
      </w:r>
      <w:r>
        <w:rPr>
          <w:sz w:val="24"/>
          <w:rFonts w:ascii="Times New Roman" w:hAnsi="Times New Roman"/>
        </w:rPr>
        <w:t xml:space="preserve"> </w:t>
      </w:r>
      <w:r>
        <w:rPr>
          <w:sz w:val="24"/>
          <w:rFonts w:ascii="Times New Roman" w:hAnsi="Times New Roman"/>
        </w:rPr>
        <w:t xml:space="preserve">En el caso de los pactos de recompra, cuando el valor de mercado del activo que se vaya a prestar como garantía real después de la aplicación del correspondiente recorte de valoración aplicable a efectos de la ratio de cobertura de liquidez (si el activo puede considerarse un activo líquido) sea mayor que el importe de efectivo que vaya a recibirse, la diferencia se consignará como salida en la fila antes mencionada.</w:t>
      </w:r>
      <w:r>
        <w:rPr>
          <w:sz w:val="24"/>
          <w:rFonts w:ascii="Times New Roman" w:hAnsi="Times New Roman"/>
        </w:rPr>
        <w:t xml:space="preserve"> </w:t>
      </w:r>
      <w:r>
        <w:rPr>
          <w:sz w:val="24"/>
          <w:rFonts w:ascii="Times New Roman" w:hAnsi="Times New Roman"/>
        </w:rPr>
        <w:t xml:space="preserve">Si el importe que vaya a recibirse es mayor que el valor de mercado del activo (después del recorte de valoración aplicable a efectos de la ratio de cobertura de liquidez) que se vaya a prestar como garantía real, la diferencia se consignará como entrada.</w:t>
      </w:r>
      <w:r>
        <w:rPr>
          <w:sz w:val="24"/>
          <w:rFonts w:ascii="Times New Roman" w:hAnsi="Times New Roman"/>
        </w:rPr>
        <w:t xml:space="preserve"> </w:t>
      </w:r>
      <w:r>
        <w:rPr>
          <w:sz w:val="24"/>
          <w:rFonts w:ascii="Times New Roman" w:hAnsi="Times New Roman"/>
        </w:rPr>
        <w:t xml:space="preserve">En el caso de las permutas de garantías reales, cuando el efecto neto de la permuta inicial de activos líquidos (teniendo en cuenta los recortes de valoración aplicables a efectos de la ratio de cobertura de liquidez) dé lugar a una salida, esta se consignará en la fila antes mencionada.</w:t>
      </w:r>
    </w:p>
    <w:p w14:paraId="091EC26E" w14:textId="3A60A065" w:rsidR="006E48EA" w:rsidRPr="000B6B22" w:rsidRDefault="006E48EA" w:rsidP="009D4EFF">
      <w:pPr>
        <w:spacing w:before="0"/>
        <w:ind w:left="1376" w:right="114"/>
        <w:rPr>
          <w:sz w:val="24"/>
          <w:rFonts w:ascii="Times New Roman" w:eastAsia="Calibri" w:hAnsi="Times New Roman"/>
        </w:rPr>
      </w:pPr>
      <w:r>
        <w:rPr>
          <w:sz w:val="24"/>
          <w:rFonts w:ascii="Times New Roman" w:hAnsi="Times New Roman"/>
        </w:rPr>
        <w:t xml:space="preserve">Los pactos de recompra o de recompra inversa y las permutas de garantías reales con inicio diferido que se inicien y venzan dentro del horizonte de 30 días pertinente para la ratio de cobertura de liquidez no tienen ninguna incidencia en dicha ratio para un banco, por lo que podrán ignorarse.</w:t>
      </w:r>
    </w:p>
    <w:p w14:paraId="537D6E48" w14:textId="496BE22D" w:rsidR="00F553D3"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El árbol de decisiones de la sección 1 de C 73.00 del anexo XXIV se entiende sin perjuicio de la notificación de las partidas pro memoria.</w:t>
      </w:r>
      <w:r>
        <w:rPr>
          <w:sz w:val="24"/>
          <w:rFonts w:ascii="Times New Roman" w:hAnsi="Times New Roman"/>
        </w:rPr>
        <w:t xml:space="preserve"> </w:t>
      </w:r>
      <w:r>
        <w:rPr>
          <w:sz w:val="24"/>
          <w:rFonts w:ascii="Times New Roman" w:hAnsi="Times New Roman"/>
        </w:rPr>
        <w:t xml:space="preserve">Forma parte de las instrucciones que especifican la priorización de los criterios de evaluación para la asignación de cada partida notificada, con vistas a asegurar la presentación de información homogénea y comparable.</w:t>
      </w:r>
      <w:r>
        <w:rPr>
          <w:sz w:val="24"/>
          <w:rFonts w:ascii="Times New Roman" w:hAnsi="Times New Roman"/>
        </w:rPr>
        <w:t xml:space="preserve"> </w:t>
      </w:r>
      <w:r>
        <w:rPr>
          <w:sz w:val="24"/>
          <w:rFonts w:ascii="Times New Roman" w:hAnsi="Times New Roman"/>
        </w:rPr>
        <w:t xml:space="preserve">Recorrer el árbol de decisiones por sí solo no es suficiente: las entidades de crédito deberán atenerse en todo momento a las restantes instrucciones.</w:t>
      </w:r>
      <w:r>
        <w:rPr>
          <w:sz w:val="24"/>
          <w:rFonts w:ascii="Times New Roman" w:hAnsi="Times New Roman"/>
        </w:rPr>
        <w:t xml:space="preserve"> </w:t>
      </w:r>
      <w:r>
        <w:rPr>
          <w:sz w:val="24"/>
          <w:rFonts w:ascii="Times New Roman" w:hAnsi="Times New Roman"/>
        </w:rPr>
        <w:t xml:space="preserve">En aras de la simplicidad, el árbol de decisiones ignora los totales y subtotales;</w:t>
      </w:r>
      <w:r>
        <w:rPr>
          <w:sz w:val="24"/>
          <w:rFonts w:ascii="Times New Roman" w:hAnsi="Times New Roman"/>
        </w:rPr>
        <w:t xml:space="preserve"> </w:t>
      </w:r>
      <w:r>
        <w:rPr>
          <w:sz w:val="24"/>
          <w:rFonts w:ascii="Times New Roman" w:hAnsi="Times New Roman"/>
        </w:rPr>
        <w:t xml:space="preserve">sin embargo, ello no significa que no deban también comunicarse.</w:t>
      </w:r>
      <w:r>
        <w:rPr>
          <w:sz w:val="24"/>
          <w:rFonts w:ascii="Times New Roman" w:hAnsi="Times New Roman"/>
        </w:rPr>
        <w:t xml:space="preserve"> </w:t>
      </w:r>
      <w:r>
        <w:rPr>
          <w:sz w:val="24"/>
          <w:rFonts w:ascii="Times New Roman" w:hAnsi="Times New Roman"/>
        </w:rPr>
        <w:t xml:space="preserve">Por «acto delegado» se entiende el Reglamento Delegado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b/>
                <w:sz w:val="24"/>
                <w:rFonts w:ascii="Times New Roman" w:hAnsi="Times New Roman"/>
              </w:rPr>
              <w:t xml:space="preserve">#</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sz w:val="24"/>
                <w:szCs w:val="24"/>
                <w:rFonts w:ascii="Times New Roman" w:eastAsia="Times New Roman" w:hAnsi="Times New Roman"/>
              </w:rPr>
            </w:pPr>
            <w:r>
              <w:rPr>
                <w:b/>
                <w:sz w:val="24"/>
                <w:rFonts w:ascii="Times New Roman" w:hAnsi="Times New Roman"/>
              </w:rPr>
              <w:t xml:space="preserve">Partida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sz w:val="24"/>
                <w:szCs w:val="24"/>
                <w:rFonts w:ascii="Times New Roman" w:eastAsia="Times New Roman" w:hAnsi="Times New Roman"/>
              </w:rPr>
            </w:pPr>
            <w:r>
              <w:rPr>
                <w:b/>
                <w:sz w:val="24"/>
                <w:rFonts w:ascii="Times New Roman" w:hAnsi="Times New Roman"/>
              </w:rPr>
              <w:t xml:space="preserve">Decisión</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sz w:val="24"/>
                <w:szCs w:val="24"/>
                <w:rFonts w:ascii="Times New Roman" w:eastAsia="Times New Roman" w:hAnsi="Times New Roman"/>
              </w:rPr>
            </w:pPr>
            <w:r>
              <w:rPr>
                <w:b/>
                <w:sz w:val="24"/>
                <w:rFonts w:ascii="Times New Roman" w:hAnsi="Times New Roman"/>
              </w:rPr>
              <w:t xml:space="preserve">Presentación de información</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Operación con inicio diferido</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Operación a plazo iniciada con posterioridad a la fecha de información;</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No se presenta información</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No</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sz w:val="24"/>
                <w:szCs w:val="24"/>
                <w:rFonts w:ascii="Times New Roman" w:hAnsi="Times New Roman"/>
              </w:rPr>
            </w:pPr>
            <w:r>
              <w:rPr>
                <w:sz w:val="24"/>
                <w:rFonts w:ascii="Times New Roman" w:hAnsi="Times New Roman"/>
              </w:rPr>
              <w:t xml:space="preserve">#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Operación a plazo que comienza en el plazo de 30 días y vence después de ese plazo cuando el componente inicial genera una salida neta</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b/>
                <w:rFonts w:ascii="Times New Roman" w:hAnsi="Times New Roman"/>
              </w:rPr>
              <w:t xml:space="preserve">No se presenta información</w:t>
            </w:r>
            <w:r>
              <w:rPr>
                <w:sz w:val="24"/>
                <w:rFonts w:ascii="Times New Roman" w:hAnsi="Times New Roman"/>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¿Partida que requiere salidas adicionales, de conformidad con el artículo 30 del acto delegado?</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sz w:val="24"/>
                <w:szCs w:val="24"/>
                <w:rFonts w:ascii="Times New Roman" w:eastAsia="Times New Roman" w:hAnsi="Times New Roman"/>
              </w:rPr>
            </w:pPr>
            <w:r>
              <w:rPr>
                <w:sz w:val="24"/>
                <w:rFonts w:ascii="Times New Roman" w:hAnsi="Times New Roman"/>
              </w:rPr>
              <w:t xml:space="preserve"># 5 y a continuación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minorista de conformidad con el artículo 411, apartado 2, del Reglamento (UE) n.º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¿Depósito cancelado con un vencimiento residual inferior a 30 días naturales y en relación con el cual se haya convenido el pago a otra entidad de crédito?</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de conformidad con el artículo 25, apartado 4, del acto delegado?</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sz w:val="24"/>
                <w:szCs w:val="24"/>
                <w:rFonts w:ascii="Times New Roman" w:eastAsia="Times New Roman" w:hAnsi="Times New Roman"/>
              </w:rPr>
            </w:pPr>
            <w:r>
              <w:rPr>
                <w:sz w:val="24"/>
                <w:rFonts w:ascii="Times New Roman" w:hAnsi="Times New Roman"/>
              </w:rPr>
              <w:t xml:space="preserve">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de conformidad con el artículo 25, apartado 5, del acto delegado?</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de conformidad con el artículo 25, apartado 2, del acto delegado?</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sz w:val="24"/>
                <w:szCs w:val="24"/>
                <w:rFonts w:ascii="Times New Roman" w:eastAsia="Times New Roman" w:hAnsi="Times New Roman"/>
              </w:rPr>
            </w:pPr>
            <w:r>
              <w:rPr>
                <w:sz w:val="24"/>
                <w:rFonts w:ascii="Times New Roman" w:hAnsi="Times New Roman"/>
              </w:rPr>
              <w:t xml:space="preserve">Asignar a una partida pertinente de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de conformidad con el artículo 24, apartado 4, del acto delegado?</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sz w:val="24"/>
                <w:szCs w:val="24"/>
                <w:rFonts w:ascii="Times New Roman" w:eastAsia="Times New Roman" w:hAnsi="Times New Roman"/>
              </w:rPr>
            </w:pPr>
            <w:r>
              <w:rPr>
                <w:sz w:val="24"/>
                <w:rFonts w:ascii="Times New Roman" w:hAnsi="Times New Roman"/>
              </w:rPr>
              <w:t xml:space="preserve">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de conformidad con el artículo 24, apartado 1, del acto delegado?</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sz w:val="24"/>
                <w:szCs w:val="24"/>
                <w:rFonts w:ascii="Times New Roman" w:eastAsia="Times New Roman" w:hAnsi="Times New Roman"/>
              </w:rPr>
            </w:pPr>
            <w:r>
              <w:rPr>
                <w:sz w:val="24"/>
                <w:rFonts w:ascii="Times New Roman" w:hAnsi="Times New Roman"/>
              </w:rPr>
              <w:t xml:space="preserve">¿Pasivo que llegue a vencimiento, cuyo pago pueda ser exigido por el emisor o por el proveedor de la financiación o que conlleve una expectativa del proveedor de la financiación de que la entidad de crédito reembolsará el pasivo en el curso de los 30 días naturales siguientes?</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¿Pasivo resultante de los propios gastos de explotación de la entidad?</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¿Pasivo consistente en un bono vendido exclusivamente en el mercado minorista y mantenido en una cuenta minorista de conformidad con el artículo 28, apartado 6, del acto delegado?</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sz w:val="24"/>
                <w:szCs w:val="24"/>
                <w:rFonts w:ascii="Times New Roman" w:eastAsia="Times New Roman" w:hAnsi="Times New Roman"/>
              </w:rPr>
            </w:pPr>
            <w:r>
              <w:rPr>
                <w:sz w:val="24"/>
                <w:rFonts w:ascii="Times New Roman" w:hAnsi="Times New Roman"/>
              </w:rPr>
              <w:t xml:space="preserve">Seguir la misma pauta que con los depósitos minoristas (esto es, responder «sí» en # 5 y aplicar el tratamiento correspondiente)</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¿Pasivo en forma de valor representativo de deuda?</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recibido como garantía real?</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Asignar entre las partidas pertinentes de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derivado de una corresponsalía bancaria o de servicios de corretaje preferencial?</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 operativo de conformidad con el artículo 27 del acto delegado?</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¿Mantenido en el marco de un sistema institucional de protección o de una red de cooperativas?</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sz w:val="24"/>
                <w:szCs w:val="24"/>
                <w:rFonts w:ascii="Times New Roman" w:eastAsia="Times New Roman" w:hAnsi="Times New Roman"/>
              </w:rPr>
            </w:pPr>
            <w:r>
              <w:rPr>
                <w:sz w:val="24"/>
                <w:rFonts w:ascii="Times New Roman" w:hAnsi="Times New Roman"/>
              </w:rPr>
              <w:t xml:space="preserve">#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¿Tratado como activos líquidos de la entidad de crédito depositante?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¿Mantenido para obtener servicios de compensación de efectivo y de entidad de crédito central dentro de una red?</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sz w:val="24"/>
                <w:szCs w:val="24"/>
                <w:rFonts w:ascii="Times New Roman" w:eastAsia="Times New Roman" w:hAnsi="Times New Roman"/>
              </w:rPr>
            </w:pPr>
            <w:r>
              <w:rPr>
                <w:sz w:val="24"/>
                <w:rFonts w:ascii="Times New Roman" w:hAnsi="Times New Roman"/>
              </w:rPr>
              <w:t xml:space="preserve">¿Mantenido con fines de compensación, custodia, gestión de efectivo u otros servicios comparables en el contexto de una relación operativa asentada?</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sz w:val="24"/>
                <w:szCs w:val="24"/>
                <w:rFonts w:ascii="Times New Roman" w:eastAsia="Times New Roman" w:hAnsi="Times New Roman"/>
              </w:rPr>
            </w:pPr>
            <w:r>
              <w:rPr>
                <w:sz w:val="24"/>
                <w:rFonts w:ascii="Times New Roman" w:hAnsi="Times New Roman"/>
              </w:rPr>
              <w:t xml:space="preserve">Asignar a una partida pertinente de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sz w:val="24"/>
                <w:szCs w:val="24"/>
                <w:rFonts w:ascii="Times New Roman" w:eastAsia="Times New Roman" w:hAnsi="Times New Roman"/>
              </w:rPr>
            </w:pPr>
            <w:r>
              <w:rPr>
                <w:sz w:val="24"/>
                <w:rFonts w:ascii="Times New Roman" w:hAnsi="Times New Roman"/>
              </w:rPr>
              <w:t xml:space="preserve">¿Mantenido en el contexto de una relación operativa asentada (distinta) con clientes no financieros?</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sz w:val="24"/>
                <w:szCs w:val="24"/>
                <w:rFonts w:ascii="Times New Roman" w:hAnsi="Times New Roman"/>
              </w:rPr>
            </w:pPr>
            <w:r>
              <w:rPr>
                <w:sz w:val="24"/>
                <w:rFonts w:ascii="Times New Roman" w:hAnsi="Times New Roman"/>
              </w:rPr>
              <w:t xml:space="preserve">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sz w:val="24"/>
                <w:szCs w:val="24"/>
                <w:rFonts w:ascii="Times New Roman" w:hAnsi="Times New Roman"/>
              </w:rPr>
            </w:pPr>
            <w:r>
              <w:rPr>
                <w:sz w:val="24"/>
                <w:rFonts w:ascii="Times New Roman" w:hAnsi="Times New Roman"/>
              </w:rPr>
              <w:t xml:space="preserve">¿Excedente de depósitos operativos?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Sí</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Asignar a una partida pertinente de ID 1.1.3.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No</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¿Otros depósitos?</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¿Depósitos de clientes financieros?</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Asignar a una partida pertinente de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¿Pasivo procedente de operaciones de préstamo garantizadas y de operaciones vinculadas al mercado de capitales, con excepción de los derivados y las permutas de garantías reales?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Asignar a una partida pertinente de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¿Pasivo procedente de permutas de garantías reales?</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sz w:val="24"/>
                <w:szCs w:val="24"/>
                <w:rFonts w:ascii="Times New Roman" w:eastAsia="Times New Roman" w:hAnsi="Times New Roman"/>
              </w:rPr>
            </w:pPr>
            <w:r>
              <w:rPr>
                <w:sz w:val="24"/>
                <w:rFonts w:ascii="Times New Roman" w:hAnsi="Times New Roman"/>
              </w:rPr>
              <w:t xml:space="preserve">Asignar a una partida pertinente de C75.01 e ID 1.3., en su caso.</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¿Pasivo que da lugar a una salida procedente de derivados, de conformidad con el artículo 30, apartado 4, del acto delegado?</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30</w:t>
            </w:r>
          </w:p>
        </w:tc>
        <w:tc>
          <w:tcPr>
            <w:tcW w:w="5550" w:type="dxa"/>
            <w:vMerge w:val="restart"/>
            <w:shd w:val="clear" w:color="auto" w:fill="auto"/>
            <w:vAlign w:val="center"/>
          </w:tcPr>
          <w:p w14:paraId="0D850978"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¿Cualquier otro pasivo que llegue a vencimiento en los 30 días siguientes?</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Sí</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No</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31</w:t>
            </w:r>
          </w:p>
        </w:tc>
        <w:tc>
          <w:tcPr>
            <w:tcW w:w="5550" w:type="dxa"/>
            <w:shd w:val="clear" w:color="auto" w:fill="auto"/>
            <w:vAlign w:val="center"/>
          </w:tcPr>
          <w:p w14:paraId="087525C7"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¿Compromisos contractuales de concesión de financiación a clientes no financieros que venzan en los 30 días siguientes y superen las entradas procedentes de esos clientes?</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Sí</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Una de las ID siguientes:</w:t>
            </w:r>
            <w:r>
              <w:rPr>
                <w:sz w:val="24"/>
                <w:rFonts w:ascii="Times New Roman" w:hAnsi="Times New Roman"/>
              </w:rPr>
              <w:t xml:space="preserve"> </w:t>
            </w:r>
            <w:r>
              <w:rPr>
                <w:sz w:val="24"/>
                <w:rFonts w:ascii="Times New Roman" w:hAnsi="Times New Roman"/>
              </w:rPr>
              <w:t xml:space="preserve">1.1.8.4.1 a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No</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32</w:t>
            </w:r>
          </w:p>
        </w:tc>
        <w:tc>
          <w:tcPr>
            <w:tcW w:w="5550" w:type="dxa"/>
            <w:vMerge w:val="restart"/>
            <w:shd w:val="clear" w:color="auto" w:fill="auto"/>
            <w:vAlign w:val="center"/>
          </w:tcPr>
          <w:p w14:paraId="108B8472"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¿Otras salidas que deban producirse en los próximos 30 días no mencionadas anteriormente?</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Sí</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No</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¿Importe no utilizado que puede detraerse de líneas de crédito y de liquidez comprometidas, de conformidad con el artículo 31 del acto delegado?</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¿Línea de crédito comprometida?</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¿Dentro de un sistema institucional de protección o una red de cooperativas si la entidad depositante la trata como activo líquido?</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¿Dentro de un grupo o un sistema institucional de protección si se aplica un trato preferencial?</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sz w:val="24"/>
                <w:szCs w:val="24"/>
                <w:rFonts w:ascii="Times New Roman" w:eastAsia="Times New Roman" w:hAnsi="Times New Roman"/>
              </w:rPr>
            </w:pPr>
            <w:r>
              <w:rPr>
                <w:sz w:val="24"/>
                <w:rFonts w:ascii="Times New Roman" w:hAnsi="Times New Roman"/>
              </w:rPr>
              <w:t xml:space="preserve">Asignar a una partida pertinente restante de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¿Línea de liquidez comprometida?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n.p.</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sz w:val="24"/>
                <w:szCs w:val="24"/>
                <w:rFonts w:ascii="Times New Roman" w:eastAsia="Times New Roman" w:hAnsi="Times New Roman"/>
              </w:rPr>
            </w:pPr>
            <w:r>
              <w:rPr>
                <w:sz w:val="24"/>
                <w:rFonts w:ascii="Times New Roman" w:hAnsi="Times New Roman"/>
              </w:rPr>
              <w:t xml:space="preserve">n.p.</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¿Dentro de un sistema institucional de protección o una red de cooperativas si la entidad depositante la trata como activo líquido?</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¿Dentro de un grupo o un sistema institucional de protección si se aplica un trato preferencial?</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 SSPE?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Asignar a una partida pertinente de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sz w:val="24"/>
                <w:szCs w:val="24"/>
                <w:rFonts w:ascii="Times New Roman" w:eastAsia="Times New Roman" w:hAnsi="Times New Roman"/>
              </w:rPr>
            </w:pPr>
            <w:r>
              <w:rPr>
                <w:sz w:val="24"/>
                <w:rFonts w:ascii="Times New Roman" w:hAnsi="Times New Roman"/>
              </w:rPr>
              <w:t xml:space="preserve">#41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 sociedades de inversión personales?</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Asignar a una partida pertinente restante de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¿Otro producto o servicio según se contemplan en el artículo 23 del acto delegado?</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sz w:val="24"/>
                <w:szCs w:val="24"/>
                <w:rFonts w:ascii="Times New Roman" w:eastAsia="Times New Roman" w:hAnsi="Times New Roman"/>
              </w:rPr>
            </w:pPr>
            <w:r>
              <w:rPr>
                <w:b/>
                <w:sz w:val="24"/>
                <w:rFonts w:ascii="Times New Roman" w:hAnsi="Times New Roman"/>
              </w:rPr>
              <w:t xml:space="preserve">No se presenta información</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¿Producto relacionado con las partidas fuera de balance de financiación comercial?</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¿Préstamos y anticipos no utilizados a contrapartes mayoristas?</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Préstamos hipotecarios acordados pero pendientes de detracción</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¿Salidas previstas en relación con la renovación o ampliación de nuevos préstamos minoristas y no minoristas?</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b/>
                <w:rFonts w:ascii="Times New Roman" w:hAnsi="Times New Roman"/>
              </w:rPr>
              <w:t xml:space="preserve">#</w:t>
            </w:r>
            <w:r>
              <w:rPr>
                <w:sz w:val="24"/>
                <w:rFonts w:ascii="Times New Roman" w:hAnsi="Times New Roman"/>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¿Tarjetas de crédito?</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¿Descubiertos?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¿Efectos pagaderos derivados?</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¿Otra obligación fuera de balance y obligación contingente en materia de financiación?</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¿Valor representativo de deuda ya consignado en la partida 1.1.8.2. de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No se presenta información</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¿Requisito de liquidez respecto de los derivados de conformidad con el artículo 30, apartado 4, del acto delegado y ya mencionado en el punto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Sí</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No se presenta información</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No</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Asignar entre las partidas pertinentes de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Instrucciones relativas a columnas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sz w:val="24"/>
                <w:rFonts w:ascii="Times New Roman" w:eastAsia="Verdana" w:hAnsi="Times New Roman"/>
              </w:rPr>
            </w:pPr>
            <w:r>
              <w:rPr>
                <w:sz w:val="24"/>
                <w:u w:color="000000"/>
                <w:rFonts w:ascii="Times New Roman" w:hAnsi="Times New Roman"/>
              </w:rPr>
              <w:t xml:space="preserve">Columna</w:t>
            </w:r>
          </w:p>
        </w:tc>
        <w:tc>
          <w:tcPr>
            <w:tcW w:w="7140" w:type="dxa"/>
            <w:shd w:val="clear" w:color="auto" w:fill="auto"/>
          </w:tcPr>
          <w:p w14:paraId="29D5C5E7" w14:textId="77777777" w:rsidR="006E48EA" w:rsidRPr="000B6B22" w:rsidRDefault="006E48EA">
            <w:pPr>
              <w:spacing w:before="0"/>
              <w:ind w:left="108"/>
              <w:rPr>
                <w:sz w:val="24"/>
                <w:rFonts w:ascii="Times New Roman" w:eastAsia="Verdana" w:hAnsi="Times New Roman"/>
              </w:rPr>
            </w:pPr>
            <w:r>
              <w:rPr>
                <w:sz w:val="24"/>
                <w:u w:color="000000"/>
                <w:rFonts w:ascii="Times New Roman" w:hAnsi="Times New Roman"/>
              </w:rPr>
              <w:t xml:space="preserve">Referencias jurídicas e instrucciones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0010</w:t>
            </w:r>
          </w:p>
        </w:tc>
        <w:tc>
          <w:tcPr>
            <w:tcW w:w="7140" w:type="dxa"/>
            <w:shd w:val="clear" w:color="auto" w:fill="auto"/>
          </w:tcPr>
          <w:p w14:paraId="26C75966"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Importe</w:t>
            </w:r>
          </w:p>
          <w:p w14:paraId="277C8010" w14:textId="24DF768B" w:rsidR="006E48EA" w:rsidRPr="000B6B22" w:rsidRDefault="006E48EA">
            <w:pPr>
              <w:widowControl w:val="0"/>
              <w:tabs>
                <w:tab w:val="left" w:pos="397"/>
              </w:tabs>
              <w:spacing w:before="0"/>
              <w:ind w:left="396" w:hanging="294"/>
              <w:rPr>
                <w:sz w:val="24"/>
                <w:rFonts w:ascii="Times New Roman" w:eastAsia="Verdana" w:hAnsi="Times New Roman"/>
              </w:rPr>
            </w:pPr>
            <w:r>
              <w:rPr>
                <w:sz w:val="24"/>
                <w:u w:color="000000"/>
                <w:rFonts w:ascii="Times New Roman" w:hAnsi="Times New Roman"/>
              </w:rPr>
              <w:t xml:space="preserve">1.1.</w:t>
            </w:r>
            <w:r>
              <w:rPr>
                <w:sz w:val="24"/>
                <w:u w:color="000000"/>
                <w:rFonts w:ascii="Times New Roman" w:hAnsi="Times New Roman"/>
              </w:rPr>
              <w:tab/>
            </w:r>
            <w:r>
              <w:rPr>
                <w:sz w:val="24"/>
                <w:u w:color="000000"/>
                <w:rFonts w:ascii="Times New Roman" w:hAnsi="Times New Roman"/>
              </w:rPr>
              <w:t xml:space="preserve">Instrucciones específicas relativas a las operaciones/depósitos no garantizados</w:t>
            </w:r>
          </w:p>
          <w:p w14:paraId="34B20675" w14:textId="2BD38B70" w:rsidR="006E48EA" w:rsidRPr="000B6B22" w:rsidRDefault="006E48EA" w:rsidP="009D4EFF">
            <w:pPr>
              <w:pStyle w:val="TableParagraph"/>
              <w:spacing w:after="120"/>
              <w:ind w:left="102" w:right="95"/>
              <w:jc w:val="both"/>
              <w:rPr>
                <w:sz w:val="24"/>
                <w:szCs w:val="24"/>
                <w:rFonts w:ascii="Times New Roman" w:eastAsia="Times New Roman" w:hAnsi="Times New Roman"/>
              </w:rPr>
            </w:pPr>
            <w:r>
              <w:rPr>
                <w:sz w:val="24"/>
                <w:rFonts w:ascii="Times New Roman" w:hAnsi="Times New Roman"/>
              </w:rPr>
              <w:t xml:space="preserve">Las entidades de crédito comunicarán aquí el saldo vivo de las diversas categorías de pasivos y compromisos fuera de balance especificadas en los artículos 22 a 31 del Reglamento Delegado (UE) 2015/61.</w:t>
            </w:r>
          </w:p>
          <w:p w14:paraId="3F9C74E0" w14:textId="6D991277" w:rsidR="006E48EA" w:rsidRPr="000B6B22" w:rsidRDefault="006E48EA" w:rsidP="009D4EFF">
            <w:pPr>
              <w:pStyle w:val="TableParagraph"/>
              <w:spacing w:after="120"/>
              <w:ind w:left="102" w:right="97"/>
              <w:jc w:val="both"/>
              <w:rPr>
                <w:sz w:val="24"/>
                <w:szCs w:val="24"/>
                <w:rFonts w:ascii="Times New Roman" w:eastAsia="Times New Roman" w:hAnsi="Times New Roman"/>
              </w:rPr>
            </w:pPr>
            <w:r>
              <w:rPr>
                <w:sz w:val="24"/>
                <w:rFonts w:ascii="Times New Roman" w:hAnsi="Times New Roman"/>
              </w:rPr>
              <w:t xml:space="preserve">Con sujeción a la autorización previa de la autoridad competente, dentro de cada categoría de salidas, el importe de cada partida consignado en la columna 0010 de la plantilla C 73.00 del anexo XXIV se compensará sustrayendo el importe correspondiente de la entrada interdependiente, de conformidad con el artículo 26.</w:t>
            </w:r>
          </w:p>
          <w:p w14:paraId="5C6EF840" w14:textId="024066ED" w:rsidR="006E48EA" w:rsidRPr="000B6B22" w:rsidRDefault="006E48EA" w:rsidP="009D4EFF">
            <w:pPr>
              <w:widowControl w:val="0"/>
              <w:tabs>
                <w:tab w:val="left" w:pos="397"/>
              </w:tabs>
              <w:spacing w:before="0"/>
              <w:ind w:left="396" w:hanging="294"/>
              <w:rPr>
                <w:sz w:val="24"/>
                <w:rFonts w:ascii="Times New Roman" w:hAnsi="Times New Roman"/>
              </w:rPr>
            </w:pPr>
            <w:r>
              <w:rPr>
                <w:sz w:val="24"/>
                <w:u w:color="000000"/>
                <w:rFonts w:ascii="Times New Roman" w:hAnsi="Times New Roman"/>
              </w:rPr>
              <w:t xml:space="preserve">1.2.</w:t>
            </w:r>
            <w:r>
              <w:rPr>
                <w:sz w:val="24"/>
                <w:u w:color="000000"/>
                <w:rFonts w:ascii="Times New Roman" w:hAnsi="Times New Roman"/>
              </w:rPr>
              <w:tab/>
            </w:r>
            <w:r>
              <w:rPr>
                <w:sz w:val="24"/>
                <w:u w:color="000000"/>
                <w:rFonts w:ascii="Times New Roman" w:hAnsi="Times New Roman"/>
              </w:rPr>
              <w:t xml:space="preserve">Instrucciones específicas relativas a las operaciones de préstamo garantizadas y operaciones vinculadas al mercado de capitales:</w:t>
            </w:r>
          </w:p>
          <w:p w14:paraId="28368665" w14:textId="5133B1F1" w:rsidR="006E48EA" w:rsidRPr="000B6B22" w:rsidRDefault="006E48EA">
            <w:pPr>
              <w:pStyle w:val="TableParagraph"/>
              <w:spacing w:after="120"/>
              <w:ind w:left="102" w:right="95"/>
              <w:jc w:val="both"/>
              <w:rPr>
                <w:sz w:val="24"/>
                <w:szCs w:val="24"/>
                <w:rFonts w:ascii="Times New Roman" w:eastAsia="Verdana" w:hAnsi="Times New Roman"/>
              </w:rPr>
            </w:pPr>
            <w:r>
              <w:rPr>
                <w:sz w:val="24"/>
                <w:rFonts w:ascii="Times New Roman" w:hAnsi="Times New Roman"/>
              </w:rPr>
              <w:t xml:space="preserve">Las entidades de crédito comunicarán aquí el saldo vivo de los pasivos que representan el componente de efectivo de la operación garantizada de conformidad con el artículo 22, apartado 2, del Reglamento Delegado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0020</w:t>
            </w:r>
          </w:p>
        </w:tc>
        <w:tc>
          <w:tcPr>
            <w:tcW w:w="7140" w:type="dxa"/>
            <w:shd w:val="clear" w:color="auto" w:fill="auto"/>
          </w:tcPr>
          <w:p w14:paraId="559199C0"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Valor de mercado de las garantías reales concedidas</w:t>
            </w:r>
          </w:p>
          <w:p w14:paraId="269115EF" w14:textId="7BB94259" w:rsidR="006E48EA" w:rsidRPr="000B6B22" w:rsidRDefault="006E48EA" w:rsidP="009D4EFF">
            <w:pPr>
              <w:pStyle w:val="TableParagraph"/>
              <w:spacing w:after="120"/>
              <w:ind w:left="102"/>
              <w:jc w:val="both"/>
              <w:rPr>
                <w:sz w:val="24"/>
                <w:szCs w:val="24"/>
                <w:rFonts w:ascii="Times New Roman" w:eastAsia="Times New Roman" w:hAnsi="Times New Roman"/>
              </w:rPr>
            </w:pPr>
            <w:r>
              <w:rPr>
                <w:sz w:val="24"/>
                <w:u w:color="000000"/>
                <w:rFonts w:ascii="Times New Roman" w:hAnsi="Times New Roman"/>
              </w:rPr>
              <w:t xml:space="preserve">Instrucciones específicas relativas a las operaciones de préstamo garantizadas y operaciones vinculadas al mercado de capitales:</w:t>
            </w:r>
          </w:p>
          <w:p w14:paraId="40F3F30A" w14:textId="0D334FA4" w:rsidR="006E48EA" w:rsidRPr="000B6B22" w:rsidRDefault="006E48EA" w:rsidP="009D4EFF">
            <w:pPr>
              <w:pStyle w:val="TableParagraph"/>
              <w:spacing w:after="120"/>
              <w:ind w:left="102" w:right="98"/>
              <w:jc w:val="both"/>
              <w:rPr>
                <w:sz w:val="24"/>
                <w:szCs w:val="24"/>
                <w:rFonts w:ascii="Times New Roman" w:eastAsia="Times New Roman" w:hAnsi="Times New Roman"/>
              </w:rPr>
            </w:pPr>
            <w:r>
              <w:rPr>
                <w:sz w:val="24"/>
                <w:rFonts w:ascii="Times New Roman" w:hAnsi="Times New Roman"/>
              </w:rPr>
              <w:t xml:space="preserve">Las entidades de crédito comunicarán aquí el valor de mercado de las garantías reales concedidas, que se calculará como el valor actual de mercado sin deducción del recorte de valoración pero sí de los flujos resultantes de la reversión de las coberturas conexas, de conformidad con el artículo 8, apartado 5, del Reglamento Delegado (UE) 2015/61, y con sujeción a las siguientes condiciones:</w:t>
            </w:r>
          </w:p>
          <w:p w14:paraId="69BF95AE" w14:textId="04830200" w:rsidR="006E48EA" w:rsidRPr="000B6B22" w:rsidRDefault="006E48EA" w:rsidP="009D4EFF">
            <w:pPr>
              <w:widowControl w:val="0"/>
              <w:tabs>
                <w:tab w:val="left" w:pos="823"/>
              </w:tabs>
              <w:spacing w:before="0"/>
              <w:ind w:left="822" w:right="9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Cuando una entidad de crédito solo pueda reconocer parte de 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artículo 12, apartado 1, letra c), inciso ii), y el artículo 10, apartado 1, letra d), del Reglamento Delegado (UE) 2015/61.</w:t>
            </w:r>
            <w:r>
              <w:rPr>
                <w:sz w:val="24"/>
                <w:rFonts w:ascii="Times New Roman" w:hAnsi="Times New Roman"/>
              </w:rPr>
              <w:t xml:space="preserve"> </w:t>
            </w:r>
            <w:r>
              <w:rPr>
                <w:sz w:val="24"/>
                <w:rFonts w:ascii="Times New Roman" w:hAnsi="Times New Roman"/>
              </w:rPr>
              <w:t xml:space="preserve">Cuando el activo de que se trate se utilice como garantía real por un importe que exceda de la parte que pueda reconocerse como activo líquido, el importe excedentario deberá consignarse en la sección no líquida;</w:t>
            </w:r>
          </w:p>
          <w:p w14:paraId="666E509F" w14:textId="77777777" w:rsidR="006E48EA" w:rsidRPr="000B6B22" w:rsidRDefault="006E48EA" w:rsidP="009D4EFF">
            <w:pPr>
              <w:widowControl w:val="0"/>
              <w:tabs>
                <w:tab w:val="left" w:pos="823"/>
              </w:tabs>
              <w:spacing w:before="0"/>
              <w:ind w:left="822" w:right="95"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Los activos de nivel 2A se comunicarán en la correspondiente fila de activos de nivel 2A, incluso cuando se aplique el enfoque alternativo de tratamiento de la liquidez (es decir, en la información sobre operaciones garantizadas no deben trasladarse al nivel 1 las partidas del nivel 2A).</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0030</w:t>
            </w:r>
          </w:p>
        </w:tc>
        <w:tc>
          <w:tcPr>
            <w:tcW w:w="7140" w:type="dxa"/>
            <w:shd w:val="clear" w:color="auto" w:fill="auto"/>
          </w:tcPr>
          <w:p w14:paraId="7D9B2862" w14:textId="6BC9817C"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Valor de las garantías reales concedidas con arreglo al artículo 9</w:t>
            </w:r>
          </w:p>
          <w:p w14:paraId="148020B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u w:color="000000"/>
                <w:rFonts w:ascii="Times New Roman" w:hAnsi="Times New Roman"/>
              </w:rPr>
              <w:t xml:space="preserve">Instrucciones específicas relativas a las operaciones de préstamo garantizadas y operaciones vinculadas al mercado de capitales:</w:t>
            </w:r>
          </w:p>
          <w:p w14:paraId="09EEFD8D" w14:textId="58B96812" w:rsidR="006E48EA" w:rsidRPr="000B6B22" w:rsidRDefault="006E48EA">
            <w:pPr>
              <w:pStyle w:val="TableParagraph"/>
              <w:spacing w:after="120"/>
              <w:ind w:left="102" w:right="97"/>
              <w:jc w:val="both"/>
              <w:rPr>
                <w:sz w:val="24"/>
                <w:szCs w:val="24"/>
                <w:rFonts w:ascii="Times New Roman" w:eastAsia="Verdana" w:hAnsi="Times New Roman"/>
              </w:rPr>
            </w:pPr>
            <w:r>
              <w:rPr>
                <w:sz w:val="24"/>
                <w:rFonts w:ascii="Times New Roman" w:hAnsi="Times New Roman"/>
              </w:rPr>
              <w:t xml:space="preserve">Las entidades de crédito comunicarán aquí el valor de las garantías reales concedidas de conformidad con el artículo 9 del Reglamento Delegado (UE) 2015/61.</w:t>
            </w:r>
            <w:r>
              <w:rPr>
                <w:sz w:val="24"/>
                <w:rFonts w:ascii="Times New Roman" w:hAnsi="Times New Roman"/>
              </w:rPr>
              <w:t xml:space="preserve"> </w:t>
            </w:r>
            <w:r>
              <w:rPr>
                <w:sz w:val="24"/>
                <w:rFonts w:ascii="Times New Roman" w:hAnsi="Times New Roman"/>
              </w:rPr>
              <w:t xml:space="preserve">Este valor se calculará multiplicando la columna 0020 de la plantilla C 73.00 del anexo XXIV por la ponderación / el recorte de valoración aplicable de la plantilla C 72.00 del anexo XXIV correspondiente al tipo de activo. La columna 0030 de la plantilla C 73.00 del anexo XXIV se utilizará en el cálculo del importe ajustado de los activos líquidos de la plantilla C 76.00 del anexo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sz w:val="24"/>
                <w:szCs w:val="24"/>
                <w:rFonts w:ascii="Times New Roman" w:hAnsi="Times New Roman"/>
              </w:rPr>
            </w:pPr>
            <w:r>
              <w:rPr>
                <w:sz w:val="24"/>
                <w:rFonts w:ascii="Times New Roman" w:hAnsi="Times New Roman"/>
              </w:rPr>
              <w:t xml:space="preserve">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b/>
                <w:bCs w:val="0"/>
                <w:sz w:val="24"/>
                <w:szCs w:val="24"/>
                <w:rFonts w:ascii="Times New Roman" w:hAnsi="Times New Roman"/>
              </w:rPr>
            </w:pPr>
            <w:r>
              <w:rPr>
                <w:b/>
                <w:sz w:val="24"/>
                <w:u w:color="000000"/>
                <w:rFonts w:ascii="Times New Roman" w:hAnsi="Times New Roman"/>
              </w:rPr>
              <w:t xml:space="preserve">Ponderación estándar</w:t>
            </w:r>
          </w:p>
          <w:p w14:paraId="5D7B80A9" w14:textId="36FFF792" w:rsidR="006E48EA" w:rsidRPr="000B6B22" w:rsidRDefault="006E48EA">
            <w:pPr>
              <w:pStyle w:val="InstructionsText"/>
              <w:spacing w:after="120"/>
              <w:rPr>
                <w:rStyle w:val="FormatvorlageInstructionsTabelleText"/>
                <w:sz w:val="24"/>
                <w:szCs w:val="24"/>
                <w:rFonts w:ascii="Times New Roman" w:eastAsia="Calibri" w:hAnsi="Times New Roman"/>
              </w:rPr>
            </w:pPr>
            <w:r>
              <w:rPr>
                <w:rStyle w:val="FormatvorlageInstructionsTabelleText"/>
                <w:sz w:val="24"/>
                <w:rFonts w:ascii="Times New Roman" w:hAnsi="Times New Roman"/>
              </w:rPr>
              <w:t xml:space="preserve">Artículos 24 a 31 </w:t>
            </w:r>
            <w:r>
              <w:rPr>
                <w:rStyle w:val="FormatvorlageInstructionsTabelleText"/>
                <w:sz w:val="24"/>
                <w:i/>
                <w:rFonts w:ascii="Times New Roman" w:hAnsi="Times New Roman"/>
              </w:rPr>
              <w:t xml:space="preserve">bis</w:t>
            </w:r>
            <w:r>
              <w:rPr>
                <w:rStyle w:val="FormatvorlageInstructionsTabelleText"/>
                <w:sz w:val="24"/>
                <w:rFonts w:ascii="Times New Roman" w:hAnsi="Times New Roman"/>
              </w:rPr>
              <w:t xml:space="preserve"> del </w:t>
            </w:r>
            <w:r>
              <w:rPr>
                <w:rStyle w:val="FormatvorlageInstructionsTabelleText"/>
                <w:sz w:val="24"/>
                <w:rFonts w:ascii="Times New Roman" w:hAnsi="Times New Roman"/>
              </w:rPr>
              <w:t xml:space="preserve">Reglamento Delegado (UE) 2015/61</w:t>
            </w:r>
          </w:p>
          <w:p w14:paraId="0948D84E" w14:textId="12E11048" w:rsidR="006E48EA" w:rsidRPr="000B6B22" w:rsidRDefault="006E48EA" w:rsidP="009D4EFF">
            <w:pPr>
              <w:pStyle w:val="TableParagraph"/>
              <w:spacing w:after="120"/>
              <w:jc w:val="both"/>
              <w:rPr>
                <w:sz w:val="24"/>
                <w:szCs w:val="24"/>
                <w:rFonts w:ascii="Times New Roman" w:eastAsia="Times New Roman" w:hAnsi="Times New Roman"/>
              </w:rPr>
            </w:pPr>
            <w:r>
              <w:rPr>
                <w:rStyle w:val="FormatvorlageInstructionsTabelleText"/>
                <w:sz w:val="24"/>
                <w:rFonts w:ascii="Times New Roman" w:hAnsi="Times New Roman"/>
              </w:rPr>
              <w:t xml:space="preserve">Las ponderaciones estándar que se indican en la columna 0040 son las especificadas por defecto en el Reglamento Delegado (UE) 2015/61 y se incluyen exclusivamente con fines de información.</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0050</w:t>
            </w:r>
          </w:p>
        </w:tc>
        <w:tc>
          <w:tcPr>
            <w:tcW w:w="7140" w:type="dxa"/>
            <w:shd w:val="clear" w:color="auto" w:fill="auto"/>
          </w:tcPr>
          <w:p w14:paraId="4B19B6B3"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Ponderación aplicable</w:t>
            </w:r>
          </w:p>
          <w:p w14:paraId="17CD426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Con y sin garantías</w:t>
            </w:r>
          </w:p>
          <w:p w14:paraId="26F2321F" w14:textId="38837FED" w:rsidR="006E48EA" w:rsidRPr="000B6B22" w:rsidRDefault="006E48EA">
            <w:pPr>
              <w:pStyle w:val="TableParagraph"/>
              <w:spacing w:after="120"/>
              <w:ind w:left="102" w:right="96"/>
              <w:jc w:val="both"/>
              <w:rPr>
                <w:sz w:val="24"/>
                <w:szCs w:val="24"/>
                <w:rFonts w:ascii="Times New Roman" w:eastAsia="Verdana" w:hAnsi="Times New Roman"/>
              </w:rPr>
            </w:pPr>
            <w:r>
              <w:rPr>
                <w:sz w:val="24"/>
                <w:rFonts w:ascii="Times New Roman" w:hAnsi="Times New Roman"/>
              </w:rPr>
              <w:t xml:space="preserve">Las entidades de crédito comunicarán aquí las ponderaciones aplicables.</w:t>
            </w:r>
            <w:r>
              <w:rPr>
                <w:sz w:val="24"/>
                <w:rFonts w:ascii="Times New Roman" w:hAnsi="Times New Roman"/>
              </w:rPr>
              <w:t xml:space="preserve"> </w:t>
            </w:r>
            <w:r>
              <w:rPr>
                <w:sz w:val="24"/>
                <w:rFonts w:ascii="Times New Roman" w:hAnsi="Times New Roman"/>
              </w:rPr>
              <w:t xml:space="preserve">Se trata de las ponderaciones especificadas en los artículos 22 a 31 </w:t>
            </w:r>
            <w:r>
              <w:rPr>
                <w:sz w:val="24"/>
                <w:i/>
                <w:rFonts w:ascii="Times New Roman" w:hAnsi="Times New Roman"/>
              </w:rPr>
              <w:t xml:space="preserve">bis </w:t>
            </w:r>
            <w:r>
              <w:rPr>
                <w:sz w:val="24"/>
                <w:rFonts w:ascii="Times New Roman" w:hAnsi="Times New Roman"/>
              </w:rPr>
              <w:t xml:space="preserve">del Reglamento Delegado (UE) 2015/61.</w:t>
            </w:r>
            <w:r>
              <w:rPr>
                <w:sz w:val="24"/>
                <w:rFonts w:ascii="Times New Roman" w:hAnsi="Times New Roman"/>
              </w:rPr>
              <w:t xml:space="preserve"> </w:t>
            </w:r>
            <w:r>
              <w:rPr>
                <w:sz w:val="24"/>
                <w:rFonts w:ascii="Times New Roman" w:hAnsi="Times New Roman"/>
              </w:rPr>
              <w:t xml:space="preserve">Las ponderaciones aplicables pueden arrojar valores medios ponderados y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Las ponderaciones aplicables pueden reflejar, aunque no exclusivamente, decisiones adoptadas discrecionalmente por las empresas o las autoridades nacionales.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b/>
                <w:sz w:val="24"/>
                <w:rFonts w:ascii="Times New Roman" w:hAnsi="Times New Roman"/>
              </w:rPr>
              <w:t xml:space="preserve">Salida</w:t>
            </w:r>
          </w:p>
          <w:p w14:paraId="4C57A5CF"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Con y sin garantías</w:t>
            </w:r>
          </w:p>
          <w:p w14:paraId="41041B6A" w14:textId="01F76C61" w:rsidR="006E48EA" w:rsidRPr="000B6B22" w:rsidRDefault="006E48EA" w:rsidP="009D4EFF">
            <w:pPr>
              <w:pStyle w:val="TableParagraph"/>
              <w:spacing w:after="120"/>
              <w:ind w:left="102"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w:t>
            </w:r>
            <w:r>
              <w:rPr>
                <w:sz w:val="24"/>
                <w:rFonts w:ascii="Times New Roman" w:hAnsi="Times New Roman"/>
              </w:rPr>
              <w:t xml:space="preserve"> </w:t>
            </w:r>
            <w:r>
              <w:rPr>
                <w:sz w:val="24"/>
                <w:rFonts w:ascii="Times New Roman" w:hAnsi="Times New Roman"/>
              </w:rPr>
              <w:t xml:space="preserve">Estas se calcularán multiplicando la columna 0010 de la plantilla C 73.00 del anexo XXIV por la columna 0050 de la plantilla C 73.00 del anexo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1.4.</w:t>
      </w:r>
      <w:r>
        <w:rPr>
          <w:sz w:val="24"/>
          <w:u w:val="none"/>
          <w:rFonts w:ascii="Times New Roman" w:hAnsi="Times New Roman"/>
        </w:rPr>
        <w:tab/>
      </w:r>
      <w:r>
        <w:rPr>
          <w:sz w:val="24"/>
          <w:u w:val="none"/>
          <w:rFonts w:ascii="Times New Roman" w:hAnsi="Times New Roman"/>
        </w:rPr>
        <w:t xml:space="preserve">Instrucciones relativas a filas concretas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Fila</w:t>
            </w:r>
          </w:p>
        </w:tc>
        <w:tc>
          <w:tcPr>
            <w:tcW w:w="6946" w:type="dxa"/>
            <w:shd w:val="clear" w:color="auto" w:fill="auto"/>
          </w:tcPr>
          <w:p w14:paraId="7E616679"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Referencias jurídicas e instrucciones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0010</w:t>
            </w:r>
          </w:p>
        </w:tc>
        <w:tc>
          <w:tcPr>
            <w:tcW w:w="6946" w:type="dxa"/>
            <w:shd w:val="clear" w:color="auto" w:fill="auto"/>
          </w:tcPr>
          <w:p w14:paraId="4FF0458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w:t>
            </w:r>
            <w:r>
              <w:rPr>
                <w:b/>
                <w:sz w:val="24"/>
                <w:u w:color="000000"/>
                <w:rFonts w:ascii="Times New Roman" w:hAnsi="Times New Roman"/>
              </w:rPr>
              <w:t xml:space="preserve"> </w:t>
            </w:r>
            <w:r>
              <w:rPr>
                <w:b/>
                <w:sz w:val="24"/>
                <w:u w:color="000000"/>
                <w:rFonts w:ascii="Times New Roman" w:hAnsi="Times New Roman"/>
              </w:rPr>
              <w:t xml:space="preserve">SALIDAS</w:t>
            </w:r>
          </w:p>
          <w:p w14:paraId="56F18262" w14:textId="138DB5D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Título III, capítulo 2, del Reglamento Delegado (UE) 2015/61</w:t>
            </w:r>
          </w:p>
          <w:p w14:paraId="1935D5EA" w14:textId="5F3A435E"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aquí las salidas con arreglo al título III, capítulo 2, del Reglamento Delegado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0020</w:t>
            </w:r>
          </w:p>
        </w:tc>
        <w:tc>
          <w:tcPr>
            <w:tcW w:w="6946" w:type="dxa"/>
            <w:shd w:val="clear" w:color="auto" w:fill="auto"/>
          </w:tcPr>
          <w:p w14:paraId="0164895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w:t>
            </w:r>
            <w:r>
              <w:rPr>
                <w:b/>
                <w:sz w:val="24"/>
                <w:u w:color="000000"/>
                <w:rFonts w:ascii="Times New Roman" w:hAnsi="Times New Roman"/>
              </w:rPr>
              <w:t xml:space="preserve"> </w:t>
            </w:r>
            <w:r>
              <w:rPr>
                <w:b/>
                <w:sz w:val="24"/>
                <w:u w:color="000000"/>
                <w:rFonts w:ascii="Times New Roman" w:hAnsi="Times New Roman"/>
              </w:rPr>
              <w:t xml:space="preserve">Salidas derivadas de operaciones/depósitos no garantizados</w:t>
            </w:r>
          </w:p>
          <w:p w14:paraId="248A899A" w14:textId="643713A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Artículos 20 a 31 </w:t>
            </w:r>
            <w:r>
              <w:rPr>
                <w:sz w:val="24"/>
                <w:i/>
                <w:rFonts w:ascii="Times New Roman" w:hAnsi="Times New Roman"/>
              </w:rPr>
              <w:t xml:space="preserve">bis</w:t>
            </w:r>
            <w:r>
              <w:rPr>
                <w:sz w:val="24"/>
                <w:rFonts w:ascii="Times New Roman" w:hAnsi="Times New Roman"/>
              </w:rPr>
              <w:t xml:space="preserve"> del Reglamento Delegado (UE) 2015/61</w:t>
            </w:r>
          </w:p>
          <w:p w14:paraId="78F945A7" w14:textId="5937433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aquí las salidas con arreglo a los artículos 21 a 31 </w:t>
            </w:r>
            <w:r>
              <w:rPr>
                <w:sz w:val="24"/>
                <w:i/>
                <w:iCs/>
                <w:rFonts w:ascii="Times New Roman" w:hAnsi="Times New Roman"/>
              </w:rPr>
              <w:t xml:space="preserve">bis</w:t>
            </w:r>
            <w:r>
              <w:rPr>
                <w:sz w:val="24"/>
                <w:rFonts w:ascii="Times New Roman" w:hAnsi="Times New Roman"/>
              </w:rPr>
              <w:t xml:space="preserve"> del Reglamento Delegado (UE) 2015/61, a excepción de las salidas comunicadas conforme al artículo 28, apartados 3 y 4, de ese Reglamento Delegado.</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0030</w:t>
            </w:r>
          </w:p>
        </w:tc>
        <w:tc>
          <w:tcPr>
            <w:tcW w:w="6946" w:type="dxa"/>
            <w:shd w:val="clear" w:color="auto" w:fill="auto"/>
          </w:tcPr>
          <w:p w14:paraId="0E5729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w:t>
            </w:r>
            <w:r>
              <w:rPr>
                <w:b/>
                <w:sz w:val="24"/>
                <w:u w:color="000000"/>
                <w:rFonts w:ascii="Times New Roman" w:hAnsi="Times New Roman"/>
              </w:rPr>
              <w:t xml:space="preserve"> </w:t>
            </w:r>
            <w:r>
              <w:rPr>
                <w:b/>
                <w:sz w:val="24"/>
                <w:u w:color="000000"/>
                <w:rFonts w:ascii="Times New Roman" w:hAnsi="Times New Roman"/>
              </w:rPr>
              <w:t xml:space="preserve">Depósitos minoristas</w:t>
            </w:r>
          </w:p>
          <w:p w14:paraId="080B8141" w14:textId="54FDDEC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Artículos 24 y 25 del </w:t>
            </w:r>
            <w:r>
              <w:rPr>
                <w:sz w:val="24"/>
                <w:rFonts w:ascii="Times New Roman" w:hAnsi="Times New Roman"/>
              </w:rPr>
              <w:t xml:space="preserve">Reglamento Delegado (UE) 2015/61</w:t>
            </w:r>
          </w:p>
          <w:p w14:paraId="54318650" w14:textId="0C057DBD"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aquí los depósitos minoristas según se definen en el artículo 411, apartado 2, del Reglamento (UE) n.º 575/2013.</w:t>
            </w:r>
          </w:p>
          <w:p w14:paraId="48E5F6C9" w14:textId="6D2B5284" w:rsidR="006E48EA" w:rsidRPr="000B6B22" w:rsidRDefault="00762F31"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asimismo en la oportuna categoría de depósitos minoristas el importe de los pagarés, bonos y otros valores emitidos que se vendan exclusivamente en el mercado minorista y se mantengan en una cuenta minorista, según se indica en el artículo 28, apartado 6, del Reglamento Delegado (UE) 2015/61.</w:t>
            </w:r>
            <w:r>
              <w:rPr>
                <w:sz w:val="24"/>
                <w:rFonts w:ascii="Times New Roman" w:hAnsi="Times New Roman"/>
              </w:rPr>
              <w:t xml:space="preserve"> </w:t>
            </w:r>
            <w:r>
              <w:rPr>
                <w:sz w:val="24"/>
                <w:rFonts w:ascii="Times New Roman" w:hAnsi="Times New Roman"/>
              </w:rPr>
              <w:t xml:space="preserve">Las entidades de crédito tendrán en cuenta, respecto de esta categoría de pasivo, los índices de salida aplicables previstos en el Reglamento Delegado (UE) 2015/61 para las distintas categorías de depósitos minoristas.</w:t>
            </w:r>
            <w:r>
              <w:rPr>
                <w:sz w:val="24"/>
                <w:rFonts w:ascii="Times New Roman" w:hAnsi="Times New Roman"/>
              </w:rPr>
              <w:t xml:space="preserve"> </w:t>
            </w:r>
            <w:r>
              <w:rPr>
                <w:sz w:val="24"/>
                <w:rFonts w:ascii="Times New Roman" w:hAnsi="Times New Roman"/>
              </w:rPr>
              <w:t xml:space="preserve">En consecuencia, las entidades de crédito comunicarán como ponderación aplicable la media de las ponderaciones pertinentes aplicables a todos estos depósitos.</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0035</w:t>
            </w:r>
          </w:p>
        </w:tc>
        <w:tc>
          <w:tcPr>
            <w:tcW w:w="6946" w:type="dxa"/>
            <w:shd w:val="clear" w:color="auto" w:fill="auto"/>
          </w:tcPr>
          <w:p w14:paraId="7C708298" w14:textId="381B700D" w:rsidR="006E48EA" w:rsidRPr="000B6B22" w:rsidRDefault="003063B8" w:rsidP="009D4EFF">
            <w:pPr>
              <w:pStyle w:val="TableParagraph"/>
              <w:spacing w:after="120"/>
              <w:jc w:val="both"/>
              <w:rPr>
                <w:b/>
                <w:sz w:val="24"/>
                <w:szCs w:val="24"/>
                <w:rFonts w:ascii="Times New Roman" w:eastAsia="Verdana" w:hAnsi="Times New Roman"/>
              </w:rPr>
            </w:pPr>
            <w:r>
              <w:rPr>
                <w:b/>
                <w:sz w:val="24"/>
                <w:rFonts w:ascii="Times New Roman" w:hAnsi="Times New Roman"/>
              </w:rPr>
              <w:t xml:space="preserve">1.1.1.1. Depósitos exentos del cálculo de las salidas</w:t>
            </w:r>
          </w:p>
          <w:p w14:paraId="09103CBF" w14:textId="2F5392A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25, apartado 4, del Reglamento Delegado (UE) 2015/61</w:t>
            </w:r>
          </w:p>
          <w:p w14:paraId="79878B86" w14:textId="342E5DD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aquí las categorías de depósitos minoristas exentas del cálculo de las salidas si se cumplen las condiciones del artículo 25, apartado 4, letras a) y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1.1.1.2. Depósitos respecto de los cuales se haya fijado el pago en los</w:t>
            </w:r>
            <w:r>
              <w:rPr>
                <w:b/>
                <w:sz w:val="24"/>
                <w:rFonts w:ascii="Times New Roman" w:hAnsi="Times New Roman"/>
              </w:rPr>
              <w:t xml:space="preserve"> </w:t>
            </w:r>
            <w:r>
              <w:rPr>
                <w:b/>
                <w:sz w:val="24"/>
                <w:u w:color="000000"/>
                <w:rFonts w:ascii="Times New Roman" w:hAnsi="Times New Roman"/>
              </w:rPr>
              <w:t xml:space="preserve">siguientes 30 días</w:t>
            </w:r>
          </w:p>
          <w:p w14:paraId="07FB69D1" w14:textId="71D227D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25, apartado 4, del Reglamento Delegado (UE) 2015/61</w:t>
            </w:r>
          </w:p>
          <w:p w14:paraId="3DC4E06E"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aquí los depósitos con un vencimiento residual inferior a 30 días cuando se haya convenido el pago.</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0050</w:t>
            </w:r>
          </w:p>
        </w:tc>
        <w:tc>
          <w:tcPr>
            <w:tcW w:w="6946" w:type="dxa"/>
            <w:shd w:val="clear" w:color="auto" w:fill="auto"/>
          </w:tcPr>
          <w:p w14:paraId="1101E54A" w14:textId="0E853F2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 Depósitos sujetos a un índice de salida superior</w:t>
            </w:r>
          </w:p>
          <w:p w14:paraId="17D57840" w14:textId="26503CA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25, apartados 2 y 3, del </w:t>
            </w:r>
            <w:r>
              <w:rPr>
                <w:sz w:val="24"/>
                <w:rFonts w:ascii="Times New Roman" w:hAnsi="Times New Roman"/>
              </w:rPr>
              <w:t xml:space="preserve">Reglamento Delegado (UE) 2015/61</w:t>
            </w:r>
          </w:p>
          <w:p w14:paraId="1A624062" w14:textId="0E1A47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aquí el saldo total de los depósitos sujetos a un índice de salida más elevado de conformidad con el artículo 25, apartados 2 y 3, del Reglamento Delegado (UE) 2015/61.</w:t>
            </w:r>
            <w:r>
              <w:rPr>
                <w:sz w:val="24"/>
                <w:rFonts w:ascii="Times New Roman" w:hAnsi="Times New Roman"/>
              </w:rPr>
              <w:t xml:space="preserve"> </w:t>
            </w:r>
            <w:r>
              <w:rPr>
                <w:sz w:val="24"/>
                <w:rFonts w:ascii="Times New Roman" w:hAnsi="Times New Roman"/>
              </w:rPr>
              <w:t xml:space="preserve">Se comunicarán aquí también aquellos depósitos minoristas respecto de los cuales no se haya realizado o finalizado la evaluación de categorización a que se refiere el artículo 25, apartado 2, del Reglamento Delegado (UE) 2015/61.</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0060</w:t>
            </w:r>
          </w:p>
        </w:tc>
        <w:tc>
          <w:tcPr>
            <w:tcW w:w="6946" w:type="dxa"/>
            <w:shd w:val="clear" w:color="auto" w:fill="auto"/>
          </w:tcPr>
          <w:p w14:paraId="39CB07BF" w14:textId="28D4765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1.1.1.3.1.</w:t>
            </w:r>
            <w:r>
              <w:rPr>
                <w:b/>
                <w:sz w:val="24"/>
                <w:u w:color="000000"/>
                <w:rFonts w:ascii="Times New Roman" w:hAnsi="Times New Roman"/>
              </w:rPr>
              <w:t xml:space="preserve"> </w:t>
            </w:r>
            <w:r>
              <w:rPr>
                <w:b/>
                <w:sz w:val="24"/>
                <w:u w:color="000000"/>
                <w:rFonts w:ascii="Times New Roman" w:hAnsi="Times New Roman"/>
              </w:rPr>
              <w:t xml:space="preserve">Categoría 1</w:t>
            </w:r>
          </w:p>
          <w:p w14:paraId="1F457005" w14:textId="1F4F18B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25, apartado 3, del Reglamento Delegado (UE) 2015/61</w:t>
            </w:r>
          </w:p>
          <w:p w14:paraId="5191EB47" w14:textId="212530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total de cada uno de los depósitos minoristas que satisfaga los criterios del artículo 25, apartado 2, letra a), o dos de los criterios del artículo 25, apartado 2, letras b) a e), del Reglamento Delegado (UE) 2015/61, salvo que esos depósitos se hayan obtenido en terceros países donde se aplique un índice de salida superior de conformidad con el artículo 25, apartado 5, de ese Reglamento Delegado, en cuyo caso deberán comunicarse dentro de esta última categoría.</w:t>
            </w:r>
          </w:p>
          <w:p w14:paraId="097D0DD7" w14:textId="54FC4871"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como ponderación aplicable la media de índices, sean estos los índices estándar previstos por defecto en el artículo 25, apartado 3, letra a), del Reglamento Delegado (UE) 2015/61 o índices superiores, si han sido aplicados por una autoridad competente, siempre que hayan sido aplicados de manera efectiva sobre el importe íntegro de cada depósito de aquellos a que se refiere el apartado precedente, y hayan sido ponderados por los correspondientes importes antes citados.</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0070</w:t>
            </w:r>
          </w:p>
        </w:tc>
        <w:tc>
          <w:tcPr>
            <w:tcW w:w="6946" w:type="dxa"/>
            <w:shd w:val="clear" w:color="auto" w:fill="auto"/>
          </w:tcPr>
          <w:p w14:paraId="78E75DB7" w14:textId="5EBED82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1.1.1.3.2.</w:t>
            </w:r>
            <w:r>
              <w:rPr>
                <w:b/>
                <w:sz w:val="24"/>
                <w:u w:color="000000"/>
                <w:rFonts w:ascii="Times New Roman" w:hAnsi="Times New Roman"/>
              </w:rPr>
              <w:t xml:space="preserve"> </w:t>
            </w:r>
            <w:r>
              <w:rPr>
                <w:b/>
                <w:sz w:val="24"/>
                <w:u w:color="000000"/>
                <w:rFonts w:ascii="Times New Roman" w:hAnsi="Times New Roman"/>
              </w:rPr>
              <w:t xml:space="preserve">Categoría 2</w:t>
            </w:r>
          </w:p>
          <w:p w14:paraId="174C620D" w14:textId="6D7402A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25, apartado 3, del Reglamento Delegado (UE) 2015/61</w:t>
            </w:r>
          </w:p>
          <w:p w14:paraId="6A9CC7D7" w14:textId="2AB0D9C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total de cada uno de los depósitos minoristas que satisfaga los criterios del artículo 25, apartado 2, letra a), del Reglamento Delegado (UE) 2015/61 y al menos otro de los criterios mencionados en dicho apartado 2, o tres o más criterios de ese mismo apartado, salvo que esos depósitos se hayan obtenido en terceros países donde se aplique un índice de salida superior de conformidad con el artículo 25, apartado 5, de ese Reglamento Delegado, en cuyo caso deberán comunicarse dentro de esta última categoría.</w:t>
            </w:r>
          </w:p>
          <w:p w14:paraId="1E381B1B" w14:textId="2B60B77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Se comunicarán aquí también aquellos depósitos minoristas respecto de los cuales no se haya realizado o finalizado la evaluación de categorización a que se refiere el artículo 25, apartado 2.</w:t>
            </w:r>
          </w:p>
          <w:p w14:paraId="3A0FDAD6" w14:textId="098405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como ponderación aplicable la media de índices, sean estos los índices estándar previstos por defecto en el artículo 25, apartado 3, letra b), del Reglamento Delegado (UE) 2015/61 o índices superiores, si han sido aplicados por una autoridad competente, siempre que hayan sido aplicados sobre el importe íntegro de cada depósito de aquellos a que se refieren los apartados precedentes, y hayan sido ponderados por los correspondientes importes antes citados.</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0080</w:t>
            </w:r>
          </w:p>
        </w:tc>
        <w:tc>
          <w:tcPr>
            <w:tcW w:w="6946" w:type="dxa"/>
            <w:shd w:val="clear" w:color="auto" w:fill="auto"/>
          </w:tcPr>
          <w:p w14:paraId="080C9E5A" w14:textId="5A7791B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1.1.1.4. Depósitos estables</w:t>
            </w:r>
          </w:p>
          <w:p w14:paraId="5CCEB5F0" w14:textId="28D340C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24 del </w:t>
            </w:r>
            <w:r>
              <w:rPr>
                <w:sz w:val="24"/>
                <w:rFonts w:ascii="Times New Roman" w:hAnsi="Times New Roman"/>
              </w:rPr>
              <w:t xml:space="preserve">Reglamento Delegado (UE) 2015/61</w:t>
            </w:r>
          </w:p>
          <w:p w14:paraId="78382562" w14:textId="0FA663FD" w:rsidR="006E48EA" w:rsidRPr="000B6B22" w:rsidRDefault="006E48EA" w:rsidP="009D4EFF">
            <w:pPr>
              <w:pStyle w:val="TableParagraph"/>
              <w:spacing w:after="120"/>
              <w:ind w:right="97"/>
              <w:jc w:val="both"/>
              <w:rPr>
                <w:sz w:val="24"/>
                <w:szCs w:val="24"/>
                <w:rFonts w:ascii="Times New Roman" w:eastAsia="Times New Roman" w:hAnsi="Times New Roman"/>
              </w:rPr>
            </w:pPr>
            <w:r>
              <w:rPr>
                <w:sz w:val="24"/>
                <w:rFonts w:ascii="Times New Roman" w:hAnsi="Times New Roman"/>
              </w:rPr>
              <w:t xml:space="preserve">Las entidades de crédito comunicarán la parte de los importes de los depósitos minoristas cubierta por un sistema de garantía de depósitos con arreglo a la Directiva 94/19/CE o la Directiva 2014/49/UE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siempre que:</w:t>
            </w:r>
          </w:p>
          <w:p w14:paraId="1CFF13EB" w14:textId="17FB880B"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esos depósitos no cumplan los criterios relativos a un índice de salida superior conforme al artículo 25, apartados 2, 3 y 5, del Reglamento Delegado (UE) 2015/61, ya que de lo contrario deberán consignarse como depósitos sujetos a un índice de salida superior;</w:t>
            </w:r>
            <w:r>
              <w:rPr>
                <w:sz w:val="24"/>
                <w:rFonts w:ascii="Times New Roman" w:hAnsi="Times New Roman"/>
              </w:rPr>
              <w:t xml:space="preserve"> </w:t>
            </w:r>
            <w:r>
              <w:rPr>
                <w:sz w:val="24"/>
                <w:rFonts w:ascii="Times New Roman" w:hAnsi="Times New Roman"/>
              </w:rPr>
              <w:t xml:space="preserve">o bien</w:t>
            </w:r>
          </w:p>
          <w:p w14:paraId="00ABE6D5" w14:textId="5DA09C6F"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esos depósitos no se hayan obtenido en terceros países en los que se aplique un índice de salida superior de conformidad con el artículo 25, apartado 5, del Reglamento Delegado (UE) 2015/61, ya que de lo contrario se incluirán en esa categoría;</w:t>
            </w:r>
          </w:p>
          <w:p w14:paraId="5DC31F4B" w14:textId="52BEFF2A" w:rsidR="006E48EA" w:rsidRPr="000B6B22" w:rsidRDefault="006E48EA" w:rsidP="009D4EFF">
            <w:pPr>
              <w:widowControl w:val="0"/>
              <w:spacing w:before="0"/>
              <w:ind w:left="555" w:right="98"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la excepción prevista en el artículo 24, apartado 4, del Reglamento Delegado (UE) 2015/61 no sea aplicable.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0090</w:t>
            </w:r>
          </w:p>
        </w:tc>
        <w:tc>
          <w:tcPr>
            <w:tcW w:w="6946" w:type="dxa"/>
            <w:shd w:val="clear" w:color="auto" w:fill="auto"/>
          </w:tcPr>
          <w:p w14:paraId="7CF50DF8" w14:textId="381DAD6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1.1.1.5.</w:t>
            </w:r>
            <w:r>
              <w:rPr>
                <w:b/>
                <w:sz w:val="24"/>
                <w:u w:color="000000"/>
                <w:rFonts w:ascii="Times New Roman" w:hAnsi="Times New Roman"/>
              </w:rPr>
              <w:t xml:space="preserve"> </w:t>
            </w:r>
            <w:r>
              <w:rPr>
                <w:b/>
                <w:sz w:val="24"/>
                <w:u w:color="000000"/>
                <w:rFonts w:ascii="Times New Roman" w:hAnsi="Times New Roman"/>
              </w:rPr>
              <w:t xml:space="preserve">Depósitos estables objeto de una excepción</w:t>
            </w:r>
          </w:p>
          <w:p w14:paraId="2A903549" w14:textId="4145599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24, apartados 4 y 6, del Reglamento Delegado (UE) 2015/61</w:t>
            </w:r>
          </w:p>
          <w:p w14:paraId="630AF429" w14:textId="3E198F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la parte de los importes de los depósitos minoristas que esté cubierta por un sistema de garantía de depósitos con arreglo a la Directiva 2014/49/UE, hasta un nivel máximo de 100 000 EUR, y que bien sea parte de una relación asentada que haga muy improbable la retirada, bien se mantenga en una cuenta corriente de conformidad con el artículo 24, apartados 2 y 3, del Reglamento Delegado (UE) 2015/61, siempre que:</w:t>
            </w:r>
          </w:p>
          <w:p w14:paraId="29C8893A" w14:textId="345348C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esos depósitos no cumplan los criterios relativos a un índice de salida superior conforme al artículo 25, apartados 2, 3 y 5, del Reglamento Delegado (UE) 2015/61, ya que de lo contrario deberán consignarse como depósitos sujetos a un índice de salida superior;</w:t>
            </w:r>
            <w:r>
              <w:rPr>
                <w:sz w:val="24"/>
                <w:rFonts w:ascii="Times New Roman" w:hAnsi="Times New Roman"/>
              </w:rPr>
              <w:t xml:space="preserve"> </w:t>
            </w:r>
            <w:r>
              <w:rPr>
                <w:sz w:val="24"/>
                <w:rFonts w:ascii="Times New Roman" w:hAnsi="Times New Roman"/>
              </w:rPr>
              <w:t xml:space="preserve">o bien</w:t>
            </w:r>
          </w:p>
          <w:p w14:paraId="0D454606" w14:textId="044FE014"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esos depósitos no se hayan obtenido en terceros países en los que se aplique un índice de salida superior de conformidad con el artículo 25, apartado 5, del Reglamento Delegado (UE) 2015/61, ya que de lo contrario se incluirán en esa categoría;</w:t>
            </w:r>
          </w:p>
          <w:p w14:paraId="359C0063" w14:textId="07540F60"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la excepción contemplada en el artículo 24, apartado 4, del Reglamento Delegado (UE) 2015/61 no sea aplicable.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0100</w:t>
            </w:r>
          </w:p>
        </w:tc>
        <w:tc>
          <w:tcPr>
            <w:tcW w:w="6946" w:type="dxa"/>
            <w:shd w:val="clear" w:color="auto" w:fill="auto"/>
          </w:tcPr>
          <w:p w14:paraId="31D98C10" w14:textId="65927B1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1.1.1.6. Depósitos en terceros países en los que se aplica un índice de salida superior</w:t>
            </w:r>
          </w:p>
          <w:p w14:paraId="312920A6" w14:textId="7D569C66"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Artículo 25, apartado 5, del Reglamento Delegado (UE) 2015/61</w:t>
            </w:r>
          </w:p>
          <w:p w14:paraId="11D659B3" w14:textId="4320B4F3"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 los depósitos minoristas obtenidos en un tercer país en el que se aplique un índice de salida superior de conformidad con la legislación nacional que establezca los requisitos de liquidez en el tercer país de que se trate.</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0110</w:t>
            </w:r>
          </w:p>
        </w:tc>
        <w:tc>
          <w:tcPr>
            <w:tcW w:w="6946" w:type="dxa"/>
            <w:shd w:val="clear" w:color="auto" w:fill="auto"/>
          </w:tcPr>
          <w:p w14:paraId="15F3BDD8" w14:textId="3F8A364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1.1.1.7. Otros depósitos minoristas</w:t>
            </w:r>
          </w:p>
          <w:p w14:paraId="5E4938B6" w14:textId="58CAB0F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25, apartado 1, del Reglamento Delegado (UE) 2015/61</w:t>
            </w:r>
          </w:p>
          <w:p w14:paraId="4ED9F9A5" w14:textId="72F3894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 otros depósitos minoristas, distintos de los incluidos en las partidas precedentes.</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0120</w:t>
            </w:r>
          </w:p>
        </w:tc>
        <w:tc>
          <w:tcPr>
            <w:tcW w:w="6946" w:type="dxa"/>
            <w:shd w:val="clear" w:color="auto" w:fill="auto"/>
          </w:tcPr>
          <w:p w14:paraId="1AF8DF6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w:t>
            </w:r>
            <w:r>
              <w:rPr>
                <w:b/>
                <w:sz w:val="24"/>
                <w:u w:color="000000"/>
                <w:rFonts w:ascii="Times New Roman" w:hAnsi="Times New Roman"/>
              </w:rPr>
              <w:t xml:space="preserve"> </w:t>
            </w:r>
            <w:r>
              <w:rPr>
                <w:b/>
                <w:sz w:val="24"/>
                <w:u w:color="000000"/>
                <w:rFonts w:ascii="Times New Roman" w:hAnsi="Times New Roman"/>
              </w:rPr>
              <w:t xml:space="preserve">Depósitos operativos</w:t>
            </w:r>
          </w:p>
          <w:p w14:paraId="03CD0763" w14:textId="03E781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27 del Reglamento Delegado (UE) 2015/61</w:t>
            </w:r>
          </w:p>
          <w:p w14:paraId="6BA113B0" w14:textId="7657DD0B"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Las entidades de crédito comunicarán aquí la parte de los depósitos operativos determinados de conformidad con el artículo 27 del Reglamento Delegado (UE) 2015/61 que sea necesaria para la prestación de servicios operativos.</w:t>
            </w:r>
            <w:r>
              <w:rPr>
                <w:sz w:val="24"/>
                <w:rFonts w:ascii="Times New Roman" w:hAnsi="Times New Roman"/>
              </w:rPr>
              <w:t xml:space="preserve"> </w:t>
            </w:r>
            <w:r>
              <w:rPr>
                <w:sz w:val="24"/>
                <w:rFonts w:ascii="Times New Roman" w:hAnsi="Times New Roman"/>
              </w:rPr>
              <w:t xml:space="preserve">Los depósitos derivados de una corresponsalía bancaria o de la prestación de servicios de corretaje preferencial se considerarán depósitos no operativos según lo establecido en el artículo 27, apartado 5, del Reglamento Delegado (UE) 2015/61.</w:t>
            </w:r>
          </w:p>
          <w:p w14:paraId="69F3E3B0" w14:textId="7EBAFDCC" w:rsidR="006E48EA" w:rsidRPr="000B6B22" w:rsidRDefault="00D938EF"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 parte de los depósitos operativos que exceda del importe necesario para la prestación de servicios operativos no se consignará aquí, sino en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b/>
                <w:sz w:val="24"/>
                <w:u w:color="000000"/>
                <w:rFonts w:ascii="Times New Roman" w:hAnsi="Times New Roman"/>
              </w:rPr>
              <w:t xml:space="preserve">1.1.2.1. Mantenidos con fines de compensación, custodia, gestión de efectivo u otros</w:t>
            </w:r>
            <w:r>
              <w:rPr>
                <w:b/>
                <w:sz w:val="24"/>
                <w:rFonts w:ascii="Times New Roman" w:hAnsi="Times New Roman"/>
              </w:rPr>
              <w:t xml:space="preserve"> </w:t>
            </w:r>
            <w:r>
              <w:rPr>
                <w:b/>
                <w:sz w:val="24"/>
                <w:u w:color="000000"/>
                <w:rFonts w:ascii="Times New Roman" w:hAnsi="Times New Roman"/>
              </w:rPr>
              <w:t xml:space="preserve">servicios comparables en el contexto de una </w:t>
            </w:r>
            <w:r>
              <w:rPr>
                <w:b/>
                <w:sz w:val="24"/>
                <w:rFonts w:ascii="Times New Roman" w:hAnsi="Times New Roman"/>
              </w:rPr>
              <w:t xml:space="preserve"> </w:t>
            </w:r>
            <w:r>
              <w:rPr>
                <w:b/>
                <w:sz w:val="24"/>
                <w:u w:color="000000"/>
                <w:rFonts w:ascii="Times New Roman" w:hAnsi="Times New Roman"/>
              </w:rPr>
              <w:t xml:space="preserve">relación operativa asentada</w:t>
            </w:r>
          </w:p>
          <w:p w14:paraId="5E3FFDA9" w14:textId="15DC2861"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Artículo 27, apartado 1, letra a), y apartados 2 y 4, del Reglamento Delegado (UE) 2015/61</w:t>
            </w:r>
          </w:p>
          <w:p w14:paraId="57F32AD6" w14:textId="0603780A"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los depósitos mantenidos por el depositante a fin de obtener servicios de compensación, custodia, gestión de efectivo u otros servicios comparables en el contexto de una relación asentada, según lo indicado en el artículo 27, apartado 1, letra a), del Reglamento Delegado (UE) 2015/61, de la que dependa sustancialmente el depositante, según lo mencionado en el artículo 27, apartado 4, de dicho Reglamento;</w:t>
            </w:r>
            <w:r>
              <w:rPr>
                <w:sz w:val="24"/>
                <w:rFonts w:ascii="Times New Roman" w:hAnsi="Times New Roman"/>
              </w:rPr>
              <w:t xml:space="preserve"> </w:t>
            </w:r>
            <w:r>
              <w:rPr>
                <w:sz w:val="24"/>
                <w:rFonts w:ascii="Times New Roman" w:hAnsi="Times New Roman"/>
              </w:rPr>
              <w:t xml:space="preserve">los fondos en exceso de los requeridos para la prestación de servicios operativos se tratarán como depósitos no operativos según lo indicado en la última frase del artículo 27, apartado 4, del Reglamento Delegado (UE) 2015/61.</w:t>
            </w:r>
          </w:p>
          <w:p w14:paraId="26BF49E8" w14:textId="3EDE7A84"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Solo se consignarán los depósitos que tengan limitaciones legales u operativas significativas que hagan improbable una retirada significativa en un plazo de 30 días naturales, según lo indicado en el artículo 27, apartado 4, segunda frase, del Reglamento Delegado (UE) 2015/61.</w:t>
            </w:r>
          </w:p>
          <w:p w14:paraId="13830DEB" w14:textId="0FDD7672"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por separado el importe de los depósitos cubiertos y no cubiertos por un sistema de garantía de depósitos o un sistema de garantía de depósitos equivalente de un tercer país que se mencionan en el artículo 27, apartado 2, del Reglamento Delegado (UE) 2015/61, tal como se especifica en los siguientes puntos de las instrucciones.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0140</w:t>
            </w:r>
          </w:p>
        </w:tc>
        <w:tc>
          <w:tcPr>
            <w:tcW w:w="6946" w:type="dxa"/>
            <w:shd w:val="clear" w:color="auto" w:fill="auto"/>
          </w:tcPr>
          <w:p w14:paraId="59175E9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1.1.2.1.1 Cubiertos por sistemas de garantía de depósitos</w:t>
            </w:r>
          </w:p>
          <w:p w14:paraId="03553A91" w14:textId="4C9E0761"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Artículo 27, apartado 1, letra a), y apartados 2 y 4, del Reglamento Delegado (UE) 2015/61</w:t>
            </w:r>
          </w:p>
          <w:p w14:paraId="6140B9E0" w14:textId="406E6484"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la parte del saldo vivo de los depósitos operativos mantenidos en el contexto de una relación operativa asentada que cumpla los criterios establecidos en el artículo 27, apartado 1, letra a), y apartado 4, del Reglamento Delegado (UE) 2015/61 y que esté cubierta por un sistema de garantía de depósitos de conformidad con las Directivas 94/19/CE o 2014/49/UE, o por un sistema de garantía de depósitos equivalente de un tercer país.</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0150</w:t>
            </w:r>
          </w:p>
        </w:tc>
        <w:tc>
          <w:tcPr>
            <w:tcW w:w="6946" w:type="dxa"/>
            <w:shd w:val="clear" w:color="auto" w:fill="auto"/>
          </w:tcPr>
          <w:p w14:paraId="255D532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1.1.2.1.2 No cubiertos por sistemas de garantía de depósitos</w:t>
            </w:r>
          </w:p>
          <w:p w14:paraId="713B7652" w14:textId="3A56E08C"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Artículo 27, apartado 1, letra a), y apartados 2 y 4, del Reglamento Delegado (UE) 2015/61</w:t>
            </w:r>
          </w:p>
          <w:p w14:paraId="0BAA112A" w14:textId="2342B711"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la parte del saldo vivo de los depósitos operativos en el contexto de una relación operativa asentada que cumpla los criterios establecidos en el artículo 27, apartado 1, letra a), y apartado 4, del Reglamento Delegado (UE) 2015/61 y que no esté cubierta por un sistema de garantía de depósitos de conformidad con las Directivas 94/19/CE o 2014/49/UE, o por un sistema de garantía de depósitos equivalente de un tercer país.</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0160</w:t>
            </w:r>
          </w:p>
        </w:tc>
        <w:tc>
          <w:tcPr>
            <w:tcW w:w="6946" w:type="dxa"/>
            <w:shd w:val="clear" w:color="auto" w:fill="auto"/>
          </w:tcPr>
          <w:p w14:paraId="7546FD8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rFonts w:ascii="Times New Roman" w:hAnsi="Times New Roman"/>
              </w:rPr>
              <w:t xml:space="preserve">1.1.2.2. Mantenidos en el marco de un sistema institucional de protección o de una red de cooperativas</w:t>
            </w:r>
          </w:p>
          <w:p w14:paraId="0EECFA03" w14:textId="2E69549D"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Artículo 27, apartado 1, letra b), y apartado 3, del </w:t>
            </w:r>
            <w:r>
              <w:rPr>
                <w:sz w:val="24"/>
                <w:rFonts w:ascii="Times New Roman" w:hAnsi="Times New Roman"/>
              </w:rPr>
              <w:t xml:space="preserve">Reglamento Delegado (UE) 2015/61</w:t>
            </w:r>
          </w:p>
          <w:p w14:paraId="13A5D611" w14:textId="29783808"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aquí los depósitos mantenidos en el contexto del reparto de tareas comunes en el marco de un sistema institucional de protección que cumpla los requisitos del artículo 113, apartado 7, del Reglamento (UE) n.º 575/2013, o dentro de un grupo de entidades de crédito cooperativas afiliadas permanentemente a una entidad central que cumpla los requisitos del artículo 113, apartado 6, de dicho Reglamento, o como depósito mínimo legal o establecido contractualmente por otra entidad de crédito que sea miembro del mismo sistema institucional de protección o red de cooperativas, tal como se establece en el artículo 27, apartado 1, letra b), del Reglamento Delegado (UE) 2015/61.</w:t>
            </w:r>
          </w:p>
          <w:p w14:paraId="3D4A72A7" w14:textId="31FB8130"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esos depósitos en filas diferentes en función de que sean tratados o no como activos líquidos de la entidad de crédito depositante, de conformidad con el artículo 27, apartado 3, del Reglamento Delegado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0170</w:t>
            </w:r>
          </w:p>
        </w:tc>
        <w:tc>
          <w:tcPr>
            <w:tcW w:w="6946" w:type="dxa"/>
            <w:shd w:val="clear" w:color="auto" w:fill="auto"/>
          </w:tcPr>
          <w:p w14:paraId="3703A5B5"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1.1.2.2.1 No tratados como activos líquidos de la entidad depositante</w:t>
            </w:r>
          </w:p>
          <w:p w14:paraId="6397AE8C" w14:textId="1518D017" w:rsidR="006E48EA" w:rsidRPr="000B6B22" w:rsidRDefault="005E70B4" w:rsidP="009D4EFF">
            <w:pPr>
              <w:pStyle w:val="TableParagraph"/>
              <w:spacing w:after="120"/>
              <w:jc w:val="both"/>
              <w:rPr>
                <w:sz w:val="24"/>
                <w:szCs w:val="24"/>
                <w:rFonts w:ascii="Times New Roman" w:hAnsi="Times New Roman"/>
              </w:rPr>
            </w:pPr>
            <w:r>
              <w:rPr>
                <w:sz w:val="24"/>
                <w:rFonts w:ascii="Times New Roman" w:hAnsi="Times New Roman"/>
              </w:rPr>
              <w:t xml:space="preserve">Artículo 27, apartado 1, letra b), del Reglamento Delegado (UE) 2015/61</w:t>
            </w:r>
          </w:p>
          <w:p w14:paraId="7D48F1BF" w14:textId="4B61DA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depósitos mantenidos en el contexto de una red de cooperativas o un sistema institucional de protección de conformidad con los criterios establecidos en el artículo 27, apartado 1, letra b), del Reglamento Delegado (UE) 2015/61, a condición de que tales depósitos no se reconozcan como activos líquidos de la entidad de crédito depositante.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0180</w:t>
            </w:r>
          </w:p>
        </w:tc>
        <w:tc>
          <w:tcPr>
            <w:tcW w:w="6946" w:type="dxa"/>
            <w:shd w:val="clear" w:color="auto" w:fill="auto"/>
          </w:tcPr>
          <w:p w14:paraId="74BAF15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1.1.2.2.2 Tratados como activos líquidos de la entidad de crédito depositante</w:t>
            </w:r>
          </w:p>
          <w:p w14:paraId="2DE6E048" w14:textId="08C2DF4F" w:rsidR="006E48EA" w:rsidRPr="000B6B22" w:rsidRDefault="005E70B4"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Artículo 27, apartado 1, letra b), y apartado 3, del Reglamento Delegado (UE) 2015/61</w:t>
            </w:r>
          </w:p>
          <w:p w14:paraId="0F17A80D" w14:textId="42B2E413"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Las entidades de crédito comunicarán los depósitos colocados en la entidad de crédito central que sean considerados activos líquidos de la entidad de crédito depositante de conformidad con el artículo 16 del Reglamento Delegado (UE) 2015/61.</w:t>
            </w:r>
          </w:p>
          <w:p w14:paraId="43A5D7B6" w14:textId="4B766E60"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el importe de estos depósitos hasta el importe de los activos líquidos correspondientes tras el recorte de valoración, de conformidad con el artículo 27, apartado 3, del Reglamento Delegado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1.1.2.3. Mantenidos en el contexto de una</w:t>
            </w:r>
            <w:r>
              <w:rPr>
                <w:b/>
                <w:sz w:val="24"/>
                <w:rFonts w:ascii="Times New Roman" w:hAnsi="Times New Roman"/>
              </w:rPr>
              <w:t xml:space="preserve"> </w:t>
            </w:r>
            <w:r>
              <w:rPr>
                <w:b/>
                <w:sz w:val="24"/>
                <w:u w:color="000000"/>
                <w:rFonts w:ascii="Times New Roman" w:hAnsi="Times New Roman"/>
              </w:rPr>
              <w:t xml:space="preserve">relación operativa asentada (distinta) con clientes no financieros</w:t>
            </w:r>
          </w:p>
          <w:p w14:paraId="1F1DF64E" w14:textId="07B63C92"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Artículo 27, apartado 1, letra c), y apartados 4 y 6, del Reglamento Delegado (UE) 2015/61</w:t>
            </w:r>
          </w:p>
          <w:p w14:paraId="2D72E579" w14:textId="780EECF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Las entidades de crédito comunicarán el importe del saldo vivo de los depósitos mantenidos por clientes no financieros en el contexto de una relación operativa asentada distinta de la mencionada en el artículo 27, apartado 1, letra a), del Reglamento Delegado (UE) 2015/61, con sujeción a lo establecido en el artículo 27, apartado 6, de ese Reglamento Delegado.</w:t>
            </w:r>
          </w:p>
          <w:p w14:paraId="67215764" w14:textId="6565EE4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Solo se consignarán los depósitos que tengan limitaciones legales u operativas significativas que hagan improbable una retirada significativa en un plazo de 30 días naturales, según lo indicado en el artículo 27, apartado 4, del Reglamento Delegado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1.1.2.4. Mantenidos para obtener</w:t>
            </w:r>
            <w:r>
              <w:rPr>
                <w:b/>
                <w:sz w:val="24"/>
                <w:rFonts w:ascii="Times New Roman" w:hAnsi="Times New Roman"/>
              </w:rPr>
              <w:t xml:space="preserve"> </w:t>
            </w:r>
            <w:r>
              <w:rPr>
                <w:b/>
                <w:sz w:val="24"/>
                <w:u w:color="000000"/>
                <w:rFonts w:ascii="Times New Roman" w:hAnsi="Times New Roman"/>
              </w:rPr>
              <w:t xml:space="preserve">servicios de compensación de efectivo y de entidad de crédito central dentro de una red</w:t>
            </w:r>
          </w:p>
          <w:p w14:paraId="44545935" w14:textId="4FE20D56"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Artículo 27, apartado 1, letra d), y apartado 4, del Reglamento Delegado (UE) 2015/61</w:t>
            </w:r>
          </w:p>
          <w:p w14:paraId="58D1DFDC" w14:textId="6A3D94F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depósitos mantenidos por el depositante a fin de obtener servicios de compensación de efectivo y de entidad central, si la entidad de crédito pertenece a una de las redes o sistemas contemplados en el artículo 16 del Reglamento Delegado (UE) 2015/61, tal como se establece en el artículo 27, apartado 1, letra d), del citado Reglamento.</w:t>
            </w:r>
            <w:r>
              <w:rPr>
                <w:sz w:val="24"/>
                <w:rFonts w:ascii="Times New Roman" w:hAnsi="Times New Roman"/>
              </w:rPr>
              <w:t xml:space="preserve"> </w:t>
            </w:r>
            <w:r>
              <w:rPr>
                <w:sz w:val="24"/>
                <w:rFonts w:ascii="Times New Roman" w:hAnsi="Times New Roman"/>
              </w:rPr>
              <w:t xml:space="preserve">Esos servicios de compensación de efectivo y de entidad de crédito central solo incluirán tales servicios en la medida en que se presten en el contexto de una relación asentada de la que dependa sustancialmente el depositante, según lo indicado en la primera frase del artículo 27, apartado 4, del Reglamento Delegado (UE) 2015/61;</w:t>
            </w:r>
            <w:r>
              <w:rPr>
                <w:sz w:val="24"/>
                <w:rFonts w:ascii="Times New Roman" w:hAnsi="Times New Roman"/>
              </w:rPr>
              <w:t xml:space="preserve"> </w:t>
            </w:r>
            <w:r>
              <w:rPr>
                <w:sz w:val="24"/>
                <w:rFonts w:ascii="Times New Roman" w:hAnsi="Times New Roman"/>
              </w:rPr>
              <w:t xml:space="preserve">los fondos en exceso de los requeridos para la prestación de servicios operativos se tratarán como depósitos no operativos según lo indicado en la última frase del artículo 27, apartado 4, del Reglamento Delegado (UE) 2015/61.</w:t>
            </w:r>
          </w:p>
          <w:p w14:paraId="56379A69" w14:textId="60A9385C"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Solo se consignarán los depósitos que tengan limitaciones legales u operativas significativas que hagan improbable una retirada significativa en un plazo de 30 días naturales, según lo indicado en el artículo 27, apartado 4, del Reglamento Delegado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0203</w:t>
            </w:r>
          </w:p>
        </w:tc>
        <w:tc>
          <w:tcPr>
            <w:tcW w:w="6946" w:type="dxa"/>
            <w:shd w:val="clear" w:color="auto" w:fill="auto"/>
          </w:tcPr>
          <w:p w14:paraId="4A4B1624"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 Excedente de depósitos operativos</w:t>
            </w:r>
          </w:p>
          <w:p w14:paraId="5270A97A" w14:textId="045BBD4F"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Artículo 27, apartado 4, del Reglamento Delegado (UE) 2015/61</w:t>
            </w:r>
          </w:p>
          <w:p w14:paraId="126E8428" w14:textId="5D75EC93"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Las entidades de crédito comunicarán aquí la parte de los depósitos operativos que exceda de los requeridos para la prestación de servicios operativos.</w:t>
            </w:r>
            <w:r>
              <w:rPr>
                <w:sz w:val="24"/>
                <w:rFonts w:ascii="Times New Roman" w:hAnsi="Times New Roman"/>
              </w:rPr>
              <w:t xml:space="preserve">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0204</w:t>
            </w:r>
          </w:p>
        </w:tc>
        <w:tc>
          <w:tcPr>
            <w:tcW w:w="6946" w:type="dxa"/>
            <w:shd w:val="clear" w:color="auto" w:fill="auto"/>
          </w:tcPr>
          <w:p w14:paraId="3275F7D6"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1.1.3.1. Depósitos de clientes financieros</w:t>
            </w:r>
          </w:p>
          <w:p w14:paraId="1FC1684F" w14:textId="5B059282"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Artículo 27, apartado 4, y artículo 31 </w:t>
            </w:r>
            <w:r>
              <w:rPr>
                <w:sz w:val="24"/>
                <w:i/>
                <w:rFonts w:ascii="Times New Roman" w:hAnsi="Times New Roman"/>
              </w:rPr>
              <w:t xml:space="preserve">bis</w:t>
            </w:r>
            <w:r>
              <w:rPr>
                <w:sz w:val="24"/>
                <w:rFonts w:ascii="Times New Roman" w:hAnsi="Times New Roman"/>
              </w:rPr>
              <w:t xml:space="preserve">, apartado 1, del Reglamento Delegado (UE) 2015/61</w:t>
            </w:r>
          </w:p>
          <w:p w14:paraId="4F6DB188" w14:textId="66A767FA" w:rsidR="006E48EA" w:rsidRPr="000B6B22" w:rsidRDefault="006E48EA" w:rsidP="009D4EFF">
            <w:pPr>
              <w:pStyle w:val="TableParagraph"/>
              <w:spacing w:after="120"/>
              <w:ind w:right="96"/>
              <w:jc w:val="both"/>
              <w:rPr>
                <w:b/>
                <w:sz w:val="24"/>
                <w:szCs w:val="24"/>
                <w:rFonts w:ascii="Times New Roman" w:eastAsia="Times New Roman" w:hAnsi="Times New Roman"/>
              </w:rPr>
            </w:pPr>
            <w:r>
              <w:rPr>
                <w:sz w:val="24"/>
                <w:rFonts w:ascii="Times New Roman" w:hAnsi="Times New Roman"/>
              </w:rPr>
              <w:t xml:space="preserve">Las entidades de crédito consignarán la parte de los depósitos operativos de clientes financieros que exceda de los requeridos para la prestación de servicios operativos de conformidad con lo dispuesto en el artículo 27, apartado 4, del Reglamento Delegado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0205</w:t>
            </w:r>
          </w:p>
        </w:tc>
        <w:tc>
          <w:tcPr>
            <w:tcW w:w="6946" w:type="dxa"/>
            <w:shd w:val="clear" w:color="auto" w:fill="auto"/>
          </w:tcPr>
          <w:p w14:paraId="1FD4FDBE" w14:textId="7D658344" w:rsidR="006E48EA" w:rsidRPr="000B6B22" w:rsidRDefault="006E48EA">
            <w:pPr>
              <w:widowControl w:val="0"/>
              <w:spacing w:before="0"/>
              <w:rPr>
                <w:b/>
                <w:sz w:val="24"/>
                <w:rFonts w:ascii="Times New Roman" w:hAnsi="Times New Roman"/>
              </w:rPr>
            </w:pPr>
            <w:r>
              <w:rPr>
                <w:b/>
                <w:sz w:val="24"/>
                <w:rFonts w:ascii="Times New Roman" w:hAnsi="Times New Roman"/>
              </w:rPr>
              <w:t xml:space="preserve">1.1.3.2. Depósitos de otros clientes</w:t>
            </w:r>
          </w:p>
          <w:p w14:paraId="16F6B1C9" w14:textId="645D5FC3" w:rsidR="006E48EA" w:rsidRPr="000B6B22" w:rsidRDefault="006E48EA">
            <w:pPr>
              <w:widowControl w:val="0"/>
              <w:spacing w:before="0"/>
              <w:rPr>
                <w:sz w:val="24"/>
                <w:rFonts w:ascii="Times New Roman" w:eastAsia="Verdana" w:hAnsi="Times New Roman"/>
              </w:rPr>
            </w:pPr>
            <w:r>
              <w:rPr>
                <w:sz w:val="24"/>
                <w:rFonts w:ascii="Times New Roman" w:hAnsi="Times New Roman"/>
              </w:rPr>
              <w:t xml:space="preserve">Artículo 27, apartado 4, y artículo 28, apartado 1, del Reglamento Delegado (UE) 2015/61</w:t>
            </w:r>
          </w:p>
          <w:p w14:paraId="0D65EF3C" w14:textId="0E67B3E5" w:rsidR="006E48EA" w:rsidRPr="000B6B22" w:rsidRDefault="006E48EA">
            <w:pPr>
              <w:widowControl w:val="0"/>
              <w:spacing w:before="0"/>
              <w:ind w:right="96"/>
              <w:rPr>
                <w:sz w:val="24"/>
                <w:rFonts w:ascii="Times New Roman" w:eastAsia="Verdana" w:hAnsi="Times New Roman"/>
              </w:rPr>
            </w:pPr>
            <w:r>
              <w:rPr>
                <w:sz w:val="24"/>
                <w:rFonts w:ascii="Times New Roman" w:hAnsi="Times New Roman"/>
              </w:rPr>
              <w:t xml:space="preserve">Las entidades de crédito consignarán la parte de los depósitos operativos de clientes no financieros</w:t>
            </w:r>
            <w:r>
              <w:rPr>
                <w:sz w:val="24"/>
                <w:rFonts w:ascii="Times New Roman" w:hAnsi="Times New Roman"/>
              </w:rPr>
              <w:t xml:space="preserve">, sin incluir los depósitos minoristas, que exceda de los requeridos para la prestación de servicios operativos de conformidad con lo dispuesto en el artículo 27, apartado 4, del Reglamento Delegado (UE) 2015/61.</w:t>
            </w:r>
          </w:p>
          <w:p w14:paraId="72B17420" w14:textId="3F4CDF2D"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Estos depósitos operativos excedentarios deberán comunicarse en dos filas diferentes, en función de que la totalidad del importe del depósito operativo excedentario esté o no cubierto (por un sistema de garantía de depósitos o un sistema de garantía de depósitos equivalente de un tercer país).</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0206</w:t>
            </w:r>
          </w:p>
        </w:tc>
        <w:tc>
          <w:tcPr>
            <w:tcW w:w="6946" w:type="dxa"/>
            <w:shd w:val="clear" w:color="auto" w:fill="auto"/>
          </w:tcPr>
          <w:p w14:paraId="4AD6C09F"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1.1.3.2.1 Cubiertos por sistemas de garantía de depósitos</w:t>
            </w:r>
          </w:p>
          <w:p w14:paraId="765C4BCE" w14:textId="63343BF8"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Artículo 27, apartado 4, y artículo 28, apartado 1, del Reglamento Delegado (UE) 2015/61</w:t>
            </w:r>
          </w:p>
          <w:p w14:paraId="039DBB01" w14:textId="4BFC3249"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Las entidades de crédito comunicarán la totalidad del importe del saldo vivo de esos depósitos operativos excedentarios mantenidos por otros clientes cuando todo su importe esté cubierto por un sistema de garantía de depósitos con arreglo a las Directivas 94/19/CE o 2014/48/CE, o por un sistema de garantía de depósitos equivalente de un tercer país, tal como se contempla en el artículo 28, apartado 1, del Reglamento Delegado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0207</w:t>
            </w:r>
          </w:p>
        </w:tc>
        <w:tc>
          <w:tcPr>
            <w:tcW w:w="6946" w:type="dxa"/>
            <w:shd w:val="clear" w:color="auto" w:fill="auto"/>
          </w:tcPr>
          <w:p w14:paraId="6A5C9CBB"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1.1.3.2.2 No cubiertos por sistemas de garantía de depósitos</w:t>
            </w:r>
          </w:p>
          <w:p w14:paraId="535E55CE" w14:textId="021414B7"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Artículo 27, apartado 4, y artículo 28, apartado 1, del Reglamento Delegado (UE) 2015/61</w:t>
            </w:r>
          </w:p>
          <w:p w14:paraId="7AD16309" w14:textId="229CBF9D"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Las entidades de crédito comunicarán la totalidad del importe del saldo vivo de esos depósitos operativos excedentarios mantenidos por otros clientes cuando todo su importe no esté cubierto por un sistema de garantía de depósitos con arreglo a las Directivas 94/19/CE o 2014/48/CE, o por un sistema de garantía de depósitos equivalente de un tercer país, tal como se contempla en el artículo 28, apartado 1, del Reglamento Delegado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0210</w:t>
            </w:r>
          </w:p>
        </w:tc>
        <w:tc>
          <w:tcPr>
            <w:tcW w:w="6946" w:type="dxa"/>
            <w:shd w:val="clear" w:color="auto" w:fill="auto"/>
          </w:tcPr>
          <w:p w14:paraId="03A85349" w14:textId="391E799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w:t>
            </w:r>
            <w:r>
              <w:rPr>
                <w:b/>
                <w:sz w:val="24"/>
                <w:u w:color="000000"/>
                <w:rFonts w:ascii="Times New Roman" w:hAnsi="Times New Roman"/>
              </w:rPr>
              <w:t xml:space="preserve"> </w:t>
            </w:r>
            <w:r>
              <w:rPr>
                <w:b/>
                <w:sz w:val="24"/>
                <w:u w:color="000000"/>
                <w:rFonts w:ascii="Times New Roman" w:hAnsi="Times New Roman"/>
              </w:rPr>
              <w:t xml:space="preserve">Depósitos no operativos</w:t>
            </w:r>
          </w:p>
          <w:p w14:paraId="0856F433" w14:textId="68C960B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Artículo 27, apartado 5, artículo 28, apartado 1, y artículo 31, apartado 9, del Reglamento Delegado (UE) 2015/61</w:t>
            </w:r>
          </w:p>
          <w:p w14:paraId="3EBCDD20" w14:textId="5F30D62C"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aquí los depósitos no garantizados a que se refiere el artículo 28, apartado 1, del Reglamento Delegado (UE) 2015/61, y los derivados de una corresponsalía bancaria o de la prestación de servicios de corretaje preferencial, según lo indicado en el artículo 27, apartado 5, de ese Reglamento Delegado.</w:t>
            </w:r>
          </w:p>
          <w:p w14:paraId="227B2849" w14:textId="2C2CDB3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Las entidades de crédito deberán notificar por separado, exceptuados los pasivos que se deriven de una relación de corresponsalía bancaria o de la prestación de servicios de corretaje preferencial a que se refiere el artículo 27, apartado 5, del Reglamento Delegado (UE) 2015/61, esos depósitos no operativos cubiertos y no cubiertos por un sistema de garantía de depósitos o un sistema de garantía de depósitos equivalente de un tercer país, según lo especificado en las instrucciones de las siguientes partidas.</w:t>
            </w:r>
          </w:p>
          <w:p w14:paraId="188ABDD0" w14:textId="2E16B9BE" w:rsidR="006E48EA" w:rsidRPr="000B6B22" w:rsidRDefault="00CE45C4"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 parte de los depósitos operativos que exceda de los requeridos para la prestación de servicios operativos no se consignará aquí, sino en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1.1.4.1. Depósitos derivados de corresponsalías bancarias o prestaciones de servicios de corretaje</w:t>
            </w:r>
            <w:r>
              <w:rPr>
                <w:b/>
                <w:sz w:val="24"/>
                <w:rFonts w:ascii="Times New Roman" w:hAnsi="Times New Roman"/>
              </w:rPr>
              <w:t xml:space="preserve"> </w:t>
            </w:r>
            <w:r>
              <w:rPr>
                <w:b/>
                <w:sz w:val="24"/>
                <w:u w:color="000000"/>
                <w:rFonts w:ascii="Times New Roman" w:hAnsi="Times New Roman"/>
              </w:rPr>
              <w:t xml:space="preserve">preferencial</w:t>
            </w:r>
          </w:p>
          <w:p w14:paraId="7F7B5494" w14:textId="6519636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27, apartado 5, del Reglamento Delegado (UE) 2015/61</w:t>
            </w:r>
          </w:p>
          <w:p w14:paraId="7F21989D" w14:textId="0A2391E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pasivos derivados de corresponsalías bancarias o prestaciones de servicios de corretaje preferencial de conformidad con el artículo 27, apartado 5, del Reglamento Delegado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0230</w:t>
            </w:r>
          </w:p>
        </w:tc>
        <w:tc>
          <w:tcPr>
            <w:tcW w:w="6946" w:type="dxa"/>
            <w:shd w:val="clear" w:color="auto" w:fill="auto"/>
          </w:tcPr>
          <w:p w14:paraId="5A6FCC88" w14:textId="39B72AF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1.1.4.2. Depósitos de clientes financieros</w:t>
            </w:r>
          </w:p>
          <w:p w14:paraId="249E59F0" w14:textId="65F9171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w:t>
            </w:r>
            <w:r>
              <w:rPr>
                <w:sz w:val="24"/>
                <w:i/>
                <w:rFonts w:ascii="Times New Roman" w:hAnsi="Times New Roman"/>
              </w:rPr>
              <w:t xml:space="preserve">bis</w:t>
            </w:r>
            <w:r>
              <w:rPr>
                <w:sz w:val="24"/>
                <w:rFonts w:ascii="Times New Roman" w:hAnsi="Times New Roman"/>
              </w:rPr>
              <w:t xml:space="preserve">, apartado 1, del Reglamento Delegado (UE) 2015/61</w:t>
            </w:r>
          </w:p>
          <w:p w14:paraId="384E4FB6" w14:textId="14E95E95"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depósitos mantenidos por clientes financieros siempre que no se consideren depósitos operativos de conformidad con el artículo 27 del Reglamento Delegado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0240</w:t>
            </w:r>
          </w:p>
        </w:tc>
        <w:tc>
          <w:tcPr>
            <w:tcW w:w="6946" w:type="dxa"/>
            <w:shd w:val="clear" w:color="auto" w:fill="auto"/>
          </w:tcPr>
          <w:p w14:paraId="6D03B3BF" w14:textId="1C08484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 Depósitos de otros clientes</w:t>
            </w:r>
          </w:p>
          <w:p w14:paraId="0575116B" w14:textId="10A30B3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1, del Reglamento Delegado (UE) 2015/61</w:t>
            </w:r>
          </w:p>
          <w:p w14:paraId="1EB02415" w14:textId="726FAD8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los depósitos mantenidos por otros clientes (que no sean clientes financieros y clientes que puedan entrar en la categoría de depósitos minoristas) a que se refiere el artículo 28, apartado 1, del Reglamento Delegado (UE) 2015/61, siempre que esos depósitos no se consideren depósitos operativos de conformidad con el artículo 27 de ese Reglamento Delegado.</w:t>
            </w:r>
          </w:p>
          <w:p w14:paraId="1002E6DD" w14:textId="06FE201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Esos depósitos deberán comunicarse en dos filas diferentes, en función de que la totalidad del importe del depósito esté o no cubierto (por un sistema de garantía de depósitos o un sistema de garantía de depósitos equivalente de un tercer país).</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0250</w:t>
            </w:r>
          </w:p>
        </w:tc>
        <w:tc>
          <w:tcPr>
            <w:tcW w:w="6946" w:type="dxa"/>
            <w:shd w:val="clear" w:color="auto" w:fill="auto"/>
          </w:tcPr>
          <w:p w14:paraId="340F165B" w14:textId="2577C79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1.1.4.3.1 Cubiertos por sistemas de garantía de depósitos</w:t>
            </w:r>
          </w:p>
          <w:p w14:paraId="4CCB9811" w14:textId="5E223D3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1, del Reglamento Delegado (UE) 2015/61</w:t>
            </w:r>
          </w:p>
          <w:p w14:paraId="3B8874E0" w14:textId="595A745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la totalidad del importe del saldo vivo de esos depósitos mantenidos por otros clientes cuando todo su importe esté cubierto por un sistema de garantía de depósitos con arreglo a las Directivas 94/19/CE o 2014/48/CE, o por un sistema de garantía de depósitos equivalente de un tercer país, tal como se contempla en el artículo 28, apartado 1, del Reglamento Delegado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0260</w:t>
            </w:r>
          </w:p>
        </w:tc>
        <w:tc>
          <w:tcPr>
            <w:tcW w:w="6946" w:type="dxa"/>
            <w:shd w:val="clear" w:color="auto" w:fill="auto"/>
          </w:tcPr>
          <w:p w14:paraId="440F7A4B" w14:textId="65DEB3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1.1.4.3.2 No cubiertos por sistemas de garantía de depósitos</w:t>
            </w:r>
          </w:p>
          <w:p w14:paraId="677F192A" w14:textId="247B0DF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1, del Reglamento Delegado (UE) 2015/61</w:t>
            </w:r>
          </w:p>
          <w:p w14:paraId="0BAAF5C1" w14:textId="3A27A4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la totalidad del importe del saldo vivo de esos depósitos mantenidos por otros clientes cuando todo su importe no esté cubierto por un sistema de garantía de depósitos con arreglo a las Directivas 94/19/CE o 2014/48/CE, o por un sistema de garantía de depósitos equivalente de un tercer país, tal como se contempla en el artículo 28, apartado 1, del Reglamento Delegado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0270</w:t>
            </w:r>
          </w:p>
        </w:tc>
        <w:tc>
          <w:tcPr>
            <w:tcW w:w="6946" w:type="dxa"/>
            <w:shd w:val="clear" w:color="auto" w:fill="auto"/>
          </w:tcPr>
          <w:p w14:paraId="550E0D97" w14:textId="2F72134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w:t>
            </w:r>
            <w:r>
              <w:rPr>
                <w:b/>
                <w:sz w:val="24"/>
                <w:u w:color="000000"/>
                <w:rFonts w:ascii="Times New Roman" w:hAnsi="Times New Roman"/>
              </w:rPr>
              <w:t xml:space="preserve"> </w:t>
            </w:r>
            <w:r>
              <w:rPr>
                <w:b/>
                <w:sz w:val="24"/>
                <w:u w:color="000000"/>
                <w:rFonts w:ascii="Times New Roman" w:hAnsi="Times New Roman"/>
              </w:rPr>
              <w:t xml:space="preserve">Salidas adicionales</w:t>
            </w:r>
          </w:p>
          <w:p w14:paraId="16CAB9B3" w14:textId="1FD293C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del Reglamento Delegado (UE) 2015/61</w:t>
            </w:r>
          </w:p>
          <w:p w14:paraId="13AA91EF" w14:textId="3A994537" w:rsidR="007B3A17"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Las entidades de crédito comunicarán aquí las salidas adicionales a que se refiere el artículo 30 del Reglamento Delegado (UE) 2015/61.</w:t>
            </w:r>
            <w:r>
              <w:rPr>
                <w:sz w:val="24"/>
                <w:rFonts w:ascii="Times New Roman" w:hAnsi="Times New Roman"/>
              </w:rPr>
              <w:t xml:space="preserve"> </w:t>
            </w:r>
          </w:p>
          <w:p w14:paraId="1033CE31" w14:textId="550479E7"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De conformidad con el artículo 30, apartado 7, del Reglamento Delegado (UE) 2015/61, los depósitos recibidos como garantía real no se considerarán pasivos a efectos de los artículos 24, 25, 27 o 31 </w:t>
            </w:r>
            <w:r>
              <w:rPr>
                <w:sz w:val="24"/>
                <w:i/>
                <w:rFonts w:ascii="Times New Roman" w:hAnsi="Times New Roman"/>
              </w:rPr>
              <w:t xml:space="preserve">bis </w:t>
            </w:r>
            <w:r>
              <w:rPr>
                <w:sz w:val="24"/>
                <w:rFonts w:ascii="Times New Roman" w:hAnsi="Times New Roman"/>
              </w:rPr>
              <w:t xml:space="preserve"> de ese Reglamento Delegado, pero estarán sujetos a lo dispuesto en el artículo 30, apartados 1 a 6, de dicho Reglamento, cuando proceda.</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0280</w:t>
            </w:r>
          </w:p>
        </w:tc>
        <w:tc>
          <w:tcPr>
            <w:tcW w:w="6946" w:type="dxa"/>
            <w:shd w:val="clear" w:color="auto" w:fill="auto"/>
          </w:tcPr>
          <w:p w14:paraId="103E8290" w14:textId="16DE94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 Garantías reales distintas de activos de nivel 1 aportadas en relación con derivados</w:t>
            </w:r>
          </w:p>
          <w:p w14:paraId="72597280" w14:textId="27C5813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1, del Reglamento Delegado (UE) 2015/61</w:t>
            </w:r>
          </w:p>
          <w:p w14:paraId="1A56570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valor de mercado de las garantías reales que no sean de nivel 1 que se hayan aportado en relación con contratos de los enumerados en el anexo II del Reglamento (UE) n.º 575/2013 y derivados de crédito.</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1.1.5.2. Garantías reales consistentes en activos de nivel 1 en forma de bonos garantizados de calidad sumamente elevada aportadas en relación con</w:t>
            </w:r>
            <w:r>
              <w:rPr>
                <w:b/>
                <w:sz w:val="24"/>
                <w:rFonts w:ascii="Times New Roman" w:hAnsi="Times New Roman"/>
              </w:rPr>
              <w:t xml:space="preserve"> </w:t>
            </w:r>
            <w:r>
              <w:rPr>
                <w:b/>
                <w:sz w:val="24"/>
                <w:u w:color="000000"/>
                <w:rFonts w:ascii="Times New Roman" w:hAnsi="Times New Roman"/>
              </w:rPr>
              <w:t xml:space="preserve">derivados</w:t>
            </w:r>
          </w:p>
          <w:p w14:paraId="6B80942E" w14:textId="5EFADCD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1, del Reglamento Delegado (UE) 2015/61</w:t>
            </w:r>
          </w:p>
          <w:p w14:paraId="262F2E1E" w14:textId="77777777" w:rsidR="006E48EA" w:rsidRPr="000B6B22" w:rsidRDefault="006E48EA" w:rsidP="009D4EFF">
            <w:pPr>
              <w:pStyle w:val="TableParagraph"/>
              <w:spacing w:after="120"/>
              <w:jc w:val="both"/>
              <w:rPr>
                <w:sz w:val="24"/>
                <w:szCs w:val="24"/>
                <w:rFonts w:ascii="Times New Roman" w:eastAsia="Times New Roman" w:hAnsi="Times New Roman"/>
              </w:rPr>
            </w:pPr>
            <w:r>
              <w:rPr>
                <w:sz w:val="24"/>
                <w:rFonts w:ascii="Times New Roman" w:hAnsi="Times New Roman"/>
              </w:rPr>
              <w:t xml:space="preserve">Las entidades de crédito comunicarán el valor de mercado de las garantías reales de nivel 1 consistentes en bonos garantizados de calidad sumamente elevada que se hayan aportado en relación con contratos de los enumerados en el anexo II del Reglamento (UE) n.º 575/2013 y derivados de crédito.</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0300</w:t>
            </w:r>
          </w:p>
        </w:tc>
        <w:tc>
          <w:tcPr>
            <w:tcW w:w="6946" w:type="dxa"/>
            <w:shd w:val="clear" w:color="auto" w:fill="auto"/>
          </w:tcPr>
          <w:p w14:paraId="13FE1950" w14:textId="3656C7A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1.1.5.3. Salidas significativas debidas al deterioro de la calidad crediticia propia</w:t>
            </w:r>
          </w:p>
          <w:p w14:paraId="10BCBEF6" w14:textId="58F7175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2, del Reglamento Delegado (UE) 2015/61</w:t>
            </w:r>
          </w:p>
          <w:p w14:paraId="16F72348" w14:textId="4209D2D1"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Las entidades de crédito comunicarán el importe total de las salidas adicionales que hayan calculado y notificado a las autoridades competentes con arreglo al artículo 30, apartado 2, del Reglamento Delegado (UE) 2015/61.</w:t>
            </w:r>
          </w:p>
          <w:p w14:paraId="08E93EDB" w14:textId="49B56D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Si un importe objeto de salida por el deterioro de la calidad crediticia propia ha sido comunicado en otro lugar en una fila con una ponderación inferior al 100 %, se comunicará además, en la fila 0300, un importe tal que la suma de las salidas resulte en un total de salidas igual al 100 % en la operación.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1.1.5.4. Efectos de condiciones adversas del mercado en las operaciones con</w:t>
            </w:r>
            <w:r>
              <w:rPr>
                <w:b/>
                <w:sz w:val="24"/>
                <w:rFonts w:ascii="Times New Roman" w:hAnsi="Times New Roman"/>
              </w:rPr>
              <w:t xml:space="preserve"> </w:t>
            </w:r>
            <w:r>
              <w:rPr>
                <w:b/>
                <w:sz w:val="24"/>
                <w:u w:color="000000"/>
                <w:rFonts w:ascii="Times New Roman" w:hAnsi="Times New Roman"/>
              </w:rPr>
              <w:t xml:space="preserve">derivados</w:t>
            </w:r>
            <w:r>
              <w:rPr>
                <w:b/>
                <w:sz w:val="24"/>
                <w:u w:color="000000"/>
                <w:rFonts w:ascii="Times New Roman" w:hAnsi="Times New Roman"/>
              </w:rPr>
              <w:t xml:space="preserve"> </w:t>
            </w:r>
          </w:p>
          <w:p w14:paraId="771BB439" w14:textId="0DE976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3, del Reglamento Delegado (UE) 2015/61</w:t>
            </w:r>
          </w:p>
          <w:p w14:paraId="682BFD83" w14:textId="68171ED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 las salidas calculado de conformidad con el Reglamento Delegado (UE) 2017/208 de la Comisión.</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0340</w:t>
            </w:r>
          </w:p>
        </w:tc>
        <w:tc>
          <w:tcPr>
            <w:tcW w:w="6946" w:type="dxa"/>
            <w:shd w:val="clear" w:color="auto" w:fill="auto"/>
          </w:tcPr>
          <w:p w14:paraId="5C177DB3" w14:textId="0664434D"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1.1.5.5. Salidas correspondientes a derivados</w:t>
            </w:r>
          </w:p>
          <w:p w14:paraId="44893AF1" w14:textId="08695F5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4, del Reglamento Delegado (UE) 2015/61</w:t>
            </w:r>
          </w:p>
          <w:p w14:paraId="261A5343" w14:textId="4D7AE93D"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el importe de las salidas previstas durante 30 días naturales respecto a los contratos enumerados en el anexo II del Reglamento (UE) n.º 575/2013 y a los derivados de crédito, calculado de conformidad con el artículo 21 del Reglamento Delegado (UE) 2015/61.</w:t>
            </w:r>
          </w:p>
          <w:p w14:paraId="1A99EA26" w14:textId="4F76919A" w:rsidR="006E48EA" w:rsidRPr="000B6B22" w:rsidRDefault="00C0334C"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En los casos de comunicación de información en una moneda distinta, de conformidad con el artículo 415, apartado 2, del Reglamento (UE) n.º 575/2013, únicamente, las entidades de crédito comunicarán las salidas que se produzcan solo en la moneda significativa correspondiente.</w:t>
            </w:r>
            <w:r>
              <w:rPr>
                <w:sz w:val="24"/>
                <w:rFonts w:ascii="Times New Roman" w:hAnsi="Times New Roman"/>
              </w:rPr>
              <w:t xml:space="preserve"> </w:t>
            </w:r>
            <w:r>
              <w:rPr>
                <w:sz w:val="24"/>
                <w:rFonts w:ascii="Times New Roman" w:hAnsi="Times New Roman"/>
              </w:rPr>
              <w:t xml:space="preserve">En relación con una misma contraparte, solo podrán compensarse los flujos en la moneda de que se trate; por ejemplo, Contraparte A:</w:t>
            </w:r>
            <w:r>
              <w:rPr>
                <w:sz w:val="24"/>
                <w:rFonts w:ascii="Times New Roman" w:hAnsi="Times New Roman"/>
              </w:rPr>
              <w:t xml:space="preserve"> </w:t>
            </w:r>
            <w:r>
              <w:rPr>
                <w:sz w:val="24"/>
                <w:rFonts w:ascii="Times New Roman" w:hAnsi="Times New Roman"/>
              </w:rPr>
              <w:t xml:space="preserve">+10 EUR y Contraparte A:</w:t>
            </w:r>
            <w:r>
              <w:rPr>
                <w:sz w:val="24"/>
                <w:rFonts w:ascii="Times New Roman" w:hAnsi="Times New Roman"/>
              </w:rPr>
              <w:t xml:space="preserve"> </w:t>
            </w:r>
            <w:r>
              <w:rPr>
                <w:sz w:val="24"/>
                <w:rFonts w:ascii="Times New Roman" w:hAnsi="Times New Roman"/>
              </w:rPr>
              <w:t xml:space="preserve">-20 EUR se consignarán como una salida de 10 EUR.</w:t>
            </w:r>
            <w:r>
              <w:rPr>
                <w:sz w:val="24"/>
                <w:rFonts w:ascii="Times New Roman" w:hAnsi="Times New Roman"/>
              </w:rPr>
              <w:t xml:space="preserve"> </w:t>
            </w:r>
            <w:r>
              <w:rPr>
                <w:sz w:val="24"/>
                <w:rFonts w:ascii="Times New Roman" w:hAnsi="Times New Roman"/>
              </w:rPr>
              <w:t xml:space="preserve">No se efectuará compensación alguna entre contrapartes; por ejemplo, Contraparte A:</w:t>
            </w:r>
            <w:r>
              <w:rPr>
                <w:sz w:val="24"/>
                <w:rFonts w:ascii="Times New Roman" w:hAnsi="Times New Roman"/>
              </w:rPr>
              <w:t xml:space="preserve"> </w:t>
            </w:r>
            <w:r>
              <w:rPr>
                <w:sz w:val="24"/>
                <w:rFonts w:ascii="Times New Roman" w:hAnsi="Times New Roman"/>
              </w:rPr>
              <w:t xml:space="preserve">-10 EUR y Contraparte B:</w:t>
            </w:r>
            <w:r>
              <w:rPr>
                <w:sz w:val="24"/>
                <w:rFonts w:ascii="Times New Roman" w:hAnsi="Times New Roman"/>
              </w:rPr>
              <w:t xml:space="preserve"> </w:t>
            </w:r>
            <w:r>
              <w:rPr>
                <w:sz w:val="24"/>
                <w:rFonts w:ascii="Times New Roman" w:hAnsi="Times New Roman"/>
              </w:rPr>
              <w:t xml:space="preserve">+40 EUR se consignarán como salida de 10 EUR en C73.00 (y entrada de 40 EUR en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0350</w:t>
            </w:r>
          </w:p>
        </w:tc>
        <w:tc>
          <w:tcPr>
            <w:tcW w:w="6946" w:type="dxa"/>
            <w:shd w:val="clear" w:color="auto" w:fill="auto"/>
          </w:tcPr>
          <w:p w14:paraId="5E6A74C3" w14:textId="12BC965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 Posiciones cortas</w:t>
            </w:r>
          </w:p>
          <w:p w14:paraId="7ED5B18D" w14:textId="7F52AD30"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Artículo 30, apartado 5, del Reglamento Delegado (UE) 2015/61</w:t>
            </w:r>
          </w:p>
          <w:p w14:paraId="6D88383E" w14:textId="21CAF71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Si la entidad de crédito mantiene una posición corta cubierta por una operación de toma en préstamo de valores no garantizada, añadirá una salida adicional correspondiente al 100 % del valor de mercado de los valores u otros activos vendidos en corto a no ser que las condiciones en que la entidad de crédito los haya tomado en préstamo obliguen a su devolución únicamente tras el plazo de 30 días naturales.</w:t>
            </w:r>
            <w:r>
              <w:rPr>
                <w:sz w:val="24"/>
                <w:rFonts w:ascii="Times New Roman" w:hAnsi="Times New Roman"/>
              </w:rPr>
              <w:t xml:space="preserve"> </w:t>
            </w:r>
            <w:r>
              <w:rPr>
                <w:sz w:val="24"/>
                <w:rFonts w:ascii="Times New Roman" w:hAnsi="Times New Roman"/>
              </w:rPr>
              <w:t xml:space="preserve">Si la posición corta se cubre mediante una operación de financiación de valores con garantías reales, la entidad de crédito supondrá que tal posición se mantendrá a lo largo del período de 30 días naturales y recibirá un índice de salida del 0 %.</w:t>
            </w:r>
            <w:r>
              <w:rPr>
                <w:sz w:val="24"/>
                <w:rFonts w:ascii="Times New Roman" w:hAnsi="Times New Roman"/>
              </w:rPr>
              <w:t xml:space="preserve">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0360</w:t>
            </w:r>
          </w:p>
        </w:tc>
        <w:tc>
          <w:tcPr>
            <w:tcW w:w="6946" w:type="dxa"/>
            <w:shd w:val="clear" w:color="auto" w:fill="auto"/>
          </w:tcPr>
          <w:p w14:paraId="795C8A86" w14:textId="0275C90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1.1.5.6.1. Cubiertas por operaciones de financiación de valores con garantías reales</w:t>
            </w:r>
          </w:p>
          <w:p w14:paraId="6DE3CE3B" w14:textId="37D2CBE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5, del Reglamento Delegado (UE) 2015/61</w:t>
            </w:r>
          </w:p>
          <w:p w14:paraId="5D972B59" w14:textId="2CE47E4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valor de mercado de los valores u otros activos vendidos en corto que estén cubiertos por operaciones de financiación de valores con garantías reales y que deban entregarse en el plazo de 30 días naturales, a no ser que la entidad de crédito haya tomado en préstamo los valores en condiciones que obliguen a su devolución únicamente tras el plazo de 30 días naturales.</w:t>
            </w:r>
            <w:r>
              <w:rPr>
                <w:sz w:val="24"/>
                <w:rFonts w:ascii="Times New Roman" w:hAnsi="Times New Roman"/>
              </w:rPr>
              <w:t xml:space="preserve">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0370</w:t>
            </w:r>
          </w:p>
        </w:tc>
        <w:tc>
          <w:tcPr>
            <w:tcW w:w="6946" w:type="dxa"/>
            <w:shd w:val="clear" w:color="auto" w:fill="auto"/>
          </w:tcPr>
          <w:p w14:paraId="0A8EAC5E" w14:textId="77D17A5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1.1.5.6.2. Otras</w:t>
            </w:r>
          </w:p>
          <w:p w14:paraId="03CD9FA8" w14:textId="57DE2669"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Artículo 30, apartado 5, del Reglamento Delegado (UE) 2015/61</w:t>
            </w:r>
          </w:p>
          <w:p w14:paraId="04D78E4E" w14:textId="6AC9666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el valor de mercado de los valores u otros activos vendidos en corto distintos de los valores que estén cubiertos por operaciones de financiación de valores con garantías reales y que deban entregarse en el plazo de 30 días naturales, a no ser que la entidad de crédito haya tomado en préstamo los valores en condiciones que obliguen a su devolución únicamente tras el plazo de 30 días naturales.</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0380</w:t>
            </w:r>
          </w:p>
        </w:tc>
        <w:tc>
          <w:tcPr>
            <w:tcW w:w="6946" w:type="dxa"/>
            <w:shd w:val="clear" w:color="auto" w:fill="auto"/>
          </w:tcPr>
          <w:p w14:paraId="61498D0D" w14:textId="4BBDE8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1.1.5.7. Garantías reales excedentarias exigibles</w:t>
            </w:r>
          </w:p>
          <w:p w14:paraId="07215A47" w14:textId="2AE6D29D"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6, letra a), del Reglamento Delegado (UE) 2015/61</w:t>
            </w:r>
          </w:p>
          <w:p w14:paraId="48EC646D"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Las entidades de crédito comunicarán el valor de mercado de las garantías reales excedentarias que mantengan y que puedan ser exigidas por la contraparte en todo momento con arreglo al contrato.</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0390</w:t>
            </w:r>
          </w:p>
        </w:tc>
        <w:tc>
          <w:tcPr>
            <w:tcW w:w="6946" w:type="dxa"/>
            <w:shd w:val="clear" w:color="auto" w:fill="auto"/>
          </w:tcPr>
          <w:p w14:paraId="56190725" w14:textId="4F8643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1.1.5.8. Garantías reales a prestar</w:t>
            </w:r>
          </w:p>
          <w:p w14:paraId="7C9ADD87" w14:textId="23ED04E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6, letra b), del Reglamento Delegado (UE) 2015/61</w:t>
            </w:r>
          </w:p>
          <w:p w14:paraId="6FF955AB"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valor de mercado de las garantías reales que deban prestarse a la contraparte en el plazo de 30 días naturales.</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0400</w:t>
            </w:r>
          </w:p>
        </w:tc>
        <w:tc>
          <w:tcPr>
            <w:tcW w:w="6946" w:type="dxa"/>
            <w:shd w:val="clear" w:color="auto" w:fill="auto"/>
          </w:tcPr>
          <w:p w14:paraId="797298EE" w14:textId="6CD156B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1.1.5.9. Garantías reales consistentes en activos líquidos sustituibles por activos no líquidos</w:t>
            </w:r>
          </w:p>
          <w:p w14:paraId="11F3C8ED" w14:textId="4A70C20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6, letra c), del Reglamento Delegado (UE) 2015/61</w:t>
            </w:r>
          </w:p>
          <w:p w14:paraId="6E3D037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valor de mercado de las garantías reales admisibles como activos líquidos a efectos del título II que puedan sustituirse por activos correspondientes a activos no admisibles como activos líquidos a efectos del título II sin la aprobación de la entidad de crédito.</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0410</w:t>
            </w:r>
          </w:p>
        </w:tc>
        <w:tc>
          <w:tcPr>
            <w:tcW w:w="6946" w:type="dxa"/>
            <w:shd w:val="clear" w:color="auto" w:fill="auto"/>
          </w:tcPr>
          <w:p w14:paraId="2742FE6E" w14:textId="35F9621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 Pérdida de financiación en actividades de financiación estructurada</w:t>
            </w:r>
          </w:p>
          <w:p w14:paraId="171E60DA" w14:textId="62D130D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8, y artículo 30, apartado 10, del Reglamento Delegado (UE) 2015/61</w:t>
            </w:r>
          </w:p>
          <w:p w14:paraId="6A1E405A"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asumirán un índice de salida del 100 % para la pérdida de financiación en los bonos de titulización de activos, los bonos garantizados y otros instrumentos de financiación estructurada con vencimiento en el plazo de 30 días naturales que hayan sido emitidos por la entidad de crédito o por estructuras o entidades con cometido especial patrocinadas.</w:t>
            </w:r>
          </w:p>
          <w:p w14:paraId="48258183"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proveedoras de las líneas de liquidez asociadas a los programas de financiación comunicados aquí no necesitan computar doblemente el instrumento de financiación que vence y la línea de liquidez cuando se trate de programas consolidados.</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0420</w:t>
            </w:r>
          </w:p>
        </w:tc>
        <w:tc>
          <w:tcPr>
            <w:tcW w:w="6946" w:type="dxa"/>
            <w:shd w:val="clear" w:color="auto" w:fill="auto"/>
          </w:tcPr>
          <w:p w14:paraId="05EFE9D4" w14:textId="3B3590B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1.1.5.10.1. Instrumentos de financiación estructurada</w:t>
            </w:r>
          </w:p>
          <w:p w14:paraId="30DC7A94" w14:textId="0E4B397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8, del Reglamento Delegado (UE) 2015/61</w:t>
            </w:r>
          </w:p>
          <w:p w14:paraId="532F3FD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vivo actual de los pasivos propios o los pasivos de estructuras o entidades con cometido especial patrocinadas que se deriven de bonos de titulización de activos, bonos garantizados y otros instrumentos de financiación estructurada con vencimiento en el plazo de 30 días naturales.</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0430</w:t>
            </w:r>
          </w:p>
        </w:tc>
        <w:tc>
          <w:tcPr>
            <w:tcW w:w="6946" w:type="dxa"/>
            <w:shd w:val="clear" w:color="auto" w:fill="auto"/>
          </w:tcPr>
          <w:p w14:paraId="12FA17A9" w14:textId="10FE377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1.1.5.10.2. Líneas de financiación</w:t>
            </w:r>
          </w:p>
          <w:p w14:paraId="52D1504C" w14:textId="6FA1419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9, del Reglamento Delegado (UE) 2015/61</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que llegue a vencimiento de los pasivos procedentes de pagarés de titulización, estructuras o vehículos de inversión en valores y otras líneas de financiación similares, en la medida en que no estén comprendidos entre los instrumentos definidos en la partida 1.1.5.10.1., o el importe de los activos que podrían devolverse o de la liquidez exigible en el ámbito de dichos instrumentos.</w:t>
            </w:r>
          </w:p>
          <w:p w14:paraId="1386F89A" w14:textId="0074716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Toda la financiación correspondiente a pagarés de titulización, estructuras o vehículos de inversión en valores y otras líneas de financiación similares que venza o pueda devolverse en un plazo de 30 días.</w:t>
            </w:r>
            <w:r>
              <w:rPr>
                <w:sz w:val="24"/>
                <w:rFonts w:ascii="Times New Roman" w:hAnsi="Times New Roman"/>
              </w:rPr>
              <w:t xml:space="preserve"> </w:t>
            </w:r>
            <w:r>
              <w:rPr>
                <w:sz w:val="24"/>
                <w:rFonts w:ascii="Times New Roman" w:hAnsi="Times New Roman"/>
              </w:rPr>
              <w:t xml:space="preserve">Las entidades de crédito que cuenten con líneas de financiación estructurada que incluyan la emisión de instrumentos de deuda a corto plazo, como pagarés de titulización, comunicarán las salidas de liquidez potenciales de tales estructuras.</w:t>
            </w:r>
            <w:r>
              <w:rPr>
                <w:sz w:val="24"/>
                <w:rFonts w:ascii="Times New Roman" w:hAnsi="Times New Roman"/>
              </w:rPr>
              <w:t xml:space="preserve"> </w:t>
            </w:r>
            <w:r>
              <w:rPr>
                <w:sz w:val="24"/>
                <w:rFonts w:ascii="Times New Roman" w:hAnsi="Times New Roman"/>
              </w:rPr>
              <w:t xml:space="preserve">Se incluye, entre otras cosas, lo siguiente: i) la incapacidad para refinanciar la deuda que venza, y ii) la existencia de derivados o componentes asimilables a derivados contractualmente estipulados en la documentación asociada a la estructura que permitirían la «devolución» de activos en un acuerdo de financiación, o que obliguen al cedente original del activo a proporcionar liquidez, poniendo fin en la práctica al acuerdo de financiación (</w:t>
            </w:r>
            <w:r>
              <w:rPr>
                <w:sz w:val="24"/>
                <w:i/>
                <w:rFonts w:ascii="Times New Roman" w:hAnsi="Times New Roman"/>
              </w:rPr>
              <w:t xml:space="preserve">liquidity puts</w:t>
            </w:r>
            <w:r>
              <w:rPr>
                <w:sz w:val="24"/>
                <w:rFonts w:ascii="Times New Roman" w:hAnsi="Times New Roman"/>
              </w:rPr>
              <w:t xml:space="preserve">) en el plazo de 30 días.</w:t>
            </w:r>
            <w:r>
              <w:rPr>
                <w:sz w:val="24"/>
                <w:rFonts w:ascii="Times New Roman" w:hAnsi="Times New Roman"/>
              </w:rPr>
              <w:t xml:space="preserve"> </w:t>
            </w:r>
            <w:r>
              <w:rPr>
                <w:sz w:val="24"/>
                <w:rFonts w:ascii="Times New Roman" w:hAnsi="Times New Roman"/>
              </w:rPr>
              <w:t xml:space="preserve">Cuando la financiación estructurada se lleve a cabo a través de entidades con cometido especial (como vehículos con cometido especial, estructuras o vehículos de inversión estructurada), la entidad de crédito deberá, al determinar los requisitos en materia de activos líquidos de calidad elevada, examinar a través del enfoque de transparencia el vencimiento de los instrumentos de deuda emitidos por la entidad con cometido especial y las opciones, en su caso, incorporadas a los acuerdos de financiación que puedan dar lugar a la «devolución» de activos o la necesidad de liquidez, con independencia de que el vehículo con cometido especial esté o no consolidado.</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0450</w:t>
            </w:r>
          </w:p>
        </w:tc>
        <w:tc>
          <w:tcPr>
            <w:tcW w:w="6946" w:type="dxa"/>
            <w:shd w:val="clear" w:color="auto" w:fill="auto"/>
          </w:tcPr>
          <w:p w14:paraId="73E69D99" w14:textId="37BBD81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1.1.5.11. Compensación interna de posiciones de clientes</w:t>
            </w:r>
          </w:p>
          <w:p w14:paraId="2F01C9FB" w14:textId="185EE1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30, apartado 12, del Reglamento Delegado (UE) 2015/61</w:t>
            </w:r>
          </w:p>
          <w:p w14:paraId="28DEDA9D" w14:textId="4BD7A9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aquí el valor de mercado de los activos no líquidos de un cliente que, en relación con servicios de corretaje preferencial, la entidad de crédito haya utilizado para cubrir las ventas en corto de otro cliente casándolas a nivel interno.</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0460</w:t>
            </w:r>
          </w:p>
        </w:tc>
        <w:tc>
          <w:tcPr>
            <w:tcW w:w="6946" w:type="dxa"/>
            <w:shd w:val="clear" w:color="auto" w:fill="auto"/>
          </w:tcPr>
          <w:p w14:paraId="3E57CF6F" w14:textId="7AADE27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w:t>
            </w:r>
            <w:r>
              <w:rPr>
                <w:b/>
                <w:sz w:val="24"/>
                <w:u w:color="000000"/>
                <w:rFonts w:ascii="Times New Roman" w:hAnsi="Times New Roman"/>
              </w:rPr>
              <w:t xml:space="preserve"> </w:t>
            </w:r>
            <w:r>
              <w:rPr>
                <w:b/>
                <w:sz w:val="24"/>
                <w:u w:color="000000"/>
                <w:rFonts w:ascii="Times New Roman" w:hAnsi="Times New Roman"/>
              </w:rPr>
              <w:t xml:space="preserve">Líneas comprometidas</w:t>
            </w:r>
          </w:p>
          <w:p w14:paraId="098BD740" w14:textId="0AF43D8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del Reglamento Delegado (UE) 2015/61</w:t>
            </w:r>
          </w:p>
          <w:p w14:paraId="64B939C7" w14:textId="4865ED6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definidas en el artículo 31 del Reglamento Delegado (UE) 2015/61.</w:t>
            </w:r>
          </w:p>
          <w:p w14:paraId="2DB68355" w14:textId="402F5B06"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Asimismo, las entidades de crédito comunicarán aquí las líneas comprometidas con arreglo al artículo 29 de dicho Reglamento.</w:t>
            </w:r>
          </w:p>
          <w:p w14:paraId="1BF0293B" w14:textId="73C3D8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El importe máximo que podría utilizarse se evaluará de conformidad con el artículo 31, apartado 2, del mismo Reglamento.</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0470</w:t>
            </w:r>
          </w:p>
        </w:tc>
        <w:tc>
          <w:tcPr>
            <w:tcW w:w="6946" w:type="dxa"/>
            <w:shd w:val="clear" w:color="auto" w:fill="auto"/>
          </w:tcPr>
          <w:p w14:paraId="210A120C" w14:textId="7BD6C5B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 Líneas de crédito</w:t>
            </w:r>
          </w:p>
          <w:p w14:paraId="6970CF61" w14:textId="3B4E3474"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Las entidades de crédito informarán aquí sobre las líneas de crédito comprometidas definidas en el artículo 31, apartado 1, del Reglamento Delegado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0480</w:t>
            </w:r>
          </w:p>
        </w:tc>
        <w:tc>
          <w:tcPr>
            <w:tcW w:w="6946" w:type="dxa"/>
            <w:shd w:val="clear" w:color="auto" w:fill="auto"/>
          </w:tcPr>
          <w:p w14:paraId="43E279DD" w14:textId="796C553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1.1.6.1.1. A clientes minoristas</w:t>
            </w:r>
          </w:p>
          <w:p w14:paraId="1319E90D" w14:textId="0E2F151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3, del Reglamento Delegado (UE) 2015/61</w:t>
            </w:r>
          </w:p>
          <w:p w14:paraId="16A66FD4" w14:textId="2B7CF6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otorgadas a clientes minoristas, tal como se definen en el artículo 411, apartado 2, del Reglamento (UE) n.º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0490</w:t>
            </w:r>
          </w:p>
        </w:tc>
        <w:tc>
          <w:tcPr>
            <w:tcW w:w="6946" w:type="dxa"/>
            <w:shd w:val="clear" w:color="auto" w:fill="auto"/>
          </w:tcPr>
          <w:p w14:paraId="48EC8F2E" w14:textId="59592CA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1.1.6.1.2. A clientes no financieros distintos de los clientes minoristas</w:t>
            </w:r>
          </w:p>
          <w:p w14:paraId="79834C5D" w14:textId="3F48242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4, del Reglamento Delegado (UE) 2015/61</w:t>
            </w:r>
          </w:p>
          <w:p w14:paraId="7D5229F8" w14:textId="2CC359C0"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otorgadas a clientes que no sean ni clientes financieros de conformidad con el artículo 411, apartado 1, del Reglamento Delegado (UE) n.º 575/2013 de la Comisión, ni clientes minoristas de conformidad con el artículo 411, apartado 2, del mismo Reglamento, y que no se hayan concedido con el fin de sustituir la financiación del cliente en situaciones en las que este sea incapaz de cubrir sus necesidades de financiación en los mercados financieros.</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0500</w:t>
            </w:r>
          </w:p>
        </w:tc>
        <w:tc>
          <w:tcPr>
            <w:tcW w:w="6946" w:type="dxa"/>
            <w:shd w:val="clear" w:color="auto" w:fill="auto"/>
          </w:tcPr>
          <w:p w14:paraId="55161424" w14:textId="67DB2A3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 A entidades de crédito</w:t>
            </w:r>
          </w:p>
          <w:p w14:paraId="2F60090D"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líneas de crédito comprometidas que hayan otorgado a entidades de crédito.</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0510</w:t>
            </w:r>
          </w:p>
        </w:tc>
        <w:tc>
          <w:tcPr>
            <w:tcW w:w="6946" w:type="dxa"/>
            <w:shd w:val="clear" w:color="auto" w:fill="auto"/>
          </w:tcPr>
          <w:p w14:paraId="3DE144C2" w14:textId="5DEF217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1.1.6.1.3.1. Para financiar préstamos promocionales de clientes minoristas</w:t>
            </w:r>
          </w:p>
          <w:p w14:paraId="536B353A" w14:textId="4DA02F5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9, del Reglamento Delegado (UE) 2015/61</w:t>
            </w:r>
          </w:p>
          <w:p w14:paraId="555954FA" w14:textId="5D56F2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otorgadas a entidades de crédito con el único fin de financiar, directa o indirectamente, préstamos promocionales que puedan considerarse exposiciones frente a clientes de conformidad con el artículo 411, apartado 2, del Reglamento (UE) n.º 575/2013.</w:t>
            </w:r>
          </w:p>
          <w:p w14:paraId="1A9E9917"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Solo las entidades de crédito que hayan sido establecidas y estén patrocinadas por una administración central o regional de al menos un Estado miembro podrán comunicar esta partida.</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0520</w:t>
            </w:r>
          </w:p>
        </w:tc>
        <w:tc>
          <w:tcPr>
            <w:tcW w:w="6946" w:type="dxa"/>
            <w:shd w:val="clear" w:color="auto" w:fill="auto"/>
          </w:tcPr>
          <w:p w14:paraId="3436E7E7" w14:textId="78A77BA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1.1.6.1.3.2. Para financiar préstamos promocionales de clientes no financieros</w:t>
            </w:r>
          </w:p>
          <w:p w14:paraId="65C73485" w14:textId="70FA764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9, del Reglamento Delegado (UE) 2015/61</w:t>
            </w:r>
          </w:p>
          <w:p w14:paraId="1DC18650" w14:textId="31A37D7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otorgadas a entidades de crédito con el único fin de financiar, directa o indirectamente, préstamos promocionales que puedan considerarse exposiciones frente a clientes que no sean ni clientes financieros de conformidad con el artículo 411, apartado 1, del Reglamento (UE) n.º 575/2013, ni clientes minoristas de conformidad con el artículo 411, apartado 2, del mismo Reglamento.</w:t>
            </w:r>
          </w:p>
          <w:p w14:paraId="570DA3CA"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Solo las entidades de crédito que hayan sido establecidas y estén patrocinadas por una administración central o regional de al menos un Estado miembro podrán comunicar esta partida.</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0530</w:t>
            </w:r>
          </w:p>
        </w:tc>
        <w:tc>
          <w:tcPr>
            <w:tcW w:w="6946" w:type="dxa"/>
            <w:shd w:val="clear" w:color="auto" w:fill="auto"/>
          </w:tcPr>
          <w:p w14:paraId="407D8F4E" w14:textId="355C55D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1.1.6.1.3.3. Otras</w:t>
            </w:r>
          </w:p>
          <w:p w14:paraId="1FDE164A" w14:textId="591DDEF1"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8, letra a), del Reglamento Delegado (UE) 2015/61</w:t>
            </w:r>
          </w:p>
          <w:p w14:paraId="62802A43"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otorgadas a entidades de crédito distintas de las indicadas anteriormente.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0540</w:t>
            </w:r>
          </w:p>
        </w:tc>
        <w:tc>
          <w:tcPr>
            <w:tcW w:w="6946" w:type="dxa"/>
            <w:shd w:val="clear" w:color="auto" w:fill="auto"/>
          </w:tcPr>
          <w:p w14:paraId="1AC83037" w14:textId="32552FD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1.1.6.1.4. A entidades financieras reguladas distintas de entidades de crédito</w:t>
            </w:r>
          </w:p>
          <w:p w14:paraId="335971EE" w14:textId="6C5B23C9"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8, letra a), del Reglamento Delegado (UE) 2015/61</w:t>
            </w:r>
          </w:p>
          <w:p w14:paraId="5841C54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otorgadas a entidades financieras reguladas distintas de entidades de crédito.</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0550</w:t>
            </w:r>
          </w:p>
        </w:tc>
        <w:tc>
          <w:tcPr>
            <w:tcW w:w="6946" w:type="dxa"/>
            <w:shd w:val="clear" w:color="auto" w:fill="auto"/>
          </w:tcPr>
          <w:p w14:paraId="62B99099" w14:textId="0918D05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1.1.6.1.5. Dentro de un grupo o un sistema institucional de protección si se aplica un trato preferencial</w:t>
            </w:r>
          </w:p>
          <w:p w14:paraId="3B0CCBDF" w14:textId="56947EE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29 del Reglamento Delegado (UE) 2015/61</w:t>
            </w:r>
          </w:p>
          <w:p w14:paraId="1B15E9DB" w14:textId="19D60F6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a las que estén autorizadas a aplicar un índice de salida inferior de conformidad con el artículo 29 del Reglamento Delegado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b/>
                <w:sz w:val="24"/>
                <w:szCs w:val="24"/>
                <w:u w:color="000000"/>
                <w:rFonts w:ascii="Times New Roman" w:hAnsi="Times New Roman"/>
              </w:rPr>
            </w:pPr>
            <w:r>
              <w:rPr>
                <w:b/>
                <w:sz w:val="24"/>
                <w:u w:color="000000"/>
                <w:rFonts w:ascii="Times New Roman" w:hAnsi="Times New Roman"/>
              </w:rPr>
              <w:t xml:space="preserve">1.1.6.1.6. Dentro de un sistema institucional de protección o una red de cooperativas</w:t>
            </w:r>
            <w:r>
              <w:rPr>
                <w:b/>
                <w:sz w:val="24"/>
                <w:rFonts w:ascii="Times New Roman" w:hAnsi="Times New Roman"/>
              </w:rPr>
              <w:t xml:space="preserve"> </w:t>
            </w:r>
            <w:r>
              <w:rPr>
                <w:b/>
                <w:sz w:val="24"/>
                <w:u w:color="000000"/>
                <w:rFonts w:ascii="Times New Roman" w:hAnsi="Times New Roman"/>
              </w:rPr>
              <w:t xml:space="preserve">si la entidad depositante las trata como activos líquidos</w:t>
            </w:r>
          </w:p>
          <w:p w14:paraId="5BE5EF5C" w14:textId="4419E34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7, del Reglamento Delegado (UE) 2015/61</w:t>
            </w:r>
          </w:p>
          <w:p w14:paraId="24759D0B" w14:textId="2705B06C"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centrales de los sistemas o redes contemplados en el artículo 16 comunicarán el importe máximo que pueda utilizarse de las líneas de crédito comprometidas y no utilizadas otorgadas a las entidades de crédito miembros, cuando estas últimas traten tales líneas como activos líquidos con arreglo al artículo 16, apartado 2, del mismo Reglamento Delegado.</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0570</w:t>
            </w:r>
          </w:p>
        </w:tc>
        <w:tc>
          <w:tcPr>
            <w:tcW w:w="6946" w:type="dxa"/>
            <w:shd w:val="clear" w:color="auto" w:fill="auto"/>
          </w:tcPr>
          <w:p w14:paraId="4F933013" w14:textId="00DE3A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1.1.6.1.7. A otros clientes financieros</w:t>
            </w:r>
          </w:p>
          <w:p w14:paraId="3A019C6B" w14:textId="7A9197BA"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8, letra c), del Reglamento Delegado (UE) 2015/61</w:t>
            </w:r>
          </w:p>
          <w:p w14:paraId="5E486649"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distintas de las indicadas anteriormente que se hayan otorgado a otros clientes financieros.</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0580</w:t>
            </w:r>
          </w:p>
        </w:tc>
        <w:tc>
          <w:tcPr>
            <w:tcW w:w="6946" w:type="dxa"/>
            <w:shd w:val="clear" w:color="auto" w:fill="auto"/>
          </w:tcPr>
          <w:p w14:paraId="675EE411" w14:textId="68704F6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 Líneas de liquidez</w:t>
            </w:r>
          </w:p>
          <w:p w14:paraId="127539E1" w14:textId="3E76B2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1, del Reglamento Delegado (UE) 2015/61</w:t>
            </w:r>
          </w:p>
          <w:p w14:paraId="6FB0671D" w14:textId="6AABDDE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informarán aquí sobre las líneas de liquidez comprometidas definidas en el artículo 31, apartado 1, del Reglamento Delegado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0590</w:t>
            </w:r>
          </w:p>
        </w:tc>
        <w:tc>
          <w:tcPr>
            <w:tcW w:w="6946" w:type="dxa"/>
            <w:shd w:val="clear" w:color="auto" w:fill="auto"/>
          </w:tcPr>
          <w:p w14:paraId="35D9D5A4" w14:textId="37A306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1.1.6.2.1. A clientes minoristas</w:t>
            </w:r>
          </w:p>
          <w:p w14:paraId="07D13737" w14:textId="154426A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3, del Reglamento Delegado (UE) 2015/61</w:t>
            </w:r>
          </w:p>
          <w:p w14:paraId="2FFD3A91" w14:textId="681234F2"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otorgadas a clientes minoristas, tal como se definen en el artículo 411, apartado 2, del Reglamento (UE) n.º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0600</w:t>
            </w:r>
          </w:p>
        </w:tc>
        <w:tc>
          <w:tcPr>
            <w:tcW w:w="6946" w:type="dxa"/>
            <w:shd w:val="clear" w:color="auto" w:fill="auto"/>
          </w:tcPr>
          <w:p w14:paraId="32EEB75D" w14:textId="0B13AD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1.1.6.2.2. A clientes no financieros distintos de los clientes minoristas</w:t>
            </w:r>
          </w:p>
          <w:p w14:paraId="2DBDA826" w14:textId="0D17850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5, del Reglamento Delegado (UE) 2015/61</w:t>
            </w:r>
          </w:p>
          <w:p w14:paraId="759AD376" w14:textId="3B3461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otorgadas a clientes que no sean ni clientes financieros de conformidad con el artículo 411, apartado 1, del Reglamento (UE) n.º 575/2013, ni clientes minoristas de conformidad con el artículo 411, apartado 2, del mismo Reglamento.</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0610</w:t>
            </w:r>
          </w:p>
        </w:tc>
        <w:tc>
          <w:tcPr>
            <w:tcW w:w="6946" w:type="dxa"/>
            <w:shd w:val="clear" w:color="auto" w:fill="auto"/>
          </w:tcPr>
          <w:p w14:paraId="4C0FD86A" w14:textId="43785C8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1.1.6.2.3. A sociedades de inversión personales</w:t>
            </w:r>
          </w:p>
          <w:p w14:paraId="4A2779D7" w14:textId="7385D77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5, del Reglamento Delegado (UE) 2015/61</w:t>
            </w:r>
          </w:p>
          <w:p w14:paraId="522F43A4" w14:textId="77777777"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otorgadas a sociedades de inversión privadas.</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0620</w:t>
            </w:r>
          </w:p>
        </w:tc>
        <w:tc>
          <w:tcPr>
            <w:tcW w:w="6946" w:type="dxa"/>
            <w:shd w:val="clear" w:color="auto" w:fill="auto"/>
          </w:tcPr>
          <w:p w14:paraId="4B9788E1" w14:textId="7B8253EC"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1.1.6.2.4. A SSPE (vehículos especializados en titulizaciones)</w:t>
            </w:r>
          </w:p>
          <w:p w14:paraId="17C9FF5C"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aquí las líneas de liquidez comprometidas que hayan otorgado a SSPE.</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1.1.6.2.4.1. Para adquirir de clientes que no sean clientes financieros activos</w:t>
            </w:r>
            <w:r>
              <w:rPr>
                <w:b/>
                <w:sz w:val="24"/>
                <w:rFonts w:ascii="Times New Roman" w:hAnsi="Times New Roman"/>
              </w:rPr>
              <w:t xml:space="preserve"> </w:t>
            </w:r>
            <w:r>
              <w:rPr>
                <w:b/>
                <w:sz w:val="24"/>
                <w:u w:color="000000"/>
                <w:rFonts w:ascii="Times New Roman" w:hAnsi="Times New Roman"/>
              </w:rPr>
              <w:t xml:space="preserve">distintos de valores</w:t>
            </w:r>
          </w:p>
          <w:p w14:paraId="464340CC" w14:textId="70A90C4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6, del Reglamento Delegado (UE) 2015/61</w:t>
            </w:r>
          </w:p>
          <w:p w14:paraId="7B8D6A77" w14:textId="722F03E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líneas de liquidez comprometidas no utilizadas otorgadas a una SSPE con objeto de permitir que esta adquiera activos distintos de valores de clientes que no sean clientes financieros, en la medida en que dicho importe supere el importe de los activos que estén siendo adquiridos en ese momento de los clientes y en los casos en que el importe máximo que pueda utilizarse esté limitado contractualmente al importe de los activos que estén siendo adquiridos.</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0640</w:t>
            </w:r>
          </w:p>
        </w:tc>
        <w:tc>
          <w:tcPr>
            <w:tcW w:w="6946" w:type="dxa"/>
            <w:shd w:val="clear" w:color="auto" w:fill="auto"/>
          </w:tcPr>
          <w:p w14:paraId="38EA85F5" w14:textId="46086A1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1.1.6.2.4.2. Otras</w:t>
            </w:r>
          </w:p>
          <w:p w14:paraId="682F5E23" w14:textId="0DED00C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8, letra b), del Reglamento Delegado (UE) 2015/61</w:t>
            </w:r>
          </w:p>
          <w:p w14:paraId="0AE3BC58"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otorgadas a SSPE por motivos distintos de los mencionados anteriormente.</w:t>
            </w:r>
            <w:r>
              <w:rPr>
                <w:sz w:val="24"/>
                <w:rFonts w:ascii="Times New Roman" w:hAnsi="Times New Roman"/>
              </w:rPr>
              <w:t xml:space="preserve"> </w:t>
            </w:r>
            <w:r>
              <w:rPr>
                <w:sz w:val="24"/>
                <w:rFonts w:ascii="Times New Roman" w:hAnsi="Times New Roman"/>
              </w:rPr>
              <w:t xml:space="preserve">Se incluyen en esta categoría los acuerdos con arreglo a los cuales la entidad esté obligada a adquirir activos a una SSPE o a permutarlos con esta.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0650</w:t>
            </w:r>
          </w:p>
        </w:tc>
        <w:tc>
          <w:tcPr>
            <w:tcW w:w="6946" w:type="dxa"/>
            <w:shd w:val="clear" w:color="auto" w:fill="auto"/>
          </w:tcPr>
          <w:p w14:paraId="5083B734" w14:textId="4BDA161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 A entidades de crédito</w:t>
            </w:r>
          </w:p>
          <w:p w14:paraId="02A2824C"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aquí las líneas de liquidez comprometidas que hayan otorgado a entidades de crédito.</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0660</w:t>
            </w:r>
          </w:p>
        </w:tc>
        <w:tc>
          <w:tcPr>
            <w:tcW w:w="6946" w:type="dxa"/>
            <w:shd w:val="clear" w:color="auto" w:fill="auto"/>
          </w:tcPr>
          <w:p w14:paraId="2DA443D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1.1.5.2.5.1. Para financiar préstamos promocionales de clientes minoristas</w:t>
            </w:r>
          </w:p>
          <w:p w14:paraId="3A3CA88A" w14:textId="5E11C62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9, del Reglamento Delegado (UE) 2015/61</w:t>
            </w:r>
          </w:p>
          <w:p w14:paraId="491240A3" w14:textId="6385E6DE"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otorgadas a entidades de crédito con el único fin de financiar, directa o indirectamente, préstamos promocionales que puedan considerarse exposiciones frente a clientes de conformidad con el artículo 411, apartado 2, del Reglamento (UE) n.º 575/2013.</w:t>
            </w:r>
          </w:p>
          <w:p w14:paraId="1BDFB16B"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Solo las entidades de crédito que hayan sido establecidas y estén patrocinadas por una administración central o regional de al menos un Estado miembro podrán comunicar esta partida.</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0670</w:t>
            </w:r>
          </w:p>
        </w:tc>
        <w:tc>
          <w:tcPr>
            <w:tcW w:w="6946" w:type="dxa"/>
            <w:shd w:val="clear" w:color="auto" w:fill="auto"/>
          </w:tcPr>
          <w:p w14:paraId="679B958B" w14:textId="0879B9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1.1.6.2.5.2. Para financiar préstamos promocionales de clientes no financieros</w:t>
            </w:r>
          </w:p>
          <w:p w14:paraId="5BE7B326" w14:textId="0351167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9, del Reglamento Delegado (UE) 2015/61</w:t>
            </w:r>
          </w:p>
          <w:p w14:paraId="77824B01" w14:textId="6FD61FF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otorgadas a entidades de crédito con el único fin de financiar, directa o indirectamente, préstamos promocionales que puedan considerarse exposiciones frente a clientes que no sean ni clientes financieros de conformidad con el artículo 411, apartado 1, del Reglamento (UE) n.º 575/2013, ni clientes minoristas de conformidad con el artículo 411, apartado 2, del mismo Reglamento.</w:t>
            </w:r>
          </w:p>
          <w:p w14:paraId="5F41B186"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Solo las entidades de crédito que hayan sido establecidas y estén patrocinadas por una administración central o regional de al menos un Estado miembro podrán comunicar esta partida.</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0680</w:t>
            </w:r>
          </w:p>
        </w:tc>
        <w:tc>
          <w:tcPr>
            <w:tcW w:w="6946" w:type="dxa"/>
            <w:shd w:val="clear" w:color="auto" w:fill="auto"/>
          </w:tcPr>
          <w:p w14:paraId="23763AE1" w14:textId="06C1820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1.1.6.2.5.3. Otras</w:t>
            </w:r>
          </w:p>
          <w:p w14:paraId="45A77695" w14:textId="6466C366"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8, letra a), del Reglamento Delegado (UE) 2015/61</w:t>
            </w:r>
          </w:p>
          <w:p w14:paraId="0DCDA8EC"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aquellas líneas de liquidez comprometidas y no utilizadas otorgadas a entidades de crédito que no se hayan mencionado anteriormente.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0690</w:t>
            </w:r>
          </w:p>
        </w:tc>
        <w:tc>
          <w:tcPr>
            <w:tcW w:w="6946" w:type="dxa"/>
            <w:shd w:val="clear" w:color="auto" w:fill="auto"/>
          </w:tcPr>
          <w:p w14:paraId="3B9A3AB0" w14:textId="48A6F39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1.1.6.2.6. Dentro de un grupo o un sistema institucional de protección si se aplica un trato preferencial</w:t>
            </w:r>
          </w:p>
          <w:p w14:paraId="3956E823" w14:textId="556317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29 del Reglamento Delegado (UE) 2015/61</w:t>
            </w:r>
          </w:p>
          <w:p w14:paraId="686CA660" w14:textId="1ED5C52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a las que estén autorizadas a aplicar un índice de salida inferior de conformidad con el artículo 29 del Reglamento Delegado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1.1.6.2.7. Dentro de un sistema institucional de protección o una red de cooperativas</w:t>
            </w:r>
            <w:r>
              <w:rPr>
                <w:b/>
                <w:sz w:val="24"/>
                <w:rFonts w:ascii="Times New Roman" w:hAnsi="Times New Roman"/>
              </w:rPr>
              <w:t xml:space="preserve"> </w:t>
            </w:r>
            <w:r>
              <w:rPr>
                <w:b/>
                <w:sz w:val="24"/>
                <w:u w:color="000000"/>
                <w:rFonts w:ascii="Times New Roman" w:hAnsi="Times New Roman"/>
              </w:rPr>
              <w:t xml:space="preserve">si la entidad depositante las trata como activos líquidos</w:t>
            </w:r>
          </w:p>
          <w:p w14:paraId="25DF6CAA" w14:textId="09F9C46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7, del Reglamento Delegado (UE) 2015/61</w:t>
            </w:r>
          </w:p>
          <w:p w14:paraId="6AAF3C15" w14:textId="468C3D8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centrales de los sistemas o redes contemplados en el artículo 16 comunicarán el importe máximo que pueda utilizarse de las líneas de liquidez comprometidas y no utilizadas otorgadas a las entidades de crédito miembros, cuando estas últimas traten tales líneas como activos líquidos con arreglo al artículo 16, apartado 2, del mismo Reglamento Delegado.</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0710</w:t>
            </w:r>
          </w:p>
        </w:tc>
        <w:tc>
          <w:tcPr>
            <w:tcW w:w="6946" w:type="dxa"/>
            <w:shd w:val="clear" w:color="auto" w:fill="auto"/>
          </w:tcPr>
          <w:p w14:paraId="54795273" w14:textId="6AAA5D9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1.1.6.2.8. A otros clientes financieros</w:t>
            </w:r>
          </w:p>
          <w:p w14:paraId="7D82F302" w14:textId="2684FC9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31, apartado 8, letra c), del Reglamento Delegado (UE) 2015/61</w:t>
            </w:r>
          </w:p>
          <w:p w14:paraId="6EDDFF45"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distintas de las indicadas anteriormente que se hayan otorgado a otros clientes financieros.</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0720</w:t>
            </w:r>
          </w:p>
        </w:tc>
        <w:tc>
          <w:tcPr>
            <w:tcW w:w="6946" w:type="dxa"/>
            <w:shd w:val="clear" w:color="auto" w:fill="auto"/>
          </w:tcPr>
          <w:p w14:paraId="79594CF5" w14:textId="24D5991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w:t>
            </w:r>
            <w:r>
              <w:rPr>
                <w:b/>
                <w:sz w:val="24"/>
                <w:u w:color="000000"/>
                <w:rFonts w:ascii="Times New Roman" w:hAnsi="Times New Roman"/>
              </w:rPr>
              <w:t xml:space="preserve"> </w:t>
            </w:r>
            <w:r>
              <w:rPr>
                <w:b/>
                <w:sz w:val="24"/>
                <w:u w:color="000000"/>
                <w:rFonts w:ascii="Times New Roman" w:hAnsi="Times New Roman"/>
              </w:rPr>
              <w:t xml:space="preserve">Otros productos y servicios</w:t>
            </w:r>
          </w:p>
          <w:p w14:paraId="4378E198" w14:textId="56DC28D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apartado 2, del Reglamento Delegado (UE) 2015/61</w:t>
            </w:r>
          </w:p>
          <w:p w14:paraId="55E6CE66" w14:textId="1D8DD148"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Las entidades de crédito informarán aquí sobre los productos y servicios a que se refiere el artículo 23, apartado 1, del Reglamento Delegado (UE) 2015/61.</w:t>
            </w:r>
          </w:p>
          <w:p w14:paraId="2D9E6566" w14:textId="68BBD58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Deberá comunicarse el importe máximo que pueda utilizarse de los productos o servicios a que se refiere el artículo 23, apartado 1, del Reglamento Delegado (UE) 2015/61.</w:t>
            </w:r>
          </w:p>
          <w:p w14:paraId="398801BC" w14:textId="08FBA5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 ponderación aplicable que deberá consignarse será la determinada por las autoridades competentes de conformidad con el procedimiento establecido en el artículo 23, apartado 2, del Reglamento Delegado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0731</w:t>
            </w:r>
          </w:p>
        </w:tc>
        <w:tc>
          <w:tcPr>
            <w:tcW w:w="6946" w:type="dxa"/>
            <w:shd w:val="clear" w:color="auto" w:fill="auto"/>
          </w:tcPr>
          <w:p w14:paraId="6FA5646C" w14:textId="419EA8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1.1.7.1.</w:t>
            </w:r>
            <w:r>
              <w:rPr>
                <w:b/>
                <w:sz w:val="24"/>
                <w:u w:color="000000"/>
                <w:rFonts w:ascii="Times New Roman" w:hAnsi="Times New Roman"/>
              </w:rPr>
              <w:t xml:space="preserve"> </w:t>
            </w:r>
            <w:r>
              <w:rPr>
                <w:b/>
                <w:sz w:val="24"/>
                <w:u w:color="000000"/>
                <w:rFonts w:ascii="Times New Roman" w:hAnsi="Times New Roman"/>
              </w:rPr>
              <w:t xml:space="preserve">Líneas de financiación no comprometidas</w:t>
            </w:r>
          </w:p>
          <w:p w14:paraId="29E56B7D" w14:textId="3A65DB9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apartado 2, del Reglamento Delegado (UE) 2015/61</w:t>
            </w:r>
          </w:p>
          <w:p w14:paraId="137272A6" w14:textId="70A4FA60"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Las entidades de crédito comunicarán el importe de las líneas de financiación no comprometidas a que se refiere el artículo 23, apartado 1, del Reglamento Delegado (UE) 2015/61.</w:t>
            </w:r>
          </w:p>
          <w:p w14:paraId="3B5E2002" w14:textId="728C4BB4" w:rsidR="008C7A09" w:rsidRPr="000B6B22" w:rsidRDefault="0039321F"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En esta fila no se consignarán las garantías.</w:t>
            </w:r>
            <w:r>
              <w:rPr>
                <w:sz w:val="24"/>
                <w:rFonts w:ascii="Times New Roman" w:hAnsi="Times New Roman"/>
              </w:rPr>
              <w:t xml:space="preserv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0740</w:t>
            </w:r>
          </w:p>
        </w:tc>
        <w:tc>
          <w:tcPr>
            <w:tcW w:w="6946" w:type="dxa"/>
            <w:shd w:val="clear" w:color="auto" w:fill="auto"/>
          </w:tcPr>
          <w:p w14:paraId="3C425836" w14:textId="30E04A3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1.1.7.2. Préstamos y anticipos no utilizados a contrapartes mayoristas</w:t>
            </w:r>
          </w:p>
          <w:p w14:paraId="7FF6A607" w14:textId="042637A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apartado 2, del Reglamento Delegado (UE) 2015/61</w:t>
            </w:r>
          </w:p>
          <w:p w14:paraId="6E6D9823" w14:textId="4930CD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 los préstamos y anticipos no utilizados a contrapartes mayoristas a que se refiere el artículo 23, apartado 1, del Reglamento Delegado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0750</w:t>
            </w:r>
          </w:p>
        </w:tc>
        <w:tc>
          <w:tcPr>
            <w:tcW w:w="6946" w:type="dxa"/>
            <w:shd w:val="clear" w:color="auto" w:fill="auto"/>
          </w:tcPr>
          <w:p w14:paraId="4AF555BB" w14:textId="278BD49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1.1.7.3. Hipotecas acordadas pero pendientes de detracción</w:t>
            </w:r>
          </w:p>
          <w:p w14:paraId="704D344A" w14:textId="5248F5C6"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apartado 2, del Reglamento Delegado (UE) 2015/61</w:t>
            </w:r>
          </w:p>
          <w:p w14:paraId="79F23E23" w14:textId="54099AD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de las hipotecas acordadas pero pendientes de detracción a que se refiere el artículo 23, apartado 1, del Reglamento Delegado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0760</w:t>
            </w:r>
          </w:p>
        </w:tc>
        <w:tc>
          <w:tcPr>
            <w:tcW w:w="6946" w:type="dxa"/>
            <w:shd w:val="clear" w:color="auto" w:fill="auto"/>
          </w:tcPr>
          <w:p w14:paraId="1E64917C" w14:textId="3A671F3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1.1.7.4. Tarjetas de crédito</w:t>
            </w:r>
          </w:p>
          <w:p w14:paraId="674F76F5" w14:textId="0F86629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apartado 2, del Reglamento Delegado (UE) 2015/61</w:t>
            </w:r>
          </w:p>
          <w:p w14:paraId="0E4C8A33" w14:textId="0494CD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el importe de las tarjetas de crédito a que se refiere el artículo 23, apartado 1, del Reglamento Delegado (UE)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0770</w:t>
            </w:r>
          </w:p>
        </w:tc>
        <w:tc>
          <w:tcPr>
            <w:tcW w:w="6946" w:type="dxa"/>
            <w:shd w:val="clear" w:color="auto" w:fill="auto"/>
          </w:tcPr>
          <w:p w14:paraId="11354603" w14:textId="212629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1.1.7.5. Descubiertos</w:t>
            </w:r>
          </w:p>
          <w:p w14:paraId="725A6401" w14:textId="34D60F6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apartado 2, del Reglamento Delegado (UE) 2015/61</w:t>
            </w:r>
          </w:p>
          <w:p w14:paraId="6571EFDC" w14:textId="5B92E29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comunicarán el importe de los descubiertos a que se refiere el artículo 23, apartado 1, del Reglamento Delegado (UE)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1.1.7.6. Salidas previstas en relación con la renovación o ampliación de nuevos préstamos</w:t>
            </w:r>
            <w:r>
              <w:rPr>
                <w:b/>
                <w:sz w:val="24"/>
                <w:rFonts w:ascii="Times New Roman" w:hAnsi="Times New Roman"/>
              </w:rPr>
              <w:t xml:space="preserve"> </w:t>
            </w:r>
            <w:r>
              <w:rPr>
                <w:b/>
                <w:sz w:val="24"/>
                <w:u w:color="000000"/>
                <w:rFonts w:ascii="Times New Roman" w:hAnsi="Times New Roman"/>
              </w:rPr>
              <w:t xml:space="preserve">minoristas y no minoristas</w:t>
            </w:r>
          </w:p>
          <w:p w14:paraId="4AD3B14C" w14:textId="78536AE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apartado 2, del Reglamento Delegado (UE) 2015/61</w:t>
            </w:r>
          </w:p>
          <w:p w14:paraId="27A60F61" w14:textId="33380DF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el importe de las salidas previstas en relación con la renovación o ampliación de nuevos préstamos minoristas y no minoristas a que se refiere el artículo 23, apartado 1, del Reglamento Delegado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0850</w:t>
            </w:r>
          </w:p>
        </w:tc>
        <w:tc>
          <w:tcPr>
            <w:tcW w:w="6946" w:type="dxa"/>
            <w:shd w:val="clear" w:color="auto" w:fill="auto"/>
          </w:tcPr>
          <w:p w14:paraId="5870907A" w14:textId="724A00F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1.1.7.7.</w:t>
            </w:r>
            <w:r>
              <w:rPr>
                <w:b/>
                <w:sz w:val="24"/>
                <w:u w:color="000000"/>
                <w:rFonts w:ascii="Times New Roman" w:hAnsi="Times New Roman"/>
              </w:rPr>
              <w:t xml:space="preserve"> </w:t>
            </w:r>
            <w:r>
              <w:rPr>
                <w:b/>
                <w:sz w:val="24"/>
                <w:u w:color="000000"/>
                <w:rFonts w:ascii="Times New Roman" w:hAnsi="Times New Roman"/>
              </w:rPr>
              <w:t xml:space="preserve">Efectos pagaderos derivados</w:t>
            </w:r>
          </w:p>
          <w:p w14:paraId="12F95436" w14:textId="087C502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del Reglamento Delegado (UE) 2015/61</w:t>
            </w:r>
          </w:p>
          <w:p w14:paraId="2D5BD3D2" w14:textId="241B2A4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 los efectos pagaderos derivados distintos de los contratos enumerados en el anexo II del Reglamento (UE) n.º 575/2013 y los derivados de crédito, a que se refiere el artículo 23, apartado 1, del Reglamento Delegado (UE)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0860</w:t>
            </w:r>
          </w:p>
        </w:tc>
        <w:tc>
          <w:tcPr>
            <w:tcW w:w="6946" w:type="dxa"/>
            <w:shd w:val="clear" w:color="auto" w:fill="auto"/>
          </w:tcPr>
          <w:p w14:paraId="15AB21BD" w14:textId="6383F00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1.1.7.8. Productos relacionados con las partidas fuera de balance de financiación comercial</w:t>
            </w:r>
          </w:p>
          <w:p w14:paraId="086C34D7" w14:textId="4131BE49"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el importe de los productos o servicios relacionados con los productos relacionados con las partidas fuera de balance de financiación comercial a que se refiere el artículo 23, apartado 1, del Reglamento Delegado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0870</w:t>
            </w:r>
          </w:p>
        </w:tc>
        <w:tc>
          <w:tcPr>
            <w:tcW w:w="6946" w:type="dxa"/>
            <w:shd w:val="clear" w:color="auto" w:fill="auto"/>
          </w:tcPr>
          <w:p w14:paraId="159D6237" w14:textId="579CE7C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1.1.7.9. Otros</w:t>
            </w:r>
          </w:p>
          <w:p w14:paraId="5712662A" w14:textId="23492B0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23, apartado 2, del Reglamento Delegado (UE) 2015/61</w:t>
            </w:r>
          </w:p>
          <w:p w14:paraId="683501D0" w14:textId="4904E61D"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Las entidades de crédito comunicarán el importe de los productos o servicios distintos de los señalados anteriormente que estén contemplados en el artículo 23, apartado 1, del Reglamento Delegado (UE) 2015/61.</w:t>
            </w:r>
          </w:p>
          <w:p w14:paraId="052770D9" w14:textId="7709034B" w:rsidR="0039321F" w:rsidRPr="000B6B22" w:rsidRDefault="0039321F"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En esta fila se consignarán las garantías, entre otras partidas.</w:t>
            </w:r>
          </w:p>
          <w:p w14:paraId="56656AB1" w14:textId="0B413394" w:rsidR="0039321F" w:rsidRPr="000B6B22" w:rsidRDefault="0039321F"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En esta fila se consignarán las salidas contingentes provocadas por motivos distintos de la rebaja de la calidad a que se refiere el artículo 30, apartado 2, del Reglamento Delegado (UE)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0885</w:t>
            </w:r>
          </w:p>
        </w:tc>
        <w:tc>
          <w:tcPr>
            <w:tcW w:w="6946" w:type="dxa"/>
            <w:shd w:val="clear" w:color="auto" w:fill="auto"/>
          </w:tcPr>
          <w:p w14:paraId="76980E41" w14:textId="73CC9638"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w:t>
            </w:r>
            <w:r>
              <w:rPr>
                <w:b/>
                <w:sz w:val="24"/>
                <w:u w:color="000000"/>
                <w:rFonts w:ascii="Times New Roman" w:hAnsi="Times New Roman"/>
              </w:rPr>
              <w:t xml:space="preserve"> </w:t>
            </w:r>
            <w:r>
              <w:rPr>
                <w:b/>
                <w:sz w:val="24"/>
                <w:u w:color="000000"/>
                <w:rFonts w:ascii="Times New Roman" w:hAnsi="Times New Roman"/>
              </w:rPr>
              <w:t xml:space="preserve">Otros pasivos y compromisos vencidos</w:t>
            </w:r>
          </w:p>
          <w:p w14:paraId="248EE6BE" w14:textId="2785682C" w:rsidR="006E48EA" w:rsidRPr="000B6B22" w:rsidRDefault="006E48EA">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Artículo 28, apartados 2 y 6, y artículo 31 </w:t>
            </w:r>
            <w:r>
              <w:rPr>
                <w:sz w:val="24"/>
                <w:i/>
                <w:rFonts w:ascii="Times New Roman" w:hAnsi="Times New Roman"/>
              </w:rPr>
              <w:t xml:space="preserve">bis</w:t>
            </w:r>
            <w:r>
              <w:rPr>
                <w:sz w:val="24"/>
                <w:rFonts w:ascii="Times New Roman" w:hAnsi="Times New Roman"/>
              </w:rPr>
              <w:t xml:space="preserve">, del Reglamento Delegado (UE) 2015/61</w:t>
            </w:r>
          </w:p>
          <w:p w14:paraId="63BD30BF" w14:textId="3632151C" w:rsidR="006E48EA" w:rsidRPr="000B6B22" w:rsidRDefault="006E48EA">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las salidas derivadas de otros pasivos y compromisos vencidos con arreglo al artículo 28, apartados 2 y 6, y al artículo 31 </w:t>
            </w:r>
            <w:r>
              <w:rPr>
                <w:sz w:val="24"/>
                <w:i/>
                <w:rFonts w:ascii="Times New Roman" w:hAnsi="Times New Roman"/>
              </w:rPr>
              <w:t xml:space="preserve">bis</w:t>
            </w:r>
            <w:r>
              <w:rPr>
                <w:sz w:val="24"/>
                <w:rFonts w:ascii="Times New Roman" w:hAnsi="Times New Roman"/>
              </w:rPr>
              <w:t xml:space="preserve">, del Reglamento Delegado (UE) 2015/61.</w:t>
            </w:r>
          </w:p>
          <w:p w14:paraId="71BA5254" w14:textId="2D0BD2F6" w:rsidR="006E48EA" w:rsidRPr="000B6B22" w:rsidRDefault="006E48EA">
            <w:pPr>
              <w:pStyle w:val="TableParagraph"/>
              <w:spacing w:after="120"/>
              <w:jc w:val="both"/>
              <w:rPr>
                <w:sz w:val="24"/>
                <w:szCs w:val="24"/>
                <w:rFonts w:ascii="Times New Roman" w:hAnsi="Times New Roman"/>
              </w:rPr>
            </w:pPr>
            <w:r>
              <w:rPr>
                <w:sz w:val="24"/>
                <w:rFonts w:ascii="Times New Roman" w:hAnsi="Times New Roman"/>
              </w:rPr>
              <w:t xml:space="preserve">Esta partida también incluirá, en su caso, los saldos adicionales que deban mantenerse en las reservas en bancos centrales cuando así lo acuerden la autoridad competente pertinente y el BCE o el banco central de conformidad con el artículo 10, apartado 1, letra b), inciso iii), del Reglamento Delegado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0890</w:t>
            </w:r>
          </w:p>
        </w:tc>
        <w:tc>
          <w:tcPr>
            <w:tcW w:w="6946" w:type="dxa"/>
            <w:shd w:val="clear" w:color="auto" w:fill="auto"/>
          </w:tcPr>
          <w:p w14:paraId="3A3A2227" w14:textId="2668011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1.1.8.1. Pasivos resultantes de gastos de explotación</w:t>
            </w:r>
          </w:p>
          <w:p w14:paraId="398C48AE" w14:textId="229D0B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2, del Reglamento Delegado (UE) 2015/61</w:t>
            </w:r>
          </w:p>
          <w:p w14:paraId="393CF36B" w14:textId="22FE85E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pasivos resultantes de sus propios gastos de explotación a que se refiere el artículo 28, apartado 2, del Reglamento Delegado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0900</w:t>
            </w:r>
          </w:p>
        </w:tc>
        <w:tc>
          <w:tcPr>
            <w:tcW w:w="6946" w:type="dxa"/>
            <w:shd w:val="clear" w:color="auto" w:fill="auto"/>
          </w:tcPr>
          <w:p w14:paraId="530D31FB" w14:textId="7EFF318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1.1.8.2. En forma de valores representativos de deuda si no se tratan como depósitos minoristas</w:t>
            </w:r>
          </w:p>
          <w:p w14:paraId="7BD788E0" w14:textId="1963F26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6, del Reglamento Delegado (UE) 2015/61</w:t>
            </w:r>
          </w:p>
          <w:p w14:paraId="356F7462" w14:textId="0410626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pagarés, bonos y otros valores representativos de deuda que emitan, distintos de los declarados como depósitos minoristas, según se contemplan en el artículo 28, apartado 6, del Reglamento Delegado (UE) 2015/61.</w:t>
            </w:r>
            <w:r>
              <w:rPr>
                <w:sz w:val="24"/>
                <w:rFonts w:ascii="Times New Roman" w:hAnsi="Times New Roman"/>
              </w:rPr>
              <w:t xml:space="preserve"> </w:t>
            </w:r>
            <w:r>
              <w:rPr>
                <w:sz w:val="24"/>
                <w:rFonts w:ascii="Times New Roman" w:hAnsi="Times New Roman"/>
              </w:rPr>
              <w:t xml:space="preserve">Este importe incluirá asimismo los cupones que lleguen a vencimiento en los siguientes 30 días naturales en relación con el conjunto de dichos valores.</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0912</w:t>
            </w:r>
          </w:p>
        </w:tc>
        <w:tc>
          <w:tcPr>
            <w:tcW w:w="6946" w:type="dxa"/>
            <w:shd w:val="clear" w:color="auto" w:fill="auto"/>
          </w:tcPr>
          <w:p w14:paraId="6D8021F0"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1.1.8.4. Excedente de financiación a clientes no financieros</w:t>
            </w:r>
          </w:p>
          <w:p w14:paraId="71E54DBB" w14:textId="5F64598E"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Artículo 31 </w:t>
            </w:r>
            <w:r>
              <w:rPr>
                <w:sz w:val="24"/>
                <w:i/>
                <w:rFonts w:ascii="Times New Roman" w:hAnsi="Times New Roman"/>
              </w:rPr>
              <w:t xml:space="preserve">bis</w:t>
            </w:r>
            <w:r>
              <w:rPr>
                <w:sz w:val="24"/>
                <w:rFonts w:ascii="Times New Roman" w:hAnsi="Times New Roman"/>
              </w:rPr>
              <w:t xml:space="preserve">, apartado 2, del Reglamento Delegado (UE) 2015/61.</w:t>
            </w:r>
          </w:p>
          <w:p w14:paraId="368C7865" w14:textId="101F74E2" w:rsidR="006E48EA" w:rsidRPr="000B6B22" w:rsidRDefault="006E48EA" w:rsidP="009D4EFF">
            <w:pPr>
              <w:pStyle w:val="TableParagraph"/>
              <w:spacing w:after="120"/>
              <w:ind w:right="98"/>
              <w:jc w:val="both"/>
              <w:rPr>
                <w:sz w:val="24"/>
                <w:szCs w:val="24"/>
                <w:rFonts w:ascii="Times New Roman" w:eastAsia="Times New Roman" w:hAnsi="Times New Roman"/>
              </w:rPr>
            </w:pPr>
            <w:r>
              <w:rPr>
                <w:sz w:val="24"/>
                <w:rFonts w:ascii="Times New Roman" w:hAnsi="Times New Roman"/>
              </w:rPr>
              <w:t xml:space="preserve">Las entidades de crédito comunicarán aquí la diferencia entre los compromisos contractuales de concesión de financiación a clientes no financieros y el importe de las entradas de esos clientes a que se refiere el artículo 32, apartado 3, letra a), de dicho Reglamento Delegado cuando los primeros sean superiores al segundo.</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0913</w:t>
            </w:r>
          </w:p>
        </w:tc>
        <w:tc>
          <w:tcPr>
            <w:tcW w:w="6946" w:type="dxa"/>
            <w:shd w:val="clear" w:color="auto" w:fill="auto"/>
          </w:tcPr>
          <w:p w14:paraId="14000ED0"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1.1.8.4.1. Excedente de financiación a clientes minoristas</w:t>
            </w:r>
          </w:p>
          <w:p w14:paraId="2E95E581" w14:textId="1F46850E"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Las entidades de crédito comunicarán aquí la diferencia entre los compromisos contractuales de concesión de financiación a clientes minoristas y el importe de las entradas de esos clientes a que se refiere el artículo 32, apartado 3, letra a), del Reglamento Delegado (UE) 2015/61 cuando los primeros sean superiores al segundo.</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0914</w:t>
            </w:r>
          </w:p>
        </w:tc>
        <w:tc>
          <w:tcPr>
            <w:tcW w:w="6946" w:type="dxa"/>
            <w:shd w:val="clear" w:color="auto" w:fill="auto"/>
          </w:tcPr>
          <w:p w14:paraId="247E070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1.1.8.4.2. Excedente de financiación a empresas no financieras</w:t>
            </w:r>
          </w:p>
          <w:p w14:paraId="42491C7C" w14:textId="3619CF34"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Las entidades de crédito comunicarán aquí la diferencia entre los compromisos contractuales de concesión de financiación a empresas no financieras clientes y el importe de las entradas de esos clientes a que se refiere el artículo 32, apartado 3, letra a), del Reglamento Delegado (UE) 2015/61 cuando los primeros sean superiores al segundo.</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0915</w:t>
            </w:r>
          </w:p>
        </w:tc>
        <w:tc>
          <w:tcPr>
            <w:tcW w:w="6946" w:type="dxa"/>
            <w:shd w:val="clear" w:color="auto" w:fill="auto"/>
          </w:tcPr>
          <w:p w14:paraId="6C5AD11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1.1.8.4.3. Excedente de financiación a emisores soberanos, bancos multilaterales de desarrollo y entes del sector público</w:t>
            </w:r>
          </w:p>
          <w:p w14:paraId="0A7E8D5A" w14:textId="08050005"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Las entidades de crédito comunicarán aquí la diferencia entre los compromisos contractuales de concesión de financiación a emisores soberanos, bancos multilaterales de desarrollo y entes del sector público y el importe de las entradas de esos clientes a que se refiere el artículo 32, apartado 3, letra a), del Reglamento Delegado (UE) 2015/61 cuando los primeros sean superiores al segundo.</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0916</w:t>
            </w:r>
          </w:p>
        </w:tc>
        <w:tc>
          <w:tcPr>
            <w:tcW w:w="6946" w:type="dxa"/>
            <w:shd w:val="clear" w:color="auto" w:fill="auto"/>
          </w:tcPr>
          <w:p w14:paraId="2505C02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1.1.8.4.4. Excedente de financiación a otras personas jurídicas</w:t>
            </w:r>
          </w:p>
          <w:p w14:paraId="608BE842" w14:textId="44F72E16"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Las entidades de crédito comunicarán aquí la diferencia entre los compromisos contractuales de concesión de financiación a otras entidades con personal jurídica y el importe de las entradas de esos clientes a que se refiere el artículo 32, apartado 3, letra a), del Reglamento Delegado (UE) 2015/61 cuando los primeros sean superiores al segundo.</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0917</w:t>
            </w:r>
          </w:p>
        </w:tc>
        <w:tc>
          <w:tcPr>
            <w:tcW w:w="6946" w:type="dxa"/>
            <w:shd w:val="clear" w:color="auto" w:fill="auto"/>
          </w:tcPr>
          <w:p w14:paraId="4B4E4468"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1.1.8.5. Activos obtenidos mediante préstamo de forma no garantizada</w:t>
            </w:r>
          </w:p>
          <w:p w14:paraId="51721E3E" w14:textId="2AE52E70"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7, del Reglamento Delegado (UE) 2015/61</w:t>
            </w:r>
          </w:p>
          <w:p w14:paraId="5311C2DE" w14:textId="35334A4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aquí los activos tomados en préstamo de forma no garantizada y que venzan en el plazo de 30 días.</w:t>
            </w:r>
            <w:r>
              <w:rPr>
                <w:sz w:val="24"/>
                <w:rFonts w:ascii="Times New Roman" w:hAnsi="Times New Roman"/>
              </w:rPr>
              <w:t xml:space="preserve"> </w:t>
            </w:r>
            <w:r>
              <w:rPr>
                <w:sz w:val="24"/>
                <w:rFonts w:ascii="Times New Roman" w:hAnsi="Times New Roman"/>
              </w:rPr>
              <w:t xml:space="preserve">Se supondrá que estos activos se retiran íntegramente, dando lugar a un índice de salida del 100 %.</w:t>
            </w:r>
          </w:p>
          <w:p w14:paraId="66070A83" w14:textId="77777777"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Las entidades de crédito comunicarán el valor de mercado de los activos tomados en préstamo de forma no garantizada y que venzan en el plazo de 30 días, siempre que la entidad no posea los valores ni estos formen parte de su colchón de liquidez.</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0918</w:t>
            </w:r>
          </w:p>
        </w:tc>
        <w:tc>
          <w:tcPr>
            <w:tcW w:w="6946" w:type="dxa"/>
            <w:shd w:val="clear" w:color="auto" w:fill="auto"/>
          </w:tcPr>
          <w:p w14:paraId="4EFCF2A8"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1.1.8.6. Otros</w:t>
            </w:r>
          </w:p>
          <w:p w14:paraId="0E24DA9D" w14:textId="27CC7D8C" w:rsidR="00555504"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Artículo 31 </w:t>
            </w:r>
            <w:r>
              <w:rPr>
                <w:sz w:val="24"/>
                <w:i/>
                <w:rFonts w:ascii="Times New Roman" w:hAnsi="Times New Roman"/>
              </w:rPr>
              <w:t xml:space="preserve">bis</w:t>
            </w:r>
            <w:r>
              <w:rPr>
                <w:sz w:val="24"/>
                <w:rFonts w:ascii="Times New Roman" w:hAnsi="Times New Roman"/>
              </w:rPr>
              <w:t xml:space="preserve">, apartado 1, del Reglamento Delegado (UE) 2015/61.</w:t>
            </w:r>
          </w:p>
          <w:p w14:paraId="1DD86F88" w14:textId="55F8E7B6" w:rsidR="006E48EA"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Las entidades de crédito comunicarán el importe del saldo vivo de los pasivos que venzan en los siguientes 30 días naturales, distintos de los contemplados en los artículos 24 a 31 del Reglamento Delegado (UE) 2015/61.</w:t>
            </w:r>
          </w:p>
          <w:p w14:paraId="6B23C2B7" w14:textId="6AF918FB" w:rsidR="006E48EA" w:rsidRPr="000B6B22" w:rsidRDefault="007453EC">
            <w:pPr>
              <w:pStyle w:val="TableParagraph"/>
              <w:spacing w:after="120"/>
              <w:jc w:val="both"/>
              <w:rPr>
                <w:sz w:val="24"/>
                <w:szCs w:val="24"/>
                <w:u w:color="000000"/>
                <w:rFonts w:ascii="Times New Roman" w:hAnsi="Times New Roman"/>
              </w:rPr>
            </w:pPr>
            <w:r>
              <w:rPr>
                <w:sz w:val="24"/>
                <w:u w:color="000000"/>
                <w:rFonts w:ascii="Times New Roman" w:hAnsi="Times New Roman"/>
              </w:rPr>
              <w:t xml:space="preserve">En esta fila solo se incluirán las demás salidas resultantes de operaciones no garantizadas.</w:t>
            </w:r>
            <w:r>
              <w:rPr>
                <w:sz w:val="24"/>
                <w:u w:color="000000"/>
                <w:rFonts w:ascii="Times New Roman" w:hAnsi="Times New Roman"/>
              </w:rPr>
              <w:t xml:space="preserve"> </w:t>
            </w:r>
            <w:r>
              <w:rPr>
                <w:sz w:val="24"/>
                <w:u w:color="000000"/>
                <w:rFonts w:ascii="Times New Roman" w:hAnsi="Times New Roman"/>
              </w:rPr>
              <w:t xml:space="preserve">Las operaciones garantizadas se comunicarán en ID 1.2, «Salidas de operaciones de préstamo garantizadas y operaciones vinculadas al mercado de capitales», y en ID 1.3, «Total de salidas derivadas de permutas de garantías reales».</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1.2.</w:t>
            </w:r>
            <w:r>
              <w:rPr>
                <w:b/>
                <w:sz w:val="24"/>
                <w:u w:color="000000"/>
                <w:rFonts w:ascii="Times New Roman" w:hAnsi="Times New Roman"/>
              </w:rPr>
              <w:t xml:space="preserve"> </w:t>
            </w:r>
            <w:r>
              <w:rPr>
                <w:b/>
                <w:sz w:val="24"/>
                <w:u w:color="000000"/>
                <w:rFonts w:ascii="Times New Roman" w:hAnsi="Times New Roman"/>
              </w:rPr>
              <w:t xml:space="preserve">Salidas derivadas de operaciones de préstamo garantizadas y</w:t>
            </w:r>
            <w:r>
              <w:rPr>
                <w:b/>
                <w:sz w:val="24"/>
                <w:rFonts w:ascii="Times New Roman" w:hAnsi="Times New Roman"/>
              </w:rPr>
              <w:t xml:space="preserve"> </w:t>
            </w:r>
            <w:r>
              <w:rPr>
                <w:b/>
                <w:sz w:val="24"/>
                <w:u w:color="000000"/>
                <w:rFonts w:ascii="Times New Roman" w:hAnsi="Times New Roman"/>
              </w:rPr>
              <w:t xml:space="preserve">operaciones vinculadas al mercado de capitales</w:t>
            </w:r>
          </w:p>
          <w:p w14:paraId="75E2EC02" w14:textId="09C465C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del Reglamento Delegado (UE) 2015/61</w:t>
            </w:r>
          </w:p>
          <w:p w14:paraId="12CB8EC3" w14:textId="1F1D49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w:t>
            </w:r>
            <w:r>
              <w:rPr>
                <w:sz w:val="24"/>
                <w:rFonts w:ascii="Times New Roman" w:hAnsi="Times New Roman"/>
              </w:rPr>
              <w:t xml:space="preserve"> </w:t>
            </w:r>
            <w:r>
              <w:rPr>
                <w:sz w:val="24"/>
                <w:rFonts w:ascii="Times New Roman" w:hAnsi="Times New Roman"/>
              </w:rPr>
              <w:t xml:space="preserve">Las operaciones de permuta de garantías reales (que engloban las operaciones de intercambio de unas garantías reales por otras) se comunicarán en la plantilla C 75.01 del anexo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b/>
                <w:sz w:val="24"/>
                <w:szCs w:val="24"/>
                <w:u w:color="000000"/>
                <w:rFonts w:ascii="Times New Roman" w:hAnsi="Times New Roman"/>
              </w:rPr>
            </w:pPr>
            <w:r>
              <w:rPr>
                <w:b/>
                <w:sz w:val="24"/>
                <w:u w:color="000000"/>
                <w:rFonts w:ascii="Times New Roman" w:hAnsi="Times New Roman"/>
              </w:rPr>
              <w:t xml:space="preserve">1.2.1.</w:t>
            </w:r>
            <w:r>
              <w:rPr>
                <w:b/>
                <w:sz w:val="24"/>
                <w:u w:color="000000"/>
                <w:rFonts w:ascii="Times New Roman" w:hAnsi="Times New Roman"/>
              </w:rPr>
              <w:t xml:space="preserve"> </w:t>
            </w:r>
            <w:r>
              <w:rPr>
                <w:b/>
                <w:sz w:val="24"/>
                <w:u w:color="000000"/>
                <w:rFonts w:ascii="Times New Roman" w:hAnsi="Times New Roman"/>
              </w:rPr>
              <w:t xml:space="preserve">Cuya contraparte sea un banco central</w:t>
            </w:r>
          </w:p>
          <w:p w14:paraId="1ECF2478" w14:textId="77777777"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0940</w:t>
            </w:r>
          </w:p>
        </w:tc>
        <w:tc>
          <w:tcPr>
            <w:tcW w:w="6946" w:type="dxa"/>
            <w:shd w:val="clear" w:color="auto" w:fill="auto"/>
          </w:tcPr>
          <w:p w14:paraId="48979F1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 Garantías reales de nivel 1 excepto bonos garantizados de calidad sumamente elevada</w:t>
            </w:r>
          </w:p>
          <w:p w14:paraId="45DC1ED8" w14:textId="3C55C217"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a), del Reglamento Delegado (UE) 2015/61</w:t>
            </w:r>
          </w:p>
          <w:p w14:paraId="6FD80278" w14:textId="49ABF444"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1, excepto bonos garantizados de calidad sumamente elevada, y que, de no utilizarse como garantías reales para esas operaciones, podrían ser considerados activos líquidos con arreglo a los artículos 7 y 10, del Reglamento Delegado (UE) 2015/61.</w:t>
            </w:r>
            <w:r>
              <w:rPr>
                <w:sz w:val="24"/>
                <w:rFonts w:ascii="Times New Roman" w:hAnsi="Times New Roman"/>
              </w:rPr>
              <w:t xml:space="preserv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0945</w:t>
            </w:r>
          </w:p>
        </w:tc>
        <w:tc>
          <w:tcPr>
            <w:tcW w:w="6946" w:type="dxa"/>
            <w:shd w:val="clear" w:color="auto" w:fill="auto"/>
          </w:tcPr>
          <w:p w14:paraId="442A7D6D" w14:textId="4AD976F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1.2.1.1.1 De las cuales: las garantías reales aportadas cumplen los requisitos operativos</w:t>
            </w:r>
          </w:p>
          <w:p w14:paraId="6E88072E" w14:textId="534BAAD8" w:rsidR="006E48EA" w:rsidRPr="000B6B22" w:rsidRDefault="000378A5" w:rsidP="009D4EFF">
            <w:pPr>
              <w:pStyle w:val="TableParagraph"/>
              <w:spacing w:after="120"/>
              <w:jc w:val="both"/>
              <w:rPr>
                <w:sz w:val="24"/>
                <w:szCs w:val="24"/>
                <w:rFonts w:ascii="Times New Roman" w:hAnsi="Times New Roman"/>
              </w:rPr>
            </w:pPr>
            <w:r>
              <w:rPr>
                <w:sz w:val="24"/>
                <w:rFonts w:ascii="Times New Roman" w:hAnsi="Times New Roman"/>
              </w:rPr>
              <w:t xml:space="preserve">Operaciones incluidas en la partida 1.2.1.1 en las que las garantías reales, de no ser utilizadas como garantías reales para esas operaciones, podrían ser activos líquidos con arreglo al artículo 8 del Reglamento Delegado (UE) 2015/61.</w:t>
            </w:r>
            <w:r>
              <w:rPr>
                <w:sz w:val="24"/>
                <w:rFonts w:ascii="Times New Roman" w:hAnsi="Times New Roman"/>
              </w:rPr>
              <w:t xml:space="preserve">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0950</w:t>
            </w:r>
          </w:p>
        </w:tc>
        <w:tc>
          <w:tcPr>
            <w:tcW w:w="6946" w:type="dxa"/>
            <w:shd w:val="clear" w:color="auto" w:fill="auto"/>
          </w:tcPr>
          <w:p w14:paraId="2AC020A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 Garantías reales de nivel 1 consistentes en bonos garantizados de calidad sumamente elevada</w:t>
            </w:r>
          </w:p>
          <w:p w14:paraId="3899CE2D" w14:textId="26F0D9D2"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a), del Reglamento Delegado (UE) 2015/61</w:t>
            </w:r>
          </w:p>
          <w:p w14:paraId="0A97EDBB" w14:textId="5A17432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sea un banco central y las garantías reales aportadas sean activos de nivel 1 consistentes en bonos garantizados de calidad sumamente elevada, y que, de no utilizarse como garantías reales para esas operaciones, podrían ser considerados activos líquidos con arreglo a los artículos 7 y 10, del Reglamento Delegado (UE) 2015/61.</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0955</w:t>
            </w:r>
          </w:p>
        </w:tc>
        <w:tc>
          <w:tcPr>
            <w:tcW w:w="6946" w:type="dxa"/>
            <w:shd w:val="clear" w:color="auto" w:fill="auto"/>
          </w:tcPr>
          <w:p w14:paraId="6107E31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1.2.1.2.1 De las cuales: las garantías reales recibidas cumplen los requisitos operativos</w:t>
            </w:r>
          </w:p>
          <w:p w14:paraId="295247AA" w14:textId="0D80EE15" w:rsidR="006E48EA" w:rsidRPr="000B6B22" w:rsidRDefault="00D17D9F" w:rsidP="009D4EFF">
            <w:pPr>
              <w:pStyle w:val="TableParagraph"/>
              <w:spacing w:after="120"/>
              <w:jc w:val="both"/>
              <w:rPr>
                <w:sz w:val="24"/>
                <w:szCs w:val="24"/>
                <w:rFonts w:ascii="Times New Roman" w:hAnsi="Times New Roman"/>
              </w:rPr>
            </w:pPr>
            <w:r>
              <w:rPr>
                <w:sz w:val="24"/>
                <w:rFonts w:ascii="Times New Roman" w:hAnsi="Times New Roman"/>
              </w:rPr>
              <w:t xml:space="preserve">Operaciones incluidas en la partida 1.2.1.2 en las que las garantías reales, de no ser utilizadas como garantías reales para esas operaciones, podrían ser consideradas activos líquidos con arreglo al artículo 8 del Reglamento Delegado (UE) 2015/61.</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0960</w:t>
            </w:r>
          </w:p>
        </w:tc>
        <w:tc>
          <w:tcPr>
            <w:tcW w:w="6946" w:type="dxa"/>
            <w:shd w:val="clear" w:color="auto" w:fill="auto"/>
          </w:tcPr>
          <w:p w14:paraId="0500B4C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 Garantías reales de nivel 2A</w:t>
            </w:r>
          </w:p>
          <w:p w14:paraId="20FB7A2A" w14:textId="25A6343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a), del Reglamento Delegado (UE) 2015/61</w:t>
            </w:r>
          </w:p>
          <w:p w14:paraId="57846B40" w14:textId="046A5B1E"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sea un banco central y las garantías reales aportadas sean activos de nivel 2A y que, de no utilizarse como garantías reales para esas operaciones, podrían ser considerados activos líquidos con arreglo a los artículos 7 y 11, del Reglamento Delegado (UE) 2015/61.</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0965</w:t>
            </w:r>
          </w:p>
        </w:tc>
        <w:tc>
          <w:tcPr>
            <w:tcW w:w="6946" w:type="dxa"/>
            <w:shd w:val="clear" w:color="auto" w:fill="auto"/>
          </w:tcPr>
          <w:p w14:paraId="1EDE40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1.2.1.3.1 De las cuales: las garantías reales recibidas cumplen los requisitos operativos</w:t>
            </w:r>
          </w:p>
          <w:p w14:paraId="687C0036" w14:textId="5E27B92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Operaciones incluidas en la partida 1.2.1.3 en las que las garantías reales, de no ser utilizadas como garantías reales para esas operaciones, podrían ser consideradas activos líquidos con arreglo al artículo 8 del Reglamento Delegado (UE) 2015/61.</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1.2.1.4. Garantías reales de nivel 2B consistentes en bonos de titulización de activos (residenciales o automóviles,</w:t>
            </w:r>
            <w:r>
              <w:rPr>
                <w:b/>
                <w:sz w:val="24"/>
                <w:rFonts w:ascii="Times New Roman" w:hAnsi="Times New Roman"/>
              </w:rPr>
              <w:t xml:space="preserve"> </w:t>
            </w:r>
            <w:r>
              <w:rPr>
                <w:b/>
                <w:sz w:val="24"/>
                <w:u w:color="000000"/>
                <w:rFonts w:ascii="Times New Roman" w:hAnsi="Times New Roman"/>
              </w:rPr>
              <w:t xml:space="preserve">nivel de calidad crediticia 1)</w:t>
            </w:r>
          </w:p>
          <w:p w14:paraId="280FD9DB" w14:textId="7D5D6C4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a), del Reglamento Delegado (UE) 2015/61.</w:t>
            </w:r>
          </w:p>
          <w:p w14:paraId="4D8B3F74" w14:textId="221371C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no sea un banco central y las garantías reales aportadas sean bonos de titulización de activos de nivel 2B respaldados por inmuebles residenciales o automóviles, a los que se atribuya un nivel de calidad crediticia 1 y que cumplan las condiciones establecidas en el artículo 13, apartado 2, letra b), incisos i), ii) o iv), y que, de no utilizarse como garantías reales para esas operaciones, podrían ser considerados activos líquidos con arreglo a los artículos 7 y 13 del Reglamento Delegado (UE) 2015/61.</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0975</w:t>
            </w:r>
          </w:p>
        </w:tc>
        <w:tc>
          <w:tcPr>
            <w:tcW w:w="6946" w:type="dxa"/>
            <w:shd w:val="clear" w:color="auto" w:fill="auto"/>
          </w:tcPr>
          <w:p w14:paraId="69B45E4F"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1.2.1.4.1 De las cuales: las garantías reales aportadas cumplen los requisitos operativos</w:t>
            </w:r>
          </w:p>
          <w:p w14:paraId="686DF018" w14:textId="01646E3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Operaciones incluidas en la partida 1.2.1.4 en las que las garantías reales, de no ser utilizadas como garantías reales para esas operaciones, podrían ser consideradas activos líquidos con arreglo al artículo 8 del Reglamento Delegado (UE) 2015/61.</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0980</w:t>
            </w:r>
          </w:p>
        </w:tc>
        <w:tc>
          <w:tcPr>
            <w:tcW w:w="6946" w:type="dxa"/>
            <w:shd w:val="clear" w:color="auto" w:fill="auto"/>
          </w:tcPr>
          <w:p w14:paraId="4BFD9ED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 Bonos garantizados de nivel 2B</w:t>
            </w:r>
          </w:p>
          <w:p w14:paraId="7CADF692" w14:textId="313B983F"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a), del Reglamento Delegado (UE) 2015/61</w:t>
            </w:r>
          </w:p>
          <w:p w14:paraId="02A3B088" w14:textId="4F44668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bonos garantizados de calidad elevada de nivel 2B que cumplan las condiciones establecidas en el artículo 12, apartado 1, letra e), y que, de no utilizarse como garantías reales para esas operaciones, podrían ser considerados activos líquidos con arreglo a los artículos 7 y 12, del Reglamento Delegado (UE) 2015/61.</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0985</w:t>
            </w:r>
          </w:p>
        </w:tc>
        <w:tc>
          <w:tcPr>
            <w:tcW w:w="6946" w:type="dxa"/>
            <w:shd w:val="clear" w:color="auto" w:fill="auto"/>
          </w:tcPr>
          <w:p w14:paraId="0AAE246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1.2.1.5.1 De las cuales: las garantías reales aportadas cumplen los requisitos operativos</w:t>
            </w:r>
          </w:p>
          <w:p w14:paraId="77DA6F20" w14:textId="74CD76B4"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Operaciones incluidas en la partida 1.2.1.5 en las que las garantías reales, de no ser utilizadas como garantías reales para esas operaciones, podrían ser consideradas activos líquidos con arreglo al artículo 8 del Reglamento Delegado (UE) 2015/61.</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u w:color="000000"/>
                <w:rFonts w:ascii="Times New Roman" w:hAnsi="Times New Roman"/>
              </w:rPr>
              <w:t xml:space="preserve">1.2.1.6. Garantías reales de nivel 2B consistentes en bonos de titulización de activos (comerciales o particulares, Estados miembros,</w:t>
            </w:r>
            <w:r>
              <w:rPr>
                <w:b/>
                <w:sz w:val="24"/>
                <w:rFonts w:ascii="Times New Roman" w:hAnsi="Times New Roman"/>
              </w:rPr>
              <w:t xml:space="preserve"> </w:t>
            </w:r>
            <w:r>
              <w:rPr>
                <w:b/>
                <w:sz w:val="24"/>
                <w:u w:color="000000"/>
                <w:rFonts w:ascii="Times New Roman" w:hAnsi="Times New Roman"/>
              </w:rPr>
              <w:t xml:space="preserve">nivel de calidad crediticia 1)</w:t>
            </w:r>
          </w:p>
          <w:p w14:paraId="60BEF7D5" w14:textId="57DDAAA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a), del Reglamento Delegado (UE) 2015/61</w:t>
            </w:r>
          </w:p>
          <w:p w14:paraId="5AC4F74F" w14:textId="32F76DA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sea un banco central y las garantías reales aportadas sean bonos de titulización de activos de nivel 2B respaldados por préstamos comerciales, arrendamientos financieros y líneas de crédito a empresas o préstamos y líneas de crédito a particulares en un Estado miembro, a los que se atribuya un nivel de calidad crediticia 1 y que cumplan las condiciones establecidas en el artículo 13, apartado 2, letra g), incisos iii) o v), y que, de no utilizarse como garantías reales para esas operaciones, podrían ser considerados activos líquidos con arreglo a los artículos 7 y 13, del Reglamento Delegado (UE) 2015/61.</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0995</w:t>
            </w:r>
          </w:p>
        </w:tc>
        <w:tc>
          <w:tcPr>
            <w:tcW w:w="6946" w:type="dxa"/>
            <w:shd w:val="clear" w:color="auto" w:fill="auto"/>
          </w:tcPr>
          <w:p w14:paraId="450B2BC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1.2.1.6.1 De las cuales: las garantías reales aportadas cumplen los requisitos operativos</w:t>
            </w:r>
          </w:p>
          <w:p w14:paraId="625D38C4" w14:textId="13B6C4D2"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Operaciones incluidas en la partida 1.2.1.6 en las que las garantías reales, de no ser utilizadas como garantías reales para esas operaciones, podrían ser consideradas activos líquidos con arreglo al artículo 8 del Reglamento Delegado (UE) 2015/61.</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1000</w:t>
            </w:r>
          </w:p>
        </w:tc>
        <w:tc>
          <w:tcPr>
            <w:tcW w:w="6946" w:type="dxa"/>
            <w:shd w:val="clear" w:color="auto" w:fill="auto"/>
          </w:tcPr>
          <w:p w14:paraId="1E24564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 Garantías reales de nivel 2B consistentes en otros activos</w:t>
            </w:r>
          </w:p>
          <w:p w14:paraId="0F032674" w14:textId="47AC751F"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a), del Reglamento Delegado (UE) 2015/61</w:t>
            </w:r>
          </w:p>
          <w:p w14:paraId="61C580EF" w14:textId="493C7F48"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2B no incluidos en las partidas anteriores</w:t>
            </w:r>
            <w:r>
              <w:rPr>
                <w:sz w:val="24"/>
                <w:rFonts w:ascii="Times New Roman" w:hAnsi="Times New Roman"/>
              </w:rPr>
              <w:t xml:space="preserve"> </w:t>
            </w:r>
            <w:r>
              <w:rPr>
                <w:sz w:val="24"/>
                <w:rFonts w:ascii="Times New Roman" w:hAnsi="Times New Roman"/>
              </w:rPr>
              <w:t xml:space="preserve">y que, de no utilizarse como garantías reales para esas operaciones, podrían ser considerados activos líquidos con arreglo a los artículos 7 y 12, del Reglamento Delegado (UE) 2015/61.</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1005</w:t>
            </w:r>
          </w:p>
        </w:tc>
        <w:tc>
          <w:tcPr>
            <w:tcW w:w="6946" w:type="dxa"/>
            <w:shd w:val="clear" w:color="auto" w:fill="auto"/>
          </w:tcPr>
          <w:p w14:paraId="621AC22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1.2.1.7.1 De las cuales: las garantías reales aportadas cumplen los requisitos operativos</w:t>
            </w:r>
          </w:p>
          <w:p w14:paraId="26F9DDD4" w14:textId="602195BB"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Operaciones incluidas en la partida 1.2.1.7 en las que las garantías reales, de no ser utilizadas como garantías reales para esas operaciones, podrían ser consideradas activos líquidos con arreglo al artículo 8 del Reglamento Delegado (UE) 2015/61.</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1010</w:t>
            </w:r>
          </w:p>
        </w:tc>
        <w:tc>
          <w:tcPr>
            <w:tcW w:w="6946" w:type="dxa"/>
            <w:shd w:val="clear" w:color="auto" w:fill="auto"/>
          </w:tcPr>
          <w:p w14:paraId="72ACE489" w14:textId="77777777"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1.2.1.8. Garantías reales consistentes en activos no líquidos</w:t>
            </w:r>
          </w:p>
          <w:p w14:paraId="0DC05AAB" w14:textId="65A957E5" w:rsidR="006D2B0E" w:rsidRPr="000B6B22" w:rsidRDefault="00DD4C72" w:rsidP="009D4EFF">
            <w:pPr>
              <w:pStyle w:val="BodyText"/>
              <w:spacing w:after="120"/>
              <w:ind w:left="0" w:firstLine="0"/>
              <w:jc w:val="both"/>
              <w:rPr>
                <w:sz w:val="24"/>
                <w:szCs w:val="24"/>
                <w:rFonts w:ascii="Times New Roman" w:eastAsia="Calibri" w:hAnsi="Times New Roman"/>
              </w:rPr>
            </w:pPr>
            <w:r>
              <w:rPr>
                <w:sz w:val="24"/>
                <w:rFonts w:ascii="Times New Roman" w:hAnsi="Times New Roman"/>
              </w:rPr>
              <w:t xml:space="preserve">Artículo 28, apartado 3, letra a), del Reglamento Delegado (UE) 2015/61</w:t>
            </w:r>
          </w:p>
          <w:p w14:paraId="5E9B09BD" w14:textId="686A22B9" w:rsidR="006E48EA" w:rsidRPr="000B6B22" w:rsidRDefault="006E48EA" w:rsidP="009D4EFF">
            <w:pPr>
              <w:pStyle w:val="BodyText"/>
              <w:spacing w:after="120"/>
              <w:ind w:left="0" w:firstLine="0"/>
              <w:jc w:val="both"/>
              <w:rPr>
                <w:sz w:val="24"/>
                <w:szCs w:val="24"/>
                <w:rFonts w:ascii="Times New Roman"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aportadas sean activos no líquidos.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1020</w:t>
            </w:r>
          </w:p>
        </w:tc>
        <w:tc>
          <w:tcPr>
            <w:tcW w:w="6946" w:type="dxa"/>
            <w:shd w:val="clear" w:color="auto" w:fill="auto"/>
          </w:tcPr>
          <w:p w14:paraId="60BBC90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w:t>
            </w:r>
            <w:r>
              <w:rPr>
                <w:b/>
                <w:sz w:val="24"/>
                <w:u w:color="000000"/>
                <w:rFonts w:ascii="Times New Roman" w:hAnsi="Times New Roman"/>
              </w:rPr>
              <w:t xml:space="preserve"> </w:t>
            </w:r>
            <w:r>
              <w:rPr>
                <w:b/>
                <w:sz w:val="24"/>
                <w:u w:color="000000"/>
                <w:rFonts w:ascii="Times New Roman" w:hAnsi="Times New Roman"/>
              </w:rPr>
              <w:t xml:space="preserve">La contraparte no es un banco central</w:t>
            </w:r>
          </w:p>
          <w:p w14:paraId="638EC6D4" w14:textId="2C9DE175"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1030</w:t>
            </w:r>
          </w:p>
        </w:tc>
        <w:tc>
          <w:tcPr>
            <w:tcW w:w="6946" w:type="dxa"/>
            <w:shd w:val="clear" w:color="auto" w:fill="auto"/>
          </w:tcPr>
          <w:p w14:paraId="7CA4B3EA" w14:textId="5EC29DB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 Garantías reales de nivel 1 excepto bonos garantizados de calidad sumamente elevada</w:t>
            </w:r>
          </w:p>
          <w:p w14:paraId="1D5B25E4" w14:textId="0E9C752E"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a), del Reglamento Delegado (UE) 2015/61.</w:t>
            </w:r>
          </w:p>
          <w:p w14:paraId="64303B45" w14:textId="22C1182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activos de nivel 1, excepto bonos garantizados de calidad sumamente elevada, y que, de no utilizarse como garantías reales para esas operaciones, podrían ser considerados activos líquidos con arreglo a los artículos 7 y 10, del Reglamento Delegado (UE) 2015/61.</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1035</w:t>
            </w:r>
          </w:p>
        </w:tc>
        <w:tc>
          <w:tcPr>
            <w:tcW w:w="6946" w:type="dxa"/>
            <w:shd w:val="clear" w:color="auto" w:fill="auto"/>
          </w:tcPr>
          <w:p w14:paraId="4679AA9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1.2.2.1.1 De las cuales: las garantías reales aportadas cumplen los requisitos operativos</w:t>
            </w:r>
          </w:p>
          <w:p w14:paraId="441C2C80" w14:textId="22E51456"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Operaciones incluidas en la partida 1.2.2.1 en las que las garantías reales, de no ser utilizadas como garantías reales para esas operaciones, podrían ser consideradas activos líquidos con arreglo al artículo 8 del Reglamento Delegado (UE) 2015/61.</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1040</w:t>
            </w:r>
          </w:p>
        </w:tc>
        <w:tc>
          <w:tcPr>
            <w:tcW w:w="6946" w:type="dxa"/>
            <w:shd w:val="clear" w:color="auto" w:fill="auto"/>
          </w:tcPr>
          <w:p w14:paraId="5CF929C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 Garantías reales de nivel 1 consistentes en bonos garantizados de calidad sumamente elevada</w:t>
            </w:r>
          </w:p>
          <w:p w14:paraId="403E5430" w14:textId="32BFE65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b), del Reglamento Delegado (UE) 2015/61</w:t>
            </w:r>
          </w:p>
          <w:p w14:paraId="0B1DD22B" w14:textId="79696A8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activos de nivel 1 consistentes en bonos garantizados de calidad sumamente elevada, y que, de no utilizarse como garantías reales para esas operaciones, podrían ser considerados activos líquidos con arreglo a los artículos 7 y 10, del Reglamento Delegado (UE) 2015/61.</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1045</w:t>
            </w:r>
          </w:p>
        </w:tc>
        <w:tc>
          <w:tcPr>
            <w:tcW w:w="6946" w:type="dxa"/>
            <w:shd w:val="clear" w:color="auto" w:fill="auto"/>
          </w:tcPr>
          <w:p w14:paraId="30D523C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1.2.2.2.1 De las cuales: las garantías reales aportadas cumplen los requisitos operativos</w:t>
            </w:r>
          </w:p>
          <w:p w14:paraId="790B2DFF" w14:textId="222555E4" w:rsidR="006E48EA" w:rsidRPr="000B6B22" w:rsidRDefault="0065468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Operaciones incluidas en la partida 1.2.2.2 en las que las garantías reales, de no ser utilizadas como garantías reales para esas operaciones, podrían ser consideradas activos líquidos con arreglo al artículo 8 del Reglamento Delegado (UE) 2015/61.</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1050</w:t>
            </w:r>
          </w:p>
        </w:tc>
        <w:tc>
          <w:tcPr>
            <w:tcW w:w="6946" w:type="dxa"/>
            <w:shd w:val="clear" w:color="auto" w:fill="auto"/>
          </w:tcPr>
          <w:p w14:paraId="783484E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 Garantías reales de nivel 2A</w:t>
            </w:r>
          </w:p>
          <w:p w14:paraId="360D55B0" w14:textId="3B4637F2"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c), del Reglamento Delegado (UE) 2015/61</w:t>
            </w:r>
          </w:p>
          <w:p w14:paraId="7C83C832" w14:textId="0FDD1E1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garantías reales de nivel 2A,</w:t>
            </w:r>
            <w:r>
              <w:rPr>
                <w:sz w:val="24"/>
                <w:rFonts w:ascii="Times New Roman" w:hAnsi="Times New Roman"/>
              </w:rPr>
              <w:t xml:space="preserve"> </w:t>
            </w:r>
            <w:r>
              <w:rPr>
                <w:sz w:val="24"/>
                <w:rFonts w:ascii="Times New Roman" w:hAnsi="Times New Roman"/>
              </w:rPr>
              <w:t xml:space="preserve">y que, de no ser utilizadas como garantías reales para esas operaciones, podrían ser consideradas activos líquidos con arreglo a los artículos 7 y 11, del Reglamento Delegado (UE) 2015/61.</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1055</w:t>
            </w:r>
          </w:p>
        </w:tc>
        <w:tc>
          <w:tcPr>
            <w:tcW w:w="6946" w:type="dxa"/>
            <w:shd w:val="clear" w:color="auto" w:fill="auto"/>
          </w:tcPr>
          <w:p w14:paraId="0067096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1.2.2.3.1 De las cuales: las garantías reales aportadas cumplen los requisitos operativos</w:t>
            </w:r>
          </w:p>
          <w:p w14:paraId="64F48A92" w14:textId="7006E67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Operaciones incluidas en la partida 1.2.2.3 en las que las garantías reales, de no ser utilizadas como garantías reales para esas operaciones, podrían ser consideradas activos líquidos con arreglo al artículo 8 del Reglamento Delegado (UE) 2015/61.</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1.2.2.4. Garantías reales de nivel 2B consistentes en bonos de titulización de activos (residenciales o automóviles,</w:t>
            </w:r>
            <w:r>
              <w:rPr>
                <w:b/>
                <w:sz w:val="24"/>
                <w:rFonts w:ascii="Times New Roman" w:hAnsi="Times New Roman"/>
              </w:rPr>
              <w:t xml:space="preserve"> </w:t>
            </w:r>
            <w:r>
              <w:rPr>
                <w:b/>
                <w:sz w:val="24"/>
                <w:u w:color="000000"/>
                <w:rFonts w:ascii="Times New Roman" w:hAnsi="Times New Roman"/>
              </w:rPr>
              <w:t xml:space="preserve">nivel de calidad crediticia 1)</w:t>
            </w:r>
          </w:p>
          <w:p w14:paraId="6BE7989B" w14:textId="278D8E23"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d), del Reglamento Delegado (UE) 2015/61</w:t>
            </w:r>
          </w:p>
          <w:p w14:paraId="730DE7AE" w14:textId="5936850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no sea un banco central y las garantías reales aportadas sean bonos de titulización de activos de nivel 2B respaldados por inmuebles residenciales o automóviles, a los que se atribuya un nivel de calidad crediticia 1 y que cumplan las condiciones establecidas en el artículo 13, apartado 2, letra g), incisos i), ii) o iv), y que, de no utilizarse como garantías reales para esas operaciones, podrían ser considerados activos líquidos con arreglo a los artículos 7 y 13 del Reglamento Delegado (UE) 2015/61.</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1065</w:t>
            </w:r>
          </w:p>
        </w:tc>
        <w:tc>
          <w:tcPr>
            <w:tcW w:w="6946" w:type="dxa"/>
            <w:shd w:val="clear" w:color="auto" w:fill="auto"/>
          </w:tcPr>
          <w:p w14:paraId="1141CEC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1.2.2.4.1 De las cuales: las garantías reales aportadas cumplen los requisitos operativos</w:t>
            </w:r>
          </w:p>
          <w:p w14:paraId="32207424" w14:textId="55271E6A"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Operaciones incluidas en la partida 1.2.2.4 en las que las garantías reales, de no ser utilizadas como garantías reales para esas operaciones, podrían ser consideradas activos líquidos con arreglo al artículo 8 del Reglamento Delegado (UE) 2015/61.</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1070</w:t>
            </w:r>
          </w:p>
        </w:tc>
        <w:tc>
          <w:tcPr>
            <w:tcW w:w="6946" w:type="dxa"/>
            <w:shd w:val="clear" w:color="auto" w:fill="auto"/>
          </w:tcPr>
          <w:p w14:paraId="4772D73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 Bonos garantizados de nivel 2B</w:t>
            </w:r>
          </w:p>
          <w:p w14:paraId="077A77EB" w14:textId="587FB44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e), del </w:t>
            </w:r>
            <w:r>
              <w:rPr>
                <w:sz w:val="24"/>
                <w:rFonts w:ascii="Times New Roman" w:hAnsi="Times New Roman"/>
              </w:rPr>
              <w:t xml:space="preserve">Reglamento Delegado (UE) 2015/61</w:t>
            </w:r>
          </w:p>
          <w:p w14:paraId="27D88416" w14:textId="19D824D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bonos garantizados de calidad elevada de nivel 2B que cumplan las condiciones establecidas en el artículo 12, apartado 1, letra e), y que, de no utilizarse como garantías reales para esas operaciones, podrían ser considerados activos líquidos con arreglo a los artículos 7 y 12 del Reglamento Delegado (UE) 2015/61.</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1075</w:t>
            </w:r>
          </w:p>
        </w:tc>
        <w:tc>
          <w:tcPr>
            <w:tcW w:w="6946" w:type="dxa"/>
            <w:shd w:val="clear" w:color="auto" w:fill="auto"/>
          </w:tcPr>
          <w:p w14:paraId="34DB03BC"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1.2.2.5.1 De los cuales: las garantías reales aportadas cumplen los requisitos operativos</w:t>
            </w:r>
          </w:p>
          <w:p w14:paraId="7BEA51D3" w14:textId="70528F8E"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Operaciones incluidas en la partida 1.2.2.5 en las que las garantías reales, de no ser utilizadas como garantías reales para esas operaciones, podrían ser consideradas activos líquidos con arreglo al artículo 8 del Reglamento Delegado (UE) 2015/61.</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u w:color="000000"/>
                <w:rFonts w:ascii="Times New Roman" w:hAnsi="Times New Roman"/>
              </w:rPr>
              <w:t xml:space="preserve">1.2.2.6. Garantías reales de nivel 2B consistentes en bonos de titulización de activos (comerciales o particulares, </w:t>
            </w:r>
            <w:r>
              <w:rPr>
                <w:b/>
                <w:sz w:val="24"/>
                <w:rFonts w:ascii="Times New Roman" w:hAnsi="Times New Roman"/>
              </w:rPr>
              <w:t xml:space="preserve"> </w:t>
            </w:r>
            <w:r>
              <w:rPr>
                <w:b/>
                <w:sz w:val="24"/>
                <w:u w:color="000000"/>
                <w:rFonts w:ascii="Times New Roman" w:hAnsi="Times New Roman"/>
              </w:rPr>
              <w:t xml:space="preserve">Estados miembros, nivel de calidad crediticia 1)</w:t>
            </w:r>
          </w:p>
          <w:p w14:paraId="1264B3D0" w14:textId="5E161C9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f), del Reglamento Delegado (UE) 2015/61</w:t>
            </w:r>
          </w:p>
          <w:p w14:paraId="55F360E9" w14:textId="1B9AED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no sea un banco central y las garantías reales aportadas sean bonos de titulización de activos de nivel 2B respaldados por préstamos comerciales, arrendamientos financieros y líneas de crédito a empresas o préstamos y líneas de crédito a particulares, a los que se atribuya un nivel de calidad crediticia 1 y que cumplan las condiciones establecidas en el artículo 13, apartado 2, letra f), incisos iii) o v), y que, de no utilizarse como garantías reales para esas operaciones, podrían ser considerados activos líquidos con arreglo a los artículos 7 y 13 del Reglamento Delegado (UE) 2015/61.</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1085</w:t>
            </w:r>
          </w:p>
        </w:tc>
        <w:tc>
          <w:tcPr>
            <w:tcW w:w="6946" w:type="dxa"/>
            <w:shd w:val="clear" w:color="auto" w:fill="auto"/>
          </w:tcPr>
          <w:p w14:paraId="71B88F25" w14:textId="168C884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1.2.2.6.1 De las cuales: las garantías reales aportadas cumplen los requisitos operativos</w:t>
            </w:r>
          </w:p>
          <w:p w14:paraId="6B6A2F6E" w14:textId="5593925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Operaciones incluidas en la partida 1.2.2.6 en las que las garantías reales, de no ser utilizadas como garantías reales para esas operaciones, podrían ser consideradas activos líquidos con arreglo al artículo 8 del Reglamento Delegado (UE) 2015/61.</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1090</w:t>
            </w:r>
          </w:p>
        </w:tc>
        <w:tc>
          <w:tcPr>
            <w:tcW w:w="6946" w:type="dxa"/>
            <w:shd w:val="clear" w:color="auto" w:fill="auto"/>
          </w:tcPr>
          <w:p w14:paraId="30311AA6" w14:textId="3599DB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 Garantías reales de nivel 2B consistentes en otros activos</w:t>
            </w:r>
          </w:p>
          <w:p w14:paraId="0AC6EB49" w14:textId="5647AC00"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g), del Reglamento Delegado (UE) 2015/61</w:t>
            </w:r>
          </w:p>
          <w:p w14:paraId="1E7A41DA" w14:textId="72A0CE6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no sea un banco central y las garantías reales aportadas sean garantías de nivel 2B incluidas en las partidas anteriores y que, de no utilizarse como garantías reales para esas operaciones, podrían ser considerados activos líquidos con arreglo a los artículos 7 y 12, del Reglamento Delegado (UE) 2015/61.</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1095</w:t>
            </w:r>
          </w:p>
        </w:tc>
        <w:tc>
          <w:tcPr>
            <w:tcW w:w="6946" w:type="dxa"/>
            <w:shd w:val="clear" w:color="auto" w:fill="auto"/>
          </w:tcPr>
          <w:p w14:paraId="44A09898" w14:textId="53060AC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1.2.2.7.1 De las cuales: las garantías reales aportadas cumplen los requisitos operativos</w:t>
            </w:r>
          </w:p>
          <w:p w14:paraId="1DBF88E5" w14:textId="1A651577"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Operaciones incluidas en la partida 1.2.2.7 en las que las garantías reales, de no ser utilizadas como garantías reales para esas operaciones, podrían ser consideradas activos líquidos con arreglo al artículo 8 del Reglamento Delegado (UE) 2015/61.</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1100</w:t>
            </w:r>
          </w:p>
        </w:tc>
        <w:tc>
          <w:tcPr>
            <w:tcW w:w="6946" w:type="dxa"/>
            <w:shd w:val="clear" w:color="auto" w:fill="auto"/>
          </w:tcPr>
          <w:p w14:paraId="0046FCC0" w14:textId="13F3CC6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1.2.2.8. Garantías reales consistentes en activos no líquidos</w:t>
            </w:r>
          </w:p>
          <w:p w14:paraId="46264542" w14:textId="054D53E6"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Artículo 28, apartado 3, letra h), del Reglamento Delegado (UE) 2015/61</w:t>
            </w:r>
          </w:p>
          <w:p w14:paraId="2462A39D" w14:textId="0CAD3356"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aportadas sean garantías reales consistentes en activos no líquidos.</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1130</w:t>
            </w:r>
          </w:p>
        </w:tc>
        <w:tc>
          <w:tcPr>
            <w:tcW w:w="6946" w:type="dxa"/>
            <w:shd w:val="clear" w:color="auto" w:fill="auto"/>
          </w:tcPr>
          <w:p w14:paraId="7B9C902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1.3.</w:t>
            </w:r>
            <w:r>
              <w:rPr>
                <w:b/>
                <w:sz w:val="24"/>
                <w:u w:color="000000"/>
                <w:rFonts w:ascii="Times New Roman" w:hAnsi="Times New Roman"/>
              </w:rPr>
              <w:t xml:space="preserve"> </w:t>
            </w:r>
            <w:r>
              <w:rPr>
                <w:b/>
                <w:sz w:val="24"/>
                <w:u w:color="000000"/>
                <w:rFonts w:ascii="Times New Roman" w:hAnsi="Times New Roman"/>
              </w:rPr>
              <w:t xml:space="preserve">Total de salidas derivadas de permutas de garantías reales</w:t>
            </w:r>
          </w:p>
          <w:p w14:paraId="3323311D" w14:textId="5D396A5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En la columna 0060 se consignará la suma de las salidas de la columna 0070 recogida en la plantilla C75.01 del anexo XXIV.</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PRO MEMORIA</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sz w:val="24"/>
                <w:rFonts w:ascii="Times New Roman" w:eastAsia="Calibri" w:hAnsi="Times New Roman"/>
              </w:rPr>
            </w:pPr>
            <w:r>
              <w:rPr>
                <w:sz w:val="24"/>
                <w:rFonts w:ascii="Times New Roman" w:hAnsi="Times New Roman"/>
              </w:rPr>
              <w:t xml:space="preserve">1170</w:t>
            </w:r>
          </w:p>
        </w:tc>
        <w:tc>
          <w:tcPr>
            <w:tcW w:w="6946" w:type="dxa"/>
            <w:shd w:val="clear" w:color="auto" w:fill="auto"/>
          </w:tcPr>
          <w:p w14:paraId="55149221" w14:textId="714EBF1E" w:rsidR="00735E44" w:rsidRPr="000B6B22" w:rsidRDefault="00242C3F"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2.</w:t>
            </w:r>
            <w:r>
              <w:rPr>
                <w:b/>
                <w:sz w:val="24"/>
                <w:u w:color="000000"/>
                <w:rFonts w:ascii="Times New Roman" w:hAnsi="Times New Roman"/>
              </w:rPr>
              <w:t xml:space="preserve"> </w:t>
            </w:r>
            <w:r>
              <w:rPr>
                <w:b/>
                <w:sz w:val="24"/>
                <w:u w:color="000000"/>
                <w:rFonts w:ascii="Times New Roman" w:hAnsi="Times New Roman"/>
              </w:rPr>
              <w:t xml:space="preserve">Salidas de liquidez a compensar con entradas interdependientes</w:t>
            </w:r>
          </w:p>
          <w:p w14:paraId="57036C1A" w14:textId="3FDF033F" w:rsidR="00735E44" w:rsidRPr="000B6B22" w:rsidRDefault="00735E44">
            <w:pPr>
              <w:pStyle w:val="TableParagraph"/>
              <w:spacing w:after="120"/>
              <w:jc w:val="both"/>
              <w:rPr>
                <w:sz w:val="24"/>
                <w:szCs w:val="24"/>
                <w:u w:color="000000"/>
                <w:rFonts w:ascii="Times New Roman" w:hAnsi="Times New Roman"/>
              </w:rPr>
            </w:pPr>
            <w:r>
              <w:rPr>
                <w:sz w:val="24"/>
                <w:rFonts w:ascii="Times New Roman" w:hAnsi="Times New Roman"/>
              </w:rPr>
              <w:t xml:space="preserve">Artículo 26 del Reglamento Delegado (UE) 2015/61</w:t>
            </w:r>
          </w:p>
          <w:p w14:paraId="1C26E7C2" w14:textId="7EB25EA7" w:rsidR="00735E44" w:rsidRPr="000B6B22" w:rsidRDefault="00735E44">
            <w:pPr>
              <w:pStyle w:val="TableParagraph"/>
              <w:spacing w:after="120"/>
              <w:jc w:val="both"/>
              <w:rPr>
                <w:sz w:val="24"/>
                <w:szCs w:val="24"/>
                <w:rFonts w:ascii="Times New Roman" w:hAnsi="Times New Roman"/>
              </w:rPr>
            </w:pPr>
            <w:r>
              <w:rPr>
                <w:sz w:val="24"/>
                <w:rFonts w:ascii="Times New Roman" w:hAnsi="Times New Roman"/>
              </w:rPr>
              <w:t xml:space="preserve">Las entidades de crédito comunicarán en la columna 0010 el saldo vivo de todos los pasivos y compromisos fuera de balance cuyas salidas de liquidez se hayan compensado con las entradas interdependientes, de conformidad con el artículo 26 del Reglamento Delegado (UE) 2015/61.</w:t>
            </w:r>
          </w:p>
          <w:p w14:paraId="4F2F6173" w14:textId="1BE629F3" w:rsidR="002B1E5D" w:rsidRPr="000B6B22" w:rsidRDefault="002B1E5D">
            <w:pPr>
              <w:pStyle w:val="TableParagraph"/>
              <w:spacing w:after="120"/>
              <w:jc w:val="both"/>
              <w:rPr>
                <w:sz w:val="24"/>
                <w:szCs w:val="24"/>
                <w:rFonts w:ascii="Times New Roman" w:eastAsia="Times New Roman" w:hAnsi="Times New Roman"/>
              </w:rPr>
            </w:pPr>
            <w:r>
              <w:rPr>
                <w:sz w:val="24"/>
                <w:rFonts w:ascii="Times New Roman" w:hAnsi="Times New Roman"/>
              </w:rPr>
              <w:t xml:space="preserve">Las entidades de crédito comunicarán en la columna 0060 las salidas se hayan compensado con las entradas interdependientes con arreglo al artículo 26 del Reglamento Delegado (UE)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Depósitos operativos mantenidos con fines de compensación, custodia, gestión de efectivo u otros servicios comparables en el </w:t>
            </w:r>
            <w:r>
              <w:rPr>
                <w:b/>
                <w:sz w:val="24"/>
                <w:u w:color="000000"/>
                <w:rFonts w:ascii="Times New Roman" w:hAnsi="Times New Roman"/>
              </w:rPr>
              <w:t xml:space="preserve">contexto de una relación operativa asentada</w:t>
            </w:r>
          </w:p>
          <w:p w14:paraId="3D8EC3E4"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Las entidades de crédito informarán aquí sobre los depósitos operativos recogidos en la partida</w:t>
            </w:r>
          </w:p>
          <w:p w14:paraId="2F1A52B3" w14:textId="698C5523" w:rsidR="006E48EA" w:rsidRPr="000B6B22" w:rsidRDefault="006E48EA" w:rsidP="009D4EFF">
            <w:pPr>
              <w:widowControl w:val="0"/>
              <w:tabs>
                <w:tab w:val="left" w:pos="820"/>
              </w:tabs>
              <w:spacing w:before="0"/>
              <w:rPr>
                <w:sz w:val="24"/>
                <w:rFonts w:ascii="Times New Roman" w:hAnsi="Times New Roman"/>
              </w:rPr>
            </w:pPr>
            <w:r>
              <w:rPr>
                <w:sz w:val="24"/>
                <w:rFonts w:ascii="Times New Roman" w:hAnsi="Times New Roman"/>
              </w:rPr>
              <w:t xml:space="preserve">1.1.2.1., desglosados en función de las siguientes contrapartes:</w:t>
            </w:r>
          </w:p>
          <w:p w14:paraId="1FE35B38"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entidades de crédito;</w:t>
            </w:r>
          </w:p>
          <w:p w14:paraId="702F440A"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clientes financieros distintos de entidades de crédito;</w:t>
            </w:r>
          </w:p>
          <w:p w14:paraId="60522586" w14:textId="77777777" w:rsidR="006E48EA" w:rsidRPr="000B6B22" w:rsidRDefault="006E48EA" w:rsidP="009D4EFF">
            <w:pPr>
              <w:widowControl w:val="0"/>
              <w:tabs>
                <w:tab w:val="left" w:pos="823"/>
              </w:tabs>
              <w:spacing w:before="0"/>
              <w:ind w:left="822" w:right="99"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emisores soberanos, bancos centrales, bancos multilaterales de desarrollo y entes del sector público;</w:t>
            </w:r>
          </w:p>
          <w:p w14:paraId="4A76631D"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otros clientes.</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1180</w:t>
            </w:r>
          </w:p>
        </w:tc>
        <w:tc>
          <w:tcPr>
            <w:tcW w:w="6946" w:type="dxa"/>
            <w:shd w:val="clear" w:color="auto" w:fill="auto"/>
          </w:tcPr>
          <w:p w14:paraId="74AF2EFD" w14:textId="248CEC3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3.1. Constituidos por entidades de crédito</w:t>
            </w:r>
          </w:p>
          <w:p w14:paraId="4EFB73CC"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depósitos operativos recogidos en la partida 1.1.2.1. que hayan sido constituidos por entidades de crédito.</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1190</w:t>
            </w:r>
          </w:p>
        </w:tc>
        <w:tc>
          <w:tcPr>
            <w:tcW w:w="6946" w:type="dxa"/>
            <w:shd w:val="clear" w:color="auto" w:fill="auto"/>
          </w:tcPr>
          <w:p w14:paraId="7802669F" w14:textId="4D4F26D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3.2. Constituidos por clientes financieros distintos de entidades de crédito</w:t>
            </w:r>
          </w:p>
          <w:p w14:paraId="04EFB6B1"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depósitos operativos recogidos en la partida 1.1.2.1 que hayan sido constituidos por clientes financieros distintos de entidades de crédito.</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1200</w:t>
            </w:r>
          </w:p>
        </w:tc>
        <w:tc>
          <w:tcPr>
            <w:tcW w:w="6946" w:type="dxa"/>
            <w:shd w:val="clear" w:color="auto" w:fill="auto"/>
          </w:tcPr>
          <w:p w14:paraId="52E6142F" w14:textId="7091E1A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3.3 Constituidos por emisores soberanos, bancos centrales, bancos multilaterales de desarrollo y entes del sector público</w:t>
            </w:r>
          </w:p>
          <w:p w14:paraId="4408C5D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depósitos operativos recogidos en la partida 1.1.2.1 que hayan sido constituidos por emisores soberanos, bancos centrales, bancos multilaterales de desarrollo y entes del sector público.</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1210</w:t>
            </w:r>
          </w:p>
        </w:tc>
        <w:tc>
          <w:tcPr>
            <w:tcW w:w="6946" w:type="dxa"/>
            <w:shd w:val="clear" w:color="auto" w:fill="auto"/>
          </w:tcPr>
          <w:p w14:paraId="3266EAF6" w14:textId="278B359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3.4. Constituidos por otros clientes</w:t>
            </w:r>
          </w:p>
          <w:p w14:paraId="7D57608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depósitos operativos recogidos en la partida 1.1.2.1. que hayan sido constituidos por otros clientes (distintos de los mencionados anteriormente y los clientes considerados a efectos de los depósitos minoristas).</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w:t>
            </w:r>
            <w:r>
              <w:rPr>
                <w:b/>
                <w:sz w:val="24"/>
                <w:u w:color="000000"/>
                <w:rFonts w:ascii="Times New Roman" w:hAnsi="Times New Roman"/>
              </w:rPr>
              <w:t xml:space="preserve"> </w:t>
            </w:r>
            <w:r>
              <w:rPr>
                <w:b/>
                <w:sz w:val="24"/>
                <w:u w:color="000000"/>
                <w:rFonts w:ascii="Times New Roman" w:hAnsi="Times New Roman"/>
              </w:rPr>
              <w:t xml:space="preserve">Salidas intragrupo o dentro de un sistema institucional de protección</w:t>
            </w:r>
          </w:p>
          <w:p w14:paraId="6D9D2FB7"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Las entidades de crédito comunicarán aquí todas las operaciones comunicadas en la partida 1 en las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del Reglamento (UE) n.º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1290</w:t>
            </w:r>
          </w:p>
        </w:tc>
        <w:tc>
          <w:tcPr>
            <w:tcW w:w="6946" w:type="dxa"/>
            <w:shd w:val="clear" w:color="auto" w:fill="auto"/>
          </w:tcPr>
          <w:p w14:paraId="3E073B81" w14:textId="384FBFD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4.1. De las cuales:</w:t>
            </w:r>
            <w:r>
              <w:rPr>
                <w:b/>
                <w:sz w:val="24"/>
                <w:u w:color="000000"/>
                <w:rFonts w:ascii="Times New Roman" w:hAnsi="Times New Roman"/>
              </w:rPr>
              <w:t xml:space="preserve"> </w:t>
            </w:r>
            <w:r>
              <w:rPr>
                <w:b/>
                <w:sz w:val="24"/>
                <w:u w:color="000000"/>
                <w:rFonts w:ascii="Times New Roman" w:hAnsi="Times New Roman"/>
              </w:rPr>
              <w:t xml:space="preserve">a clientes financieros</w:t>
            </w:r>
          </w:p>
          <w:p w14:paraId="4AE8FF92" w14:textId="61D65318" w:rsidR="006E48EA" w:rsidRPr="000B6B22" w:rsidRDefault="006E48EA" w:rsidP="009D4EFF">
            <w:pPr>
              <w:pStyle w:val="TableParagraph"/>
              <w:tabs>
                <w:tab w:val="left" w:pos="3147"/>
              </w:tabs>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el importe total consignado en 1.1. que se destine a clientes financieros en el ámbito de la partida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1300</w:t>
            </w:r>
          </w:p>
        </w:tc>
        <w:tc>
          <w:tcPr>
            <w:tcW w:w="6946" w:type="dxa"/>
            <w:shd w:val="clear" w:color="auto" w:fill="auto"/>
          </w:tcPr>
          <w:p w14:paraId="78E2E1F8" w14:textId="763EA1C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4.2. De las cuales:</w:t>
            </w:r>
            <w:r>
              <w:rPr>
                <w:b/>
                <w:sz w:val="24"/>
                <w:u w:color="000000"/>
                <w:rFonts w:ascii="Times New Roman" w:hAnsi="Times New Roman"/>
              </w:rPr>
              <w:t xml:space="preserve"> </w:t>
            </w:r>
            <w:r>
              <w:rPr>
                <w:b/>
                <w:sz w:val="24"/>
                <w:u w:color="000000"/>
                <w:rFonts w:ascii="Times New Roman" w:hAnsi="Times New Roman"/>
              </w:rPr>
              <w:t xml:space="preserve">a clientes no financieros</w:t>
            </w:r>
          </w:p>
          <w:p w14:paraId="36DE8B04" w14:textId="5BD2066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Las entidades de crédito comunicarán el importe total consignado en 1.1. que se destine a clientes no financieros en el ámbito de la partida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1310</w:t>
            </w:r>
          </w:p>
        </w:tc>
        <w:tc>
          <w:tcPr>
            <w:tcW w:w="6946" w:type="dxa"/>
            <w:shd w:val="clear" w:color="auto" w:fill="auto"/>
          </w:tcPr>
          <w:p w14:paraId="7E553520" w14:textId="234C3120"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4.3. De las cuales:</w:t>
            </w:r>
            <w:r>
              <w:rPr>
                <w:b/>
                <w:sz w:val="24"/>
                <w:u w:color="000000"/>
                <w:rFonts w:ascii="Times New Roman" w:hAnsi="Times New Roman"/>
              </w:rPr>
              <w:t xml:space="preserve"> </w:t>
            </w:r>
            <w:r>
              <w:rPr>
                <w:b/>
                <w:sz w:val="24"/>
                <w:u w:color="000000"/>
                <w:rFonts w:ascii="Times New Roman" w:hAnsi="Times New Roman"/>
              </w:rPr>
              <w:t xml:space="preserve">garantizadas</w:t>
            </w:r>
          </w:p>
          <w:p w14:paraId="398D8A2C" w14:textId="3D0569B3"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el importe total de las operaciones garantizadas consignadas en la partida 1.2. que entre en el ámbito de la partida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1320</w:t>
            </w:r>
          </w:p>
        </w:tc>
        <w:tc>
          <w:tcPr>
            <w:tcW w:w="6946" w:type="dxa"/>
            <w:shd w:val="clear" w:color="auto" w:fill="auto"/>
          </w:tcPr>
          <w:p w14:paraId="7704B6BD" w14:textId="13B4C00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4.4. De las cuales:</w:t>
            </w:r>
            <w:r>
              <w:rPr>
                <w:b/>
                <w:sz w:val="24"/>
                <w:u w:color="000000"/>
                <w:rFonts w:ascii="Times New Roman" w:hAnsi="Times New Roman"/>
              </w:rPr>
              <w:t xml:space="preserve"> </w:t>
            </w:r>
            <w:r>
              <w:rPr>
                <w:b/>
                <w:sz w:val="24"/>
                <w:u w:color="000000"/>
                <w:rFonts w:ascii="Times New Roman" w:hAnsi="Times New Roman"/>
              </w:rPr>
              <w:t xml:space="preserve">líneas de crédito sin trato preferencial</w:t>
            </w:r>
          </w:p>
          <w:p w14:paraId="4EE148E6" w14:textId="20C70C76"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crédito comprometidas y no utilizadas comunicadas en la partida 1.1.6.1., que se hayan otorgado a empresas en el ámbito de la partida 4 y a las que no estén autorizadas a aplicar un índice de salida inferior de conformidad con el artículo 29 del Reglamento Delegado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1330</w:t>
            </w:r>
          </w:p>
        </w:tc>
        <w:tc>
          <w:tcPr>
            <w:tcW w:w="6946" w:type="dxa"/>
            <w:shd w:val="clear" w:color="auto" w:fill="auto"/>
          </w:tcPr>
          <w:p w14:paraId="7469FE88" w14:textId="4DB234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4.5. De las cuales:</w:t>
            </w:r>
            <w:r>
              <w:rPr>
                <w:b/>
                <w:sz w:val="24"/>
                <w:u w:color="000000"/>
                <w:rFonts w:ascii="Times New Roman" w:hAnsi="Times New Roman"/>
              </w:rPr>
              <w:t xml:space="preserve"> </w:t>
            </w:r>
            <w:r>
              <w:rPr>
                <w:b/>
                <w:sz w:val="24"/>
                <w:u w:color="000000"/>
                <w:rFonts w:ascii="Times New Roman" w:hAnsi="Times New Roman"/>
              </w:rPr>
              <w:t xml:space="preserve">líneas de liquidez sin trato preferencial</w:t>
            </w:r>
          </w:p>
          <w:p w14:paraId="15A7EF24" w14:textId="593EB345"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Las entidades de crédito comunicarán el importe máximo que pueda utilizarse de las líneas de liquidez comprometidas y no utilizadas comunicadas en la partida 1.1.6.2., que se hayan otorgado a empresas en el ámbito de la partida 4 y a las que no estén autorizadas a aplicar un índice de salida inferior de conformidad con el artículo 29 del Reglamento Delegado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1340</w:t>
            </w:r>
          </w:p>
        </w:tc>
        <w:tc>
          <w:tcPr>
            <w:tcW w:w="6946" w:type="dxa"/>
            <w:shd w:val="clear" w:color="auto" w:fill="auto"/>
          </w:tcPr>
          <w:p w14:paraId="574C61C7" w14:textId="060B422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4.6. De las cuales:</w:t>
            </w:r>
            <w:r>
              <w:rPr>
                <w:b/>
                <w:sz w:val="24"/>
                <w:u w:color="000000"/>
                <w:rFonts w:ascii="Times New Roman" w:hAnsi="Times New Roman"/>
              </w:rPr>
              <w:t xml:space="preserve"> </w:t>
            </w:r>
            <w:r>
              <w:rPr>
                <w:b/>
                <w:sz w:val="24"/>
                <w:u w:color="000000"/>
                <w:rFonts w:ascii="Times New Roman" w:hAnsi="Times New Roman"/>
              </w:rPr>
              <w:t xml:space="preserve">depósitos operativos</w:t>
            </w:r>
          </w:p>
          <w:p w14:paraId="1FBD6BD9" w14:textId="78F622EA"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Las entidades de crédito comunicarán el importe de los depósitos consignados en la partida 1.1.2 realizados en empresas en el ámbito de la partida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1345</w:t>
            </w:r>
          </w:p>
        </w:tc>
        <w:tc>
          <w:tcPr>
            <w:tcW w:w="6946" w:type="dxa"/>
            <w:shd w:val="clear" w:color="auto" w:fill="auto"/>
          </w:tcPr>
          <w:p w14:paraId="15178648" w14:textId="06C41C49" w:rsidR="006E48EA" w:rsidRPr="000B6B22" w:rsidRDefault="006E48EA" w:rsidP="009D4EFF">
            <w:pPr>
              <w:pStyle w:val="TableParagraph"/>
              <w:spacing w:after="120"/>
              <w:jc w:val="both"/>
              <w:rPr>
                <w:sz w:val="24"/>
                <w:szCs w:val="24"/>
                <w:rFonts w:ascii="Times New Roman" w:eastAsia="Verdana" w:hAnsi="Times New Roman"/>
              </w:rPr>
            </w:pPr>
            <w:r>
              <w:rPr>
                <w:sz w:val="24"/>
                <w:b/>
                <w:u w:color="000000"/>
                <w:rFonts w:ascii="Times New Roman" w:hAnsi="Times New Roman"/>
              </w:rPr>
              <w:t xml:space="preserve">4.7. De las cuales:</w:t>
            </w:r>
            <w:r>
              <w:rPr>
                <w:sz w:val="24"/>
                <w:b/>
                <w:u w:color="000000"/>
                <w:rFonts w:ascii="Times New Roman" w:hAnsi="Times New Roman"/>
              </w:rPr>
              <w:t xml:space="preserve"> </w:t>
            </w:r>
            <w:r>
              <w:rPr>
                <w:sz w:val="24"/>
                <w:b/>
                <w:u w:color="000000"/>
                <w:rFonts w:ascii="Times New Roman" w:hAnsi="Times New Roman"/>
              </w:rPr>
              <w:t xml:space="preserve">depósitos operativos excedentarios</w:t>
            </w:r>
            <w:r>
              <w:rPr>
                <w:sz w:val="24"/>
                <w:rFonts w:ascii="Times New Roman" w:hAnsi="Times New Roman"/>
              </w:rPr>
              <w:t xml:space="preserve"> Las entidades de crédito comunicarán el importe del excedente de depósitos operativos mantenidos consignados en la partida 1.1.3 y realizados en empresas en el ámbito de la partida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1350</w:t>
            </w:r>
          </w:p>
        </w:tc>
        <w:tc>
          <w:tcPr>
            <w:tcW w:w="6946" w:type="dxa"/>
            <w:shd w:val="clear" w:color="auto" w:fill="auto"/>
          </w:tcPr>
          <w:p w14:paraId="6032D3A8" w14:textId="2C7DD22B" w:rsidR="006E48EA" w:rsidRPr="000B6B22" w:rsidRDefault="006E48EA">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4.8. De las cuales:</w:t>
            </w:r>
            <w:r>
              <w:rPr>
                <w:b/>
                <w:sz w:val="24"/>
                <w:u w:color="000000"/>
                <w:rFonts w:ascii="Times New Roman" w:hAnsi="Times New Roman"/>
              </w:rPr>
              <w:t xml:space="preserve"> </w:t>
            </w:r>
            <w:r>
              <w:rPr>
                <w:b/>
                <w:sz w:val="24"/>
                <w:u w:color="000000"/>
                <w:rFonts w:ascii="Times New Roman" w:hAnsi="Times New Roman"/>
              </w:rPr>
              <w:t xml:space="preserve">depósitos no operativos</w:t>
            </w:r>
          </w:p>
          <w:p w14:paraId="18EEC5C6" w14:textId="72087133"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depósitos consignados en la partida 1.1.4. realizados por empresas en el ámbito de la partida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4.9. De las cuales:</w:t>
            </w:r>
            <w:r>
              <w:rPr>
                <w:b/>
                <w:sz w:val="24"/>
                <w:u w:color="000000"/>
                <w:rFonts w:ascii="Times New Roman" w:hAnsi="Times New Roman"/>
              </w:rPr>
              <w:t xml:space="preserve"> </w:t>
            </w:r>
            <w:r>
              <w:rPr>
                <w:b/>
                <w:sz w:val="24"/>
                <w:u w:color="000000"/>
                <w:rFonts w:ascii="Times New Roman" w:hAnsi="Times New Roman"/>
              </w:rPr>
              <w:t xml:space="preserve">pasivos en forma de valores representativos de deuda si no se tratan como depósitos</w:t>
            </w:r>
            <w:r>
              <w:rPr>
                <w:b/>
                <w:sz w:val="24"/>
                <w:rFonts w:ascii="Times New Roman" w:hAnsi="Times New Roman"/>
              </w:rPr>
              <w:t xml:space="preserve"> </w:t>
            </w:r>
            <w:r>
              <w:rPr>
                <w:b/>
                <w:sz w:val="24"/>
                <w:u w:color="000000"/>
                <w:rFonts w:ascii="Times New Roman" w:hAnsi="Times New Roman"/>
              </w:rPr>
              <w:t xml:space="preserve">minoristas</w:t>
            </w:r>
          </w:p>
          <w:p w14:paraId="701DA44B" w14:textId="2594625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Las entidades de crédito comunicarán el importe del saldo vivo de los valores representativos de deuda consignados en la partida 1.1.8.2. que mantengan empresas en el ámbito de la partida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1370</w:t>
            </w:r>
          </w:p>
        </w:tc>
        <w:tc>
          <w:tcPr>
            <w:tcW w:w="6946" w:type="dxa"/>
            <w:shd w:val="clear" w:color="auto" w:fill="auto"/>
          </w:tcPr>
          <w:p w14:paraId="123D9B28" w14:textId="488DC99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5.</w:t>
            </w:r>
            <w:r>
              <w:rPr>
                <w:b/>
                <w:sz w:val="24"/>
                <w:u w:color="000000"/>
                <w:rFonts w:ascii="Times New Roman" w:hAnsi="Times New Roman"/>
              </w:rPr>
              <w:t xml:space="preserve"> </w:t>
            </w:r>
            <w:r>
              <w:rPr>
                <w:b/>
                <w:sz w:val="24"/>
                <w:u w:color="000000"/>
                <w:rFonts w:ascii="Times New Roman" w:hAnsi="Times New Roman"/>
              </w:rPr>
              <w:t xml:space="preserve">Salidas de divisas</w:t>
            </w:r>
          </w:p>
          <w:p w14:paraId="286AEE69"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Esta partida solo se comunicará en caso de que se presente información en divisas en las que deba informarse por separado.</w:t>
            </w:r>
          </w:p>
          <w:p w14:paraId="7118C2D4" w14:textId="1EC60CD8"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En los casos de comunicación de información en una moneda distinta, de conformidad con el artículo 415, apartado 2, del Reglamento (UE) n.º 575/2013, únicamente, las entidades de crédito comunicarán la parte de las salidas relacionadas con derivados (consignadas en 1.1.5.5.) que se refiera a los flujos del principal en divisas en la correspondiente moneda significativa de las permutas de tipos de interés interdivisas y las operaciones en divisas al contado y a plazo con vencimiento en el plazo de 30 días.</w:t>
            </w:r>
            <w:r>
              <w:rPr>
                <w:sz w:val="24"/>
                <w:rFonts w:ascii="Times New Roman" w:hAnsi="Times New Roman"/>
              </w:rPr>
              <w:t xml:space="preserve"> </w:t>
            </w:r>
            <w:r>
              <w:rPr>
                <w:sz w:val="24"/>
                <w:rFonts w:ascii="Times New Roman" w:hAnsi="Times New Roman"/>
              </w:rPr>
              <w:t xml:space="preserve">En relación con una misma contraparte, solo podrán compensarse los flujos en la moneda de que se trate; por ejemplo, Contraparte A:</w:t>
            </w:r>
            <w:r>
              <w:rPr>
                <w:sz w:val="24"/>
                <w:rFonts w:ascii="Times New Roman" w:hAnsi="Times New Roman"/>
              </w:rPr>
              <w:t xml:space="preserve"> </w:t>
            </w:r>
            <w:r>
              <w:rPr>
                <w:sz w:val="24"/>
                <w:rFonts w:ascii="Times New Roman" w:hAnsi="Times New Roman"/>
              </w:rPr>
              <w:t xml:space="preserve">+10 EUR y Contraparte A:</w:t>
            </w:r>
            <w:r>
              <w:rPr>
                <w:sz w:val="24"/>
                <w:rFonts w:ascii="Times New Roman" w:hAnsi="Times New Roman"/>
              </w:rPr>
              <w:t xml:space="preserve"> </w:t>
            </w:r>
            <w:r>
              <w:rPr>
                <w:sz w:val="24"/>
                <w:rFonts w:ascii="Times New Roman" w:hAnsi="Times New Roman"/>
              </w:rPr>
              <w:t xml:space="preserve">-20 EUR se consignarán como una salida de 10 EUR.</w:t>
            </w:r>
            <w:r>
              <w:rPr>
                <w:sz w:val="24"/>
                <w:rFonts w:ascii="Times New Roman" w:hAnsi="Times New Roman"/>
              </w:rPr>
              <w:t xml:space="preserve"> </w:t>
            </w:r>
            <w:r>
              <w:rPr>
                <w:sz w:val="24"/>
                <w:rFonts w:ascii="Times New Roman" w:hAnsi="Times New Roman"/>
              </w:rPr>
              <w:t xml:space="preserve">No se efectuará compensación alguna entre contrapartes; por ejemplo, Contraparte A:</w:t>
            </w:r>
            <w:r>
              <w:rPr>
                <w:sz w:val="24"/>
                <w:rFonts w:ascii="Times New Roman" w:hAnsi="Times New Roman"/>
              </w:rPr>
              <w:t xml:space="preserve"> </w:t>
            </w:r>
            <w:r>
              <w:rPr>
                <w:sz w:val="24"/>
                <w:rFonts w:ascii="Times New Roman" w:hAnsi="Times New Roman"/>
              </w:rPr>
              <w:t xml:space="preserve">-10 EUR y Contraparte B:</w:t>
            </w:r>
            <w:r>
              <w:rPr>
                <w:sz w:val="24"/>
                <w:rFonts w:ascii="Times New Roman" w:hAnsi="Times New Roman"/>
              </w:rPr>
              <w:t xml:space="preserve"> </w:t>
            </w:r>
            <w:r>
              <w:rPr>
                <w:sz w:val="24"/>
                <w:rFonts w:ascii="Times New Roman" w:hAnsi="Times New Roman"/>
              </w:rPr>
              <w:t xml:space="preserve">+40 EUR se consignarán como salida de 10 EUR en C73.00 (y entrada de 40 EUR en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w:t>
            </w:r>
            <w:r>
              <w:rPr>
                <w:b/>
                <w:sz w:val="24"/>
                <w:u w:color="000000"/>
                <w:rFonts w:ascii="Times New Roman" w:hAnsi="Times New Roman"/>
              </w:rPr>
              <w:t xml:space="preserve"> </w:t>
            </w:r>
            <w:r>
              <w:rPr>
                <w:b/>
                <w:sz w:val="24"/>
                <w:u w:color="000000"/>
                <w:rFonts w:ascii="Times New Roman" w:hAnsi="Times New Roman"/>
              </w:rPr>
              <w:t xml:space="preserve">Operaciones de financiación garantizada exentas de la aplicación del artículo 17, apartados 2 y 3</w:t>
            </w:r>
          </w:p>
          <w:p w14:paraId="47E2B0EE" w14:textId="251E5AF7" w:rsidR="006E48EA" w:rsidRPr="000B6B22" w:rsidDel="00CA485C" w:rsidRDefault="006E48EA" w:rsidP="009D4EFF">
            <w:pPr>
              <w:spacing w:before="0"/>
              <w:rPr>
                <w:b/>
                <w:sz w:val="24"/>
                <w:u w:color="000000"/>
                <w:rFonts w:ascii="Times New Roman" w:hAnsi="Times New Roman"/>
              </w:rPr>
            </w:pPr>
            <w:r>
              <w:rPr>
                <w:sz w:val="24"/>
                <w:rFonts w:ascii="Times New Roman" w:hAnsi="Times New Roman"/>
              </w:rPr>
              <w:t xml:space="preserve">Las entidades de crédito comunicarán aquí las operaciones de financiación garantizada con un vencimiento residual no superior a 30 días en las que la contraparte sea un banco central y que estén exentas de la aplicación del artículo 17, apartados 2 y 3, del Reglamento Delegado (UE) 2015/61 en virtud de su artículo 17, apartado 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6.1. De las cuales:</w:t>
            </w:r>
            <w:r>
              <w:rPr>
                <w:b/>
                <w:sz w:val="24"/>
                <w:u w:color="000000"/>
                <w:rFonts w:ascii="Times New Roman" w:hAnsi="Times New Roman"/>
              </w:rPr>
              <w:t xml:space="preserve"> </w:t>
            </w:r>
            <w:r>
              <w:rPr>
                <w:b/>
                <w:sz w:val="24"/>
                <w:u w:color="000000"/>
                <w:rFonts w:ascii="Times New Roman" w:hAnsi="Times New Roman"/>
              </w:rPr>
              <w:t xml:space="preserve">garantizadas por activos de nivel 1, excepto bonos garantizados de calidad sumamente elevada</w:t>
            </w:r>
          </w:p>
          <w:p w14:paraId="4F2890CF" w14:textId="44AD4F45"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Las entidades de crédito comunicarán aquí las operaciones de financiación garantizada que venzan en un plazo de 30 días naturales en las que la contraparte sea un banco central y las garantías aportadas sean garantías reales de nivel 1, excepto bonos garantizados de calidad sumamente elevada,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6.2. De las cuales:</w:t>
            </w:r>
            <w:r>
              <w:rPr>
                <w:b/>
                <w:sz w:val="24"/>
                <w:u w:color="000000"/>
                <w:rFonts w:ascii="Times New Roman" w:hAnsi="Times New Roman"/>
              </w:rPr>
              <w:t xml:space="preserve"> </w:t>
            </w:r>
            <w:r>
              <w:rPr>
                <w:b/>
                <w:sz w:val="24"/>
                <w:u w:color="000000"/>
                <w:rFonts w:ascii="Times New Roman" w:hAnsi="Times New Roman"/>
              </w:rPr>
              <w:t xml:space="preserve">garantizadas por bonos garantizados de calidad sumamente elevada de nivel 1</w:t>
            </w:r>
          </w:p>
          <w:p w14:paraId="57A325CD" w14:textId="03422D8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Las entidades de crédito comunicarán aquí las operaciones de financiación garantizada que venzan en un plazo de 30 días naturales en las que la contraparte sea un banco central y las garantías reales aportadas sean garantías reales de nivel 1 consistentes en bonos garantizados de calidad sumamente elevada que, de no utilizarse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6.3. De las cuales:</w:t>
            </w:r>
            <w:r>
              <w:rPr>
                <w:b/>
                <w:sz w:val="24"/>
                <w:u w:color="000000"/>
                <w:rFonts w:ascii="Times New Roman" w:hAnsi="Times New Roman"/>
              </w:rPr>
              <w:t xml:space="preserve"> </w:t>
            </w:r>
            <w:r>
              <w:rPr>
                <w:b/>
                <w:sz w:val="24"/>
                <w:u w:color="000000"/>
                <w:rFonts w:ascii="Times New Roman" w:hAnsi="Times New Roman"/>
              </w:rPr>
              <w:t xml:space="preserve">garantizadas por activos de nivel 2A</w:t>
            </w:r>
          </w:p>
          <w:p w14:paraId="0880BBF2" w14:textId="4D81271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Las entidades de crédito comunicarán aquí las operaciones de financiación garantizada que venzan en un plazo de 30 días naturales en las que la contraparte sea un banco central y las garantías reales aportadas sean garantías reales de nivel 2A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6.4. De las cuales:</w:t>
            </w:r>
            <w:r>
              <w:rPr>
                <w:b/>
                <w:sz w:val="24"/>
                <w:u w:color="000000"/>
                <w:rFonts w:ascii="Times New Roman" w:hAnsi="Times New Roman"/>
              </w:rPr>
              <w:t xml:space="preserve"> </w:t>
            </w:r>
            <w:r>
              <w:rPr>
                <w:b/>
                <w:sz w:val="24"/>
                <w:u w:color="000000"/>
                <w:rFonts w:ascii="Times New Roman" w:hAnsi="Times New Roman"/>
              </w:rPr>
              <w:t xml:space="preserve">garantizadas por activos de nivel 2B</w:t>
            </w:r>
          </w:p>
          <w:p w14:paraId="2B961932" w14:textId="56F403FD"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Las entidades de crédito comunicarán aquí las operaciones de financiación garantizada que venzan en un plazo de 30 días naturales en las que la contraparte sea un banco central y las garantías reales aportadas sean garantías reales de nivel 2B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6.5. De las cuales:</w:t>
            </w:r>
            <w:r>
              <w:rPr>
                <w:b/>
                <w:sz w:val="24"/>
                <w:u w:color="000000"/>
                <w:rFonts w:ascii="Times New Roman" w:hAnsi="Times New Roman"/>
              </w:rPr>
              <w:t xml:space="preserve"> </w:t>
            </w:r>
            <w:r>
              <w:rPr>
                <w:b/>
                <w:sz w:val="24"/>
                <w:u w:color="000000"/>
                <w:rFonts w:ascii="Times New Roman" w:hAnsi="Times New Roman"/>
              </w:rPr>
              <w:t xml:space="preserve">garantizadas por activos no líquidos</w:t>
            </w:r>
          </w:p>
          <w:p w14:paraId="13A95E48" w14:textId="70C8CA3B" w:rsidR="00657123" w:rsidRPr="000B6B22" w:rsidRDefault="00657123"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Las entidades de crédito comunicarán aquí las operaciones de financiación garantizada que venzan en un plazo de 30 días naturales en las que la contraparte sea un banco central y las garantías reales aportadas no sean líquidas, cuando las operaciones pertinentes estén exentas de la aplicación del artículo 17, apartados 2 y 3, del Reglamento Delegado (UE) 2015/61 en virtud de su artículo 17, apartado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b/>
          <w:sz w:val="24"/>
          <w:rFonts w:ascii="Times New Roman" w:hAnsi="Times New Roman"/>
        </w:rPr>
      </w:pPr>
      <w:r>
        <w:br w:type="page"/>
      </w:r>
    </w:p>
    <w:p w14:paraId="6BE32207" w14:textId="258EF9C1" w:rsidR="007453EC" w:rsidRPr="000B6B22" w:rsidRDefault="007453EC" w:rsidP="009D4EFF">
      <w:pPr>
        <w:spacing w:before="0"/>
        <w:rPr>
          <w:b/>
          <w:sz w:val="24"/>
          <w:rFonts w:ascii="Times New Roman" w:hAnsi="Times New Roman"/>
        </w:rPr>
      </w:pPr>
      <w:r>
        <w:rPr>
          <w:b/>
          <w:sz w:val="24"/>
          <w:rFonts w:ascii="Times New Roman" w:hAnsi="Times New Roman"/>
        </w:rPr>
        <w:t xml:space="preserve">PARTE 3:</w:t>
      </w:r>
      <w:r>
        <w:rPr>
          <w:b/>
          <w:sz w:val="24"/>
          <w:rFonts w:ascii="Times New Roman" w:hAnsi="Times New Roman"/>
        </w:rPr>
        <w:t xml:space="preserve"> </w:t>
      </w:r>
      <w:r>
        <w:rPr>
          <w:b/>
          <w:sz w:val="24"/>
          <w:rFonts w:ascii="Times New Roman" w:hAnsi="Times New Roman"/>
        </w:rPr>
        <w:t xml:space="preserve">ENTRADAS</w:t>
      </w:r>
    </w:p>
    <w:p w14:paraId="039D5D75" w14:textId="62033D61"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Entradas</w:t>
      </w:r>
    </w:p>
    <w:p w14:paraId="47170F2B" w14:textId="3156AD7F"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Observaciones generales</w:t>
      </w:r>
    </w:p>
    <w:p w14:paraId="5AADD144" w14:textId="0DBD526E" w:rsidR="007453EC" w:rsidRPr="000B6B22" w:rsidRDefault="007453EC">
      <w:pPr>
        <w:pStyle w:val="InstructionsText2"/>
        <w:numPr>
          <w:ilvl w:val="0"/>
          <w:numId w:val="113"/>
        </w:numPr>
        <w:spacing w:after="120"/>
        <w:rPr>
          <w:sz w:val="24"/>
          <w:szCs w:val="24"/>
          <w:rFonts w:cs="Times New Roman"/>
        </w:rPr>
      </w:pPr>
      <w:r>
        <w:rPr>
          <w:sz w:val="24"/>
        </w:rPr>
        <w:t xml:space="preserve">Se trata de una plantilla resumen que contiene información sobre las entradas de liquidez durante los 30 días siguientes, con vistas a dar cuenta del requisito de cobertura de la liquidez que se especifica en el Reglamento Delegado (UE) 2015/61 de la Comisión.</w:t>
      </w:r>
      <w:r>
        <w:rPr>
          <w:sz w:val="24"/>
        </w:rPr>
        <w:t xml:space="preserve"> </w:t>
      </w:r>
      <w:r>
        <w:rPr>
          <w:sz w:val="24"/>
        </w:rPr>
        <w:t xml:space="preserve">Las partidas que no deben ser cumplimentadas por las entidades están sombreadas en gris.</w:t>
      </w:r>
    </w:p>
    <w:p w14:paraId="59420614" w14:textId="71F4978E" w:rsidR="007453EC" w:rsidRPr="000B6B22" w:rsidRDefault="007453EC">
      <w:pPr>
        <w:pStyle w:val="InstructionsText2"/>
        <w:spacing w:after="120"/>
        <w:rPr>
          <w:sz w:val="24"/>
          <w:szCs w:val="24"/>
          <w:rFonts w:cs="Times New Roman"/>
        </w:rPr>
      </w:pPr>
      <w:r>
        <w:rPr>
          <w:sz w:val="24"/>
        </w:rPr>
        <w:t xml:space="preserve">Las entidades de crédito presentarán la plantilla en las correspondientes monedas con arreglo al artículo 415, apartado 2, del Reglamento (UE) n.º 575/2013.</w:t>
      </w:r>
    </w:p>
    <w:p w14:paraId="54F00814" w14:textId="73A1BB15" w:rsidR="007453EC" w:rsidRPr="000B6B22" w:rsidRDefault="007453EC">
      <w:pPr>
        <w:pStyle w:val="InstructionsText2"/>
        <w:spacing w:after="120"/>
        <w:rPr>
          <w:sz w:val="24"/>
          <w:szCs w:val="24"/>
          <w:rFonts w:cs="Times New Roman"/>
        </w:rPr>
      </w:pPr>
      <w:r>
        <w:rPr>
          <w:sz w:val="24"/>
        </w:rPr>
        <w:t xml:space="preserve">De conformidad con el artículo 32 del Reglamento Delegado (UE) 2015/61, las entradas de liquidez:</w:t>
      </w:r>
    </w:p>
    <w:p w14:paraId="1772C6CD" w14:textId="4F671DEB" w:rsidR="007453EC" w:rsidRPr="000B6B22" w:rsidRDefault="007453EC">
      <w:pPr>
        <w:spacing w:before="0"/>
        <w:ind w:left="2160" w:hanging="180"/>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comprenderán solo las entradas contractuales derivadas de exposiciones que no estén en situación de mora y respecto de las cuales la entidad no tenga motivos para esperar un incumplimiento en un horizonte de 30 días;</w:t>
      </w:r>
    </w:p>
    <w:p w14:paraId="294170A7" w14:textId="0C7616D6" w:rsidR="007453EC" w:rsidRPr="000B6B22" w:rsidRDefault="007453EC">
      <w:pPr>
        <w:spacing w:before="0"/>
        <w:ind w:left="2160" w:hanging="180"/>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se calcularán multiplicando los saldos vivos de diversas categorías de partidas contractuales a cobrar por los índices que figuran en el citado Reglamento.</w:t>
      </w:r>
    </w:p>
    <w:p w14:paraId="4E8B89C3" w14:textId="5B5EEFDE" w:rsidR="007453EC" w:rsidRPr="000B6B22" w:rsidRDefault="007453EC">
      <w:pPr>
        <w:pStyle w:val="InstructionsText2"/>
        <w:spacing w:after="120"/>
        <w:rPr>
          <w:sz w:val="24"/>
          <w:szCs w:val="24"/>
          <w:rFonts w:cs="Times New Roman"/>
        </w:rPr>
      </w:pPr>
      <w:r>
        <w:rPr>
          <w:sz w:val="24"/>
        </w:rPr>
        <w:t xml:space="preserve">Las entradas en el marco de un grupo o un sistema institucional de protección (salvo las entradas derivadas de líneas de crédito o de liquidez no utilizadas otorgadas por los miembros de un grupo o un sistema institucional de protección en relación con las cuales la autoridad competente haya autorizado la aplicación de un índice de entrada preferencial) se asignarán a las categorías pertinentes.</w:t>
      </w:r>
      <w:r>
        <w:rPr>
          <w:sz w:val="24"/>
        </w:rPr>
        <w:t xml:space="preserve"> </w:t>
      </w:r>
      <w:r>
        <w:rPr>
          <w:sz w:val="24"/>
        </w:rPr>
        <w:t xml:space="preserve">Asimismo, los importes no ponderados se comunicarán como partidas pro memoria en la sección 3 de la plantilla (líneas 0460-0510).</w:t>
      </w:r>
    </w:p>
    <w:p w14:paraId="5A30E889" w14:textId="44274FCE" w:rsidR="007453EC" w:rsidRPr="000B6B22" w:rsidRDefault="007453EC">
      <w:pPr>
        <w:pStyle w:val="InstructionsText2"/>
        <w:spacing w:after="120"/>
        <w:rPr>
          <w:sz w:val="24"/>
          <w:szCs w:val="24"/>
          <w:rFonts w:cs="Times New Roman"/>
        </w:rPr>
      </w:pPr>
      <w:r>
        <w:rPr>
          <w:sz w:val="24"/>
        </w:rPr>
        <w:t xml:space="preserve">De acuerdo con el artículo 32, apartado 6, del Reglamento Delegado (UE) 2015/61, las entidades de crédito no comunicarán las entradas derivadas de ninguno de los activos líquidos notificados de conformidad con el título II de dicho Reglamento que no sean pagos adeudados sobre los activos que no se reflejen en el valor de mercado del activo.</w:t>
      </w:r>
    </w:p>
    <w:p w14:paraId="2155C2C9" w14:textId="332D6D40" w:rsidR="007453EC" w:rsidRPr="000B6B22" w:rsidRDefault="007453EC">
      <w:pPr>
        <w:pStyle w:val="InstructionsText2"/>
        <w:spacing w:after="120"/>
        <w:rPr>
          <w:sz w:val="24"/>
          <w:szCs w:val="24"/>
          <w:rFonts w:cs="Times New Roman"/>
        </w:rPr>
      </w:pPr>
      <w:r>
        <w:rPr>
          <w:sz w:val="24"/>
        </w:rPr>
        <w:t xml:space="preserve">Las entradas que deban recibirse en terceros países en los que existan restricciones de transferencia o que estén denominadas en divisas no convertibles se comunicarán en las filas pertinentes de las secciones 1.1., 1.2. o 1.3.</w:t>
      </w:r>
      <w:r>
        <w:rPr>
          <w:sz w:val="24"/>
        </w:rPr>
        <w:t xml:space="preserve"> </w:t>
      </w:r>
      <w:r>
        <w:rPr>
          <w:sz w:val="24"/>
        </w:rPr>
        <w:t xml:space="preserve">Las entradas se comunicarán en su totalidad, independientemente del importe de las salidas en el tercer país o de la divisa.</w:t>
      </w:r>
    </w:p>
    <w:p w14:paraId="721E6BE3" w14:textId="3E0D7CAF" w:rsidR="007453EC" w:rsidRPr="000B6B22" w:rsidRDefault="007453EC">
      <w:pPr>
        <w:pStyle w:val="InstructionsText2"/>
        <w:spacing w:after="120"/>
        <w:rPr>
          <w:sz w:val="24"/>
          <w:szCs w:val="24"/>
          <w:rFonts w:cs="Times New Roman"/>
        </w:rPr>
      </w:pPr>
      <w:r>
        <w:rPr>
          <w:sz w:val="24"/>
        </w:rPr>
        <w:t xml:space="preserve">Los pagos pendientes procedentes de valores emitidos por la propia entidad de crédito o por una SSPE con la que dicha entidad mantenga vínculos estrechos se tendrán en cuenta en términos netos, aplicando un índice de entrada basado en el índice de entrada aplicable a los activos subyacentes conforme al artículo 32, apartado 3, letra h), del Reglamento Delegado (UE) 2015/61.</w:t>
      </w:r>
    </w:p>
    <w:p w14:paraId="141DDFA0" w14:textId="7853DF61" w:rsidR="007453EC" w:rsidRPr="000B6B22" w:rsidRDefault="007453EC">
      <w:pPr>
        <w:pStyle w:val="InstructionsText2"/>
        <w:spacing w:after="120"/>
        <w:rPr>
          <w:sz w:val="24"/>
          <w:szCs w:val="24"/>
          <w:rFonts w:cs="Times New Roman"/>
        </w:rPr>
      </w:pPr>
      <w:r>
        <w:rPr>
          <w:sz w:val="24"/>
        </w:rPr>
        <w:t xml:space="preserve">De conformidad con el artículo 32, apartado 7, del Reglamento Delegado (UE) 2015/61, las entidades de crédito no deberán comunicar las entradas derivadas de nuevas obligaciones adquiridas.</w:t>
      </w:r>
      <w:r>
        <w:rPr>
          <w:sz w:val="24"/>
        </w:rPr>
        <w:t xml:space="preserve"> </w:t>
      </w:r>
      <w:r>
        <w:rPr>
          <w:sz w:val="24"/>
        </w:rPr>
        <w:t xml:space="preserve">Se trata de compromisos contractuales aún no establecidos en la fecha de información, pero que se podrán formalizar o se formalizarán en el plazo de 30 días.</w:t>
      </w:r>
    </w:p>
    <w:p w14:paraId="5918AFDA" w14:textId="7B744600" w:rsidR="007453EC" w:rsidRPr="000B6B22" w:rsidRDefault="007453EC">
      <w:pPr>
        <w:pStyle w:val="InstructionsText2"/>
        <w:spacing w:after="120"/>
        <w:rPr>
          <w:sz w:val="24"/>
          <w:szCs w:val="24"/>
          <w:rFonts w:cs="Times New Roman"/>
        </w:rPr>
      </w:pPr>
      <w:r>
        <w:rPr>
          <w:sz w:val="24"/>
        </w:rPr>
        <w:t xml:space="preserve">En el caso de información por separado de conformidad con el artículo 415, apartado 2, del Reglamento (UE) n.º 575/2013, los saldos comunicados comprenderán únicamente los que estén denominados en la divisa pertinente, a fin de garantizar que los desfases entre divisas se reflejen correctamente.</w:t>
      </w:r>
      <w:r>
        <w:rPr>
          <w:sz w:val="24"/>
        </w:rPr>
        <w:t xml:space="preserve"> </w:t>
      </w:r>
      <w:r>
        <w:rPr>
          <w:sz w:val="24"/>
        </w:rPr>
        <w:t xml:space="preserve">Esto puede significar que solo se consigne en la plantilla de la divisa pertinente un lado de la operación.</w:t>
      </w:r>
      <w:r>
        <w:rPr>
          <w:sz w:val="24"/>
        </w:rPr>
        <w:t xml:space="preserve"> </w:t>
      </w:r>
      <w:r>
        <w:rPr>
          <w:sz w:val="24"/>
        </w:rPr>
        <w:t xml:space="preserve">Por ejemplo, en el caso de los derivados sobre divisas, las entidades de crédito únicamente podrán calcular las entradas y salidas netas de conformidad con el artículo 21 del Reglamento Delegado (UE) 2015/61 cuando estén denominadas en la misma moneda.</w:t>
      </w:r>
    </w:p>
    <w:p w14:paraId="231F16EA" w14:textId="5B11A64B" w:rsidR="007453EC" w:rsidRPr="000B6B22" w:rsidRDefault="007453EC">
      <w:pPr>
        <w:pStyle w:val="InstructionsText2"/>
        <w:spacing w:after="120"/>
        <w:rPr>
          <w:sz w:val="24"/>
          <w:szCs w:val="24"/>
          <w:rFonts w:cs="Times New Roman"/>
        </w:rPr>
      </w:pPr>
      <w:r>
        <w:rPr>
          <w:sz w:val="24"/>
        </w:rPr>
        <w:t xml:space="preserve">La estructura en columnas de esta plantilla está concebida para dar cabida a los diferentes límites máximos aplicables a las entradas de conformidad con el artículo 33 del Reglamento Delegado (UE) 2015/61.</w:t>
      </w:r>
      <w:r>
        <w:rPr>
          <w:sz w:val="24"/>
        </w:rPr>
        <w:t xml:space="preserve"> </w:t>
      </w:r>
      <w:r>
        <w:rPr>
          <w:sz w:val="24"/>
        </w:rPr>
        <w:t xml:space="preserve">Así, la plantilla se divide en tres series de columnas, una por cada régimen en materia de límite máximo (límite del 75 %, límite del 90 % y exención de límite máximo).</w:t>
      </w:r>
      <w:r>
        <w:rPr>
          <w:sz w:val="24"/>
        </w:rPr>
        <w:t xml:space="preserve"> </w:t>
      </w:r>
      <w:r>
        <w:rPr>
          <w:sz w:val="24"/>
        </w:rPr>
        <w:t xml:space="preserve">Las entidades de crédito que presenten información en base consolidada podrán utilizar más de una serie de columnas si distintos entes en el marco de la misma consolidación están sujetos a diferentes regímenes en materia de límite máximo.</w:t>
      </w:r>
    </w:p>
    <w:p w14:paraId="7ABEC4E1" w14:textId="475FA344" w:rsidR="007453EC" w:rsidRPr="000B6B22" w:rsidRDefault="007453EC">
      <w:pPr>
        <w:pStyle w:val="InstructionsText2"/>
        <w:spacing w:after="120"/>
        <w:rPr>
          <w:sz w:val="24"/>
          <w:szCs w:val="24"/>
          <w:rFonts w:cs="Times New Roman"/>
        </w:rPr>
      </w:pPr>
      <w:r>
        <w:rPr>
          <w:sz w:val="24"/>
        </w:rPr>
        <w:t xml:space="preserve">De conformidad con lo dispuesto en el artículo 2, apartado 3, letra c), del Reglamento Delegado (UE) 2015/61 en relación con la consolidación, las entradas de liquidez de una empresa filial de un tercer país que se encuentren sujetas, con arreglo a la legislación nacional de ese país, a índices inferiores a los especificados en el título III de dicho Reglamento serán objeto de consolidación con arreglo a estos índices inferiores especificados en la legislación nacional del tercer país.</w:t>
      </w:r>
    </w:p>
    <w:p w14:paraId="0393DC96" w14:textId="02075785" w:rsidR="007453EC" w:rsidRPr="000B6B22" w:rsidRDefault="0070035D">
      <w:pPr>
        <w:pStyle w:val="InstructionsText2"/>
        <w:spacing w:after="120"/>
        <w:rPr>
          <w:sz w:val="24"/>
          <w:szCs w:val="24"/>
          <w:rFonts w:cs="Times New Roman"/>
        </w:rPr>
      </w:pPr>
      <w:r>
        <w:rPr>
          <w:sz w:val="24"/>
        </w:rPr>
        <w:t xml:space="preserve">El Reglamento Delegado (UE) 2015/61 solo hace referencia a índices y recortes de valoración, y el término «ponderación» empleado en la plantilla remite simplemente a ellos en el contexto pertinente.</w:t>
      </w:r>
      <w:r>
        <w:rPr>
          <w:sz w:val="24"/>
        </w:rPr>
        <w:t xml:space="preserve"> </w:t>
      </w:r>
      <w:r>
        <w:rPr>
          <w:sz w:val="24"/>
        </w:rPr>
        <w:t xml:space="preserve">El término «ponderado» en este anexo se entenderá como un término general que indica el importe calculado tras aplicar los correspondientes recortes de valoración, índices y cualesquiera otras instrucciones adicionales pertinentes (por ejemplo, en el caso de operaciones de préstamo y financiación garantizadas).</w:t>
      </w:r>
    </w:p>
    <w:p w14:paraId="5A8208E2" w14:textId="6EB52EC7" w:rsidR="007453EC" w:rsidRPr="000B6B22" w:rsidRDefault="007453EC">
      <w:pPr>
        <w:pStyle w:val="InstructionsText2"/>
        <w:spacing w:after="120"/>
        <w:rPr>
          <w:sz w:val="24"/>
          <w:szCs w:val="24"/>
          <w:rFonts w:cs="Times New Roman"/>
        </w:rPr>
      </w:pPr>
      <w:r>
        <w:rPr>
          <w:sz w:val="24"/>
        </w:rPr>
        <w:t xml:space="preserve">En las plantillas conexas a las presentes instrucciones se incluyen algunas partidas pro memoria.</w:t>
      </w:r>
      <w:r>
        <w:rPr>
          <w:sz w:val="24"/>
        </w:rPr>
        <w:t xml:space="preserve"> </w:t>
      </w:r>
      <w:r>
        <w:rPr>
          <w:sz w:val="24"/>
        </w:rPr>
        <w:t xml:space="preserve">Entre otras, estas partidas proporcionan a la autoridad competente información sin la cual no podría llevar a cabo una evaluación adecuada del cumplimiento de los requisitos de liquidez por parte de las entidades de crédito.</w:t>
      </w:r>
      <w:r>
        <w:rPr>
          <w:sz w:val="24"/>
        </w:rPr>
        <w:t xml:space="preserve"> </w:t>
      </w:r>
    </w:p>
    <w:p w14:paraId="499BAE40" w14:textId="37D0819B"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Observaciones específicas sobre las operaciones de préstamo garantizadas y las operaciones vinculadas al mercado de capitales</w:t>
      </w:r>
    </w:p>
    <w:p w14:paraId="7478B985" w14:textId="3958DC53" w:rsidR="007453EC" w:rsidRPr="000B6B22" w:rsidRDefault="007453EC">
      <w:pPr>
        <w:pStyle w:val="InstructionsText2"/>
        <w:spacing w:after="120"/>
        <w:rPr>
          <w:sz w:val="24"/>
          <w:szCs w:val="24"/>
          <w:rFonts w:cs="Times New Roman"/>
        </w:rPr>
      </w:pPr>
      <w:r>
        <w:rPr>
          <w:sz w:val="24"/>
        </w:rPr>
        <w:t xml:space="preserve">La plantilla clasifica los flujos con garantías reales según la calidad del activo subyacente o la admisibilidad como activos líquidos de calidad elevada.</w:t>
      </w:r>
      <w:r>
        <w:rPr>
          <w:sz w:val="24"/>
        </w:rPr>
        <w:t xml:space="preserve"> </w:t>
      </w:r>
      <w:r>
        <w:rPr>
          <w:sz w:val="24"/>
        </w:rPr>
        <w:t xml:space="preserve">Se destina una plantilla específica a las permutas de garantías reales, la plantilla C 75.01 del anexo XXIV.</w:t>
      </w:r>
      <w:r>
        <w:rPr>
          <w:sz w:val="24"/>
        </w:rPr>
        <w:t xml:space="preserve"> </w:t>
      </w:r>
      <w:r>
        <w:rPr>
          <w:sz w:val="24"/>
        </w:rPr>
        <w:t xml:space="preserve">Las permutas de garantías reales, que son operaciones de intercambio de unas garantías reales por otras, no se consignarán en la plantilla de entradas (C 74.00 del Anexo XXIV), que engloba únicamente las operaciones de intercambio de efectivo por garantías reales.</w:t>
      </w:r>
    </w:p>
    <w:p w14:paraId="56720F36" w14:textId="513AE5F2" w:rsidR="007453EC" w:rsidRPr="000B6B22" w:rsidRDefault="007453EC">
      <w:pPr>
        <w:pStyle w:val="InstructionsText2"/>
        <w:spacing w:after="120"/>
        <w:rPr>
          <w:sz w:val="24"/>
          <w:szCs w:val="24"/>
          <w:rFonts w:cs="Times New Roman"/>
        </w:rPr>
      </w:pPr>
      <w:r>
        <w:rPr>
          <w:sz w:val="24"/>
        </w:rPr>
        <w:t xml:space="preserve">Cuando las operaciones de préstamo garantizadas o vinculadas al mercado de capitales estén garantizadas mediante acciones o participaciones en OIC, esas operaciones se comunicarán como si estuvieran garantizadas por los activos subyacentes al OIC.</w:t>
      </w:r>
      <w:r>
        <w:rPr>
          <w:sz w:val="24"/>
        </w:rPr>
        <w:t xml:space="preserve"> </w:t>
      </w:r>
      <w:r>
        <w:rPr>
          <w:sz w:val="24"/>
        </w:rPr>
        <w:t xml:space="preserve">Por ejemplo, en caso de una operación de préstamo garantizada mediante acciones o participaciones en un OIC que invierta exclusivamente en activos de nivel 2A, esa operación de préstamo se comunicará como si estuviera garantizada directamente mediante garantías reales de nivel 2A.</w:t>
      </w:r>
      <w:r>
        <w:rPr>
          <w:sz w:val="24"/>
        </w:rPr>
        <w:t xml:space="preserve"> </w:t>
      </w:r>
      <w:r>
        <w:rPr>
          <w:sz w:val="24"/>
        </w:rPr>
        <w:t xml:space="preserve">El índice de entrada potencialmente superior en relación con las operaciones de préstamo garantizadas respaldadas por acciones o participaciones en OIC se reflejará en el correspondiente índice de entrada que se comunique.</w:t>
      </w:r>
    </w:p>
    <w:p w14:paraId="70BE7A08" w14:textId="5B9447DC" w:rsidR="007453EC" w:rsidRPr="000B6B22" w:rsidRDefault="007453EC">
      <w:pPr>
        <w:pStyle w:val="InstructionsText2"/>
        <w:spacing w:after="120"/>
        <w:rPr>
          <w:sz w:val="24"/>
          <w:szCs w:val="24"/>
          <w:rFonts w:cs="Times New Roman"/>
        </w:rPr>
      </w:pPr>
      <w:r>
        <w:rPr>
          <w:sz w:val="24"/>
        </w:rPr>
        <w:t xml:space="preserve">En el caso de información por separado de conformidad con el artículo 415, apartado 2, del Reglamento (UE) n.º 575/2013, los saldos comunicados comprenderán únicamente los que estén denominados en la divisa pertinente, a fin de garantizar que los desfases entre divisas se reflejen correctamente.</w:t>
      </w:r>
      <w:r>
        <w:rPr>
          <w:sz w:val="24"/>
        </w:rPr>
        <w:t xml:space="preserve"> </w:t>
      </w:r>
      <w:r>
        <w:rPr>
          <w:sz w:val="24"/>
        </w:rPr>
        <w:t xml:space="preserve">Esto puede significar que solo se consigne en la plantilla de la divisa pertinente un lado de la operación.</w:t>
      </w:r>
      <w:r>
        <w:rPr>
          <w:sz w:val="24"/>
        </w:rPr>
        <w:t xml:space="preserve"> </w:t>
      </w:r>
      <w:r>
        <w:rPr>
          <w:sz w:val="24"/>
        </w:rPr>
        <w:t xml:space="preserve">Así, una operación de recompra inversa puede dar lugar a una entrada negativa.</w:t>
      </w:r>
      <w:r>
        <w:rPr>
          <w:sz w:val="24"/>
        </w:rPr>
        <w:t xml:space="preserve"> </w:t>
      </w:r>
      <w:r>
        <w:rPr>
          <w:sz w:val="24"/>
        </w:rPr>
        <w:t xml:space="preserve">Las operaciones de recompra inversa comunicadas en la misma partida se sumarán (positivas y negativas).</w:t>
      </w:r>
      <w:r>
        <w:rPr>
          <w:sz w:val="24"/>
        </w:rPr>
        <w:t xml:space="preserve"> </w:t>
      </w:r>
      <w:r>
        <w:rPr>
          <w:sz w:val="24"/>
        </w:rPr>
        <w:t xml:space="preserve">Si el total es positivo, se consignará en la plantilla de entradas.</w:t>
      </w:r>
      <w:r>
        <w:rPr>
          <w:sz w:val="24"/>
        </w:rPr>
        <w:t xml:space="preserve"> </w:t>
      </w:r>
      <w:r>
        <w:rPr>
          <w:sz w:val="24"/>
        </w:rPr>
        <w:t xml:space="preserve">Si es negativo, se consignará en la plantilla de salidas.</w:t>
      </w:r>
      <w:r>
        <w:rPr>
          <w:sz w:val="24"/>
        </w:rPr>
        <w:t xml:space="preserve"> </w:t>
      </w:r>
      <w:r>
        <w:rPr>
          <w:sz w:val="24"/>
        </w:rPr>
        <w:t xml:space="preserve">Se seguirá este mismo planteamiento a la inversa para los pactos de recompra.</w:t>
      </w:r>
    </w:p>
    <w:p w14:paraId="565C88EE" w14:textId="181B7AE3" w:rsidR="007453EC" w:rsidRPr="000B6B22" w:rsidRDefault="007453EC">
      <w:pPr>
        <w:pStyle w:val="InstructionsText2"/>
        <w:spacing w:after="120"/>
        <w:rPr>
          <w:sz w:val="24"/>
          <w:szCs w:val="24"/>
          <w:rFonts w:cs="Times New Roman"/>
        </w:rPr>
      </w:pPr>
      <w:r>
        <w:rPr>
          <w:sz w:val="24"/>
        </w:rPr>
        <w:t xml:space="preserve">Para el cálculo de las entradas, las operaciones de préstamo garantizadas y las operaciones vinculadas al mercado de capitales se comunicarán con independencia de que las garantías reales subyacentes recibidas cumplan los requisitos operativos previstos en el artículo 8 del Reglamento Delegado (UE) 2015/61.</w:t>
      </w:r>
      <w:r>
        <w:rPr>
          <w:sz w:val="24"/>
        </w:rPr>
        <w:t xml:space="preserve"> </w:t>
      </w:r>
      <w:r>
        <w:rPr>
          <w:sz w:val="24"/>
        </w:rPr>
        <w:t xml:space="preserve">Además, a fin de permitir el cálculo de la reserva ajustada de activos líquidos de conformidad con el artículo 17, apartado 2, del Reglamento Delegado (UE) 2015/61, las entidades de crédito también comunicarán por separado las operaciones en las que las garantías reales subyacentes recibidas cumplan además los requisitos operativos previstos en el artículo 8 de ese Reglamento Delegado.</w:t>
      </w:r>
    </w:p>
    <w:p w14:paraId="36FDEE66" w14:textId="23E71C0D" w:rsidR="007453EC" w:rsidRPr="000B6B22" w:rsidRDefault="007453EC">
      <w:pPr>
        <w:pStyle w:val="InstructionsText2"/>
        <w:spacing w:after="120"/>
        <w:rPr>
          <w:sz w:val="24"/>
          <w:szCs w:val="24"/>
          <w:rFonts w:cs="Times New Roman"/>
        </w:rPr>
      </w:pPr>
      <w:r>
        <w:rPr>
          <w:sz w:val="24"/>
        </w:rPr>
        <w:t xml:space="preserve">Cuando una entidad de crédito solo pueda reconocer parte de 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artículo 12, apartado 1, letra c), inciso ii), y el artículo 10, apartado 1, letra d), del Reglamento Delegado (UE) 2015/61.</w:t>
      </w:r>
      <w:r>
        <w:rPr>
          <w:sz w:val="24"/>
        </w:rPr>
        <w:t xml:space="preserve"> </w:t>
      </w:r>
      <w:r>
        <w:rPr>
          <w:sz w:val="24"/>
        </w:rPr>
        <w:t xml:space="preserve">Cuando el activo de que se trate se utilice como garantía real por un importe que exceda de la parte que pueda reconocerse como activo líquido, el importe excedentario deberá consignarse en la sección no líquida.</w:t>
      </w:r>
      <w:r>
        <w:rPr>
          <w:sz w:val="24"/>
        </w:rPr>
        <w:t xml:space="preserve"> </w:t>
      </w:r>
      <w:r>
        <w:rPr>
          <w:sz w:val="24"/>
        </w:rPr>
        <w:t xml:space="preserve">Los activos de nivel 2A se consignarán en la correspondiente fila de activos de nivel 2A, aun cuando se aplique un enfoque alternativo de tratamiento de la liquidez con arreglo al artículo 19 del Reglamento Delegado (UE) 2015/61.</w:t>
      </w:r>
    </w:p>
    <w:p w14:paraId="46AF9406" w14:textId="2AAC820D"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Observaciones específicas relativas a las operaciones de liquidación y con inicio diferido</w:t>
      </w:r>
    </w:p>
    <w:p w14:paraId="58CE8345" w14:textId="06ECF8C1" w:rsidR="007453EC" w:rsidRPr="000B6B22" w:rsidRDefault="007453EC">
      <w:pPr>
        <w:pStyle w:val="InstructionsText2"/>
        <w:spacing w:after="120"/>
        <w:rPr>
          <w:sz w:val="24"/>
          <w:szCs w:val="24"/>
          <w:rFonts w:cs="Times New Roman"/>
        </w:rPr>
      </w:pPr>
      <w:r>
        <w:rPr>
          <w:sz w:val="24"/>
        </w:rPr>
        <w:t xml:space="preserve">Las entidades de crédito comunicarán las entradas derivadas de pactos de recompra con inicio diferido que se inicien en el plazo de 30 días y venzan después de ese plazo.</w:t>
      </w:r>
      <w:r>
        <w:rPr>
          <w:sz w:val="24"/>
        </w:rPr>
        <w:t xml:space="preserve"> </w:t>
      </w:r>
      <w:r>
        <w:rPr>
          <w:sz w:val="24"/>
        </w:rPr>
        <w:t xml:space="preserve">La entrada que vaya a recibirse se comunicará en {C 74.00;</w:t>
      </w:r>
      <w:r>
        <w:rPr>
          <w:sz w:val="24"/>
        </w:rPr>
        <w:t xml:space="preserve"> </w:t>
      </w:r>
      <w:r>
        <w:rPr>
          <w:sz w:val="24"/>
        </w:rPr>
        <w:t xml:space="preserve">r0260} («otras entradas»), una vez deducido el valor de mercado del activo que se vaya a entregar a la contraparte tras aplicar el correspondiente recorte de valoración aplicable a efectos de la ratio de cobertura de liquidez.</w:t>
      </w:r>
      <w:r>
        <w:rPr>
          <w:sz w:val="24"/>
        </w:rPr>
        <w:t xml:space="preserve"> </w:t>
      </w:r>
      <w:r>
        <w:rPr>
          <w:sz w:val="24"/>
        </w:rPr>
        <w:t xml:space="preserve">Si el activo no es un «activo líquido», la entrada que vaya a recibirse se comunicará íntegramente.</w:t>
      </w:r>
      <w:r>
        <w:rPr>
          <w:sz w:val="24"/>
        </w:rPr>
        <w:t xml:space="preserve"> </w:t>
      </w:r>
      <w:r>
        <w:rPr>
          <w:sz w:val="24"/>
        </w:rPr>
        <w:t xml:space="preserve">El activo que se pignorará en garantía se comunicará en C 72.00 si la entidad lo mantiene en su cartera en la fecha de referencia y cumple las oportunas condiciones.</w:t>
      </w:r>
    </w:p>
    <w:p w14:paraId="058EC6C9" w14:textId="1A6729A2" w:rsidR="007453EC" w:rsidRPr="000B6B22" w:rsidRDefault="007453EC">
      <w:pPr>
        <w:pStyle w:val="InstructionsText2"/>
        <w:spacing w:after="120"/>
        <w:rPr>
          <w:sz w:val="24"/>
          <w:szCs w:val="24"/>
          <w:rFonts w:cs="Times New Roman"/>
        </w:rPr>
      </w:pPr>
      <w:r>
        <w:rPr>
          <w:sz w:val="24"/>
        </w:rPr>
        <w:t xml:space="preserve">Las entidades de crédito comunicarán las entradas derivadas de pactos de recompra, pactos de recompra inversa y permutas de garantías reales con inicio diferido que se inicien en el plazo de 30 días y venzan después de ese plazo cuando el componente inicial genere una entrada.</w:t>
      </w:r>
      <w:r>
        <w:rPr>
          <w:sz w:val="24"/>
        </w:rPr>
        <w:t xml:space="preserve"> </w:t>
      </w:r>
      <w:r>
        <w:rPr>
          <w:sz w:val="24"/>
        </w:rPr>
        <w:t xml:space="preserve">En el caso de un pacto de recompra, la entrada que vaya a recibirse se comunicará en {C 74.00;</w:t>
      </w:r>
      <w:r>
        <w:rPr>
          <w:sz w:val="24"/>
        </w:rPr>
        <w:t xml:space="preserve"> </w:t>
      </w:r>
      <w:r>
        <w:rPr>
          <w:sz w:val="24"/>
        </w:rPr>
        <w:t xml:space="preserve">r0260} («otras entradas»), una vez deducido el valor de mercado del activo que se vaya a entregar a la contraparte tras aplicar el correspondiente recorte de valoración aplicable a efectos de la ratio de cobertura de liquidez.</w:t>
      </w:r>
      <w:r>
        <w:rPr>
          <w:sz w:val="24"/>
        </w:rPr>
        <w:t xml:space="preserve"> </w:t>
      </w:r>
      <w:r>
        <w:rPr>
          <w:sz w:val="24"/>
        </w:rPr>
        <w:t xml:space="preserve">Si el importe por recibir es inferior al valor de mercado del activo (después del recorte de valoración aplicable a efectos de la ratio de cobertura de liquidez) que se prestará como garantía real, la diferencia se comunicará como salida en C.73.00.</w:t>
      </w:r>
      <w:r>
        <w:rPr>
          <w:sz w:val="24"/>
        </w:rPr>
        <w:t xml:space="preserve"> </w:t>
      </w:r>
      <w:r>
        <w:rPr>
          <w:sz w:val="24"/>
        </w:rPr>
        <w:t xml:space="preserve">Si el activo no es un «activo líquido», la entrada que vaya a recibirse se comunicará íntegramente.</w:t>
      </w:r>
      <w:r>
        <w:rPr>
          <w:sz w:val="24"/>
        </w:rPr>
        <w:t xml:space="preserve"> </w:t>
      </w:r>
      <w:r>
        <w:rPr>
          <w:sz w:val="24"/>
        </w:rPr>
        <w:t xml:space="preserve">El activo que se pignorará en garantía se comunicará en C 72.00 cuando la entidad lo mantenga en su cartera en la fecha de referencia y cumpla las oportunas condiciones.</w:t>
      </w:r>
      <w:r>
        <w:rPr>
          <w:sz w:val="24"/>
        </w:rPr>
        <w:t xml:space="preserve"> </w:t>
      </w:r>
      <w:r>
        <w:rPr>
          <w:sz w:val="24"/>
        </w:rPr>
        <w:t xml:space="preserve">En el caso de un pacto de recompra inversa, cuando el valor de mercado del activo por recibir como garantía real después de la aplicación del recorte de valoración aplicable a efectos de la ratio de cobertura de liquidez (si el activo puede considerarse un activo líquido) sea mayor que el importe de efectivo que vaya a prestarse, la diferencia se consignará como entrada en {C 74.00;</w:t>
      </w:r>
      <w:r>
        <w:rPr>
          <w:sz w:val="24"/>
        </w:rPr>
        <w:t xml:space="preserve"> </w:t>
      </w:r>
      <w:r>
        <w:rPr>
          <w:sz w:val="24"/>
        </w:rPr>
        <w:t xml:space="preserve">r0260}(«otras entradas»).</w:t>
      </w:r>
      <w:r>
        <w:rPr>
          <w:sz w:val="24"/>
        </w:rPr>
        <w:t xml:space="preserve"> </w:t>
      </w:r>
      <w:r>
        <w:rPr>
          <w:sz w:val="24"/>
        </w:rPr>
        <w:t xml:space="preserve">En el caso de las permutas de garantías reales, cuando el efecto neto de la permuta inicial de activos (teniendo en cuenta los recortes de valoración aplicables a efectos de la ratio de cobertura de liquidez) dé lugar a una entrada, esta se consignará en {C 74.00;</w:t>
      </w:r>
      <w:r>
        <w:rPr>
          <w:sz w:val="24"/>
        </w:rPr>
        <w:t xml:space="preserve"> </w:t>
      </w:r>
      <w:r>
        <w:rPr>
          <w:sz w:val="24"/>
        </w:rPr>
        <w:t xml:space="preserve">r0260}(«otras entradas»).</w:t>
      </w:r>
    </w:p>
    <w:p w14:paraId="516CC2E4" w14:textId="77777777" w:rsidR="007453EC" w:rsidRPr="000B6B22" w:rsidRDefault="007453EC">
      <w:pPr>
        <w:pStyle w:val="InstructionsText2"/>
        <w:spacing w:after="120"/>
        <w:rPr>
          <w:sz w:val="24"/>
          <w:szCs w:val="24"/>
          <w:rFonts w:cs="Times New Roman"/>
        </w:rPr>
      </w:pPr>
      <w:r>
        <w:rPr>
          <w:sz w:val="24"/>
        </w:rPr>
        <w:t xml:space="preserve">Los pactos de recompra o de recompra inversa y las permutas de garantías reales con inicio diferido que se inicien y venzan dentro del horizonte de 30 días pertinente para la ratio de cobertura de liquidez no tienen ninguna incidencia en dicha ratio para un banco, por lo que podrán ignorarse.</w:t>
      </w:r>
    </w:p>
    <w:p w14:paraId="547D95AB" w14:textId="13C281BA"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w:t>
      </w:r>
      <w:r>
        <w:rPr>
          <w:sz w:val="24"/>
          <w:rFonts w:ascii="Times New Roman" w:hAnsi="Times New Roman"/>
        </w:rPr>
        <w:tab/>
      </w:r>
      <w:r>
        <w:rPr>
          <w:sz w:val="24"/>
          <w:rFonts w:ascii="Times New Roman" w:hAnsi="Times New Roman"/>
        </w:rPr>
        <w:t xml:space="preserve">Árbol de decisiones sobre las entradas pertinentes para la ratio de cobertura de liquidez de conformidad con los artículos 32, 33 y 34 del Reglamento Delegado (UE) 2015/61</w:t>
      </w:r>
    </w:p>
    <w:p w14:paraId="70E3B016" w14:textId="27F76D6D" w:rsidR="007453EC" w:rsidRPr="000B6B22" w:rsidRDefault="007453EC">
      <w:pPr>
        <w:pStyle w:val="InstructionsText2"/>
        <w:spacing w:after="120"/>
        <w:rPr>
          <w:sz w:val="24"/>
          <w:szCs w:val="24"/>
          <w:rFonts w:cs="Times New Roman"/>
        </w:rPr>
      </w:pPr>
      <w:r>
        <w:rPr>
          <w:sz w:val="24"/>
        </w:rPr>
        <w:t xml:space="preserve">El árbol de decisiones se entiende sin perjuicio de la notificación de las partidas pro memoria.</w:t>
      </w:r>
      <w:r>
        <w:rPr>
          <w:sz w:val="24"/>
        </w:rPr>
        <w:t xml:space="preserve"> </w:t>
      </w:r>
      <w:r>
        <w:rPr>
          <w:sz w:val="24"/>
        </w:rPr>
        <w:t xml:space="preserve">Forma parte de las instrucciones que especifican la priorización de los criterios de evaluación para la asignación de cada partida notificada, con vistas a asegurar la presentación de información homogénea y comparable.</w:t>
      </w:r>
      <w:r>
        <w:rPr>
          <w:sz w:val="24"/>
        </w:rPr>
        <w:t xml:space="preserve"> </w:t>
      </w:r>
      <w:r>
        <w:rPr>
          <w:sz w:val="24"/>
        </w:rPr>
        <w:t xml:space="preserve">Recorrer el árbol de decisiones por sí solo no es suficiente: las entidades de crédito deberán atenerse en todo momento a las restantes instrucciones.</w:t>
      </w:r>
    </w:p>
    <w:p w14:paraId="69E73C91" w14:textId="5A2DB28E" w:rsidR="007453EC" w:rsidRPr="000B6B22" w:rsidRDefault="007453EC">
      <w:pPr>
        <w:pStyle w:val="InstructionsText2"/>
        <w:spacing w:after="120"/>
        <w:rPr>
          <w:sz w:val="24"/>
          <w:szCs w:val="24"/>
          <w:rFonts w:cs="Times New Roman"/>
        </w:rPr>
      </w:pPr>
      <w:r>
        <w:rPr>
          <w:sz w:val="24"/>
        </w:rPr>
        <w:t xml:space="preserve">En aras de la simplicidad, el árbol de decisiones ignora los totales y subtotales;</w:t>
      </w:r>
      <w:r>
        <w:rPr>
          <w:sz w:val="24"/>
        </w:rPr>
        <w:t xml:space="preserve"> </w:t>
      </w:r>
      <w:r>
        <w:rPr>
          <w:sz w:val="24"/>
        </w:rPr>
        <w:t xml:space="preserve">sin embargo, esto no implica necesariamente que no deban también comunicarse.</w:t>
      </w:r>
    </w:p>
    <w:p w14:paraId="670B7B30" w14:textId="21093026"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1.4.1.</w:t>
      </w:r>
      <w:r>
        <w:rPr>
          <w:sz w:val="24"/>
          <w:rFonts w:ascii="Times New Roman" w:hAnsi="Times New Roman"/>
        </w:rPr>
        <w:tab/>
      </w:r>
      <w:r>
        <w:rPr>
          <w:sz w:val="24"/>
          <w:rFonts w:ascii="Times New Roman" w:hAnsi="Times New Roman"/>
        </w:rPr>
        <w:t xml:space="preserve">Árbol de decisiones sobre las filas de la plantilla C 74.00 del Anexo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b/>
                <w:sz w:val="24"/>
                <w:rFonts w:ascii="Times New Roman" w:hAnsi="Times New Roman"/>
              </w:rPr>
            </w:pPr>
            <w:r>
              <w:rPr>
                <w:b/>
                <w:sz w:val="24"/>
                <w:rFonts w:ascii="Times New Roman" w:hAnsi="Times New Roman"/>
              </w:rPr>
              <w:t xml:space="preserve">Partida</w:t>
            </w:r>
          </w:p>
        </w:tc>
        <w:tc>
          <w:tcPr>
            <w:tcW w:w="989" w:type="dxa"/>
            <w:shd w:val="clear" w:color="auto" w:fill="auto"/>
            <w:vAlign w:val="center"/>
          </w:tcPr>
          <w:p w14:paraId="1D5616C2" w14:textId="77777777" w:rsidR="00E145E1" w:rsidRPr="000B6B22" w:rsidRDefault="00E145E1">
            <w:pPr>
              <w:widowControl w:val="0"/>
              <w:spacing w:before="0"/>
              <w:rPr>
                <w:b/>
                <w:sz w:val="24"/>
                <w:rFonts w:ascii="Times New Roman" w:hAnsi="Times New Roman"/>
              </w:rPr>
            </w:pPr>
            <w:r>
              <w:rPr>
                <w:b/>
                <w:sz w:val="24"/>
                <w:rFonts w:ascii="Times New Roman" w:hAnsi="Times New Roman"/>
              </w:rPr>
              <w:t xml:space="preserve">Decisión</w:t>
            </w:r>
          </w:p>
        </w:tc>
        <w:tc>
          <w:tcPr>
            <w:tcW w:w="2150" w:type="dxa"/>
            <w:shd w:val="clear" w:color="auto" w:fill="auto"/>
            <w:vAlign w:val="center"/>
          </w:tcPr>
          <w:p w14:paraId="0AB3D9AF" w14:textId="77777777" w:rsidR="00E145E1" w:rsidRPr="000B6B22" w:rsidRDefault="00E145E1" w:rsidP="009D4EFF">
            <w:pPr>
              <w:widowControl w:val="0"/>
              <w:spacing w:before="0"/>
              <w:rPr>
                <w:b/>
                <w:sz w:val="24"/>
                <w:rFonts w:ascii="Times New Roman" w:hAnsi="Times New Roman"/>
              </w:rPr>
            </w:pPr>
            <w:r>
              <w:rPr>
                <w:b/>
                <w:sz w:val="24"/>
                <w:rFonts w:ascii="Times New Roman" w:hAnsi="Times New Roman"/>
              </w:rPr>
              <w:t xml:space="preserve">Presentación de información</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w:t>
            </w:r>
          </w:p>
        </w:tc>
        <w:tc>
          <w:tcPr>
            <w:tcW w:w="5588" w:type="dxa"/>
            <w:gridSpan w:val="3"/>
            <w:vMerge w:val="restart"/>
            <w:shd w:val="clear" w:color="auto" w:fill="auto"/>
            <w:vAlign w:val="center"/>
          </w:tcPr>
          <w:p w14:paraId="2B558A2B" w14:textId="77777777" w:rsidR="00E145E1" w:rsidRPr="000B6B22" w:rsidRDefault="00E145E1">
            <w:pPr>
              <w:spacing w:before="0"/>
              <w:rPr>
                <w:sz w:val="24"/>
                <w:rFonts w:ascii="Times New Roman" w:hAnsi="Times New Roman"/>
              </w:rPr>
            </w:pPr>
            <w:r>
              <w:rPr>
                <w:sz w:val="24"/>
                <w:rFonts w:ascii="Times New Roman" w:hAnsi="Times New Roman"/>
              </w:rPr>
              <w:t xml:space="preserve">Entrada que cumple los criterios operativos especificados en el artículo 32, tales como:</w:t>
            </w:r>
          </w:p>
          <w:p w14:paraId="0BA26DEA"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La exposición no está en situación de mora (artículo 32, apartado 1).</w:t>
            </w:r>
          </w:p>
          <w:p w14:paraId="715F58C3"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La entidad de crédito no tiene motivos para esperar un incumplimiento en un horizonte de 30 días naturales (artículo 32, apartado 1).</w:t>
            </w:r>
          </w:p>
          <w:p w14:paraId="71DD17DD"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Las entidades de crédito no deben tener en cuenta las entradas derivadas de nuevas obligaciones adquiridas (artículo 32, apartado 7).</w:t>
            </w:r>
          </w:p>
          <w:p w14:paraId="49E970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No deben notificarse entradas si estas ya se han compensado con las salidas (artículo 26).</w:t>
            </w:r>
          </w:p>
          <w:p w14:paraId="1B8212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Las entidades de crédito no deben tener en cuenta las entradas derivadas de cualquiera de los activos líquidos contemplados en el título II que no sean pagos adeudados sobre los activos que no se reflejen en el valor de mercado del activo (artículo 32, apartado 6).</w:t>
            </w:r>
          </w:p>
        </w:tc>
        <w:tc>
          <w:tcPr>
            <w:tcW w:w="989" w:type="dxa"/>
            <w:shd w:val="clear" w:color="auto" w:fill="auto"/>
            <w:vAlign w:val="center"/>
          </w:tcPr>
          <w:p w14:paraId="6800CE7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01FCD3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 se presenta información</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0457FE7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2</w:t>
            </w:r>
          </w:p>
        </w:tc>
        <w:tc>
          <w:tcPr>
            <w:tcW w:w="5588" w:type="dxa"/>
            <w:gridSpan w:val="3"/>
            <w:vMerge w:val="restart"/>
            <w:shd w:val="clear" w:color="auto" w:fill="auto"/>
            <w:vAlign w:val="center"/>
          </w:tcPr>
          <w:p w14:paraId="30130B5C" w14:textId="77777777" w:rsidR="00E145E1" w:rsidRPr="000B6B22" w:rsidRDefault="00E145E1">
            <w:pPr>
              <w:spacing w:before="0"/>
              <w:rPr>
                <w:sz w:val="24"/>
                <w:rFonts w:ascii="Times New Roman" w:hAnsi="Times New Roman"/>
              </w:rPr>
            </w:pPr>
            <w:r>
              <w:rPr>
                <w:sz w:val="24"/>
                <w:rFonts w:ascii="Times New Roman" w:hAnsi="Times New Roman"/>
              </w:rPr>
              <w:t xml:space="preserve">Operación con inicio diferido</w:t>
            </w:r>
          </w:p>
        </w:tc>
        <w:tc>
          <w:tcPr>
            <w:tcW w:w="989" w:type="dxa"/>
            <w:shd w:val="clear" w:color="auto" w:fill="auto"/>
            <w:vAlign w:val="center"/>
          </w:tcPr>
          <w:p w14:paraId="65A7A10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6ADAB81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4FD79E8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3</w:t>
            </w:r>
          </w:p>
        </w:tc>
        <w:tc>
          <w:tcPr>
            <w:tcW w:w="5588" w:type="dxa"/>
            <w:gridSpan w:val="3"/>
            <w:vMerge w:val="restart"/>
            <w:shd w:val="clear" w:color="auto" w:fill="auto"/>
            <w:vAlign w:val="center"/>
          </w:tcPr>
          <w:p w14:paraId="2CC94FF1" w14:textId="77777777" w:rsidR="00E145E1" w:rsidRPr="000B6B22" w:rsidRDefault="00E145E1">
            <w:pPr>
              <w:spacing w:before="0"/>
              <w:rPr>
                <w:sz w:val="24"/>
                <w:rFonts w:ascii="Times New Roman" w:hAnsi="Times New Roman"/>
              </w:rPr>
            </w:pPr>
            <w:r>
              <w:rPr>
                <w:sz w:val="24"/>
                <w:rFonts w:ascii="Times New Roman" w:hAnsi="Times New Roman"/>
              </w:rPr>
              <w:t xml:space="preserve">Operación a plazo iniciada con posterioridad a la fecha de información;</w:t>
            </w:r>
          </w:p>
        </w:tc>
        <w:tc>
          <w:tcPr>
            <w:tcW w:w="989" w:type="dxa"/>
            <w:shd w:val="clear" w:color="auto" w:fill="auto"/>
            <w:vAlign w:val="center"/>
          </w:tcPr>
          <w:p w14:paraId="420C8E2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76B5E0C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 se presenta información</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5DE5F1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4</w:t>
            </w:r>
          </w:p>
        </w:tc>
        <w:tc>
          <w:tcPr>
            <w:tcW w:w="5588" w:type="dxa"/>
            <w:gridSpan w:val="3"/>
            <w:vMerge w:val="restart"/>
            <w:shd w:val="clear" w:color="auto" w:fill="auto"/>
            <w:vAlign w:val="center"/>
          </w:tcPr>
          <w:p w14:paraId="0614C847" w14:textId="65C5ADDE" w:rsidR="00E145E1" w:rsidRPr="000B6B22" w:rsidRDefault="00E145E1">
            <w:pPr>
              <w:spacing w:before="0"/>
              <w:rPr>
                <w:sz w:val="24"/>
                <w:rFonts w:ascii="Times New Roman" w:hAnsi="Times New Roman"/>
              </w:rPr>
            </w:pPr>
            <w:r>
              <w:rPr>
                <w:sz w:val="24"/>
                <w:rFonts w:ascii="Times New Roman" w:hAnsi="Times New Roman"/>
              </w:rPr>
              <w:t xml:space="preserve">Operación a plazo que se inicie en el plazo de 30 días y venza después de ese plazo y en la que el componente inicial genere una entrada neta</w:t>
            </w:r>
          </w:p>
        </w:tc>
        <w:tc>
          <w:tcPr>
            <w:tcW w:w="989" w:type="dxa"/>
            <w:shd w:val="clear" w:color="auto" w:fill="auto"/>
            <w:vAlign w:val="center"/>
          </w:tcPr>
          <w:p w14:paraId="665406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408B9F32" w14:textId="6BAC0652" w:rsidR="00E145E1" w:rsidRPr="000B6B22" w:rsidRDefault="00E145E1" w:rsidP="009D4EFF">
            <w:pPr>
              <w:spacing w:before="0"/>
              <w:rPr>
                <w:sz w:val="24"/>
                <w:rFonts w:ascii="Times New Roman" w:hAnsi="Times New Roman"/>
              </w:rPr>
            </w:pPr>
            <w:r>
              <w:rPr>
                <w:sz w:val="24"/>
                <w:rFonts w:ascii="Times New Roman" w:hAnsi="Times New Roman"/>
              </w:rPr>
              <w:t xml:space="preserve">Fila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2724D50B" w14:textId="417B6E7A" w:rsidR="00E145E1" w:rsidRPr="000B6B22" w:rsidRDefault="00E145E1" w:rsidP="009D4EFF">
            <w:pPr>
              <w:widowControl w:val="0"/>
              <w:spacing w:before="0"/>
              <w:ind w:left="136"/>
              <w:rPr>
                <w:sz w:val="24"/>
                <w:rFonts w:ascii="Times New Roman" w:hAnsi="Times New Roman"/>
              </w:rPr>
            </w:pPr>
            <w:r>
              <w:rPr>
                <w:sz w:val="24"/>
                <w:rFonts w:ascii="Times New Roman" w:hAnsi="Times New Roman"/>
              </w:rPr>
              <w:t xml:space="preserve">No se presenta información</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5</w:t>
            </w:r>
          </w:p>
        </w:tc>
        <w:tc>
          <w:tcPr>
            <w:tcW w:w="5588" w:type="dxa"/>
            <w:gridSpan w:val="3"/>
            <w:vMerge w:val="restart"/>
            <w:shd w:val="clear" w:color="auto" w:fill="auto"/>
            <w:vAlign w:val="center"/>
          </w:tcPr>
          <w:p w14:paraId="66FEBBAF" w14:textId="77777777" w:rsidR="00E145E1" w:rsidRPr="000B6B22" w:rsidRDefault="00E145E1">
            <w:pPr>
              <w:spacing w:before="0"/>
              <w:rPr>
                <w:sz w:val="24"/>
                <w:rFonts w:ascii="Times New Roman" w:hAnsi="Times New Roman"/>
              </w:rPr>
            </w:pPr>
            <w:r>
              <w:rPr>
                <w:sz w:val="24"/>
                <w:rFonts w:ascii="Times New Roman" w:hAnsi="Times New Roman"/>
              </w:rPr>
              <w:t xml:space="preserve">Entradas en el marco de un grupo o un sistema institucional de protección</w:t>
            </w:r>
          </w:p>
        </w:tc>
        <w:tc>
          <w:tcPr>
            <w:tcW w:w="989" w:type="dxa"/>
            <w:shd w:val="clear" w:color="auto" w:fill="auto"/>
            <w:vAlign w:val="center"/>
          </w:tcPr>
          <w:p w14:paraId="55730E1A"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39F0DA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2FBB7CB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6</w:t>
            </w:r>
          </w:p>
        </w:tc>
        <w:tc>
          <w:tcPr>
            <w:tcW w:w="5588" w:type="dxa"/>
            <w:gridSpan w:val="3"/>
            <w:vMerge w:val="restart"/>
            <w:shd w:val="clear" w:color="auto" w:fill="auto"/>
            <w:vAlign w:val="center"/>
          </w:tcPr>
          <w:p w14:paraId="0EB40C9A" w14:textId="77777777" w:rsidR="00E145E1" w:rsidRPr="000B6B22" w:rsidRDefault="00E145E1">
            <w:pPr>
              <w:spacing w:before="0"/>
              <w:rPr>
                <w:sz w:val="24"/>
                <w:rFonts w:ascii="Times New Roman" w:hAnsi="Times New Roman"/>
              </w:rPr>
            </w:pPr>
            <w:r>
              <w:rPr>
                <w:sz w:val="24"/>
                <w:rFonts w:ascii="Times New Roman" w:hAnsi="Times New Roman"/>
              </w:rPr>
              <w:t xml:space="preserve">Entradas derivadas de líneas de crédito o de liquidez no utilizadas concedidas por miembros de un grupo o un sistema institucional de protección, cuando las autoridades competentes hayan autorizado la aplicación de un índice de entrada superior (artículo 34)</w:t>
            </w:r>
          </w:p>
        </w:tc>
        <w:tc>
          <w:tcPr>
            <w:tcW w:w="989" w:type="dxa"/>
            <w:shd w:val="clear" w:color="auto" w:fill="auto"/>
            <w:vAlign w:val="center"/>
          </w:tcPr>
          <w:p w14:paraId="2C542346"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32D9F82A" w14:textId="374A0D5F" w:rsidR="00E145E1" w:rsidRPr="000B6B22" w:rsidRDefault="00E145E1" w:rsidP="009D4EFF">
            <w:pPr>
              <w:spacing w:before="0"/>
              <w:rPr>
                <w:sz w:val="24"/>
                <w:rFonts w:ascii="Times New Roman" w:hAnsi="Times New Roman"/>
              </w:rPr>
            </w:pPr>
            <w:r>
              <w:rPr>
                <w:sz w:val="24"/>
                <w:rFonts w:ascii="Times New Roman" w:hAnsi="Times New Roman"/>
              </w:rPr>
              <w:t xml:space="preserve">Fila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3A5191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7</w:t>
            </w:r>
          </w:p>
        </w:tc>
        <w:tc>
          <w:tcPr>
            <w:tcW w:w="5588" w:type="dxa"/>
            <w:gridSpan w:val="3"/>
            <w:vMerge w:val="restart"/>
            <w:shd w:val="clear" w:color="auto" w:fill="auto"/>
            <w:vAlign w:val="center"/>
          </w:tcPr>
          <w:p w14:paraId="33F4AD46" w14:textId="0B3E81EB" w:rsidR="00E145E1" w:rsidRPr="000B6B22" w:rsidRDefault="00E145E1">
            <w:pPr>
              <w:spacing w:before="0"/>
              <w:rPr>
                <w:sz w:val="24"/>
                <w:rFonts w:ascii="Times New Roman" w:hAnsi="Times New Roman"/>
              </w:rPr>
            </w:pPr>
            <w:r>
              <w:rPr>
                <w:sz w:val="24"/>
                <w:rFonts w:ascii="Times New Roman" w:hAnsi="Times New Roman"/>
              </w:rPr>
              <w:t xml:space="preserve">Entradas procedentes de operaciones de préstamo garantizadas y de operaciones vinculadas al mercado de capitales con excepción de los derivados [artículo 32, apartado 3, letras b), c), e) y f)]</w:t>
            </w:r>
          </w:p>
        </w:tc>
        <w:tc>
          <w:tcPr>
            <w:tcW w:w="989" w:type="dxa"/>
            <w:shd w:val="clear" w:color="auto" w:fill="auto"/>
            <w:vAlign w:val="center"/>
          </w:tcPr>
          <w:p w14:paraId="4CA8246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698A6D2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450F0A8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8</w:t>
            </w:r>
          </w:p>
        </w:tc>
        <w:tc>
          <w:tcPr>
            <w:tcW w:w="5588" w:type="dxa"/>
            <w:gridSpan w:val="3"/>
            <w:vMerge w:val="restart"/>
            <w:shd w:val="clear" w:color="auto" w:fill="auto"/>
            <w:vAlign w:val="center"/>
          </w:tcPr>
          <w:p w14:paraId="00A13B84" w14:textId="2EEFC131" w:rsidR="00E145E1" w:rsidRPr="000B6B22" w:rsidRDefault="00E145E1">
            <w:pPr>
              <w:spacing w:before="0"/>
              <w:rPr>
                <w:sz w:val="24"/>
                <w:rFonts w:ascii="Times New Roman" w:hAnsi="Times New Roman"/>
              </w:rPr>
            </w:pPr>
            <w:r>
              <w:rPr>
                <w:sz w:val="24"/>
                <w:rFonts w:ascii="Times New Roman" w:hAnsi="Times New Roman"/>
              </w:rPr>
              <w:t xml:space="preserve">Pagos pendientes procedentes de valores que venzan en el plazo de 30 días naturales [artículo 32, apartado. 2, letra c)]</w:t>
            </w:r>
          </w:p>
        </w:tc>
        <w:tc>
          <w:tcPr>
            <w:tcW w:w="989" w:type="dxa"/>
            <w:shd w:val="clear" w:color="auto" w:fill="auto"/>
            <w:vAlign w:val="center"/>
          </w:tcPr>
          <w:p w14:paraId="4474E628"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53AE77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5B5F3BA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9</w:t>
            </w:r>
          </w:p>
        </w:tc>
        <w:tc>
          <w:tcPr>
            <w:tcW w:w="5588" w:type="dxa"/>
            <w:gridSpan w:val="3"/>
            <w:vMerge w:val="restart"/>
            <w:shd w:val="clear" w:color="auto" w:fill="auto"/>
            <w:vAlign w:val="center"/>
          </w:tcPr>
          <w:p w14:paraId="4A0DEE99" w14:textId="485D9F34" w:rsidR="00E145E1" w:rsidRPr="000B6B22" w:rsidRDefault="00E145E1">
            <w:pPr>
              <w:spacing w:before="0"/>
              <w:rPr>
                <w:sz w:val="24"/>
                <w:rFonts w:ascii="Times New Roman" w:hAnsi="Times New Roman"/>
              </w:rPr>
            </w:pPr>
            <w:r>
              <w:rPr>
                <w:sz w:val="24"/>
                <w:rFonts w:ascii="Times New Roman" w:hAnsi="Times New Roman"/>
              </w:rPr>
              <w:t xml:space="preserve">Pagos pendientes procedentes de operaciones de financiación comercial con un vencimiento residual no superior a 30 días [artículo 32, apartado 2, letra b)]</w:t>
            </w:r>
          </w:p>
        </w:tc>
        <w:tc>
          <w:tcPr>
            <w:tcW w:w="989" w:type="dxa"/>
            <w:shd w:val="clear" w:color="auto" w:fill="auto"/>
            <w:vAlign w:val="center"/>
          </w:tcPr>
          <w:p w14:paraId="1387418C"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46EA42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6081105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10</w:t>
            </w:r>
          </w:p>
        </w:tc>
        <w:tc>
          <w:tcPr>
            <w:tcW w:w="5588" w:type="dxa"/>
            <w:gridSpan w:val="3"/>
            <w:vMerge w:val="restart"/>
            <w:shd w:val="clear" w:color="auto" w:fill="auto"/>
            <w:vAlign w:val="center"/>
          </w:tcPr>
          <w:p w14:paraId="6A0F1AA6" w14:textId="4AB16209" w:rsidR="00E145E1" w:rsidRPr="000B6B22" w:rsidRDefault="00E145E1">
            <w:pPr>
              <w:spacing w:before="0"/>
              <w:rPr>
                <w:sz w:val="24"/>
                <w:rFonts w:ascii="Times New Roman" w:hAnsi="Times New Roman"/>
              </w:rPr>
            </w:pPr>
            <w:r>
              <w:rPr>
                <w:sz w:val="24"/>
                <w:rFonts w:ascii="Times New Roman" w:hAnsi="Times New Roman"/>
              </w:rPr>
              <w:t xml:space="preserve">Préstamos con una fecha de vencimiento contractual no definida [artículo 32, apartado 3, letra i)]</w:t>
            </w:r>
          </w:p>
        </w:tc>
        <w:tc>
          <w:tcPr>
            <w:tcW w:w="989" w:type="dxa"/>
            <w:shd w:val="clear" w:color="auto" w:fill="auto"/>
            <w:vAlign w:val="center"/>
          </w:tcPr>
          <w:p w14:paraId="607E470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67784AA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2155DF5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sz w:val="24"/>
                <w:rFonts w:ascii="Times New Roman" w:eastAsia="Calibri" w:hAnsi="Times New Roman"/>
              </w:rPr>
            </w:pPr>
            <w:r>
              <w:rPr>
                <w:sz w:val="24"/>
                <w:rFonts w:ascii="Times New Roman" w:hAnsi="Times New Roman"/>
              </w:rPr>
              <w:t xml:space="preserve">11</w:t>
            </w:r>
          </w:p>
        </w:tc>
        <w:tc>
          <w:tcPr>
            <w:tcW w:w="5588" w:type="dxa"/>
            <w:gridSpan w:val="3"/>
            <w:vMerge w:val="restart"/>
            <w:shd w:val="clear" w:color="auto" w:fill="auto"/>
            <w:vAlign w:val="center"/>
          </w:tcPr>
          <w:p w14:paraId="3D829991" w14:textId="120ACC70" w:rsidR="00E145E1" w:rsidRPr="000B6B22" w:rsidRDefault="00E145E1">
            <w:pPr>
              <w:spacing w:before="0"/>
              <w:rPr>
                <w:sz w:val="24"/>
                <w:rFonts w:ascii="Times New Roman" w:hAnsi="Times New Roman"/>
              </w:rPr>
            </w:pPr>
            <w:r>
              <w:rPr>
                <w:sz w:val="24"/>
                <w:rFonts w:ascii="Times New Roman" w:hAnsi="Times New Roman"/>
              </w:rPr>
              <w:t xml:space="preserve">Intereses y pagos mínimos derivados de préstamos con una fecha de vencimiento contractual no definida que se adeuden con arreglo a contrato y originen una entrada real de efectivo en los siguientes 30 días</w:t>
            </w:r>
          </w:p>
        </w:tc>
        <w:tc>
          <w:tcPr>
            <w:tcW w:w="989" w:type="dxa"/>
            <w:shd w:val="clear" w:color="auto" w:fill="auto"/>
            <w:vAlign w:val="center"/>
          </w:tcPr>
          <w:p w14:paraId="564A15F5"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733940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0E7EE341" w14:textId="742BDA5D" w:rsidR="00E145E1" w:rsidRPr="000B6B22" w:rsidRDefault="00E145E1" w:rsidP="009D4EFF">
            <w:pPr>
              <w:spacing w:before="0"/>
              <w:rPr>
                <w:sz w:val="24"/>
                <w:rFonts w:ascii="Times New Roman" w:hAnsi="Times New Roman"/>
              </w:rPr>
            </w:pPr>
            <w:r>
              <w:rPr>
                <w:sz w:val="24"/>
                <w:rFonts w:ascii="Times New Roman" w:hAnsi="Times New Roman"/>
              </w:rPr>
              <w:t xml:space="preserve">Fila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12</w:t>
            </w:r>
          </w:p>
        </w:tc>
        <w:tc>
          <w:tcPr>
            <w:tcW w:w="5588" w:type="dxa"/>
            <w:gridSpan w:val="3"/>
            <w:vMerge w:val="restart"/>
            <w:shd w:val="clear" w:color="auto" w:fill="auto"/>
            <w:vAlign w:val="center"/>
          </w:tcPr>
          <w:p w14:paraId="5DDE042E" w14:textId="43519E02" w:rsidR="00E145E1" w:rsidRPr="000B6B22" w:rsidRDefault="00E145E1">
            <w:pPr>
              <w:spacing w:before="0"/>
              <w:rPr>
                <w:sz w:val="24"/>
                <w:rFonts w:ascii="Times New Roman" w:hAnsi="Times New Roman"/>
              </w:rPr>
            </w:pPr>
            <w:r>
              <w:rPr>
                <w:sz w:val="24"/>
                <w:rFonts w:ascii="Times New Roman" w:hAnsi="Times New Roman"/>
              </w:rPr>
              <w:t xml:space="preserve">Pagos pendientes procedentes de posiciones en instrumentos de patrimonio vinculados a un índice importante, siempre que no haya un doble cómputo con activos líquidos [artículo 32, apartado 2, letra d)]</w:t>
            </w:r>
          </w:p>
        </w:tc>
        <w:tc>
          <w:tcPr>
            <w:tcW w:w="989" w:type="dxa"/>
            <w:shd w:val="clear" w:color="auto" w:fill="auto"/>
            <w:vAlign w:val="center"/>
          </w:tcPr>
          <w:p w14:paraId="29532E5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7726242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0408CF9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13</w:t>
            </w:r>
          </w:p>
        </w:tc>
        <w:tc>
          <w:tcPr>
            <w:tcW w:w="5588" w:type="dxa"/>
            <w:gridSpan w:val="3"/>
            <w:vMerge w:val="restart"/>
            <w:shd w:val="clear" w:color="auto" w:fill="auto"/>
            <w:vAlign w:val="center"/>
          </w:tcPr>
          <w:p w14:paraId="3C1D94D6" w14:textId="796C0DC4" w:rsidR="00E145E1" w:rsidRPr="000B6B22" w:rsidRDefault="00E145E1">
            <w:pPr>
              <w:spacing w:before="0"/>
              <w:rPr>
                <w:sz w:val="24"/>
                <w:rFonts w:ascii="Times New Roman" w:hAnsi="Times New Roman"/>
              </w:rPr>
            </w:pPr>
            <w:r>
              <w:rPr>
                <w:sz w:val="24"/>
                <w:rFonts w:ascii="Times New Roman" w:hAnsi="Times New Roman"/>
              </w:rPr>
              <w:t xml:space="preserve">Entradas procedentes de la liberación de saldos mantenidos en cuentas segregadas conforme a los requisitos normativos relativos a la protección de los activos comerciales de los clientes (artículo 32, apartado 4)</w:t>
            </w:r>
          </w:p>
        </w:tc>
        <w:tc>
          <w:tcPr>
            <w:tcW w:w="989" w:type="dxa"/>
            <w:shd w:val="clear" w:color="auto" w:fill="auto"/>
            <w:vAlign w:val="center"/>
          </w:tcPr>
          <w:p w14:paraId="55E3B2A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1B499380" w14:textId="41590E97" w:rsidR="00E145E1" w:rsidRPr="000B6B22" w:rsidRDefault="00E145E1" w:rsidP="009D4EFF">
            <w:pPr>
              <w:spacing w:before="0"/>
              <w:rPr>
                <w:sz w:val="24"/>
                <w:rFonts w:ascii="Times New Roman" w:hAnsi="Times New Roman"/>
              </w:rPr>
            </w:pPr>
            <w:r>
              <w:rPr>
                <w:sz w:val="24"/>
                <w:rFonts w:ascii="Times New Roman" w:hAnsi="Times New Roman"/>
              </w:rPr>
              <w:t xml:space="preserve">Fila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26BA6E06"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14</w:t>
            </w:r>
          </w:p>
        </w:tc>
        <w:tc>
          <w:tcPr>
            <w:tcW w:w="5588" w:type="dxa"/>
            <w:gridSpan w:val="3"/>
            <w:vMerge w:val="restart"/>
            <w:shd w:val="clear" w:color="auto" w:fill="auto"/>
            <w:vAlign w:val="center"/>
          </w:tcPr>
          <w:p w14:paraId="3D4C8AD4" w14:textId="3B5D4EDB" w:rsidR="00E145E1" w:rsidRPr="000B6B22" w:rsidRDefault="00E145E1">
            <w:pPr>
              <w:spacing w:before="0"/>
              <w:rPr>
                <w:sz w:val="24"/>
                <w:rFonts w:ascii="Times New Roman" w:hAnsi="Times New Roman"/>
              </w:rPr>
            </w:pPr>
            <w:r>
              <w:rPr>
                <w:sz w:val="24"/>
                <w:rFonts w:ascii="Times New Roman" w:hAnsi="Times New Roman"/>
              </w:rPr>
              <w:t xml:space="preserve">Entradas de efectivo procedentes de derivados netas por contrapartes y garantías reales (artículo 32, apartado 5)</w:t>
            </w:r>
          </w:p>
        </w:tc>
        <w:tc>
          <w:tcPr>
            <w:tcW w:w="989" w:type="dxa"/>
            <w:shd w:val="clear" w:color="auto" w:fill="auto"/>
            <w:vAlign w:val="center"/>
          </w:tcPr>
          <w:p w14:paraId="3C76BF5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3297E5D1" w14:textId="05A6EB13" w:rsidR="00E145E1" w:rsidRPr="000B6B22" w:rsidRDefault="00E145E1" w:rsidP="009D4EFF">
            <w:pPr>
              <w:spacing w:before="0"/>
              <w:rPr>
                <w:sz w:val="24"/>
                <w:rFonts w:ascii="Times New Roman" w:hAnsi="Times New Roman"/>
              </w:rPr>
            </w:pPr>
            <w:r>
              <w:rPr>
                <w:sz w:val="24"/>
                <w:rFonts w:ascii="Times New Roman" w:hAnsi="Times New Roman"/>
              </w:rPr>
              <w:t xml:space="preserve">Fila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2845CA8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15</w:t>
            </w:r>
          </w:p>
        </w:tc>
        <w:tc>
          <w:tcPr>
            <w:tcW w:w="5588" w:type="dxa"/>
            <w:gridSpan w:val="3"/>
            <w:vMerge w:val="restart"/>
            <w:shd w:val="clear" w:color="auto" w:fill="auto"/>
            <w:vAlign w:val="center"/>
          </w:tcPr>
          <w:p w14:paraId="1A198E1B" w14:textId="10919066" w:rsidR="00E145E1" w:rsidRPr="000B6B22" w:rsidRDefault="00E145E1">
            <w:pPr>
              <w:spacing w:before="0"/>
              <w:rPr>
                <w:sz w:val="24"/>
                <w:rFonts w:ascii="Times New Roman" w:hAnsi="Times New Roman"/>
              </w:rPr>
            </w:pPr>
            <w:r>
              <w:rPr>
                <w:sz w:val="24"/>
                <w:rFonts w:ascii="Times New Roman" w:hAnsi="Times New Roman"/>
              </w:rPr>
              <w:t xml:space="preserve">Entradas relacionadas con salidas con arreglo a los compromisos de préstamos promocionales a que se refiere el artículo 31, apartado 9 [artículo 32, apartado 3, letra a)]</w:t>
            </w:r>
          </w:p>
        </w:tc>
        <w:tc>
          <w:tcPr>
            <w:tcW w:w="989" w:type="dxa"/>
            <w:shd w:val="clear" w:color="auto" w:fill="auto"/>
            <w:vAlign w:val="center"/>
          </w:tcPr>
          <w:p w14:paraId="616D51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39DDE9A9" w14:textId="3D1FB08B" w:rsidR="00E145E1" w:rsidRPr="000B6B22" w:rsidRDefault="00E145E1" w:rsidP="009D4EFF">
            <w:pPr>
              <w:spacing w:before="0"/>
              <w:rPr>
                <w:sz w:val="24"/>
                <w:rFonts w:ascii="Times New Roman" w:hAnsi="Times New Roman"/>
              </w:rPr>
            </w:pPr>
            <w:r>
              <w:rPr>
                <w:sz w:val="24"/>
                <w:rFonts w:ascii="Times New Roman" w:hAnsi="Times New Roman"/>
              </w:rPr>
              <w:t xml:space="preserve">Fila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75AB24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16</w:t>
            </w:r>
          </w:p>
        </w:tc>
        <w:tc>
          <w:tcPr>
            <w:tcW w:w="5588" w:type="dxa"/>
            <w:gridSpan w:val="3"/>
            <w:vMerge w:val="restart"/>
            <w:shd w:val="clear" w:color="auto" w:fill="auto"/>
            <w:vAlign w:val="center"/>
          </w:tcPr>
          <w:p w14:paraId="4A8D3DDB" w14:textId="3E8FB035" w:rsidR="00E145E1" w:rsidRPr="000B6B22" w:rsidRDefault="00E145E1">
            <w:pPr>
              <w:spacing w:before="0"/>
              <w:rPr>
                <w:sz w:val="24"/>
                <w:rFonts w:ascii="Times New Roman" w:hAnsi="Times New Roman"/>
              </w:rPr>
            </w:pPr>
            <w:r>
              <w:rPr>
                <w:sz w:val="24"/>
                <w:rFonts w:ascii="Times New Roman" w:hAnsi="Times New Roman"/>
              </w:rPr>
              <w:t xml:space="preserve">Pagos pendientes procedentes de bancos centrales y clientes financieros con un vencimiento residual no superior a 30 días [artículo 32, apartado 2, letra a)]</w:t>
            </w:r>
          </w:p>
        </w:tc>
        <w:tc>
          <w:tcPr>
            <w:tcW w:w="989" w:type="dxa"/>
            <w:shd w:val="clear" w:color="auto" w:fill="auto"/>
            <w:vAlign w:val="center"/>
          </w:tcPr>
          <w:p w14:paraId="278AC6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11F23687" w14:textId="09735110" w:rsidR="00E145E1" w:rsidRPr="000B6B22" w:rsidRDefault="00E145E1" w:rsidP="009D4EFF">
            <w:pPr>
              <w:spacing w:before="0"/>
              <w:rPr>
                <w:sz w:val="24"/>
                <w:rFonts w:ascii="Times New Roman" w:hAnsi="Times New Roman"/>
              </w:rPr>
            </w:pPr>
            <w:r>
              <w:rPr>
                <w:sz w:val="24"/>
                <w:rFonts w:ascii="Times New Roman" w:hAnsi="Times New Roman"/>
              </w:rPr>
              <w:t xml:space="preserve">#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7F0889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17</w:t>
            </w:r>
          </w:p>
        </w:tc>
        <w:tc>
          <w:tcPr>
            <w:tcW w:w="5588" w:type="dxa"/>
            <w:gridSpan w:val="3"/>
            <w:vMerge w:val="restart"/>
            <w:shd w:val="clear" w:color="auto" w:fill="auto"/>
            <w:vAlign w:val="center"/>
          </w:tcPr>
          <w:p w14:paraId="47EBA301" w14:textId="28994DF7" w:rsidR="00E145E1" w:rsidRPr="000B6B22" w:rsidRDefault="00E145E1">
            <w:pPr>
              <w:spacing w:before="0"/>
              <w:rPr>
                <w:sz w:val="24"/>
                <w:rFonts w:ascii="Times New Roman" w:hAnsi="Times New Roman"/>
              </w:rPr>
            </w:pPr>
            <w:r>
              <w:rPr>
                <w:sz w:val="24"/>
                <w:rFonts w:ascii="Times New Roman" w:hAnsi="Times New Roman"/>
              </w:rPr>
              <w:t xml:space="preserve">Pagos pendientes de clientes no financieros (excepto bancos centrales) que no correspondan al reembolso del principal (artículo 32, apartado 2)</w:t>
            </w:r>
          </w:p>
        </w:tc>
        <w:tc>
          <w:tcPr>
            <w:tcW w:w="989" w:type="dxa"/>
            <w:shd w:val="clear" w:color="auto" w:fill="auto"/>
            <w:vAlign w:val="center"/>
          </w:tcPr>
          <w:p w14:paraId="35D9418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6AB445B7" w14:textId="1C50C0C5" w:rsidR="00E145E1" w:rsidRPr="000B6B22" w:rsidRDefault="00E145E1" w:rsidP="009D4EFF">
            <w:pPr>
              <w:spacing w:before="0"/>
              <w:rPr>
                <w:sz w:val="24"/>
                <w:rFonts w:ascii="Times New Roman" w:hAnsi="Times New Roman"/>
              </w:rPr>
            </w:pPr>
            <w:r>
              <w:rPr>
                <w:sz w:val="24"/>
                <w:rFonts w:ascii="Times New Roman" w:hAnsi="Times New Roman"/>
              </w:rPr>
              <w:t xml:space="preserve">Fila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621741A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18</w:t>
            </w:r>
          </w:p>
        </w:tc>
        <w:tc>
          <w:tcPr>
            <w:tcW w:w="5588" w:type="dxa"/>
            <w:gridSpan w:val="3"/>
            <w:vMerge w:val="restart"/>
            <w:shd w:val="clear" w:color="auto" w:fill="auto"/>
            <w:vAlign w:val="center"/>
          </w:tcPr>
          <w:p w14:paraId="21236A22" w14:textId="77777777" w:rsidR="00E145E1" w:rsidRPr="000B6B22" w:rsidRDefault="00E145E1">
            <w:pPr>
              <w:spacing w:before="0"/>
              <w:rPr>
                <w:sz w:val="24"/>
                <w:rFonts w:ascii="Times New Roman" w:hAnsi="Times New Roman"/>
              </w:rPr>
            </w:pPr>
            <w:r>
              <w:rPr>
                <w:sz w:val="24"/>
                <w:rFonts w:ascii="Times New Roman" w:hAnsi="Times New Roman"/>
              </w:rPr>
              <w:t xml:space="preserve">Otros pagos pendientes de clientes no financieros (excepto bancos centrales) [artículo 32, apartado 3, letra a)]</w:t>
            </w:r>
          </w:p>
        </w:tc>
        <w:tc>
          <w:tcPr>
            <w:tcW w:w="989" w:type="dxa"/>
            <w:shd w:val="clear" w:color="auto" w:fill="auto"/>
            <w:vAlign w:val="center"/>
          </w:tcPr>
          <w:p w14:paraId="66AB5D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5736F445" w14:textId="569A7153" w:rsidR="00E145E1" w:rsidRPr="000B6B22" w:rsidRDefault="00E145E1" w:rsidP="009D4EFF">
            <w:pPr>
              <w:spacing w:before="0"/>
              <w:rPr>
                <w:sz w:val="24"/>
                <w:rFonts w:ascii="Times New Roman" w:hAnsi="Times New Roman"/>
              </w:rPr>
            </w:pPr>
            <w:r>
              <w:rPr>
                <w:sz w:val="24"/>
                <w:rFonts w:ascii="Times New Roman" w:hAnsi="Times New Roman"/>
              </w:rPr>
              <w:t xml:space="preserve">#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2E1FE291" w14:textId="7DFA5171"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19</w:t>
            </w:r>
          </w:p>
        </w:tc>
        <w:tc>
          <w:tcPr>
            <w:tcW w:w="2706" w:type="dxa"/>
            <w:vMerge w:val="restart"/>
            <w:shd w:val="clear" w:color="auto" w:fill="auto"/>
            <w:vAlign w:val="center"/>
          </w:tcPr>
          <w:p w14:paraId="29BB6159" w14:textId="77777777" w:rsidR="00E145E1" w:rsidRPr="000B6B22" w:rsidRDefault="00E145E1">
            <w:pPr>
              <w:spacing w:before="0"/>
              <w:rPr>
                <w:sz w:val="24"/>
                <w:rFonts w:ascii="Times New Roman" w:hAnsi="Times New Roman"/>
              </w:rPr>
            </w:pPr>
            <w:r>
              <w:rPr>
                <w:sz w:val="24"/>
                <w:rFonts w:ascii="Times New Roman" w:hAnsi="Times New Roman"/>
              </w:rPr>
              <w:t xml:space="preserve">Otros pagos pendientes de clientes no financieros (excepto bancos centrales) [artículo 32, apartado 3, letra a)]</w:t>
            </w:r>
          </w:p>
        </w:tc>
        <w:tc>
          <w:tcPr>
            <w:tcW w:w="724" w:type="dxa"/>
            <w:vMerge w:val="restart"/>
            <w:shd w:val="clear" w:color="auto" w:fill="auto"/>
            <w:vAlign w:val="center"/>
          </w:tcPr>
          <w:p w14:paraId="14926B13" w14:textId="0EC3C466" w:rsidR="00E145E1" w:rsidRPr="000B6B22" w:rsidRDefault="00E145E1" w:rsidP="009D4EFF">
            <w:pPr>
              <w:spacing w:before="0"/>
              <w:rPr>
                <w:sz w:val="24"/>
                <w:rFonts w:ascii="Times New Roman" w:hAnsi="Times New Roman"/>
              </w:rPr>
            </w:pPr>
            <w:r>
              <w:rPr>
                <w:sz w:val="24"/>
                <w:rFonts w:ascii="Times New Roman" w:hAnsi="Times New Roman"/>
              </w:rPr>
              <w:t xml:space="preserve"># 19.1</w:t>
            </w:r>
          </w:p>
        </w:tc>
        <w:tc>
          <w:tcPr>
            <w:tcW w:w="2158" w:type="dxa"/>
            <w:vMerge w:val="restart"/>
            <w:shd w:val="clear" w:color="auto" w:fill="auto"/>
            <w:vAlign w:val="center"/>
          </w:tcPr>
          <w:p w14:paraId="50228647" w14:textId="77777777" w:rsidR="00E145E1" w:rsidRPr="000B6B22" w:rsidRDefault="00E145E1">
            <w:pPr>
              <w:spacing w:before="0"/>
              <w:rPr>
                <w:sz w:val="24"/>
                <w:rFonts w:ascii="Times New Roman" w:hAnsi="Times New Roman"/>
              </w:rPr>
            </w:pPr>
            <w:r>
              <w:rPr>
                <w:sz w:val="24"/>
                <w:rFonts w:ascii="Times New Roman" w:hAnsi="Times New Roman"/>
              </w:rPr>
              <w:t xml:space="preserve">Clientes minoristas</w:t>
            </w:r>
          </w:p>
        </w:tc>
        <w:tc>
          <w:tcPr>
            <w:tcW w:w="989" w:type="dxa"/>
            <w:shd w:val="clear" w:color="auto" w:fill="auto"/>
            <w:vAlign w:val="center"/>
          </w:tcPr>
          <w:p w14:paraId="57862B7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513EF7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30A39C3B" w14:textId="07522F8F" w:rsidR="00E145E1" w:rsidRPr="000B6B22" w:rsidRDefault="00E145E1" w:rsidP="009D4EFF">
            <w:pPr>
              <w:spacing w:before="0"/>
              <w:rPr>
                <w:sz w:val="24"/>
                <w:rFonts w:ascii="Times New Roman" w:hAnsi="Times New Roman"/>
              </w:rPr>
            </w:pPr>
            <w:r>
              <w:rPr>
                <w:sz w:val="24"/>
                <w:rFonts w:ascii="Times New Roman" w:hAnsi="Times New Roman"/>
              </w:rPr>
              <w:t xml:space="preserve">#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sz w:val="24"/>
                <w:rFonts w:ascii="Times New Roman" w:hAnsi="Times New Roman"/>
              </w:rPr>
            </w:pPr>
            <w:r>
              <w:rPr>
                <w:sz w:val="24"/>
                <w:rFonts w:ascii="Times New Roman" w:hAnsi="Times New Roman"/>
              </w:rPr>
              <w:t xml:space="preserve"># 19.2</w:t>
            </w:r>
          </w:p>
        </w:tc>
        <w:tc>
          <w:tcPr>
            <w:tcW w:w="2158" w:type="dxa"/>
            <w:vMerge w:val="restart"/>
            <w:shd w:val="clear" w:color="auto" w:fill="auto"/>
            <w:vAlign w:val="center"/>
          </w:tcPr>
          <w:p w14:paraId="7E63BF7F" w14:textId="77777777" w:rsidR="00E145E1" w:rsidRPr="000B6B22" w:rsidRDefault="00E145E1">
            <w:pPr>
              <w:spacing w:before="0"/>
              <w:rPr>
                <w:sz w:val="24"/>
                <w:rFonts w:ascii="Times New Roman" w:hAnsi="Times New Roman"/>
              </w:rPr>
            </w:pPr>
            <w:r>
              <w:rPr>
                <w:sz w:val="24"/>
                <w:rFonts w:ascii="Times New Roman" w:hAnsi="Times New Roman"/>
              </w:rPr>
              <w:t xml:space="preserve">Empresas no financieras</w:t>
            </w:r>
          </w:p>
        </w:tc>
        <w:tc>
          <w:tcPr>
            <w:tcW w:w="989" w:type="dxa"/>
            <w:shd w:val="clear" w:color="auto" w:fill="auto"/>
            <w:vAlign w:val="center"/>
          </w:tcPr>
          <w:p w14:paraId="53B6625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16E7C9E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381E6311" w14:textId="0715AF15" w:rsidR="00E145E1" w:rsidRPr="000B6B22" w:rsidRDefault="00E145E1" w:rsidP="009D4EFF">
            <w:pPr>
              <w:spacing w:before="0"/>
              <w:rPr>
                <w:sz w:val="24"/>
                <w:rFonts w:ascii="Times New Roman" w:hAnsi="Times New Roman"/>
              </w:rPr>
            </w:pPr>
            <w:r>
              <w:rPr>
                <w:sz w:val="24"/>
                <w:rFonts w:ascii="Times New Roman" w:hAnsi="Times New Roman"/>
              </w:rPr>
              <w:t xml:space="preserve">#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sz w:val="24"/>
                <w:rFonts w:ascii="Times New Roman" w:hAnsi="Times New Roman"/>
              </w:rPr>
            </w:pPr>
            <w:r>
              <w:rPr>
                <w:sz w:val="24"/>
                <w:rFonts w:ascii="Times New Roman" w:hAnsi="Times New Roman"/>
              </w:rPr>
              <w:t xml:space="preserve"># 19.3</w:t>
            </w:r>
          </w:p>
        </w:tc>
        <w:tc>
          <w:tcPr>
            <w:tcW w:w="2158" w:type="dxa"/>
            <w:vMerge w:val="restart"/>
            <w:shd w:val="clear" w:color="auto" w:fill="auto"/>
            <w:vAlign w:val="center"/>
          </w:tcPr>
          <w:p w14:paraId="65C66326" w14:textId="77777777" w:rsidR="00E145E1" w:rsidRPr="000B6B22" w:rsidRDefault="00E145E1">
            <w:pPr>
              <w:spacing w:before="0"/>
              <w:rPr>
                <w:sz w:val="24"/>
                <w:rFonts w:ascii="Times New Roman" w:hAnsi="Times New Roman"/>
              </w:rPr>
            </w:pPr>
            <w:r>
              <w:rPr>
                <w:sz w:val="24"/>
                <w:rFonts w:ascii="Times New Roman" w:hAnsi="Times New Roman"/>
              </w:rPr>
              <w:t xml:space="preserve">Emisores soberanos, bancos multilaterales de desarrollo y entes del sector público</w:t>
            </w:r>
          </w:p>
        </w:tc>
        <w:tc>
          <w:tcPr>
            <w:tcW w:w="989" w:type="dxa"/>
            <w:shd w:val="clear" w:color="auto" w:fill="auto"/>
            <w:vAlign w:val="center"/>
          </w:tcPr>
          <w:p w14:paraId="06D69DD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727236A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2B44FEC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sz w:val="24"/>
                <w:rFonts w:ascii="Times New Roman" w:hAnsi="Times New Roman"/>
              </w:rPr>
            </w:pPr>
            <w:r>
              <w:rPr>
                <w:sz w:val="24"/>
                <w:rFonts w:ascii="Times New Roman" w:hAnsi="Times New Roman"/>
              </w:rPr>
              <w:t xml:space="preserve">20</w:t>
            </w:r>
          </w:p>
        </w:tc>
        <w:tc>
          <w:tcPr>
            <w:tcW w:w="5588" w:type="dxa"/>
            <w:gridSpan w:val="3"/>
            <w:vMerge w:val="restart"/>
            <w:shd w:val="clear" w:color="auto" w:fill="auto"/>
            <w:vAlign w:val="center"/>
          </w:tcPr>
          <w:p w14:paraId="015BAECE" w14:textId="77777777" w:rsidR="00E145E1" w:rsidRPr="000B6B22" w:rsidRDefault="00E145E1">
            <w:pPr>
              <w:spacing w:before="0"/>
              <w:rPr>
                <w:sz w:val="24"/>
                <w:rFonts w:ascii="Times New Roman" w:hAnsi="Times New Roman"/>
              </w:rPr>
            </w:pPr>
            <w:r>
              <w:rPr>
                <w:sz w:val="24"/>
                <w:rFonts w:ascii="Times New Roman" w:hAnsi="Times New Roman"/>
              </w:rPr>
              <w:t xml:space="preserve">Entradas procedentes de clientes financieros clasificadas como depósitos operativos [artículo 32, apartado 3, letra d)]</w:t>
            </w:r>
          </w:p>
        </w:tc>
        <w:tc>
          <w:tcPr>
            <w:tcW w:w="989" w:type="dxa"/>
            <w:shd w:val="clear" w:color="auto" w:fill="auto"/>
            <w:vAlign w:val="center"/>
          </w:tcPr>
          <w:p w14:paraId="354DC3F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0363BE3E" w14:textId="57555D20" w:rsidR="00E145E1" w:rsidRPr="000B6B22" w:rsidRDefault="00E145E1" w:rsidP="009D4EFF">
            <w:pPr>
              <w:spacing w:before="0"/>
              <w:rPr>
                <w:sz w:val="24"/>
                <w:rFonts w:ascii="Times New Roman" w:hAnsi="Times New Roman"/>
              </w:rPr>
            </w:pPr>
            <w:r>
              <w:rPr>
                <w:sz w:val="24"/>
                <w:rFonts w:ascii="Times New Roman" w:hAnsi="Times New Roman"/>
              </w:rPr>
              <w:t xml:space="preserve">#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7B7BA22C" w14:textId="00E283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sz w:val="24"/>
                <w:rFonts w:ascii="Times New Roman" w:hAnsi="Times New Roman"/>
              </w:rPr>
            </w:pPr>
            <w:r>
              <w:rPr>
                <w:sz w:val="24"/>
                <w:rFonts w:ascii="Times New Roman" w:hAnsi="Times New Roman"/>
              </w:rPr>
              <w:t xml:space="preserve">21</w:t>
            </w:r>
          </w:p>
        </w:tc>
        <w:tc>
          <w:tcPr>
            <w:tcW w:w="5588" w:type="dxa"/>
            <w:gridSpan w:val="3"/>
            <w:vMerge w:val="restart"/>
            <w:shd w:val="clear" w:color="auto" w:fill="auto"/>
            <w:vAlign w:val="center"/>
          </w:tcPr>
          <w:p w14:paraId="30E8AB4A" w14:textId="77777777" w:rsidR="00E145E1" w:rsidRPr="000B6B22" w:rsidRDefault="00E145E1">
            <w:pPr>
              <w:spacing w:before="0"/>
              <w:rPr>
                <w:sz w:val="24"/>
                <w:rFonts w:ascii="Times New Roman" w:hAnsi="Times New Roman"/>
              </w:rPr>
            </w:pPr>
            <w:r>
              <w:rPr>
                <w:sz w:val="24"/>
                <w:rFonts w:ascii="Times New Roman" w:hAnsi="Times New Roman"/>
              </w:rPr>
              <w:t xml:space="preserve">La entidad de crédito puede establecer un índice de entrada simétrica correspondiente [artículo 32, apartado 3, letra d)]</w:t>
            </w:r>
          </w:p>
        </w:tc>
        <w:tc>
          <w:tcPr>
            <w:tcW w:w="989" w:type="dxa"/>
            <w:shd w:val="clear" w:color="auto" w:fill="auto"/>
            <w:vAlign w:val="center"/>
          </w:tcPr>
          <w:p w14:paraId="68FFF8A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3EF2A5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7BC0B1B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sz w:val="24"/>
                <w:rFonts w:ascii="Times New Roman" w:hAnsi="Times New Roman"/>
              </w:rPr>
            </w:pPr>
            <w:r>
              <w:rPr>
                <w:sz w:val="24"/>
                <w:rFonts w:ascii="Times New Roman" w:hAnsi="Times New Roman"/>
              </w:rPr>
              <w:t xml:space="preserve">22</w:t>
            </w:r>
          </w:p>
        </w:tc>
        <w:tc>
          <w:tcPr>
            <w:tcW w:w="5588" w:type="dxa"/>
            <w:gridSpan w:val="3"/>
            <w:vMerge w:val="restart"/>
            <w:shd w:val="clear" w:color="auto" w:fill="auto"/>
            <w:vAlign w:val="center"/>
          </w:tcPr>
          <w:p w14:paraId="00BCD796" w14:textId="77777777" w:rsidR="00E145E1" w:rsidRPr="000B6B22" w:rsidRDefault="00E145E1">
            <w:pPr>
              <w:spacing w:before="0"/>
              <w:rPr>
                <w:sz w:val="24"/>
                <w:rFonts w:ascii="Times New Roman" w:hAnsi="Times New Roman"/>
              </w:rPr>
            </w:pPr>
            <w:r>
              <w:rPr>
                <w:sz w:val="24"/>
                <w:rFonts w:ascii="Times New Roman" w:hAnsi="Times New Roman"/>
              </w:rPr>
              <w:t xml:space="preserve">Pagos pendientes de bancos centrales [artículo 32, apartado 2, letra a)]</w:t>
            </w:r>
          </w:p>
        </w:tc>
        <w:tc>
          <w:tcPr>
            <w:tcW w:w="989" w:type="dxa"/>
            <w:shd w:val="clear" w:color="auto" w:fill="auto"/>
            <w:vAlign w:val="center"/>
          </w:tcPr>
          <w:p w14:paraId="67A742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16BB6E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Fila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sz w:val="24"/>
                <w:rFonts w:ascii="Times New Roman" w:hAnsi="Times New Roman"/>
              </w:rPr>
            </w:pPr>
            <w:r>
              <w:rPr>
                <w:sz w:val="24"/>
                <w:rFonts w:ascii="Times New Roman" w:hAnsi="Times New Roman"/>
              </w:rPr>
              <w:t xml:space="preserve">23</w:t>
            </w:r>
          </w:p>
        </w:tc>
        <w:tc>
          <w:tcPr>
            <w:tcW w:w="5588" w:type="dxa"/>
            <w:gridSpan w:val="3"/>
            <w:vMerge w:val="restart"/>
            <w:shd w:val="clear" w:color="auto" w:fill="auto"/>
            <w:vAlign w:val="center"/>
          </w:tcPr>
          <w:p w14:paraId="12BF1006" w14:textId="77777777" w:rsidR="00E145E1" w:rsidRPr="000B6B22" w:rsidRDefault="00E145E1">
            <w:pPr>
              <w:spacing w:before="0"/>
              <w:rPr>
                <w:sz w:val="24"/>
                <w:rFonts w:ascii="Times New Roman" w:hAnsi="Times New Roman"/>
              </w:rPr>
            </w:pPr>
            <w:r>
              <w:rPr>
                <w:sz w:val="24"/>
                <w:rFonts w:ascii="Times New Roman" w:hAnsi="Times New Roman"/>
              </w:rPr>
              <w:t xml:space="preserve">Operación de permuta de garantías reales [artículo 32, apartado 3, letra e)]</w:t>
            </w:r>
          </w:p>
        </w:tc>
        <w:tc>
          <w:tcPr>
            <w:tcW w:w="989" w:type="dxa"/>
            <w:shd w:val="clear" w:color="auto" w:fill="auto"/>
            <w:vAlign w:val="center"/>
          </w:tcPr>
          <w:p w14:paraId="46D6753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Sí</w:t>
            </w:r>
          </w:p>
        </w:tc>
        <w:tc>
          <w:tcPr>
            <w:tcW w:w="2150" w:type="dxa"/>
            <w:shd w:val="clear" w:color="auto" w:fill="auto"/>
            <w:vAlign w:val="center"/>
          </w:tcPr>
          <w:p w14:paraId="2C5ACFCA" w14:textId="74E8D904" w:rsidR="00E145E1" w:rsidRPr="000B6B22" w:rsidRDefault="00E145E1" w:rsidP="009D4EFF">
            <w:pPr>
              <w:spacing w:before="0"/>
              <w:rPr>
                <w:sz w:val="24"/>
                <w:vertAlign w:val="superscript"/>
                <w:rFonts w:ascii="Times New Roman" w:hAnsi="Times New Roman"/>
              </w:rPr>
            </w:pPr>
            <w:r>
              <w:rPr>
                <w:sz w:val="24"/>
                <w:rFonts w:ascii="Times New Roman" w:hAnsi="Times New Roman"/>
              </w:rPr>
              <w:t xml:space="preserve">Fila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No</w:t>
            </w:r>
          </w:p>
        </w:tc>
        <w:tc>
          <w:tcPr>
            <w:tcW w:w="2150" w:type="dxa"/>
            <w:shd w:val="clear" w:color="auto" w:fill="auto"/>
            <w:vAlign w:val="center"/>
          </w:tcPr>
          <w:p w14:paraId="1B5F7171" w14:textId="23DA5F13"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Operación realizada con un banco central</w:t>
            </w:r>
          </w:p>
        </w:tc>
        <w:tc>
          <w:tcPr>
            <w:tcW w:w="989" w:type="dxa"/>
            <w:shd w:val="clear" w:color="auto" w:fill="auto"/>
            <w:vAlign w:val="center"/>
          </w:tcPr>
          <w:p w14:paraId="5CCEF3E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0A6F52DD" w14:textId="0B7E269C"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2FD01739" w14:textId="019BE5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Las garantías reales suelen ser admisibles como activo líquido (con independencia o no de su reutilización en otra operación y de si el activo cumple o no el requisito operativo en virtud del artículo 8)</w:t>
            </w:r>
          </w:p>
        </w:tc>
        <w:tc>
          <w:tcPr>
            <w:tcW w:w="989" w:type="dxa"/>
            <w:shd w:val="clear" w:color="auto" w:fill="auto"/>
            <w:vAlign w:val="center"/>
          </w:tcPr>
          <w:p w14:paraId="5C7E3CF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71F5B27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2A8FD2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utilizadas para cubrir posiciones cortas</w:t>
            </w:r>
          </w:p>
        </w:tc>
        <w:tc>
          <w:tcPr>
            <w:tcW w:w="989" w:type="dxa"/>
            <w:shd w:val="clear" w:color="auto" w:fill="auto"/>
            <w:vAlign w:val="center"/>
          </w:tcPr>
          <w:p w14:paraId="19D74A9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7356602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6910DF0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Las garantías reales recibidas cumplen los requisitos operativos con arreglo al artículo 8</w:t>
            </w:r>
          </w:p>
        </w:tc>
        <w:tc>
          <w:tcPr>
            <w:tcW w:w="989" w:type="dxa"/>
            <w:shd w:val="clear" w:color="auto" w:fill="auto"/>
            <w:vAlign w:val="center"/>
          </w:tcPr>
          <w:p w14:paraId="2E56F6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59492FE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4F86E65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28</w:t>
            </w:r>
          </w:p>
        </w:tc>
        <w:tc>
          <w:tcPr>
            <w:tcW w:w="2706" w:type="dxa"/>
            <w:vMerge w:val="restart"/>
            <w:shd w:val="clear" w:color="auto" w:fill="auto"/>
            <w:vAlign w:val="center"/>
          </w:tcPr>
          <w:p w14:paraId="3DE321A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Operación de financiación garantizada mediante [artículo 32, apartado 3, letra b)]:</w:t>
            </w:r>
          </w:p>
        </w:tc>
        <w:tc>
          <w:tcPr>
            <w:tcW w:w="724" w:type="dxa"/>
            <w:vMerge w:val="restart"/>
            <w:shd w:val="clear" w:color="auto" w:fill="auto"/>
            <w:vAlign w:val="center"/>
          </w:tcPr>
          <w:p w14:paraId="4D8F07E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28.1</w:t>
            </w:r>
          </w:p>
        </w:tc>
        <w:tc>
          <w:tcPr>
            <w:tcW w:w="2158" w:type="dxa"/>
            <w:vMerge w:val="restart"/>
            <w:shd w:val="clear" w:color="auto" w:fill="auto"/>
            <w:vAlign w:val="center"/>
          </w:tcPr>
          <w:p w14:paraId="032F8CB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1, excepto bonos garantizados de calidad sumamente elevada</w:t>
            </w:r>
          </w:p>
        </w:tc>
        <w:tc>
          <w:tcPr>
            <w:tcW w:w="989" w:type="dxa"/>
            <w:shd w:val="clear" w:color="auto" w:fill="auto"/>
            <w:vAlign w:val="center"/>
          </w:tcPr>
          <w:p w14:paraId="5235900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6BE471E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269, ID 1.2.1.1.1 +</w:t>
            </w:r>
            <w:r>
              <w:rPr>
                <w:sz w:val="24"/>
                <w:rFonts w:ascii="Times New Roman" w:hAnsi="Times New Roman"/>
              </w:rPr>
              <w:t xml:space="preserve"> </w:t>
            </w:r>
          </w:p>
          <w:p w14:paraId="35F2B5B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07C9061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28.2</w:t>
            </w:r>
          </w:p>
        </w:tc>
        <w:tc>
          <w:tcPr>
            <w:tcW w:w="2158" w:type="dxa"/>
            <w:vMerge w:val="restart"/>
            <w:shd w:val="clear" w:color="auto" w:fill="auto"/>
            <w:vAlign w:val="center"/>
          </w:tcPr>
          <w:p w14:paraId="7FB59D3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1 consistentes en bonos garantizados de calidad sumamente elevada</w:t>
            </w:r>
          </w:p>
        </w:tc>
        <w:tc>
          <w:tcPr>
            <w:tcW w:w="989" w:type="dxa"/>
            <w:shd w:val="clear" w:color="auto" w:fill="auto"/>
            <w:vAlign w:val="center"/>
          </w:tcPr>
          <w:p w14:paraId="755CC0C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025BCFD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273, ID 1.2.1.1.2 +</w:t>
            </w:r>
            <w:r>
              <w:rPr>
                <w:sz w:val="24"/>
                <w:rFonts w:ascii="Times New Roman" w:hAnsi="Times New Roman"/>
              </w:rPr>
              <w:t xml:space="preserve"> </w:t>
            </w:r>
          </w:p>
          <w:p w14:paraId="1740F3E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3F2E0B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28.3</w:t>
            </w:r>
          </w:p>
        </w:tc>
        <w:tc>
          <w:tcPr>
            <w:tcW w:w="2158" w:type="dxa"/>
            <w:vMerge w:val="restart"/>
            <w:shd w:val="clear" w:color="auto" w:fill="auto"/>
            <w:vAlign w:val="center"/>
          </w:tcPr>
          <w:p w14:paraId="25388EA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2A</w:t>
            </w:r>
          </w:p>
        </w:tc>
        <w:tc>
          <w:tcPr>
            <w:tcW w:w="989" w:type="dxa"/>
            <w:shd w:val="clear" w:color="auto" w:fill="auto"/>
            <w:vAlign w:val="center"/>
          </w:tcPr>
          <w:p w14:paraId="05C633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1FB7647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277, ID 1.2.1.1.3 +</w:t>
            </w:r>
            <w:r>
              <w:rPr>
                <w:sz w:val="24"/>
                <w:rFonts w:ascii="Times New Roman" w:hAnsi="Times New Roman"/>
              </w:rPr>
              <w:t xml:space="preserve"> </w:t>
            </w:r>
          </w:p>
          <w:p w14:paraId="599696F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2CAC511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28.4</w:t>
            </w:r>
          </w:p>
        </w:tc>
        <w:tc>
          <w:tcPr>
            <w:tcW w:w="2158" w:type="dxa"/>
            <w:vMerge w:val="restart"/>
            <w:shd w:val="clear" w:color="auto" w:fill="auto"/>
            <w:vAlign w:val="center"/>
          </w:tcPr>
          <w:p w14:paraId="774F7C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de titulización de activos (residenciales o automóviles)</w:t>
            </w:r>
          </w:p>
        </w:tc>
        <w:tc>
          <w:tcPr>
            <w:tcW w:w="989" w:type="dxa"/>
            <w:shd w:val="clear" w:color="auto" w:fill="auto"/>
            <w:vAlign w:val="center"/>
          </w:tcPr>
          <w:p w14:paraId="3F7B4A5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77DF76E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281, ID 1.2.1.1.4 +</w:t>
            </w:r>
            <w:r>
              <w:rPr>
                <w:sz w:val="24"/>
                <w:rFonts w:ascii="Times New Roman" w:hAnsi="Times New Roman"/>
              </w:rPr>
              <w:t xml:space="preserve"> </w:t>
            </w:r>
          </w:p>
          <w:p w14:paraId="52E1FF9E"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4CDFC52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28.5</w:t>
            </w:r>
          </w:p>
        </w:tc>
        <w:tc>
          <w:tcPr>
            <w:tcW w:w="2158" w:type="dxa"/>
            <w:vMerge w:val="restart"/>
            <w:shd w:val="clear" w:color="auto" w:fill="auto"/>
            <w:vAlign w:val="center"/>
          </w:tcPr>
          <w:p w14:paraId="074C1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garantizados de calidad elevada</w:t>
            </w:r>
          </w:p>
        </w:tc>
        <w:tc>
          <w:tcPr>
            <w:tcW w:w="989" w:type="dxa"/>
            <w:shd w:val="clear" w:color="auto" w:fill="auto"/>
            <w:vAlign w:val="center"/>
          </w:tcPr>
          <w:p w14:paraId="0CCDFCD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5568754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285, ID 1.2.1.1.5 +</w:t>
            </w:r>
            <w:r>
              <w:rPr>
                <w:sz w:val="24"/>
                <w:rFonts w:ascii="Times New Roman" w:hAnsi="Times New Roman"/>
              </w:rPr>
              <w:t xml:space="preserve"> </w:t>
            </w:r>
          </w:p>
          <w:p w14:paraId="2368FE9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537800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28.6</w:t>
            </w:r>
          </w:p>
        </w:tc>
        <w:tc>
          <w:tcPr>
            <w:tcW w:w="2158" w:type="dxa"/>
            <w:vMerge w:val="restart"/>
            <w:shd w:val="clear" w:color="auto" w:fill="auto"/>
            <w:vAlign w:val="center"/>
          </w:tcPr>
          <w:p w14:paraId="110F07B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de titulización de activos (comerciales o particulares)</w:t>
            </w:r>
          </w:p>
        </w:tc>
        <w:tc>
          <w:tcPr>
            <w:tcW w:w="989" w:type="dxa"/>
            <w:shd w:val="clear" w:color="auto" w:fill="auto"/>
            <w:vAlign w:val="center"/>
          </w:tcPr>
          <w:p w14:paraId="08A8A2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486CBF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289, ID 1.2.1.1.6 +</w:t>
            </w:r>
            <w:r>
              <w:rPr>
                <w:sz w:val="24"/>
                <w:rFonts w:ascii="Times New Roman" w:hAnsi="Times New Roman"/>
              </w:rPr>
              <w:t xml:space="preserve"> </w:t>
            </w:r>
          </w:p>
          <w:p w14:paraId="0EFBE51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4C3E7B8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293, ID 1.2.1.1.7 +</w:t>
            </w:r>
            <w:r>
              <w:rPr>
                <w:sz w:val="24"/>
                <w:rFonts w:ascii="Times New Roman" w:hAnsi="Times New Roman"/>
              </w:rPr>
              <w:t xml:space="preserve"> </w:t>
            </w:r>
          </w:p>
          <w:p w14:paraId="1415B8C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29</w:t>
            </w:r>
          </w:p>
        </w:tc>
        <w:tc>
          <w:tcPr>
            <w:tcW w:w="2706" w:type="dxa"/>
            <w:vMerge w:val="restart"/>
            <w:shd w:val="clear" w:color="auto" w:fill="auto"/>
            <w:vAlign w:val="center"/>
          </w:tcPr>
          <w:p w14:paraId="5ECA41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Operación de financiación garantizada mediante [artículo 32, apartado 3, letra b)]:</w:t>
            </w:r>
          </w:p>
        </w:tc>
        <w:tc>
          <w:tcPr>
            <w:tcW w:w="724" w:type="dxa"/>
            <w:vMerge w:val="restart"/>
            <w:shd w:val="clear" w:color="auto" w:fill="auto"/>
            <w:vAlign w:val="center"/>
          </w:tcPr>
          <w:p w14:paraId="102CA59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29.1</w:t>
            </w:r>
          </w:p>
        </w:tc>
        <w:tc>
          <w:tcPr>
            <w:tcW w:w="2158" w:type="dxa"/>
            <w:vMerge w:val="restart"/>
            <w:shd w:val="clear" w:color="auto" w:fill="auto"/>
            <w:vAlign w:val="center"/>
          </w:tcPr>
          <w:p w14:paraId="1BD997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1, excepto bonos garantizados de calidad sumamente elevada</w:t>
            </w:r>
          </w:p>
        </w:tc>
        <w:tc>
          <w:tcPr>
            <w:tcW w:w="989" w:type="dxa"/>
            <w:shd w:val="clear" w:color="auto" w:fill="auto"/>
            <w:vAlign w:val="center"/>
          </w:tcPr>
          <w:p w14:paraId="0585B27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751C045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82BBE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29.2</w:t>
            </w:r>
          </w:p>
        </w:tc>
        <w:tc>
          <w:tcPr>
            <w:tcW w:w="2158" w:type="dxa"/>
            <w:vMerge w:val="restart"/>
            <w:shd w:val="clear" w:color="auto" w:fill="auto"/>
            <w:vAlign w:val="center"/>
          </w:tcPr>
          <w:p w14:paraId="1047425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1 consistentes en bonos garantizados de calidad sumamente elevada</w:t>
            </w:r>
          </w:p>
        </w:tc>
        <w:tc>
          <w:tcPr>
            <w:tcW w:w="989" w:type="dxa"/>
            <w:shd w:val="clear" w:color="auto" w:fill="auto"/>
            <w:vAlign w:val="center"/>
          </w:tcPr>
          <w:p w14:paraId="18C7CF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445E22D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54349CC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29.3</w:t>
            </w:r>
          </w:p>
        </w:tc>
        <w:tc>
          <w:tcPr>
            <w:tcW w:w="2158" w:type="dxa"/>
            <w:vMerge w:val="restart"/>
            <w:shd w:val="clear" w:color="auto" w:fill="auto"/>
            <w:vAlign w:val="center"/>
          </w:tcPr>
          <w:p w14:paraId="1E2E29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2A</w:t>
            </w:r>
          </w:p>
        </w:tc>
        <w:tc>
          <w:tcPr>
            <w:tcW w:w="989" w:type="dxa"/>
            <w:shd w:val="clear" w:color="auto" w:fill="auto"/>
            <w:vAlign w:val="center"/>
          </w:tcPr>
          <w:p w14:paraId="6C039BA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6176989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2922861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29.4</w:t>
            </w:r>
          </w:p>
        </w:tc>
        <w:tc>
          <w:tcPr>
            <w:tcW w:w="2158" w:type="dxa"/>
            <w:vMerge w:val="restart"/>
            <w:shd w:val="clear" w:color="auto" w:fill="auto"/>
            <w:vAlign w:val="center"/>
          </w:tcPr>
          <w:p w14:paraId="7D2C6CB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de titulización de activos (residenciales o automóviles)</w:t>
            </w:r>
          </w:p>
        </w:tc>
        <w:tc>
          <w:tcPr>
            <w:tcW w:w="989" w:type="dxa"/>
            <w:shd w:val="clear" w:color="auto" w:fill="auto"/>
            <w:vAlign w:val="center"/>
          </w:tcPr>
          <w:p w14:paraId="2C5294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7717B00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C4D8B9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29.5</w:t>
            </w:r>
          </w:p>
        </w:tc>
        <w:tc>
          <w:tcPr>
            <w:tcW w:w="2158" w:type="dxa"/>
            <w:vMerge w:val="restart"/>
            <w:shd w:val="clear" w:color="auto" w:fill="auto"/>
            <w:vAlign w:val="center"/>
          </w:tcPr>
          <w:p w14:paraId="72A5301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garantizados de calidad elevada</w:t>
            </w:r>
          </w:p>
        </w:tc>
        <w:tc>
          <w:tcPr>
            <w:tcW w:w="989" w:type="dxa"/>
            <w:shd w:val="clear" w:color="auto" w:fill="auto"/>
            <w:vAlign w:val="center"/>
          </w:tcPr>
          <w:p w14:paraId="4632C0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240B94A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076E690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29.6</w:t>
            </w:r>
          </w:p>
        </w:tc>
        <w:tc>
          <w:tcPr>
            <w:tcW w:w="2158" w:type="dxa"/>
            <w:vMerge w:val="restart"/>
            <w:shd w:val="clear" w:color="auto" w:fill="auto"/>
            <w:vAlign w:val="center"/>
          </w:tcPr>
          <w:p w14:paraId="7001E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de titulización de activos (comerciales o particulares)</w:t>
            </w:r>
          </w:p>
        </w:tc>
        <w:tc>
          <w:tcPr>
            <w:tcW w:w="989" w:type="dxa"/>
            <w:shd w:val="clear" w:color="auto" w:fill="auto"/>
            <w:vAlign w:val="center"/>
          </w:tcPr>
          <w:p w14:paraId="14BC0B4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0D09166F"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2CA809A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que no pueden considerarse activos líquidos [artículo 32, apartado 3, letra b)] y consistentes en instrumentos de patrimonio no líquidos</w:t>
            </w:r>
          </w:p>
        </w:tc>
        <w:tc>
          <w:tcPr>
            <w:tcW w:w="989" w:type="dxa"/>
            <w:shd w:val="clear" w:color="auto" w:fill="auto"/>
            <w:vAlign w:val="center"/>
          </w:tcPr>
          <w:p w14:paraId="230989F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76DFFABF" w14:textId="19D3F2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6D970C8A" w14:textId="10BA2776"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Fila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Las garantías reales suelen ser admisibles como activo líquido (con independencia o no de su reutilización en otra operación y de si el activo cumple o no el requisito operativo en virtud del artículo 8)</w:t>
            </w:r>
          </w:p>
        </w:tc>
        <w:tc>
          <w:tcPr>
            <w:tcW w:w="989" w:type="dxa"/>
            <w:shd w:val="clear" w:color="auto" w:fill="auto"/>
            <w:vAlign w:val="center"/>
          </w:tcPr>
          <w:p w14:paraId="28B6CBA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07B0A8A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E21064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utilizadas para cubrir posiciones cortas</w:t>
            </w:r>
          </w:p>
        </w:tc>
        <w:tc>
          <w:tcPr>
            <w:tcW w:w="989" w:type="dxa"/>
            <w:shd w:val="clear" w:color="auto" w:fill="auto"/>
            <w:vAlign w:val="center"/>
          </w:tcPr>
          <w:p w14:paraId="5B361D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461B8DF8" w14:textId="5088856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91D163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Las garantías reales recibidas cumplen los requisitos operativos con arreglo al artículo 8</w:t>
            </w:r>
          </w:p>
        </w:tc>
        <w:tc>
          <w:tcPr>
            <w:tcW w:w="989" w:type="dxa"/>
            <w:shd w:val="clear" w:color="auto" w:fill="auto"/>
            <w:vAlign w:val="center"/>
          </w:tcPr>
          <w:p w14:paraId="0BDB46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7619C37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51C296C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34</w:t>
            </w:r>
          </w:p>
        </w:tc>
        <w:tc>
          <w:tcPr>
            <w:tcW w:w="2706" w:type="dxa"/>
            <w:vMerge w:val="restart"/>
            <w:shd w:val="clear" w:color="auto" w:fill="auto"/>
            <w:vAlign w:val="center"/>
          </w:tcPr>
          <w:p w14:paraId="03A1332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Operación de financiación garantizada mediante [artículo 32, apartado 3, letra b)]:</w:t>
            </w:r>
          </w:p>
        </w:tc>
        <w:tc>
          <w:tcPr>
            <w:tcW w:w="724" w:type="dxa"/>
            <w:vMerge w:val="restart"/>
            <w:shd w:val="clear" w:color="auto" w:fill="auto"/>
            <w:vAlign w:val="center"/>
          </w:tcPr>
          <w:p w14:paraId="5A3420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34.1</w:t>
            </w:r>
          </w:p>
        </w:tc>
        <w:tc>
          <w:tcPr>
            <w:tcW w:w="2158" w:type="dxa"/>
            <w:vMerge w:val="restart"/>
            <w:shd w:val="clear" w:color="auto" w:fill="auto"/>
            <w:vAlign w:val="center"/>
          </w:tcPr>
          <w:p w14:paraId="1CD87D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1, excepto bonos garantizados de calidad sumamente elevada</w:t>
            </w:r>
          </w:p>
        </w:tc>
        <w:tc>
          <w:tcPr>
            <w:tcW w:w="989" w:type="dxa"/>
            <w:shd w:val="clear" w:color="auto" w:fill="auto"/>
            <w:vAlign w:val="center"/>
          </w:tcPr>
          <w:p w14:paraId="384BC4D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4DCC66F1" w14:textId="2072885A"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309, ID 1.2.2.1.1 +</w:t>
            </w:r>
            <w:r>
              <w:rPr>
                <w:sz w:val="24"/>
                <w:rFonts w:ascii="Times New Roman" w:hAnsi="Times New Roman"/>
              </w:rPr>
              <w:t xml:space="preserve"> </w:t>
            </w:r>
          </w:p>
          <w:p w14:paraId="359613C7" w14:textId="64E5A68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0CAFEBA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34.2</w:t>
            </w:r>
          </w:p>
        </w:tc>
        <w:tc>
          <w:tcPr>
            <w:tcW w:w="2158" w:type="dxa"/>
            <w:vMerge w:val="restart"/>
            <w:shd w:val="clear" w:color="auto" w:fill="auto"/>
            <w:vAlign w:val="center"/>
          </w:tcPr>
          <w:p w14:paraId="4A670C9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1 consistentes en bonos garantizados de calidad sumamente elevada</w:t>
            </w:r>
          </w:p>
        </w:tc>
        <w:tc>
          <w:tcPr>
            <w:tcW w:w="989" w:type="dxa"/>
            <w:shd w:val="clear" w:color="auto" w:fill="auto"/>
            <w:vAlign w:val="center"/>
          </w:tcPr>
          <w:p w14:paraId="6E5AF26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3212CC7D" w14:textId="593388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313, ID 1.2.2.1.2 +</w:t>
            </w:r>
            <w:r>
              <w:rPr>
                <w:sz w:val="24"/>
                <w:rFonts w:ascii="Times New Roman" w:hAnsi="Times New Roman"/>
              </w:rPr>
              <w:t xml:space="preserve"> </w:t>
            </w:r>
          </w:p>
          <w:p w14:paraId="163B942E" w14:textId="2914EE6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230CCB6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34.3</w:t>
            </w:r>
          </w:p>
        </w:tc>
        <w:tc>
          <w:tcPr>
            <w:tcW w:w="2158" w:type="dxa"/>
            <w:vMerge w:val="restart"/>
            <w:shd w:val="clear" w:color="auto" w:fill="auto"/>
            <w:vAlign w:val="center"/>
          </w:tcPr>
          <w:p w14:paraId="3A1F646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2A</w:t>
            </w:r>
          </w:p>
        </w:tc>
        <w:tc>
          <w:tcPr>
            <w:tcW w:w="989" w:type="dxa"/>
            <w:shd w:val="clear" w:color="auto" w:fill="auto"/>
            <w:vAlign w:val="center"/>
          </w:tcPr>
          <w:p w14:paraId="615B810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0E710F68" w14:textId="230BBB65"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317, ID 1.2.2.1.3 +</w:t>
            </w:r>
            <w:r>
              <w:rPr>
                <w:sz w:val="24"/>
                <w:rFonts w:ascii="Times New Roman" w:hAnsi="Times New Roman"/>
              </w:rPr>
              <w:t xml:space="preserve"> </w:t>
            </w:r>
          </w:p>
          <w:p w14:paraId="2268CEEB" w14:textId="1420C57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3DF2EA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34.4</w:t>
            </w:r>
          </w:p>
        </w:tc>
        <w:tc>
          <w:tcPr>
            <w:tcW w:w="2158" w:type="dxa"/>
            <w:vMerge w:val="restart"/>
            <w:shd w:val="clear" w:color="auto" w:fill="auto"/>
            <w:vAlign w:val="center"/>
          </w:tcPr>
          <w:p w14:paraId="0395C85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de titulización de activos (residenciales o automóviles)</w:t>
            </w:r>
          </w:p>
        </w:tc>
        <w:tc>
          <w:tcPr>
            <w:tcW w:w="989" w:type="dxa"/>
            <w:shd w:val="clear" w:color="auto" w:fill="auto"/>
            <w:vAlign w:val="center"/>
          </w:tcPr>
          <w:p w14:paraId="24330DA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559F1F39" w14:textId="484453C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321, ID 1.2.2.1.4 +</w:t>
            </w:r>
            <w:r>
              <w:rPr>
                <w:sz w:val="24"/>
                <w:rFonts w:ascii="Times New Roman" w:hAnsi="Times New Roman"/>
              </w:rPr>
              <w:t xml:space="preserve"> </w:t>
            </w:r>
          </w:p>
          <w:p w14:paraId="547DB4F5" w14:textId="004EC23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CE9092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34.5</w:t>
            </w:r>
          </w:p>
        </w:tc>
        <w:tc>
          <w:tcPr>
            <w:tcW w:w="2158" w:type="dxa"/>
            <w:vMerge w:val="restart"/>
            <w:shd w:val="clear" w:color="auto" w:fill="auto"/>
            <w:vAlign w:val="center"/>
          </w:tcPr>
          <w:p w14:paraId="6535296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garantizados de calidad elevada</w:t>
            </w:r>
          </w:p>
        </w:tc>
        <w:tc>
          <w:tcPr>
            <w:tcW w:w="989" w:type="dxa"/>
            <w:shd w:val="clear" w:color="auto" w:fill="auto"/>
            <w:vAlign w:val="center"/>
          </w:tcPr>
          <w:p w14:paraId="438331A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1B14EBED" w14:textId="687CEE40"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325, ID 1.2.2.1.5 +</w:t>
            </w:r>
            <w:r>
              <w:rPr>
                <w:sz w:val="24"/>
                <w:rFonts w:ascii="Times New Roman" w:hAnsi="Times New Roman"/>
              </w:rPr>
              <w:t xml:space="preserve"> </w:t>
            </w:r>
          </w:p>
          <w:p w14:paraId="0CAB9A2C" w14:textId="1BCCF149"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EEB50C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34.6</w:t>
            </w:r>
          </w:p>
        </w:tc>
        <w:tc>
          <w:tcPr>
            <w:tcW w:w="2158" w:type="dxa"/>
            <w:vMerge w:val="restart"/>
            <w:shd w:val="clear" w:color="auto" w:fill="auto"/>
            <w:vAlign w:val="center"/>
          </w:tcPr>
          <w:p w14:paraId="36901C9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de titulización de activos (comerciales o particulares)</w:t>
            </w:r>
          </w:p>
        </w:tc>
        <w:tc>
          <w:tcPr>
            <w:tcW w:w="989" w:type="dxa"/>
            <w:shd w:val="clear" w:color="auto" w:fill="auto"/>
            <w:vAlign w:val="center"/>
          </w:tcPr>
          <w:p w14:paraId="51A5312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495AB73F" w14:textId="20512BD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329, ID 1.2.2.1.6 +</w:t>
            </w:r>
            <w:r>
              <w:rPr>
                <w:sz w:val="24"/>
                <w:rFonts w:ascii="Times New Roman" w:hAnsi="Times New Roman"/>
              </w:rPr>
              <w:t xml:space="preserve"> </w:t>
            </w:r>
          </w:p>
          <w:p w14:paraId="3834DA2F" w14:textId="650B213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720033D1" w14:textId="7706BDA1"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333, ID 1.2.2.1.7 +</w:t>
            </w:r>
            <w:r>
              <w:rPr>
                <w:sz w:val="24"/>
                <w:rFonts w:ascii="Times New Roman" w:hAnsi="Times New Roman"/>
              </w:rPr>
              <w:t xml:space="preserve"> </w:t>
            </w:r>
          </w:p>
          <w:p w14:paraId="0CD0DCF4" w14:textId="58A5CA9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35</w:t>
            </w:r>
          </w:p>
        </w:tc>
        <w:tc>
          <w:tcPr>
            <w:tcW w:w="2706" w:type="dxa"/>
            <w:vMerge w:val="restart"/>
            <w:shd w:val="clear" w:color="auto" w:fill="auto"/>
            <w:vAlign w:val="center"/>
          </w:tcPr>
          <w:p w14:paraId="46D70F5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Operación de financiación garantizada mediante [artículo 32, apartado 3, letra b)]:</w:t>
            </w:r>
          </w:p>
        </w:tc>
        <w:tc>
          <w:tcPr>
            <w:tcW w:w="724" w:type="dxa"/>
            <w:vMerge w:val="restart"/>
            <w:shd w:val="clear" w:color="auto" w:fill="auto"/>
            <w:vAlign w:val="center"/>
          </w:tcPr>
          <w:p w14:paraId="437561D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35.1</w:t>
            </w:r>
          </w:p>
        </w:tc>
        <w:tc>
          <w:tcPr>
            <w:tcW w:w="2158" w:type="dxa"/>
            <w:vMerge w:val="restart"/>
            <w:shd w:val="clear" w:color="auto" w:fill="auto"/>
            <w:vAlign w:val="center"/>
          </w:tcPr>
          <w:p w14:paraId="0938378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1, excepto bonos garantizados de calidad sumamente elevada</w:t>
            </w:r>
          </w:p>
        </w:tc>
        <w:tc>
          <w:tcPr>
            <w:tcW w:w="989" w:type="dxa"/>
            <w:shd w:val="clear" w:color="auto" w:fill="auto"/>
            <w:vAlign w:val="center"/>
          </w:tcPr>
          <w:p w14:paraId="4CB6DA2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1DDC1F81" w14:textId="6B59DB7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83B3E6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35.2</w:t>
            </w:r>
          </w:p>
        </w:tc>
        <w:tc>
          <w:tcPr>
            <w:tcW w:w="2158" w:type="dxa"/>
            <w:vMerge w:val="restart"/>
            <w:shd w:val="clear" w:color="auto" w:fill="auto"/>
            <w:vAlign w:val="center"/>
          </w:tcPr>
          <w:p w14:paraId="74DE3F6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1 consistentes en bonos garantizados de calidad sumamente elevada</w:t>
            </w:r>
          </w:p>
        </w:tc>
        <w:tc>
          <w:tcPr>
            <w:tcW w:w="989" w:type="dxa"/>
            <w:shd w:val="clear" w:color="auto" w:fill="auto"/>
            <w:vAlign w:val="center"/>
          </w:tcPr>
          <w:p w14:paraId="0D347D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31BFCB8E" w14:textId="71466C6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22DD5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35.3</w:t>
            </w:r>
          </w:p>
        </w:tc>
        <w:tc>
          <w:tcPr>
            <w:tcW w:w="2158" w:type="dxa"/>
            <w:vMerge w:val="restart"/>
            <w:shd w:val="clear" w:color="auto" w:fill="auto"/>
            <w:vAlign w:val="center"/>
          </w:tcPr>
          <w:p w14:paraId="1C849D5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2A</w:t>
            </w:r>
          </w:p>
        </w:tc>
        <w:tc>
          <w:tcPr>
            <w:tcW w:w="989" w:type="dxa"/>
            <w:shd w:val="clear" w:color="auto" w:fill="auto"/>
            <w:vAlign w:val="center"/>
          </w:tcPr>
          <w:p w14:paraId="2694D43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369F2CDC" w14:textId="35B9A08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CD6C5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35.4</w:t>
            </w:r>
          </w:p>
        </w:tc>
        <w:tc>
          <w:tcPr>
            <w:tcW w:w="2158" w:type="dxa"/>
            <w:vMerge w:val="restart"/>
            <w:shd w:val="clear" w:color="auto" w:fill="auto"/>
            <w:vAlign w:val="center"/>
          </w:tcPr>
          <w:p w14:paraId="4D4345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de titulización de activos (residenciales o automóviles)</w:t>
            </w:r>
          </w:p>
        </w:tc>
        <w:tc>
          <w:tcPr>
            <w:tcW w:w="989" w:type="dxa"/>
            <w:shd w:val="clear" w:color="auto" w:fill="auto"/>
            <w:vAlign w:val="center"/>
          </w:tcPr>
          <w:p w14:paraId="28BDB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1189F307" w14:textId="2D5057A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62C7688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35.5</w:t>
            </w:r>
          </w:p>
        </w:tc>
        <w:tc>
          <w:tcPr>
            <w:tcW w:w="2158" w:type="dxa"/>
            <w:vMerge w:val="restart"/>
            <w:shd w:val="clear" w:color="auto" w:fill="auto"/>
            <w:vAlign w:val="center"/>
          </w:tcPr>
          <w:p w14:paraId="5A561B2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garantizados de calidad elevada</w:t>
            </w:r>
          </w:p>
        </w:tc>
        <w:tc>
          <w:tcPr>
            <w:tcW w:w="989" w:type="dxa"/>
            <w:shd w:val="clear" w:color="auto" w:fill="auto"/>
            <w:vAlign w:val="center"/>
          </w:tcPr>
          <w:p w14:paraId="345BA47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3AC25801" w14:textId="7E3F57C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6CCDCFA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35.6</w:t>
            </w:r>
          </w:p>
        </w:tc>
        <w:tc>
          <w:tcPr>
            <w:tcW w:w="2158" w:type="dxa"/>
            <w:vMerge w:val="restart"/>
            <w:shd w:val="clear" w:color="auto" w:fill="auto"/>
            <w:vAlign w:val="center"/>
          </w:tcPr>
          <w:p w14:paraId="5846A75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de nivel 2B consistentes en bonos de titulización de activos (comerciales o particulares)</w:t>
            </w:r>
          </w:p>
        </w:tc>
        <w:tc>
          <w:tcPr>
            <w:tcW w:w="989" w:type="dxa"/>
            <w:shd w:val="clear" w:color="auto" w:fill="auto"/>
            <w:vAlign w:val="center"/>
          </w:tcPr>
          <w:p w14:paraId="298E06F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48AE66E8" w14:textId="5F16D99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1FBFA797" w14:textId="0AA6322D"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36</w:t>
            </w:r>
          </w:p>
        </w:tc>
        <w:tc>
          <w:tcPr>
            <w:tcW w:w="2706" w:type="dxa"/>
            <w:vMerge w:val="restart"/>
            <w:shd w:val="clear" w:color="auto" w:fill="auto"/>
            <w:vAlign w:val="center"/>
          </w:tcPr>
          <w:p w14:paraId="4F88E11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que no pueden considerarse activos líquidos [artículo 32, apartado 3, letra b)]</w:t>
            </w:r>
          </w:p>
        </w:tc>
        <w:tc>
          <w:tcPr>
            <w:tcW w:w="724" w:type="dxa"/>
            <w:vMerge w:val="restart"/>
            <w:shd w:val="clear" w:color="auto" w:fill="auto"/>
            <w:vAlign w:val="center"/>
          </w:tcPr>
          <w:p w14:paraId="51305DF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36.1</w:t>
            </w:r>
          </w:p>
        </w:tc>
        <w:tc>
          <w:tcPr>
            <w:tcW w:w="2158" w:type="dxa"/>
            <w:vMerge w:val="restart"/>
            <w:shd w:val="clear" w:color="auto" w:fill="auto"/>
            <w:vAlign w:val="center"/>
          </w:tcPr>
          <w:p w14:paraId="4790A29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Préstamos de margen:</w:t>
            </w:r>
            <w:r>
              <w:rPr>
                <w:sz w:val="24"/>
                <w:rFonts w:ascii="Times New Roman" w:hAnsi="Times New Roman"/>
              </w:rPr>
              <w:t xml:space="preserve"> </w:t>
            </w:r>
            <w:r>
              <w:rPr>
                <w:sz w:val="24"/>
                <w:rFonts w:ascii="Times New Roman" w:hAnsi="Times New Roman"/>
              </w:rPr>
              <w:t xml:space="preserve">garantías reales no líquidas</w:t>
            </w:r>
          </w:p>
        </w:tc>
        <w:tc>
          <w:tcPr>
            <w:tcW w:w="989" w:type="dxa"/>
            <w:shd w:val="clear" w:color="auto" w:fill="auto"/>
            <w:vAlign w:val="center"/>
          </w:tcPr>
          <w:p w14:paraId="12B9817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71A8CEE7" w14:textId="24DFA44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3D0BFD5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36.2</w:t>
            </w:r>
          </w:p>
        </w:tc>
        <w:tc>
          <w:tcPr>
            <w:tcW w:w="2158" w:type="dxa"/>
            <w:vMerge w:val="restart"/>
            <w:shd w:val="clear" w:color="auto" w:fill="auto"/>
            <w:vAlign w:val="center"/>
          </w:tcPr>
          <w:p w14:paraId="5F0727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Garantías reales consistentes en instrumentos de patrimonio no líquidos</w:t>
            </w:r>
          </w:p>
        </w:tc>
        <w:tc>
          <w:tcPr>
            <w:tcW w:w="989" w:type="dxa"/>
            <w:shd w:val="clear" w:color="auto" w:fill="auto"/>
            <w:vAlign w:val="center"/>
          </w:tcPr>
          <w:p w14:paraId="308ACE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Sí</w:t>
            </w:r>
          </w:p>
        </w:tc>
        <w:tc>
          <w:tcPr>
            <w:tcW w:w="2150" w:type="dxa"/>
            <w:shd w:val="clear" w:color="auto" w:fill="auto"/>
            <w:vAlign w:val="center"/>
          </w:tcPr>
          <w:p w14:paraId="5820E17C" w14:textId="32AE90B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50" w:type="dxa"/>
            <w:shd w:val="clear" w:color="auto" w:fill="auto"/>
            <w:vAlign w:val="center"/>
          </w:tcPr>
          <w:p w14:paraId="2039ED0B" w14:textId="6DF26A2F"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Fila 345, ID 1.2.2.3.3.</w:t>
            </w:r>
          </w:p>
        </w:tc>
      </w:tr>
    </w:tbl>
    <w:p w14:paraId="4957F280" w14:textId="7888ED08" w:rsidR="007453EC" w:rsidRPr="000B6B22" w:rsidRDefault="0062009E">
      <w:pPr>
        <w:keepNext/>
        <w:spacing w:before="0"/>
        <w:outlineLvl w:val="1"/>
        <w:rPr>
          <w:sz w:val="24"/>
          <w:rFonts w:ascii="Times New Roman" w:hAnsi="Times New Roman"/>
        </w:rPr>
      </w:pPr>
      <w:r>
        <w:rPr>
          <w:sz w:val="24"/>
          <w:rFonts w:ascii="Times New Roman" w:hAnsi="Times New Roman"/>
        </w:rPr>
        <w:t xml:space="preserve">1.4.2.</w:t>
      </w:r>
      <w:r>
        <w:rPr>
          <w:sz w:val="24"/>
          <w:rFonts w:ascii="Times New Roman" w:hAnsi="Times New Roman"/>
        </w:rPr>
        <w:tab/>
      </w:r>
      <w:r>
        <w:rPr>
          <w:sz w:val="24"/>
          <w:rFonts w:ascii="Times New Roman" w:hAnsi="Times New Roman"/>
        </w:rPr>
        <w:t xml:space="preserve">Árbol de decisiones sobre las columnas de la plantilla C 74.00 del Anexo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b/>
                <w:sz w:val="24"/>
                <w:rFonts w:ascii="Times New Roman" w:hAnsi="Times New Roman"/>
              </w:rPr>
            </w:pPr>
            <w:r>
              <w:rPr>
                <w:b/>
                <w:sz w:val="24"/>
                <w:rFonts w:ascii="Times New Roman" w:hAnsi="Times New Roman"/>
              </w:rPr>
              <w:t xml:space="preserve">Partida</w:t>
            </w:r>
          </w:p>
        </w:tc>
        <w:tc>
          <w:tcPr>
            <w:tcW w:w="1400" w:type="dxa"/>
            <w:shd w:val="clear" w:color="auto" w:fill="auto"/>
            <w:vAlign w:val="center"/>
          </w:tcPr>
          <w:p w14:paraId="595C83AC" w14:textId="77777777" w:rsidR="007453EC" w:rsidRPr="000B6B22" w:rsidRDefault="007453EC" w:rsidP="009D4EFF">
            <w:pPr>
              <w:widowControl w:val="0"/>
              <w:spacing w:before="0"/>
              <w:ind w:left="267"/>
              <w:rPr>
                <w:b/>
                <w:sz w:val="24"/>
                <w:rFonts w:ascii="Times New Roman" w:hAnsi="Times New Roman"/>
              </w:rPr>
            </w:pPr>
            <w:r>
              <w:rPr>
                <w:b/>
                <w:sz w:val="24"/>
                <w:rFonts w:ascii="Times New Roman" w:hAnsi="Times New Roman"/>
              </w:rPr>
              <w:t xml:space="preserve">Decisión</w:t>
            </w:r>
          </w:p>
        </w:tc>
        <w:tc>
          <w:tcPr>
            <w:tcW w:w="2127" w:type="dxa"/>
            <w:shd w:val="clear" w:color="auto" w:fill="auto"/>
            <w:vAlign w:val="center"/>
          </w:tcPr>
          <w:p w14:paraId="4D343DEB" w14:textId="77777777" w:rsidR="007453EC" w:rsidRPr="000B6B22" w:rsidRDefault="007453EC" w:rsidP="009D4EFF">
            <w:pPr>
              <w:widowControl w:val="0"/>
              <w:spacing w:before="0"/>
              <w:rPr>
                <w:b/>
                <w:sz w:val="24"/>
                <w:rFonts w:ascii="Times New Roman" w:hAnsi="Times New Roman"/>
              </w:rPr>
            </w:pPr>
            <w:r>
              <w:rPr>
                <w:b/>
                <w:sz w:val="24"/>
                <w:rFonts w:ascii="Times New Roman" w:hAnsi="Times New Roman"/>
              </w:rPr>
              <w:t xml:space="preserve">Presentación de información</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w:t>
            </w:r>
          </w:p>
        </w:tc>
        <w:tc>
          <w:tcPr>
            <w:tcW w:w="5550" w:type="dxa"/>
            <w:gridSpan w:val="3"/>
            <w:vMerge w:val="restart"/>
            <w:shd w:val="clear" w:color="auto" w:fill="auto"/>
            <w:vAlign w:val="center"/>
          </w:tcPr>
          <w:p w14:paraId="430FBA11" w14:textId="37FA33D5" w:rsidR="007453EC" w:rsidRPr="000B6B22" w:rsidRDefault="007453EC">
            <w:pPr>
              <w:spacing w:before="0"/>
              <w:rPr>
                <w:sz w:val="24"/>
                <w:rFonts w:ascii="Times New Roman" w:hAnsi="Times New Roman"/>
              </w:rPr>
            </w:pPr>
            <w:r>
              <w:rPr>
                <w:sz w:val="24"/>
                <w:rFonts w:ascii="Times New Roman" w:hAnsi="Times New Roman"/>
              </w:rPr>
              <w:t xml:space="preserve">Entrada que debe comunicarse en las filas 0010 a 0430 de la plantilla C 74.00 del Anexo XXIV con arreglo a los artículos 32, 33 y 34 y de conformidad con la clasificación especificada en la sección 1 («Árbol de decisiones sobre las filas de la plantilla C 74.00»).</w:t>
            </w:r>
          </w:p>
        </w:tc>
        <w:tc>
          <w:tcPr>
            <w:tcW w:w="1400" w:type="dxa"/>
            <w:shd w:val="clear" w:color="auto" w:fill="auto"/>
            <w:vAlign w:val="center"/>
          </w:tcPr>
          <w:p w14:paraId="4D61E6E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3FE5209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No se presenta información</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3F805D6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2</w:t>
            </w:r>
          </w:p>
        </w:tc>
        <w:tc>
          <w:tcPr>
            <w:tcW w:w="5550" w:type="dxa"/>
            <w:gridSpan w:val="3"/>
            <w:vMerge w:val="restart"/>
            <w:shd w:val="clear" w:color="auto" w:fill="auto"/>
            <w:vAlign w:val="center"/>
          </w:tcPr>
          <w:p w14:paraId="41A0B23C" w14:textId="77777777" w:rsidR="007453EC" w:rsidRPr="000B6B22" w:rsidRDefault="007453EC">
            <w:pPr>
              <w:spacing w:before="0"/>
              <w:rPr>
                <w:sz w:val="24"/>
                <w:rFonts w:ascii="Times New Roman" w:hAnsi="Times New Roman"/>
              </w:rPr>
            </w:pPr>
            <w:r>
              <w:rPr>
                <w:sz w:val="24"/>
                <w:rFonts w:ascii="Times New Roman" w:hAnsi="Times New Roman"/>
              </w:rPr>
              <w:t xml:space="preserve">Entradas procedentes de operaciones de préstamo garantizadas y de operaciones vinculadas al mercado de capitales con excepción de los derivados [artículo 32, apartado 3, letras b), c), e) y f)]</w:t>
            </w:r>
          </w:p>
        </w:tc>
        <w:tc>
          <w:tcPr>
            <w:tcW w:w="1400" w:type="dxa"/>
            <w:shd w:val="clear" w:color="auto" w:fill="auto"/>
            <w:vAlign w:val="center"/>
          </w:tcPr>
          <w:p w14:paraId="4CE28B1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29FE4B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No</w:t>
            </w:r>
          </w:p>
        </w:tc>
        <w:tc>
          <w:tcPr>
            <w:tcW w:w="2127" w:type="dxa"/>
            <w:shd w:val="clear" w:color="auto" w:fill="auto"/>
            <w:vAlign w:val="center"/>
          </w:tcPr>
          <w:p w14:paraId="092BB4A1"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3</w:t>
            </w:r>
          </w:p>
        </w:tc>
        <w:tc>
          <w:tcPr>
            <w:tcW w:w="5550" w:type="dxa"/>
            <w:gridSpan w:val="3"/>
            <w:vMerge w:val="restart"/>
            <w:shd w:val="clear" w:color="auto" w:fill="auto"/>
            <w:vAlign w:val="center"/>
          </w:tcPr>
          <w:p w14:paraId="73200D3D" w14:textId="77777777" w:rsidR="007453EC" w:rsidRPr="000B6B22" w:rsidRDefault="007453EC">
            <w:pPr>
              <w:spacing w:before="0"/>
              <w:rPr>
                <w:sz w:val="24"/>
                <w:rFonts w:ascii="Times New Roman" w:hAnsi="Times New Roman"/>
              </w:rPr>
            </w:pPr>
            <w:r>
              <w:rPr>
                <w:sz w:val="24"/>
                <w:rFonts w:ascii="Times New Roman" w:hAnsi="Times New Roman"/>
              </w:rPr>
              <w:t xml:space="preserve">Exención parcial del límite máximo sobre las entradas (artículo 33, apartados 2 a 5)</w:t>
            </w:r>
          </w:p>
        </w:tc>
        <w:tc>
          <w:tcPr>
            <w:tcW w:w="1400" w:type="dxa"/>
            <w:shd w:val="clear" w:color="auto" w:fill="auto"/>
            <w:vAlign w:val="center"/>
          </w:tcPr>
          <w:p w14:paraId="2FA8DE5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7C6668C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596A02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4</w:t>
            </w:r>
          </w:p>
        </w:tc>
        <w:tc>
          <w:tcPr>
            <w:tcW w:w="1850" w:type="dxa"/>
            <w:vMerge w:val="restart"/>
            <w:shd w:val="clear" w:color="auto" w:fill="auto"/>
            <w:vAlign w:val="center"/>
          </w:tcPr>
          <w:p w14:paraId="0579C87C" w14:textId="77777777" w:rsidR="007453EC" w:rsidRPr="000B6B22" w:rsidRDefault="007453EC">
            <w:pPr>
              <w:spacing w:before="0"/>
              <w:rPr>
                <w:sz w:val="24"/>
                <w:rFonts w:ascii="Times New Roman" w:hAnsi="Times New Roman"/>
              </w:rPr>
            </w:pPr>
            <w:r>
              <w:rPr>
                <w:sz w:val="24"/>
                <w:rFonts w:ascii="Times New Roman" w:hAnsi="Times New Roman"/>
              </w:rPr>
              <w:t xml:space="preserve">Exención parcial del límite máximo sobre las entradas (artículo 33, apartados 2 a 5)</w:t>
            </w:r>
          </w:p>
        </w:tc>
        <w:tc>
          <w:tcPr>
            <w:tcW w:w="1850" w:type="dxa"/>
            <w:shd w:val="clear" w:color="auto" w:fill="auto"/>
            <w:vAlign w:val="center"/>
          </w:tcPr>
          <w:p w14:paraId="2C0CFC3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4.1</w:t>
            </w:r>
          </w:p>
        </w:tc>
        <w:tc>
          <w:tcPr>
            <w:tcW w:w="1850" w:type="dxa"/>
            <w:shd w:val="clear" w:color="auto" w:fill="auto"/>
            <w:vAlign w:val="center"/>
          </w:tcPr>
          <w:p w14:paraId="0934822E" w14:textId="77777777" w:rsidR="007453EC" w:rsidRPr="000B6B22" w:rsidRDefault="007453EC">
            <w:pPr>
              <w:spacing w:before="0"/>
              <w:rPr>
                <w:sz w:val="24"/>
                <w:rFonts w:ascii="Times New Roman" w:hAnsi="Times New Roman"/>
              </w:rPr>
            </w:pPr>
            <w:r>
              <w:rPr>
                <w:sz w:val="24"/>
                <w:rFonts w:ascii="Times New Roman" w:hAnsi="Times New Roman"/>
              </w:rPr>
              <w:t xml:space="preserve">Parte de las entradas exenta del límite máximo</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4.2</w:t>
            </w:r>
          </w:p>
        </w:tc>
        <w:tc>
          <w:tcPr>
            <w:tcW w:w="1850" w:type="dxa"/>
            <w:shd w:val="clear" w:color="auto" w:fill="auto"/>
            <w:vAlign w:val="center"/>
          </w:tcPr>
          <w:p w14:paraId="3E51212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Parte de las entradas no exenta del límite máximo</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5</w:t>
            </w:r>
          </w:p>
        </w:tc>
        <w:tc>
          <w:tcPr>
            <w:tcW w:w="5550" w:type="dxa"/>
            <w:gridSpan w:val="3"/>
            <w:vMerge w:val="restart"/>
            <w:shd w:val="clear" w:color="auto" w:fill="auto"/>
            <w:vAlign w:val="center"/>
          </w:tcPr>
          <w:p w14:paraId="78AB9717" w14:textId="77777777" w:rsidR="007453EC" w:rsidRPr="000B6B22" w:rsidRDefault="007453EC">
            <w:pPr>
              <w:spacing w:before="0"/>
              <w:rPr>
                <w:sz w:val="24"/>
                <w:rFonts w:ascii="Times New Roman" w:hAnsi="Times New Roman"/>
              </w:rPr>
            </w:pPr>
            <w:r>
              <w:rPr>
                <w:sz w:val="24"/>
                <w:rFonts w:ascii="Times New Roman" w:hAnsi="Times New Roman"/>
              </w:rPr>
              <w:t xml:space="preserve">Parte de las entradas exenta del límite del 75 % y sujeta al límite del 90 % </w:t>
            </w:r>
            <w:r>
              <w:rPr>
                <w:sz w:val="24"/>
                <w:rFonts w:ascii="Times New Roman" w:hAnsi="Times New Roman"/>
              </w:rPr>
              <w:t xml:space="preserve">(artículo 33, apartados 4 y 5)</w:t>
            </w:r>
          </w:p>
        </w:tc>
        <w:tc>
          <w:tcPr>
            <w:tcW w:w="1400" w:type="dxa"/>
            <w:shd w:val="clear" w:color="auto" w:fill="auto"/>
            <w:vAlign w:val="center"/>
          </w:tcPr>
          <w:p w14:paraId="69D0584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78D7464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45BF915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6</w:t>
            </w:r>
          </w:p>
        </w:tc>
        <w:tc>
          <w:tcPr>
            <w:tcW w:w="5550" w:type="dxa"/>
            <w:gridSpan w:val="3"/>
            <w:vMerge w:val="restart"/>
            <w:shd w:val="clear" w:color="auto" w:fill="auto"/>
            <w:vAlign w:val="center"/>
          </w:tcPr>
          <w:p w14:paraId="5F4409DD" w14:textId="77777777" w:rsidR="007453EC" w:rsidRPr="000B6B22" w:rsidRDefault="007453EC">
            <w:pPr>
              <w:spacing w:before="0"/>
              <w:rPr>
                <w:sz w:val="24"/>
                <w:rFonts w:ascii="Times New Roman" w:hAnsi="Times New Roman"/>
              </w:rPr>
            </w:pPr>
            <w:r>
              <w:rPr>
                <w:sz w:val="24"/>
                <w:rFonts w:ascii="Times New Roman" w:hAnsi="Times New Roman"/>
              </w:rPr>
              <w:t xml:space="preserve">Entrada </w:t>
            </w:r>
            <w:r>
              <w:rPr>
                <w:sz w:val="24"/>
                <w:rFonts w:ascii="Times New Roman" w:hAnsi="Times New Roman"/>
              </w:rPr>
              <w:t xml:space="preserve">sujeta al límite máximo del 75 % (artículo 33, apartado 1)</w:t>
            </w:r>
          </w:p>
        </w:tc>
        <w:tc>
          <w:tcPr>
            <w:tcW w:w="1400" w:type="dxa"/>
            <w:shd w:val="clear" w:color="auto" w:fill="auto"/>
            <w:vAlign w:val="center"/>
          </w:tcPr>
          <w:p w14:paraId="503B5C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105C0FF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52F4211D"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7</w:t>
            </w:r>
          </w:p>
        </w:tc>
        <w:tc>
          <w:tcPr>
            <w:tcW w:w="1850" w:type="dxa"/>
            <w:vMerge w:val="restart"/>
            <w:shd w:val="clear" w:color="auto" w:fill="auto"/>
            <w:vAlign w:val="center"/>
          </w:tcPr>
          <w:p w14:paraId="7AF27C57" w14:textId="77777777" w:rsidR="007453EC" w:rsidRPr="000B6B22" w:rsidRDefault="007453EC">
            <w:pPr>
              <w:spacing w:before="0"/>
              <w:rPr>
                <w:sz w:val="24"/>
                <w:rFonts w:ascii="Times New Roman" w:hAnsi="Times New Roman"/>
              </w:rPr>
            </w:pPr>
            <w:r>
              <w:rPr>
                <w:sz w:val="24"/>
                <w:rFonts w:ascii="Times New Roman" w:hAnsi="Times New Roman"/>
              </w:rPr>
              <w:t xml:space="preserve">Entrada sujeta al límite máximo del 75 % (artículo 33, apartado 1)</w:t>
            </w:r>
          </w:p>
        </w:tc>
        <w:tc>
          <w:tcPr>
            <w:tcW w:w="1850" w:type="dxa"/>
            <w:shd w:val="clear" w:color="auto" w:fill="auto"/>
            <w:vAlign w:val="center"/>
          </w:tcPr>
          <w:p w14:paraId="4399068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#7.1</w:t>
            </w:r>
          </w:p>
        </w:tc>
        <w:tc>
          <w:tcPr>
            <w:tcW w:w="1850" w:type="dxa"/>
            <w:shd w:val="clear" w:color="auto" w:fill="auto"/>
            <w:vAlign w:val="center"/>
          </w:tcPr>
          <w:p w14:paraId="609C1254" w14:textId="77777777" w:rsidR="007453EC" w:rsidRPr="000B6B22" w:rsidRDefault="007453EC">
            <w:pPr>
              <w:spacing w:before="0"/>
              <w:rPr>
                <w:sz w:val="24"/>
                <w:rFonts w:ascii="Times New Roman" w:hAnsi="Times New Roman"/>
              </w:rPr>
            </w:pPr>
            <w:r>
              <w:rPr>
                <w:sz w:val="24"/>
                <w:rFonts w:ascii="Times New Roman" w:hAnsi="Times New Roman"/>
              </w:rPr>
              <w:t xml:space="preserve">Pagos pendientes / importe máximo que puede utilizarse</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sz w:val="24"/>
                <w:rFonts w:ascii="Times New Roman" w:hAnsi="Times New Roman"/>
              </w:rPr>
            </w:pPr>
            <w:r>
              <w:rPr>
                <w:sz w:val="24"/>
                <w:rFonts w:ascii="Times New Roman" w:hAnsi="Times New Roman"/>
              </w:rPr>
              <w:t xml:space="preserve">Columna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7.2</w:t>
            </w:r>
          </w:p>
        </w:tc>
        <w:tc>
          <w:tcPr>
            <w:tcW w:w="1850" w:type="dxa"/>
            <w:shd w:val="clear" w:color="auto" w:fill="auto"/>
            <w:vAlign w:val="center"/>
          </w:tcPr>
          <w:p w14:paraId="22B7B1C7" w14:textId="77777777" w:rsidR="007453EC" w:rsidRPr="000B6B22" w:rsidRDefault="007453EC">
            <w:pPr>
              <w:spacing w:before="0"/>
              <w:rPr>
                <w:sz w:val="24"/>
                <w:rFonts w:ascii="Times New Roman" w:hAnsi="Times New Roman"/>
              </w:rPr>
            </w:pPr>
            <w:r>
              <w:rPr>
                <w:sz w:val="24"/>
                <w:rFonts w:ascii="Times New Roman" w:hAnsi="Times New Roman"/>
              </w:rPr>
              <w:t xml:space="preserve">Ponderación aplicable</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sz w:val="24"/>
                <w:rFonts w:ascii="Times New Roman" w:hAnsi="Times New Roman"/>
              </w:rPr>
            </w:pPr>
            <w:r>
              <w:rPr>
                <w:sz w:val="24"/>
                <w:rFonts w:ascii="Times New Roman" w:hAnsi="Times New Roman"/>
              </w:rPr>
              <w:t xml:space="preserve">Columna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7.3</w:t>
            </w:r>
          </w:p>
        </w:tc>
        <w:tc>
          <w:tcPr>
            <w:tcW w:w="1850" w:type="dxa"/>
            <w:shd w:val="clear" w:color="auto" w:fill="auto"/>
            <w:vAlign w:val="center"/>
          </w:tcPr>
          <w:p w14:paraId="3625661C" w14:textId="77777777" w:rsidR="007453EC" w:rsidRPr="000B6B22" w:rsidRDefault="007453EC">
            <w:pPr>
              <w:spacing w:before="0"/>
              <w:rPr>
                <w:sz w:val="24"/>
                <w:rFonts w:ascii="Times New Roman" w:hAnsi="Times New Roman"/>
              </w:rPr>
            </w:pPr>
            <w:r>
              <w:rPr>
                <w:sz w:val="24"/>
                <w:rFonts w:ascii="Times New Roman" w:hAnsi="Times New Roman"/>
              </w:rPr>
              <w:t xml:space="preserve">Entrada</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sz w:val="24"/>
                <w:rFonts w:ascii="Times New Roman" w:hAnsi="Times New Roman"/>
              </w:rPr>
            </w:pPr>
            <w:r>
              <w:rPr>
                <w:sz w:val="24"/>
                <w:rFonts w:ascii="Times New Roman" w:hAnsi="Times New Roman"/>
              </w:rPr>
              <w:t xml:space="preserve">Columna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8</w:t>
            </w:r>
          </w:p>
        </w:tc>
        <w:tc>
          <w:tcPr>
            <w:tcW w:w="5550" w:type="dxa"/>
            <w:gridSpan w:val="3"/>
            <w:vMerge w:val="restart"/>
            <w:shd w:val="clear" w:color="auto" w:fill="auto"/>
            <w:vAlign w:val="center"/>
          </w:tcPr>
          <w:p w14:paraId="7F5E8613" w14:textId="77777777" w:rsidR="007453EC" w:rsidRPr="000B6B22" w:rsidRDefault="007453EC">
            <w:pPr>
              <w:spacing w:before="0"/>
              <w:rPr>
                <w:sz w:val="24"/>
                <w:rFonts w:ascii="Times New Roman" w:hAnsi="Times New Roman"/>
              </w:rPr>
            </w:pPr>
            <w:r>
              <w:rPr>
                <w:sz w:val="24"/>
                <w:rFonts w:ascii="Times New Roman" w:hAnsi="Times New Roman"/>
              </w:rPr>
              <w:t xml:space="preserve">Entrada sujeta al límite máximo del 90 % (artículo 33, apartados 4 y 5)</w:t>
            </w:r>
          </w:p>
        </w:tc>
        <w:tc>
          <w:tcPr>
            <w:tcW w:w="1400" w:type="dxa"/>
            <w:shd w:val="clear" w:color="auto" w:fill="auto"/>
            <w:vAlign w:val="center"/>
          </w:tcPr>
          <w:p w14:paraId="684A92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0FF41420"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5D1C053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9</w:t>
            </w:r>
          </w:p>
        </w:tc>
        <w:tc>
          <w:tcPr>
            <w:tcW w:w="1850" w:type="dxa"/>
            <w:vMerge w:val="restart"/>
            <w:shd w:val="clear" w:color="auto" w:fill="auto"/>
            <w:vAlign w:val="center"/>
          </w:tcPr>
          <w:p w14:paraId="3A286DC6" w14:textId="77777777" w:rsidR="007453EC" w:rsidRPr="000B6B22" w:rsidRDefault="007453EC">
            <w:pPr>
              <w:spacing w:before="0"/>
              <w:rPr>
                <w:sz w:val="24"/>
                <w:rFonts w:ascii="Times New Roman" w:hAnsi="Times New Roman"/>
              </w:rPr>
            </w:pPr>
            <w:r>
              <w:rPr>
                <w:sz w:val="24"/>
                <w:rFonts w:ascii="Times New Roman" w:hAnsi="Times New Roman"/>
              </w:rPr>
              <w:t xml:space="preserve">Entrada sujeta al límite máximo del 90 % (artículo 33, apartados 4 y 5)</w:t>
            </w:r>
          </w:p>
        </w:tc>
        <w:tc>
          <w:tcPr>
            <w:tcW w:w="1850" w:type="dxa"/>
            <w:shd w:val="clear" w:color="auto" w:fill="auto"/>
            <w:vAlign w:val="center"/>
          </w:tcPr>
          <w:p w14:paraId="3C08116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9.1</w:t>
            </w:r>
          </w:p>
        </w:tc>
        <w:tc>
          <w:tcPr>
            <w:tcW w:w="1850" w:type="dxa"/>
            <w:shd w:val="clear" w:color="auto" w:fill="auto"/>
            <w:vAlign w:val="center"/>
          </w:tcPr>
          <w:p w14:paraId="1C919443" w14:textId="77777777" w:rsidR="007453EC" w:rsidRPr="000B6B22" w:rsidRDefault="007453EC">
            <w:pPr>
              <w:spacing w:before="0"/>
              <w:rPr>
                <w:sz w:val="24"/>
                <w:rFonts w:ascii="Times New Roman" w:hAnsi="Times New Roman"/>
              </w:rPr>
            </w:pPr>
            <w:r>
              <w:rPr>
                <w:sz w:val="24"/>
                <w:rFonts w:ascii="Times New Roman" w:hAnsi="Times New Roman"/>
              </w:rPr>
              <w:t xml:space="preserve">Pagos pendientes / importe máximo que puede utilizarse</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sz w:val="24"/>
                <w:rFonts w:ascii="Times New Roman" w:hAnsi="Times New Roman"/>
              </w:rPr>
            </w:pPr>
            <w:r>
              <w:rPr>
                <w:sz w:val="24"/>
                <w:rFonts w:ascii="Times New Roman" w:hAnsi="Times New Roman"/>
              </w:rPr>
              <w:t xml:space="preserve">Columna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9.2</w:t>
            </w:r>
          </w:p>
        </w:tc>
        <w:tc>
          <w:tcPr>
            <w:tcW w:w="1850" w:type="dxa"/>
            <w:shd w:val="clear" w:color="auto" w:fill="auto"/>
            <w:vAlign w:val="center"/>
          </w:tcPr>
          <w:p w14:paraId="26046E2E" w14:textId="77777777" w:rsidR="007453EC" w:rsidRPr="000B6B22" w:rsidRDefault="007453EC">
            <w:pPr>
              <w:spacing w:before="0"/>
              <w:rPr>
                <w:sz w:val="24"/>
                <w:rFonts w:ascii="Times New Roman" w:hAnsi="Times New Roman"/>
              </w:rPr>
            </w:pPr>
            <w:r>
              <w:rPr>
                <w:sz w:val="24"/>
                <w:rFonts w:ascii="Times New Roman" w:hAnsi="Times New Roman"/>
              </w:rPr>
              <w:t xml:space="preserve">Ponderación aplicable</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sz w:val="24"/>
                <w:rFonts w:ascii="Times New Roman" w:hAnsi="Times New Roman"/>
              </w:rPr>
            </w:pPr>
            <w:r>
              <w:rPr>
                <w:sz w:val="24"/>
                <w:rFonts w:ascii="Times New Roman" w:hAnsi="Times New Roman"/>
              </w:rPr>
              <w:t xml:space="preserve">Columna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9.3</w:t>
            </w:r>
          </w:p>
        </w:tc>
        <w:tc>
          <w:tcPr>
            <w:tcW w:w="1850" w:type="dxa"/>
            <w:shd w:val="clear" w:color="auto" w:fill="auto"/>
            <w:vAlign w:val="center"/>
          </w:tcPr>
          <w:p w14:paraId="09BE6EF4" w14:textId="77777777" w:rsidR="007453EC" w:rsidRPr="000B6B22" w:rsidRDefault="007453EC">
            <w:pPr>
              <w:spacing w:before="0"/>
              <w:rPr>
                <w:sz w:val="24"/>
                <w:rFonts w:ascii="Times New Roman" w:hAnsi="Times New Roman"/>
              </w:rPr>
            </w:pPr>
            <w:r>
              <w:rPr>
                <w:sz w:val="24"/>
                <w:rFonts w:ascii="Times New Roman" w:hAnsi="Times New Roman"/>
              </w:rPr>
              <w:t xml:space="preserve">Entrada</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sz w:val="24"/>
                <w:rFonts w:ascii="Times New Roman" w:hAnsi="Times New Roman"/>
              </w:rPr>
            </w:pPr>
            <w:r>
              <w:rPr>
                <w:sz w:val="24"/>
                <w:rFonts w:ascii="Times New Roman" w:hAnsi="Times New Roman"/>
              </w:rPr>
              <w:t xml:space="preserve">Columna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10</w:t>
            </w:r>
          </w:p>
        </w:tc>
        <w:tc>
          <w:tcPr>
            <w:tcW w:w="1850" w:type="dxa"/>
            <w:vMerge w:val="restart"/>
            <w:shd w:val="clear" w:color="auto" w:fill="auto"/>
            <w:vAlign w:val="center"/>
          </w:tcPr>
          <w:p w14:paraId="3589B28A" w14:textId="77777777" w:rsidR="007453EC" w:rsidRPr="000B6B22" w:rsidRDefault="007453EC">
            <w:pPr>
              <w:spacing w:before="0"/>
              <w:rPr>
                <w:sz w:val="24"/>
                <w:rFonts w:ascii="Times New Roman" w:hAnsi="Times New Roman"/>
              </w:rPr>
            </w:pPr>
            <w:r>
              <w:rPr>
                <w:sz w:val="24"/>
                <w:rFonts w:ascii="Times New Roman" w:hAnsi="Times New Roman"/>
              </w:rPr>
              <w:t xml:space="preserve">Entradas totalmente exentas del límite máximo (artículo 33, apartados 2 y 3)</w:t>
            </w:r>
          </w:p>
        </w:tc>
        <w:tc>
          <w:tcPr>
            <w:tcW w:w="1850" w:type="dxa"/>
            <w:shd w:val="clear" w:color="auto" w:fill="auto"/>
            <w:vAlign w:val="center"/>
          </w:tcPr>
          <w:p w14:paraId="7E931F3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10.1</w:t>
            </w:r>
          </w:p>
        </w:tc>
        <w:tc>
          <w:tcPr>
            <w:tcW w:w="1850" w:type="dxa"/>
            <w:shd w:val="clear" w:color="auto" w:fill="auto"/>
            <w:vAlign w:val="center"/>
          </w:tcPr>
          <w:p w14:paraId="6D224F75" w14:textId="77777777" w:rsidR="007453EC" w:rsidRPr="000B6B22" w:rsidRDefault="007453EC">
            <w:pPr>
              <w:spacing w:before="0"/>
              <w:rPr>
                <w:sz w:val="24"/>
                <w:rFonts w:ascii="Times New Roman" w:hAnsi="Times New Roman"/>
              </w:rPr>
            </w:pPr>
            <w:r>
              <w:rPr>
                <w:sz w:val="24"/>
                <w:rFonts w:ascii="Times New Roman" w:hAnsi="Times New Roman"/>
              </w:rPr>
              <w:t xml:space="preserve">Pagos pendientes / importe máximo que puede utilizarse</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sz w:val="24"/>
                <w:rFonts w:ascii="Times New Roman" w:hAnsi="Times New Roman"/>
              </w:rPr>
            </w:pPr>
            <w:r>
              <w:rPr>
                <w:sz w:val="24"/>
                <w:rFonts w:ascii="Times New Roman" w:hAnsi="Times New Roman"/>
              </w:rPr>
              <w:t xml:space="preserve">Columna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10.2</w:t>
            </w:r>
          </w:p>
        </w:tc>
        <w:tc>
          <w:tcPr>
            <w:tcW w:w="1850" w:type="dxa"/>
            <w:shd w:val="clear" w:color="auto" w:fill="auto"/>
            <w:vAlign w:val="center"/>
          </w:tcPr>
          <w:p w14:paraId="459EC3E0" w14:textId="77777777" w:rsidR="007453EC" w:rsidRPr="000B6B22" w:rsidRDefault="007453EC">
            <w:pPr>
              <w:spacing w:before="0"/>
              <w:rPr>
                <w:sz w:val="24"/>
                <w:rFonts w:ascii="Times New Roman" w:hAnsi="Times New Roman"/>
              </w:rPr>
            </w:pPr>
            <w:r>
              <w:rPr>
                <w:sz w:val="24"/>
                <w:rFonts w:ascii="Times New Roman" w:hAnsi="Times New Roman"/>
              </w:rPr>
              <w:t xml:space="preserve">Ponderación aplicable</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sz w:val="24"/>
                <w:rFonts w:ascii="Times New Roman" w:hAnsi="Times New Roman"/>
              </w:rPr>
            </w:pPr>
            <w:r>
              <w:rPr>
                <w:sz w:val="24"/>
                <w:rFonts w:ascii="Times New Roman" w:hAnsi="Times New Roman"/>
              </w:rPr>
              <w:t xml:space="preserve">Columna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10.3</w:t>
            </w:r>
          </w:p>
        </w:tc>
        <w:tc>
          <w:tcPr>
            <w:tcW w:w="1850" w:type="dxa"/>
            <w:shd w:val="clear" w:color="auto" w:fill="auto"/>
            <w:vAlign w:val="center"/>
          </w:tcPr>
          <w:p w14:paraId="71FB0192" w14:textId="77777777" w:rsidR="007453EC" w:rsidRPr="000B6B22" w:rsidRDefault="007453EC">
            <w:pPr>
              <w:spacing w:before="0"/>
              <w:rPr>
                <w:sz w:val="24"/>
                <w:rFonts w:ascii="Times New Roman" w:hAnsi="Times New Roman"/>
              </w:rPr>
            </w:pPr>
            <w:r>
              <w:rPr>
                <w:sz w:val="24"/>
                <w:rFonts w:ascii="Times New Roman" w:hAnsi="Times New Roman"/>
              </w:rPr>
              <w:t xml:space="preserve">Entrada</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sz w:val="24"/>
                <w:rFonts w:ascii="Times New Roman" w:hAnsi="Times New Roman"/>
              </w:rPr>
            </w:pPr>
            <w:r>
              <w:rPr>
                <w:sz w:val="24"/>
                <w:rFonts w:ascii="Times New Roman" w:hAnsi="Times New Roman"/>
              </w:rPr>
              <w:t xml:space="preserve">Columna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11</w:t>
            </w:r>
          </w:p>
        </w:tc>
        <w:tc>
          <w:tcPr>
            <w:tcW w:w="5550" w:type="dxa"/>
            <w:gridSpan w:val="3"/>
            <w:vMerge w:val="restart"/>
            <w:shd w:val="clear" w:color="auto" w:fill="auto"/>
            <w:vAlign w:val="center"/>
          </w:tcPr>
          <w:p w14:paraId="7A65A612" w14:textId="70E08641" w:rsidR="007453EC" w:rsidRPr="000B6B22" w:rsidRDefault="007453EC">
            <w:pPr>
              <w:spacing w:before="0"/>
              <w:rPr>
                <w:sz w:val="24"/>
                <w:rFonts w:ascii="Times New Roman" w:hAnsi="Times New Roman"/>
              </w:rPr>
            </w:pPr>
            <w:r>
              <w:rPr>
                <w:sz w:val="24"/>
                <w:rFonts w:ascii="Times New Roman" w:hAnsi="Times New Roman"/>
              </w:rPr>
              <w:t xml:space="preserve">Operación de financiación garantizada en la que las garantías reales son admisibles generalmente como activo líquido (independientemente o no de su reutilización en otra operación y de que el activo cumpla o no el requisito operativo en virtud del artículo 8)</w:t>
            </w:r>
          </w:p>
        </w:tc>
        <w:tc>
          <w:tcPr>
            <w:tcW w:w="1400" w:type="dxa"/>
            <w:shd w:val="clear" w:color="auto" w:fill="auto"/>
            <w:vAlign w:val="center"/>
          </w:tcPr>
          <w:p w14:paraId="28A0EE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40E32A9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415217C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12</w:t>
            </w:r>
          </w:p>
        </w:tc>
        <w:tc>
          <w:tcPr>
            <w:tcW w:w="5550" w:type="dxa"/>
            <w:gridSpan w:val="3"/>
            <w:vMerge w:val="restart"/>
            <w:shd w:val="clear" w:color="auto" w:fill="auto"/>
            <w:vAlign w:val="center"/>
          </w:tcPr>
          <w:p w14:paraId="28493A80" w14:textId="77777777" w:rsidR="007453EC" w:rsidRPr="000B6B22" w:rsidRDefault="007453EC">
            <w:pPr>
              <w:spacing w:before="0"/>
              <w:rPr>
                <w:sz w:val="24"/>
                <w:rFonts w:ascii="Times New Roman" w:hAnsi="Times New Roman"/>
              </w:rPr>
            </w:pPr>
            <w:r>
              <w:rPr>
                <w:sz w:val="24"/>
                <w:rFonts w:ascii="Times New Roman" w:hAnsi="Times New Roman"/>
              </w:rPr>
              <w:t xml:space="preserve">Exención parcial del límite máximo sobre las entradas (artículo 33, apartados 2 a 5)</w:t>
            </w:r>
          </w:p>
        </w:tc>
        <w:tc>
          <w:tcPr>
            <w:tcW w:w="1400" w:type="dxa"/>
            <w:shd w:val="clear" w:color="auto" w:fill="auto"/>
            <w:vAlign w:val="center"/>
          </w:tcPr>
          <w:p w14:paraId="1C560F1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2C8E20A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4AACB393"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13</w:t>
            </w:r>
          </w:p>
        </w:tc>
        <w:tc>
          <w:tcPr>
            <w:tcW w:w="1850" w:type="dxa"/>
            <w:vMerge w:val="restart"/>
            <w:shd w:val="clear" w:color="auto" w:fill="auto"/>
            <w:vAlign w:val="center"/>
          </w:tcPr>
          <w:p w14:paraId="630009D8" w14:textId="77777777" w:rsidR="007453EC" w:rsidRPr="000B6B22" w:rsidRDefault="007453EC">
            <w:pPr>
              <w:spacing w:before="0"/>
              <w:rPr>
                <w:sz w:val="24"/>
                <w:rFonts w:ascii="Times New Roman" w:hAnsi="Times New Roman"/>
              </w:rPr>
            </w:pPr>
            <w:r>
              <w:rPr>
                <w:sz w:val="24"/>
                <w:rFonts w:ascii="Times New Roman" w:hAnsi="Times New Roman"/>
              </w:rPr>
              <w:t xml:space="preserve">Exención parcial del límite máximo sobre las entradas (artículo 33, apartados 2 a 5)</w:t>
            </w:r>
          </w:p>
        </w:tc>
        <w:tc>
          <w:tcPr>
            <w:tcW w:w="1850" w:type="dxa"/>
            <w:shd w:val="clear" w:color="auto" w:fill="auto"/>
            <w:vAlign w:val="center"/>
          </w:tcPr>
          <w:p w14:paraId="1386869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13.1</w:t>
            </w:r>
          </w:p>
        </w:tc>
        <w:tc>
          <w:tcPr>
            <w:tcW w:w="1850" w:type="dxa"/>
            <w:shd w:val="clear" w:color="auto" w:fill="auto"/>
            <w:vAlign w:val="center"/>
          </w:tcPr>
          <w:p w14:paraId="2AE68156" w14:textId="77777777" w:rsidR="007453EC" w:rsidRPr="000B6B22" w:rsidRDefault="007453EC">
            <w:pPr>
              <w:spacing w:before="0"/>
              <w:rPr>
                <w:sz w:val="24"/>
                <w:rFonts w:ascii="Times New Roman" w:hAnsi="Times New Roman"/>
              </w:rPr>
            </w:pPr>
            <w:r>
              <w:rPr>
                <w:sz w:val="24"/>
                <w:rFonts w:ascii="Times New Roman" w:hAnsi="Times New Roman"/>
              </w:rPr>
              <w:t xml:space="preserve">Parte de las entradas exenta del límite máximo</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13.2</w:t>
            </w:r>
          </w:p>
        </w:tc>
        <w:tc>
          <w:tcPr>
            <w:tcW w:w="1850" w:type="dxa"/>
            <w:shd w:val="clear" w:color="auto" w:fill="auto"/>
            <w:vAlign w:val="center"/>
          </w:tcPr>
          <w:p w14:paraId="1DD0958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Parte de las entradas no exenta del límite máximo</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14</w:t>
            </w:r>
          </w:p>
        </w:tc>
        <w:tc>
          <w:tcPr>
            <w:tcW w:w="5550" w:type="dxa"/>
            <w:gridSpan w:val="3"/>
            <w:vMerge w:val="restart"/>
            <w:shd w:val="clear" w:color="auto" w:fill="auto"/>
            <w:vAlign w:val="center"/>
          </w:tcPr>
          <w:p w14:paraId="0CF85DB7" w14:textId="77777777" w:rsidR="007453EC" w:rsidRPr="000B6B22" w:rsidRDefault="007453EC">
            <w:pPr>
              <w:spacing w:before="0"/>
              <w:rPr>
                <w:sz w:val="24"/>
                <w:rFonts w:ascii="Times New Roman" w:hAnsi="Times New Roman"/>
              </w:rPr>
            </w:pPr>
            <w:r>
              <w:rPr>
                <w:sz w:val="24"/>
                <w:rFonts w:ascii="Times New Roman" w:hAnsi="Times New Roman"/>
              </w:rPr>
              <w:t xml:space="preserve">Parte de las entradas exenta del límite del 75 % y sujeta al límite del 90 % (artículo 33, apartados 4 y 5)</w:t>
            </w:r>
          </w:p>
        </w:tc>
        <w:tc>
          <w:tcPr>
            <w:tcW w:w="1400" w:type="dxa"/>
            <w:shd w:val="clear" w:color="auto" w:fill="auto"/>
            <w:vAlign w:val="center"/>
          </w:tcPr>
          <w:p w14:paraId="2F2FF56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5DE5FB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478571D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15</w:t>
            </w:r>
          </w:p>
        </w:tc>
        <w:tc>
          <w:tcPr>
            <w:tcW w:w="5550" w:type="dxa"/>
            <w:gridSpan w:val="3"/>
            <w:vMerge w:val="restart"/>
            <w:shd w:val="clear" w:color="auto" w:fill="auto"/>
            <w:vAlign w:val="center"/>
          </w:tcPr>
          <w:p w14:paraId="112E1D59" w14:textId="77777777" w:rsidR="007453EC" w:rsidRPr="000B6B22" w:rsidRDefault="007453EC">
            <w:pPr>
              <w:spacing w:before="0"/>
              <w:rPr>
                <w:sz w:val="24"/>
                <w:rFonts w:ascii="Times New Roman" w:hAnsi="Times New Roman"/>
              </w:rPr>
            </w:pPr>
            <w:r>
              <w:rPr>
                <w:sz w:val="24"/>
                <w:rFonts w:ascii="Times New Roman" w:hAnsi="Times New Roman"/>
              </w:rPr>
              <w:t xml:space="preserve">Entrada sujeta al límite máximo del 75 % (artículo 33, apartado 1)</w:t>
            </w:r>
          </w:p>
        </w:tc>
        <w:tc>
          <w:tcPr>
            <w:tcW w:w="1400" w:type="dxa"/>
            <w:shd w:val="clear" w:color="auto" w:fill="auto"/>
            <w:vAlign w:val="center"/>
          </w:tcPr>
          <w:p w14:paraId="3128986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7D6C772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38B0DA0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16</w:t>
            </w:r>
          </w:p>
        </w:tc>
        <w:tc>
          <w:tcPr>
            <w:tcW w:w="1850" w:type="dxa"/>
            <w:vMerge w:val="restart"/>
            <w:shd w:val="clear" w:color="auto" w:fill="auto"/>
            <w:vAlign w:val="center"/>
          </w:tcPr>
          <w:p w14:paraId="48A2D38E" w14:textId="77777777" w:rsidR="007453EC" w:rsidRPr="000B6B22" w:rsidRDefault="007453EC">
            <w:pPr>
              <w:spacing w:before="0"/>
              <w:rPr>
                <w:sz w:val="24"/>
                <w:rFonts w:ascii="Times New Roman" w:hAnsi="Times New Roman"/>
              </w:rPr>
            </w:pPr>
            <w:r>
              <w:rPr>
                <w:sz w:val="24"/>
                <w:rFonts w:ascii="Times New Roman" w:hAnsi="Times New Roman"/>
              </w:rPr>
              <w:t xml:space="preserve">Entrada sujeta al límite máximo del 75 % (artículo 33, apartado 1)</w:t>
            </w:r>
          </w:p>
        </w:tc>
        <w:tc>
          <w:tcPr>
            <w:tcW w:w="1850" w:type="dxa"/>
            <w:shd w:val="clear" w:color="auto" w:fill="auto"/>
            <w:vAlign w:val="center"/>
          </w:tcPr>
          <w:p w14:paraId="299AD1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16.1</w:t>
            </w:r>
          </w:p>
        </w:tc>
        <w:tc>
          <w:tcPr>
            <w:tcW w:w="1850" w:type="dxa"/>
            <w:shd w:val="clear" w:color="auto" w:fill="auto"/>
            <w:vAlign w:val="center"/>
          </w:tcPr>
          <w:p w14:paraId="3374DED9" w14:textId="77777777" w:rsidR="007453EC" w:rsidRPr="000B6B22" w:rsidRDefault="007453EC">
            <w:pPr>
              <w:spacing w:before="0"/>
              <w:rPr>
                <w:sz w:val="24"/>
                <w:rFonts w:ascii="Times New Roman" w:hAnsi="Times New Roman"/>
              </w:rPr>
            </w:pPr>
            <w:r>
              <w:rPr>
                <w:sz w:val="24"/>
                <w:rFonts w:ascii="Times New Roman" w:hAnsi="Times New Roman"/>
              </w:rPr>
              <w:t xml:space="preserve">Pagos pendientes</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sz w:val="24"/>
                <w:rFonts w:ascii="Times New Roman" w:hAnsi="Times New Roman"/>
              </w:rPr>
            </w:pPr>
            <w:r>
              <w:rPr>
                <w:sz w:val="24"/>
                <w:rFonts w:ascii="Times New Roman" w:hAnsi="Times New Roman"/>
              </w:rPr>
              <w:t xml:space="preserve">Columna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16.2</w:t>
            </w:r>
          </w:p>
        </w:tc>
        <w:tc>
          <w:tcPr>
            <w:tcW w:w="1850" w:type="dxa"/>
            <w:shd w:val="clear" w:color="auto" w:fill="auto"/>
            <w:vAlign w:val="center"/>
          </w:tcPr>
          <w:p w14:paraId="2879C94D" w14:textId="77777777" w:rsidR="007453EC" w:rsidRPr="000B6B22" w:rsidRDefault="007453EC">
            <w:pPr>
              <w:spacing w:before="0"/>
              <w:rPr>
                <w:sz w:val="24"/>
                <w:rFonts w:ascii="Times New Roman" w:hAnsi="Times New Roman"/>
              </w:rPr>
            </w:pPr>
            <w:r>
              <w:rPr>
                <w:sz w:val="24"/>
                <w:rFonts w:ascii="Times New Roman" w:hAnsi="Times New Roman"/>
              </w:rPr>
              <w:t xml:space="preserve">Valor de mercado de las garantías reales recibidas</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sz w:val="24"/>
                <w:rFonts w:ascii="Times New Roman" w:hAnsi="Times New Roman"/>
              </w:rPr>
            </w:pPr>
            <w:r>
              <w:rPr>
                <w:sz w:val="24"/>
                <w:rFonts w:ascii="Times New Roman" w:hAnsi="Times New Roman"/>
              </w:rPr>
              <w:t xml:space="preserve">Columna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16.3</w:t>
            </w:r>
          </w:p>
        </w:tc>
        <w:tc>
          <w:tcPr>
            <w:tcW w:w="1850" w:type="dxa"/>
            <w:shd w:val="clear" w:color="auto" w:fill="auto"/>
            <w:vAlign w:val="center"/>
          </w:tcPr>
          <w:p w14:paraId="54D2270D" w14:textId="77777777" w:rsidR="007453EC" w:rsidRPr="000B6B22" w:rsidRDefault="007453EC">
            <w:pPr>
              <w:spacing w:before="0"/>
              <w:rPr>
                <w:sz w:val="24"/>
                <w:rFonts w:ascii="Times New Roman" w:hAnsi="Times New Roman"/>
              </w:rPr>
            </w:pPr>
            <w:r>
              <w:rPr>
                <w:sz w:val="24"/>
                <w:rFonts w:ascii="Times New Roman" w:hAnsi="Times New Roman"/>
              </w:rPr>
              <w:t xml:space="preserve">Ponderación aplicable</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sz w:val="24"/>
                <w:rFonts w:ascii="Times New Roman" w:hAnsi="Times New Roman"/>
              </w:rPr>
            </w:pPr>
            <w:r>
              <w:rPr>
                <w:sz w:val="24"/>
                <w:rFonts w:ascii="Times New Roman" w:hAnsi="Times New Roman"/>
              </w:rPr>
              <w:t xml:space="preserve">Columna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16.4</w:t>
            </w:r>
          </w:p>
        </w:tc>
        <w:tc>
          <w:tcPr>
            <w:tcW w:w="1850" w:type="dxa"/>
            <w:shd w:val="clear" w:color="auto" w:fill="auto"/>
            <w:vAlign w:val="center"/>
          </w:tcPr>
          <w:p w14:paraId="3C1290F5" w14:textId="0EEE2A95" w:rsidR="007453EC" w:rsidRPr="000B6B22" w:rsidRDefault="007453EC">
            <w:pPr>
              <w:spacing w:before="0"/>
              <w:rPr>
                <w:sz w:val="24"/>
                <w:rFonts w:ascii="Times New Roman" w:hAnsi="Times New Roman"/>
              </w:rPr>
            </w:pPr>
            <w:r>
              <w:rPr>
                <w:sz w:val="24"/>
                <w:rFonts w:ascii="Times New Roman" w:hAnsi="Times New Roman"/>
              </w:rPr>
              <w:t xml:space="preserve">Valor de las garantías reales recibidas con arreglo al artículo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sz w:val="24"/>
                <w:rFonts w:ascii="Times New Roman" w:hAnsi="Times New Roman"/>
              </w:rPr>
            </w:pPr>
            <w:r>
              <w:rPr>
                <w:sz w:val="24"/>
                <w:rFonts w:ascii="Times New Roman" w:hAnsi="Times New Roman"/>
              </w:rPr>
              <w:t xml:space="preserve">[solo si las garantías reales recibidas cumplen los requisitos operativos]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sz w:val="24"/>
                <w:rFonts w:ascii="Times New Roman" w:hAnsi="Times New Roman"/>
              </w:rPr>
            </w:pPr>
            <w:r>
              <w:rPr>
                <w:sz w:val="24"/>
                <w:rFonts w:ascii="Times New Roman" w:hAnsi="Times New Roman"/>
              </w:rPr>
              <w:t xml:space="preserve">Columna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16.5</w:t>
            </w:r>
          </w:p>
        </w:tc>
        <w:tc>
          <w:tcPr>
            <w:tcW w:w="1850" w:type="dxa"/>
            <w:shd w:val="clear" w:color="auto" w:fill="auto"/>
            <w:vAlign w:val="center"/>
          </w:tcPr>
          <w:p w14:paraId="501F3211" w14:textId="77777777" w:rsidR="007453EC" w:rsidRPr="000B6B22" w:rsidRDefault="007453EC">
            <w:pPr>
              <w:spacing w:before="0"/>
              <w:rPr>
                <w:sz w:val="24"/>
                <w:rFonts w:ascii="Times New Roman" w:hAnsi="Times New Roman"/>
              </w:rPr>
            </w:pPr>
            <w:r>
              <w:rPr>
                <w:sz w:val="24"/>
                <w:rFonts w:ascii="Times New Roman" w:hAnsi="Times New Roman"/>
              </w:rPr>
              <w:t xml:space="preserve">Entrada</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sz w:val="24"/>
                <w:rFonts w:ascii="Times New Roman" w:hAnsi="Times New Roman"/>
              </w:rPr>
            </w:pPr>
            <w:r>
              <w:rPr>
                <w:sz w:val="24"/>
                <w:rFonts w:ascii="Times New Roman" w:hAnsi="Times New Roman"/>
              </w:rPr>
              <w:t xml:space="preserve">Columna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17</w:t>
            </w:r>
          </w:p>
        </w:tc>
        <w:tc>
          <w:tcPr>
            <w:tcW w:w="5550" w:type="dxa"/>
            <w:gridSpan w:val="3"/>
            <w:vMerge w:val="restart"/>
            <w:shd w:val="clear" w:color="auto" w:fill="auto"/>
            <w:vAlign w:val="center"/>
          </w:tcPr>
          <w:p w14:paraId="6ACAD07D" w14:textId="77777777" w:rsidR="007453EC" w:rsidRPr="000B6B22" w:rsidRDefault="007453EC">
            <w:pPr>
              <w:spacing w:before="0"/>
              <w:rPr>
                <w:sz w:val="24"/>
                <w:rFonts w:ascii="Times New Roman" w:hAnsi="Times New Roman"/>
              </w:rPr>
            </w:pPr>
            <w:r>
              <w:rPr>
                <w:sz w:val="24"/>
                <w:rFonts w:ascii="Times New Roman" w:hAnsi="Times New Roman"/>
              </w:rPr>
              <w:t xml:space="preserve">Entrada sujeta al límite máximo del 90 % (artículo 33, apartados 4 y 5)</w:t>
            </w:r>
          </w:p>
        </w:tc>
        <w:tc>
          <w:tcPr>
            <w:tcW w:w="1400" w:type="dxa"/>
            <w:shd w:val="clear" w:color="auto" w:fill="auto"/>
            <w:vAlign w:val="center"/>
          </w:tcPr>
          <w:p w14:paraId="01AD2DA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Sí</w:t>
            </w:r>
          </w:p>
        </w:tc>
        <w:tc>
          <w:tcPr>
            <w:tcW w:w="2127" w:type="dxa"/>
            <w:shd w:val="clear" w:color="auto" w:fill="auto"/>
            <w:vAlign w:val="center"/>
          </w:tcPr>
          <w:p w14:paraId="6BBCCB83"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No</w:t>
            </w:r>
          </w:p>
        </w:tc>
        <w:tc>
          <w:tcPr>
            <w:tcW w:w="2127" w:type="dxa"/>
            <w:shd w:val="clear" w:color="auto" w:fill="auto"/>
            <w:vAlign w:val="center"/>
          </w:tcPr>
          <w:p w14:paraId="778A7E26"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18</w:t>
            </w:r>
          </w:p>
        </w:tc>
        <w:tc>
          <w:tcPr>
            <w:tcW w:w="1850" w:type="dxa"/>
            <w:vMerge w:val="restart"/>
            <w:shd w:val="clear" w:color="auto" w:fill="auto"/>
            <w:vAlign w:val="center"/>
          </w:tcPr>
          <w:p w14:paraId="7507EF69" w14:textId="77777777" w:rsidR="007453EC" w:rsidRPr="000B6B22" w:rsidRDefault="007453EC">
            <w:pPr>
              <w:spacing w:before="0"/>
              <w:rPr>
                <w:sz w:val="24"/>
                <w:rFonts w:ascii="Times New Roman" w:hAnsi="Times New Roman"/>
              </w:rPr>
            </w:pPr>
            <w:r>
              <w:rPr>
                <w:sz w:val="24"/>
                <w:rFonts w:ascii="Times New Roman" w:hAnsi="Times New Roman"/>
              </w:rPr>
              <w:t xml:space="preserve">Entrada sujeta al límite máximo del 90 % (artículo 33, apartados 4 y 5)</w:t>
            </w:r>
          </w:p>
        </w:tc>
        <w:tc>
          <w:tcPr>
            <w:tcW w:w="1850" w:type="dxa"/>
            <w:shd w:val="clear" w:color="auto" w:fill="auto"/>
            <w:vAlign w:val="center"/>
          </w:tcPr>
          <w:p w14:paraId="4C78857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18.1</w:t>
            </w:r>
          </w:p>
        </w:tc>
        <w:tc>
          <w:tcPr>
            <w:tcW w:w="1850" w:type="dxa"/>
            <w:shd w:val="clear" w:color="auto" w:fill="auto"/>
            <w:vAlign w:val="center"/>
          </w:tcPr>
          <w:p w14:paraId="46A4AC26" w14:textId="77777777" w:rsidR="007453EC" w:rsidRPr="000B6B22" w:rsidRDefault="007453EC">
            <w:pPr>
              <w:spacing w:before="0"/>
              <w:rPr>
                <w:sz w:val="24"/>
                <w:rFonts w:ascii="Times New Roman" w:hAnsi="Times New Roman"/>
              </w:rPr>
            </w:pPr>
            <w:r>
              <w:rPr>
                <w:sz w:val="24"/>
                <w:rFonts w:ascii="Times New Roman" w:hAnsi="Times New Roman"/>
              </w:rPr>
              <w:t xml:space="preserve">Pagos pendientes</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sz w:val="24"/>
                <w:rFonts w:ascii="Times New Roman" w:hAnsi="Times New Roman"/>
              </w:rPr>
            </w:pPr>
            <w:r>
              <w:rPr>
                <w:sz w:val="24"/>
                <w:rFonts w:ascii="Times New Roman" w:hAnsi="Times New Roman"/>
              </w:rPr>
              <w:t xml:space="preserve">Columna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18.2</w:t>
            </w:r>
          </w:p>
        </w:tc>
        <w:tc>
          <w:tcPr>
            <w:tcW w:w="1850" w:type="dxa"/>
            <w:shd w:val="clear" w:color="auto" w:fill="auto"/>
            <w:vAlign w:val="center"/>
          </w:tcPr>
          <w:p w14:paraId="16EFF2C0" w14:textId="77777777" w:rsidR="007453EC" w:rsidRPr="000B6B22" w:rsidRDefault="007453EC">
            <w:pPr>
              <w:spacing w:before="0"/>
              <w:rPr>
                <w:sz w:val="24"/>
                <w:rFonts w:ascii="Times New Roman" w:hAnsi="Times New Roman"/>
              </w:rPr>
            </w:pPr>
            <w:r>
              <w:rPr>
                <w:sz w:val="24"/>
                <w:rFonts w:ascii="Times New Roman" w:hAnsi="Times New Roman"/>
              </w:rPr>
              <w:t xml:space="preserve">Valor de mercado de las garantías reales recibidas</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sz w:val="24"/>
                <w:rFonts w:ascii="Times New Roman" w:hAnsi="Times New Roman"/>
              </w:rPr>
            </w:pPr>
            <w:r>
              <w:rPr>
                <w:sz w:val="24"/>
                <w:rFonts w:ascii="Times New Roman" w:hAnsi="Times New Roman"/>
              </w:rPr>
              <w:t xml:space="preserve">Columna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18.3</w:t>
            </w:r>
          </w:p>
        </w:tc>
        <w:tc>
          <w:tcPr>
            <w:tcW w:w="1850" w:type="dxa"/>
            <w:shd w:val="clear" w:color="auto" w:fill="auto"/>
            <w:vAlign w:val="center"/>
          </w:tcPr>
          <w:p w14:paraId="58217F86" w14:textId="77777777" w:rsidR="007453EC" w:rsidRPr="000B6B22" w:rsidRDefault="007453EC">
            <w:pPr>
              <w:spacing w:before="0"/>
              <w:rPr>
                <w:sz w:val="24"/>
                <w:rFonts w:ascii="Times New Roman" w:hAnsi="Times New Roman"/>
              </w:rPr>
            </w:pPr>
            <w:r>
              <w:rPr>
                <w:sz w:val="24"/>
                <w:rFonts w:ascii="Times New Roman" w:hAnsi="Times New Roman"/>
              </w:rPr>
              <w:t xml:space="preserve">Ponderación aplicable</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sz w:val="24"/>
                <w:rFonts w:ascii="Times New Roman" w:hAnsi="Times New Roman"/>
              </w:rPr>
            </w:pPr>
            <w:r>
              <w:rPr>
                <w:sz w:val="24"/>
                <w:rFonts w:ascii="Times New Roman" w:hAnsi="Times New Roman"/>
              </w:rPr>
              <w:t xml:space="preserve">Columna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18.4</w:t>
            </w:r>
          </w:p>
        </w:tc>
        <w:tc>
          <w:tcPr>
            <w:tcW w:w="1850" w:type="dxa"/>
            <w:shd w:val="clear" w:color="auto" w:fill="auto"/>
            <w:vAlign w:val="center"/>
          </w:tcPr>
          <w:p w14:paraId="57F1611B" w14:textId="61E45A63" w:rsidR="007453EC" w:rsidRPr="000B6B22" w:rsidRDefault="007453EC">
            <w:pPr>
              <w:spacing w:before="0"/>
              <w:rPr>
                <w:sz w:val="24"/>
                <w:rFonts w:ascii="Times New Roman" w:hAnsi="Times New Roman"/>
              </w:rPr>
            </w:pPr>
            <w:r>
              <w:rPr>
                <w:sz w:val="24"/>
                <w:rFonts w:ascii="Times New Roman" w:hAnsi="Times New Roman"/>
              </w:rPr>
              <w:t xml:space="preserve">Valor de las garantías reales recibidas con arreglo al artículo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sz w:val="24"/>
                <w:rFonts w:ascii="Times New Roman" w:hAnsi="Times New Roman"/>
              </w:rPr>
            </w:pPr>
            <w:r>
              <w:rPr>
                <w:sz w:val="24"/>
                <w:rFonts w:ascii="Times New Roman" w:hAnsi="Times New Roman"/>
              </w:rPr>
              <w:t xml:space="preserve">[solo si las garantías reales recibidas cumplen los requisitos operativos]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sz w:val="24"/>
                <w:rFonts w:ascii="Times New Roman" w:hAnsi="Times New Roman"/>
              </w:rPr>
            </w:pPr>
            <w:r>
              <w:rPr>
                <w:sz w:val="24"/>
                <w:rFonts w:ascii="Times New Roman" w:hAnsi="Times New Roman"/>
              </w:rPr>
              <w:t xml:space="preserve">Columna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18.5</w:t>
            </w:r>
          </w:p>
        </w:tc>
        <w:tc>
          <w:tcPr>
            <w:tcW w:w="1850" w:type="dxa"/>
            <w:shd w:val="clear" w:color="auto" w:fill="auto"/>
            <w:vAlign w:val="center"/>
          </w:tcPr>
          <w:p w14:paraId="4DF05E20" w14:textId="77777777" w:rsidR="007453EC" w:rsidRPr="000B6B22" w:rsidRDefault="007453EC">
            <w:pPr>
              <w:spacing w:before="0"/>
              <w:rPr>
                <w:sz w:val="24"/>
                <w:rFonts w:ascii="Times New Roman" w:hAnsi="Times New Roman"/>
              </w:rPr>
            </w:pPr>
            <w:r>
              <w:rPr>
                <w:sz w:val="24"/>
                <w:rFonts w:ascii="Times New Roman" w:hAnsi="Times New Roman"/>
              </w:rPr>
              <w:t xml:space="preserve">Entrada</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sz w:val="24"/>
                <w:rFonts w:ascii="Times New Roman" w:hAnsi="Times New Roman"/>
              </w:rPr>
            </w:pPr>
            <w:r>
              <w:rPr>
                <w:sz w:val="24"/>
                <w:rFonts w:ascii="Times New Roman" w:hAnsi="Times New Roman"/>
              </w:rPr>
              <w:t xml:space="preserve">Columna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19</w:t>
            </w:r>
          </w:p>
        </w:tc>
        <w:tc>
          <w:tcPr>
            <w:tcW w:w="1850" w:type="dxa"/>
            <w:vMerge w:val="restart"/>
            <w:shd w:val="clear" w:color="auto" w:fill="auto"/>
            <w:vAlign w:val="center"/>
          </w:tcPr>
          <w:p w14:paraId="02C258CF" w14:textId="77777777" w:rsidR="007453EC" w:rsidRPr="000B6B22" w:rsidRDefault="007453EC">
            <w:pPr>
              <w:spacing w:before="0"/>
              <w:rPr>
                <w:sz w:val="24"/>
                <w:rFonts w:ascii="Times New Roman" w:hAnsi="Times New Roman"/>
              </w:rPr>
            </w:pPr>
            <w:r>
              <w:rPr>
                <w:sz w:val="24"/>
                <w:rFonts w:ascii="Times New Roman" w:hAnsi="Times New Roman"/>
              </w:rPr>
              <w:t xml:space="preserve">Entradas totalmente exentas del límite máximo (artículo 33, apartados 2 y 3)</w:t>
            </w:r>
          </w:p>
        </w:tc>
        <w:tc>
          <w:tcPr>
            <w:tcW w:w="1850" w:type="dxa"/>
            <w:shd w:val="clear" w:color="auto" w:fill="auto"/>
            <w:vAlign w:val="center"/>
          </w:tcPr>
          <w:p w14:paraId="74D5ACE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19.1</w:t>
            </w:r>
          </w:p>
        </w:tc>
        <w:tc>
          <w:tcPr>
            <w:tcW w:w="1850" w:type="dxa"/>
            <w:shd w:val="clear" w:color="auto" w:fill="auto"/>
            <w:vAlign w:val="center"/>
          </w:tcPr>
          <w:p w14:paraId="4457F4FD" w14:textId="77777777" w:rsidR="007453EC" w:rsidRPr="000B6B22" w:rsidRDefault="007453EC">
            <w:pPr>
              <w:spacing w:before="0"/>
              <w:rPr>
                <w:sz w:val="24"/>
                <w:rFonts w:ascii="Times New Roman" w:hAnsi="Times New Roman"/>
              </w:rPr>
            </w:pPr>
            <w:r>
              <w:rPr>
                <w:sz w:val="24"/>
                <w:rFonts w:ascii="Times New Roman" w:hAnsi="Times New Roman"/>
              </w:rPr>
              <w:t xml:space="preserve">Pagos pendientes</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sz w:val="24"/>
                <w:rFonts w:ascii="Times New Roman" w:hAnsi="Times New Roman"/>
              </w:rPr>
            </w:pPr>
            <w:r>
              <w:rPr>
                <w:sz w:val="24"/>
                <w:rFonts w:ascii="Times New Roman" w:hAnsi="Times New Roman"/>
              </w:rPr>
              <w:t xml:space="preserve">Columna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19.2</w:t>
            </w:r>
          </w:p>
        </w:tc>
        <w:tc>
          <w:tcPr>
            <w:tcW w:w="1850" w:type="dxa"/>
            <w:shd w:val="clear" w:color="auto" w:fill="auto"/>
            <w:vAlign w:val="center"/>
          </w:tcPr>
          <w:p w14:paraId="782C4DF0" w14:textId="77777777" w:rsidR="007453EC" w:rsidRPr="000B6B22" w:rsidRDefault="007453EC">
            <w:pPr>
              <w:spacing w:before="0"/>
              <w:rPr>
                <w:sz w:val="24"/>
                <w:rFonts w:ascii="Times New Roman" w:hAnsi="Times New Roman"/>
              </w:rPr>
            </w:pPr>
            <w:r>
              <w:rPr>
                <w:sz w:val="24"/>
                <w:rFonts w:ascii="Times New Roman" w:hAnsi="Times New Roman"/>
              </w:rPr>
              <w:t xml:space="preserve">Valor de mercado de las garantías reales recibidas</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sz w:val="24"/>
                <w:rFonts w:ascii="Times New Roman" w:hAnsi="Times New Roman"/>
              </w:rPr>
            </w:pPr>
            <w:r>
              <w:rPr>
                <w:sz w:val="24"/>
                <w:rFonts w:ascii="Times New Roman" w:hAnsi="Times New Roman"/>
              </w:rPr>
              <w:t xml:space="preserve">Columna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19.3</w:t>
            </w:r>
          </w:p>
        </w:tc>
        <w:tc>
          <w:tcPr>
            <w:tcW w:w="1850" w:type="dxa"/>
            <w:shd w:val="clear" w:color="auto" w:fill="auto"/>
            <w:vAlign w:val="center"/>
          </w:tcPr>
          <w:p w14:paraId="40DF83FE" w14:textId="77777777" w:rsidR="007453EC" w:rsidRPr="000B6B22" w:rsidRDefault="007453EC">
            <w:pPr>
              <w:spacing w:before="0"/>
              <w:rPr>
                <w:sz w:val="24"/>
                <w:rFonts w:ascii="Times New Roman" w:hAnsi="Times New Roman"/>
              </w:rPr>
            </w:pPr>
            <w:r>
              <w:rPr>
                <w:sz w:val="24"/>
                <w:rFonts w:ascii="Times New Roman" w:hAnsi="Times New Roman"/>
              </w:rPr>
              <w:t xml:space="preserve">Ponderación aplicable</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sz w:val="24"/>
                <w:rFonts w:ascii="Times New Roman" w:hAnsi="Times New Roman"/>
              </w:rPr>
            </w:pPr>
            <w:r>
              <w:rPr>
                <w:sz w:val="24"/>
                <w:rFonts w:ascii="Times New Roman" w:hAnsi="Times New Roman"/>
              </w:rPr>
              <w:t xml:space="preserve">Columna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19.4</w:t>
            </w:r>
          </w:p>
        </w:tc>
        <w:tc>
          <w:tcPr>
            <w:tcW w:w="1850" w:type="dxa"/>
            <w:shd w:val="clear" w:color="auto" w:fill="auto"/>
            <w:vAlign w:val="center"/>
          </w:tcPr>
          <w:p w14:paraId="7A0D528A" w14:textId="106C7404" w:rsidR="007453EC" w:rsidRPr="000B6B22" w:rsidRDefault="007453EC">
            <w:pPr>
              <w:spacing w:before="0"/>
              <w:rPr>
                <w:sz w:val="24"/>
                <w:rFonts w:ascii="Times New Roman" w:hAnsi="Times New Roman"/>
              </w:rPr>
            </w:pPr>
            <w:r>
              <w:rPr>
                <w:sz w:val="24"/>
                <w:rFonts w:ascii="Times New Roman" w:hAnsi="Times New Roman"/>
              </w:rPr>
              <w:t xml:space="preserve">Valor de las garantías reales recibidas con arreglo al artículo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sz w:val="24"/>
                <w:rFonts w:ascii="Times New Roman" w:hAnsi="Times New Roman"/>
              </w:rPr>
            </w:pPr>
            <w:r>
              <w:rPr>
                <w:sz w:val="24"/>
                <w:rFonts w:ascii="Times New Roman" w:hAnsi="Times New Roman"/>
              </w:rPr>
              <w:t xml:space="preserve">[solo si las garantías reales recibidas cumplen los requisitos operativos]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sz w:val="24"/>
                <w:rFonts w:ascii="Times New Roman" w:hAnsi="Times New Roman"/>
              </w:rPr>
            </w:pPr>
            <w:r>
              <w:rPr>
                <w:sz w:val="24"/>
                <w:rFonts w:ascii="Times New Roman" w:hAnsi="Times New Roman"/>
              </w:rPr>
              <w:t xml:space="preserve">Columna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19.5</w:t>
            </w:r>
          </w:p>
        </w:tc>
        <w:tc>
          <w:tcPr>
            <w:tcW w:w="1850" w:type="dxa"/>
            <w:shd w:val="clear" w:color="auto" w:fill="auto"/>
            <w:vAlign w:val="center"/>
          </w:tcPr>
          <w:p w14:paraId="5BC15CE3" w14:textId="77777777" w:rsidR="007453EC" w:rsidRPr="000B6B22" w:rsidRDefault="007453EC">
            <w:pPr>
              <w:spacing w:before="0"/>
              <w:rPr>
                <w:sz w:val="24"/>
                <w:rFonts w:ascii="Times New Roman" w:hAnsi="Times New Roman"/>
              </w:rPr>
            </w:pPr>
            <w:r>
              <w:rPr>
                <w:sz w:val="24"/>
                <w:rFonts w:ascii="Times New Roman" w:hAnsi="Times New Roman"/>
              </w:rPr>
              <w:t xml:space="preserve">Entrada</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sz w:val="24"/>
                <w:rFonts w:ascii="Times New Roman" w:hAnsi="Times New Roman"/>
              </w:rPr>
            </w:pPr>
            <w:r>
              <w:rPr>
                <w:sz w:val="24"/>
                <w:rFonts w:ascii="Times New Roman" w:hAnsi="Times New Roman"/>
              </w:rPr>
              <w:t xml:space="preserve">Columna 0160</w:t>
            </w:r>
          </w:p>
        </w:tc>
      </w:tr>
    </w:tbl>
    <w:p w14:paraId="3884AB65" w14:textId="2BAB6E15"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w:t>
      </w:r>
      <w:r>
        <w:rPr>
          <w:sz w:val="24"/>
          <w:rFonts w:ascii="Times New Roman" w:hAnsi="Times New Roman"/>
        </w:rPr>
        <w:tab/>
      </w:r>
      <w:r>
        <w:rPr>
          <w:sz w:val="24"/>
          <w:rFonts w:ascii="Times New Roman" w:hAnsi="Times New Roman"/>
        </w:rPr>
        <w:t xml:space="preserve">Subplantilla de entradas</w:t>
      </w:r>
    </w:p>
    <w:p w14:paraId="54B00A4C" w14:textId="6AAAF10B"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1.5.1.</w:t>
      </w:r>
      <w:r>
        <w:rPr>
          <w:sz w:val="24"/>
          <w:rFonts w:ascii="Times New Roman" w:hAnsi="Times New Roman"/>
        </w:rPr>
        <w:tab/>
      </w:r>
      <w:r>
        <w:rPr>
          <w:sz w:val="24"/>
          <w:rFonts w:ascii="Times New Roman" w:hAnsi="Times New Roman"/>
        </w:rPr>
        <w:t xml:space="preserve">Instrucciones relativas a columnas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sz w:val="24"/>
                <w:rFonts w:ascii="Times New Roman" w:hAnsi="Times New Roman"/>
              </w:rPr>
            </w:pPr>
            <w:r>
              <w:rPr>
                <w:sz w:val="24"/>
                <w:rFonts w:ascii="Times New Roman" w:hAnsi="Times New Roman"/>
              </w:rPr>
              <w:t xml:space="preserve">Columna</w:t>
            </w:r>
          </w:p>
        </w:tc>
        <w:tc>
          <w:tcPr>
            <w:tcW w:w="7339" w:type="dxa"/>
            <w:gridSpan w:val="2"/>
            <w:shd w:val="clear" w:color="auto" w:fill="D9D9D9"/>
          </w:tcPr>
          <w:p w14:paraId="77A26FCD" w14:textId="77777777" w:rsidR="007453EC" w:rsidRPr="000B6B22" w:rsidRDefault="007453EC">
            <w:pPr>
              <w:spacing w:before="0"/>
              <w:rPr>
                <w:sz w:val="24"/>
                <w:rFonts w:ascii="Times New Roman" w:hAnsi="Times New Roman"/>
              </w:rPr>
            </w:pPr>
            <w:r>
              <w:rPr>
                <w:sz w:val="24"/>
                <w:rFonts w:ascii="Times New Roman" w:hAnsi="Times New Roman"/>
              </w:rPr>
              <w:t xml:space="preserve">Referencias jurídicas e instrucciones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sz w:val="24"/>
                <w:rFonts w:ascii="Times New Roman" w:hAnsi="Times New Roman"/>
              </w:rPr>
            </w:pPr>
            <w:r>
              <w:rPr>
                <w:sz w:val="24"/>
                <w:rFonts w:ascii="Times New Roman" w:hAnsi="Times New Roman"/>
              </w:rPr>
              <w:t xml:space="preserve">0010</w:t>
            </w:r>
          </w:p>
        </w:tc>
        <w:tc>
          <w:tcPr>
            <w:tcW w:w="7339" w:type="dxa"/>
            <w:gridSpan w:val="2"/>
            <w:shd w:val="clear" w:color="auto" w:fill="auto"/>
          </w:tcPr>
          <w:p w14:paraId="4CE7E18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Importe - Sujeción al límite máximo del 75 % sobre las entradas</w:t>
            </w:r>
          </w:p>
          <w:p w14:paraId="76C34829" w14:textId="3AEE35E5"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0D9819C3" w14:textId="60CB40D5" w:rsidR="006F1DF5" w:rsidRPr="000B6B22" w:rsidRDefault="006F1DF5">
            <w:pPr>
              <w:spacing w:before="0"/>
              <w:rPr>
                <w:bCs/>
                <w:sz w:val="24"/>
                <w:rFonts w:ascii="Times New Roman" w:hAnsi="Times New Roman"/>
              </w:rPr>
            </w:pPr>
            <w:r>
              <w:rPr>
                <w:sz w:val="24"/>
                <w:rFonts w:ascii="Times New Roman" w:hAnsi="Times New Roman"/>
              </w:rPr>
              <w:t xml:space="preserve">En relación con las filas 0040, 0060-0090, 0120-0130, 0150-0260, 0269-0297, 0301-0303, 0309-0337, 0341-0345, 0450 y 0470-0510, las entidades de crédito comunicarán en la columna 0010 el importe total de los activos /pagos pendientes / importes máximos que puedan utilizarse que estén sujetos al límite máximo del 75 % sobre las entradas, según se especifica en el artículo 33, apartado 1, del Reglamento Delegado (UE) 2015/61, siguiendo las instrucciones pertinentes que aquí figuran.</w:t>
            </w:r>
          </w:p>
          <w:p w14:paraId="6B99EE47" w14:textId="03BA4ABB"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la parte del importe que sea objeto de exención se comunicará en la columna 0020 o 0030 y la parte del importe que no sea objeto de exención se comunicará en la columna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sz w:val="24"/>
                <w:rFonts w:ascii="Times New Roman" w:hAnsi="Times New Roman"/>
              </w:rPr>
            </w:pPr>
            <w:r>
              <w:rPr>
                <w:sz w:val="24"/>
                <w:rFonts w:ascii="Times New Roman" w:hAnsi="Times New Roman"/>
              </w:rPr>
              <w:t xml:space="preserve">0020</w:t>
            </w:r>
          </w:p>
        </w:tc>
        <w:tc>
          <w:tcPr>
            <w:tcW w:w="7339" w:type="dxa"/>
            <w:gridSpan w:val="2"/>
            <w:shd w:val="clear" w:color="auto" w:fill="auto"/>
          </w:tcPr>
          <w:p w14:paraId="5A349CE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Importe - Sujeción al límite máximo del 90 % sobre las entradas</w:t>
            </w:r>
          </w:p>
          <w:p w14:paraId="2F755F35" w14:textId="478637DA"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7ACF83D6" w14:textId="41CBEF4C" w:rsidR="006F1DF5" w:rsidRPr="000B6B22" w:rsidRDefault="006F1DF5">
            <w:pPr>
              <w:spacing w:before="0"/>
              <w:rPr>
                <w:bCs/>
                <w:sz w:val="24"/>
                <w:rFonts w:ascii="Times New Roman" w:hAnsi="Times New Roman"/>
              </w:rPr>
            </w:pPr>
            <w:r>
              <w:rPr>
                <w:sz w:val="24"/>
                <w:rFonts w:ascii="Times New Roman" w:hAnsi="Times New Roman"/>
              </w:rPr>
              <w:t xml:space="preserve">En relación con las filas 0040, 0060-0090, 0120-0130, 0150-0260, 0269-0297, 0301-0303, 0309-0337, 0341-0345, 0450 y 0470-0510, las entidades de crédito comunicarán en la columna 0020 el importe total de los activos / pagos pendientes / importes máximos que puedan utilizarse que estén sujetos al límite máximo del 90 % sobre las entradas, según se especifica en el artículo 33, apartados 4 y 5, del Reglamento Delegado (UE) 2015/61, siguiendo las instrucciones pertinentes que aquí figuran.</w:t>
            </w:r>
          </w:p>
          <w:p w14:paraId="502241E3" w14:textId="30BDB5E8"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la parte del importe que sea objeto de exención se comunicará en la columna 0020 o 0030 y la parte del importe que no sea objeto de exención se comunicará en la columna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sz w:val="24"/>
                <w:rFonts w:ascii="Times New Roman" w:hAnsi="Times New Roman"/>
              </w:rPr>
            </w:pPr>
            <w:r>
              <w:rPr>
                <w:sz w:val="24"/>
                <w:rFonts w:ascii="Times New Roman" w:hAnsi="Times New Roman"/>
              </w:rPr>
              <w:t xml:space="preserve">0030</w:t>
            </w:r>
          </w:p>
        </w:tc>
        <w:tc>
          <w:tcPr>
            <w:tcW w:w="7339" w:type="dxa"/>
            <w:gridSpan w:val="2"/>
            <w:shd w:val="clear" w:color="auto" w:fill="auto"/>
          </w:tcPr>
          <w:p w14:paraId="47B7D3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Importe - Exención del límite máximo sobre las entradas</w:t>
            </w:r>
          </w:p>
          <w:p w14:paraId="72423074" w14:textId="04E28245"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007E9028" w14:textId="7213B8E0" w:rsidR="006F1DF5" w:rsidRPr="000B6B22" w:rsidRDefault="006F1DF5">
            <w:pPr>
              <w:spacing w:before="0"/>
              <w:rPr>
                <w:bCs/>
                <w:sz w:val="24"/>
                <w:rFonts w:ascii="Times New Roman" w:hAnsi="Times New Roman"/>
              </w:rPr>
            </w:pPr>
            <w:r>
              <w:rPr>
                <w:sz w:val="24"/>
                <w:rFonts w:ascii="Times New Roman" w:hAnsi="Times New Roman"/>
              </w:rPr>
              <w:t xml:space="preserve">En relación con las filas 0040, 0060-0090, 0120-0130, 0150-0260, 0269-0297, 0301-0303, 0309-0337, 0341-0345, 0450 y 0470-0510, las entidades de crédito comunicarán en la columna 0030 el importe total de los activos / pagos pendientes / importes máximos que puedan utilizarse que estén plenamente exentos del límite máximo sobre las entradas, según se especifica en el artículo 33, apartados 2, 3 y 5, del Reglamento Delegado (UE) 2015/61, siguiendo las instrucciones pertinentes que aquí figuran.</w:t>
            </w:r>
          </w:p>
          <w:p w14:paraId="586E0A71" w14:textId="643ADBCB"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la parte del importe que sea objeto de exención se comunicará en la columna 0020 o 0030 y la parte del importe que no sea objeto de exención se comunicará en la columna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sz w:val="24"/>
                <w:rFonts w:ascii="Times New Roman" w:hAnsi="Times New Roman"/>
              </w:rPr>
            </w:pPr>
            <w:r>
              <w:rPr>
                <w:sz w:val="24"/>
                <w:rFonts w:ascii="Times New Roman" w:hAnsi="Times New Roman"/>
              </w:rPr>
              <w:t xml:space="preserve">0040</w:t>
            </w:r>
          </w:p>
        </w:tc>
        <w:tc>
          <w:tcPr>
            <w:tcW w:w="7339" w:type="dxa"/>
            <w:gridSpan w:val="2"/>
            <w:shd w:val="clear" w:color="auto" w:fill="auto"/>
          </w:tcPr>
          <w:p w14:paraId="093218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Valor de mercado de las garantías reales recibidas - Sujeción al límite máximo del 75 % sobre las entradas</w:t>
            </w:r>
          </w:p>
          <w:p w14:paraId="61DE5E96" w14:textId="204DFDE3"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2ADF96EB" w14:textId="78B6EB93" w:rsidR="007453EC" w:rsidRPr="000B6B22" w:rsidRDefault="006F1DF5">
            <w:pPr>
              <w:spacing w:before="0"/>
              <w:rPr>
                <w:bCs/>
                <w:sz w:val="24"/>
                <w:rFonts w:ascii="Times New Roman" w:hAnsi="Times New Roman"/>
              </w:rPr>
            </w:pPr>
            <w:r>
              <w:rPr>
                <w:sz w:val="24"/>
                <w:rFonts w:ascii="Times New Roman" w:hAnsi="Times New Roman"/>
              </w:rPr>
              <w:t xml:space="preserve">En relación con las filas 0269-0295, 0309-0335 y 0490, las entidades de crédito comunicarán en la columna 0040 el valor de mercado de las garantías reales recibidas en operaciones de préstamo garantizadas y operaciones vinculadas al mercado de capitales sujetas al límite máximo del 75 % sobre las entradas, tal como se especifica en el artículo 33, apartado 1, del Reglamento Delegado (UE) 2015/61.</w:t>
            </w:r>
          </w:p>
          <w:p w14:paraId="5EAD7F40" w14:textId="002EE697"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0050 o 0060, y el valor de mercado de las garantías reales recibidas en operaciones de préstamo garantizadas y operaciones vinculadas al mercado de capitales que no sean objeto de exención se comunicará en la columna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sz w:val="24"/>
                <w:rFonts w:ascii="Times New Roman" w:hAnsi="Times New Roman"/>
              </w:rPr>
            </w:pPr>
            <w:r>
              <w:rPr>
                <w:sz w:val="24"/>
                <w:rFonts w:ascii="Times New Roman" w:hAnsi="Times New Roman"/>
              </w:rPr>
              <w:t xml:space="preserve">0050</w:t>
            </w:r>
          </w:p>
        </w:tc>
        <w:tc>
          <w:tcPr>
            <w:tcW w:w="7339" w:type="dxa"/>
            <w:gridSpan w:val="2"/>
            <w:shd w:val="clear" w:color="auto" w:fill="auto"/>
          </w:tcPr>
          <w:p w14:paraId="1A767C78"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Valor de mercado de las garantías reales recibidas - Sujeción al límite máximo del 90 % sobre las entradas</w:t>
            </w:r>
          </w:p>
          <w:p w14:paraId="4E91C243" w14:textId="01908594"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6CD388F1" w14:textId="29721BBC" w:rsidR="006F1DF5" w:rsidRPr="000B6B22" w:rsidRDefault="006F1DF5">
            <w:pPr>
              <w:spacing w:before="0"/>
              <w:rPr>
                <w:bCs/>
                <w:sz w:val="24"/>
                <w:rFonts w:ascii="Times New Roman" w:hAnsi="Times New Roman"/>
              </w:rPr>
            </w:pPr>
            <w:r>
              <w:rPr>
                <w:sz w:val="24"/>
                <w:rFonts w:ascii="Times New Roman" w:hAnsi="Times New Roman"/>
              </w:rPr>
              <w:t xml:space="preserve">En relación con las filas 0269-0295, 0309-0335 y 0490, las entidades de crédito comunicarán en la columna 0050 el valor de mercado de las garantías reales recibidas en operaciones de préstamo garantizadas y operaciones vinculadas al mercado de capitales sujetas al límite máximo del 90 % sobre las entradas, tal como se especifica en el artículo 33, apartados 4 y 5, del Reglamento Delegado (UE) 2015/61.</w:t>
            </w:r>
          </w:p>
          <w:p w14:paraId="64326D82" w14:textId="09244D8F"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0050 o 0060, y el valor de mercado de las garantías reales recibidas en operaciones de préstamo garantizadas y operaciones vinculadas al mercado de capitales que no sean objeto de exención se comunicará en la columna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sz w:val="24"/>
                <w:rFonts w:ascii="Times New Roman" w:hAnsi="Times New Roman"/>
              </w:rPr>
            </w:pPr>
            <w:r>
              <w:rPr>
                <w:sz w:val="24"/>
                <w:rFonts w:ascii="Times New Roman" w:hAnsi="Times New Roman"/>
              </w:rPr>
              <w:t xml:space="preserve">0060</w:t>
            </w:r>
          </w:p>
        </w:tc>
        <w:tc>
          <w:tcPr>
            <w:tcW w:w="7339" w:type="dxa"/>
            <w:gridSpan w:val="2"/>
            <w:shd w:val="clear" w:color="auto" w:fill="auto"/>
          </w:tcPr>
          <w:p w14:paraId="7E3C73C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Valor de mercado de las garantías reales recibidas - Exención del límite máximo sobre las entradas</w:t>
            </w:r>
          </w:p>
          <w:p w14:paraId="7031DBC6" w14:textId="6E2075AB"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0923FFF4" w14:textId="1E77C133" w:rsidR="006F1DF5" w:rsidRPr="000B6B22" w:rsidRDefault="006F1DF5">
            <w:pPr>
              <w:spacing w:before="0"/>
              <w:rPr>
                <w:bCs/>
                <w:sz w:val="24"/>
                <w:rFonts w:ascii="Times New Roman" w:hAnsi="Times New Roman"/>
              </w:rPr>
            </w:pPr>
            <w:r>
              <w:rPr>
                <w:sz w:val="24"/>
                <w:rFonts w:ascii="Times New Roman" w:hAnsi="Times New Roman"/>
              </w:rPr>
              <w:t xml:space="preserve">En relación con las filas 0269-0295, 0309-0335 y 0490, las entidades de crédito comunicarán en la columna 0060 el valor de mercado de las garantías reales recibidas en operaciones de préstamo garantizadas y operaciones vinculadas al mercado de capitales que estén plenamente exentas del límite máximo sobre las entradas, tal como se especifica en el artículo 33, apartados 2, 3 y 5, del Reglamento Delegado (UE) 2015/61.</w:t>
            </w:r>
          </w:p>
          <w:p w14:paraId="19366161" w14:textId="415CEE37"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0050 o 0060, y el valor de mercado de las garantías reales recibidas en operaciones de préstamo garantizadas y operaciones vinculadas al mercado de capitales que no sean objeto de exención se comunicará en la columna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sz w:val="24"/>
                <w:rFonts w:ascii="Times New Roman" w:hAnsi="Times New Roman"/>
              </w:rPr>
            </w:pPr>
            <w:r>
              <w:rPr>
                <w:sz w:val="24"/>
                <w:rFonts w:ascii="Times New Roman" w:hAnsi="Times New Roman"/>
              </w:rPr>
              <w:t xml:space="preserve">0070</w:t>
            </w:r>
          </w:p>
        </w:tc>
        <w:tc>
          <w:tcPr>
            <w:tcW w:w="7339" w:type="dxa"/>
            <w:gridSpan w:val="2"/>
            <w:shd w:val="clear" w:color="auto" w:fill="auto"/>
          </w:tcPr>
          <w:p w14:paraId="6EBEBC0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Ponderación estándar</w:t>
            </w:r>
          </w:p>
          <w:p w14:paraId="2640C8D7" w14:textId="1D875A0A"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1E65A7AA" w14:textId="252B9C82" w:rsidR="007453EC" w:rsidRPr="000B6B22" w:rsidRDefault="007453EC">
            <w:pPr>
              <w:spacing w:before="0"/>
              <w:rPr>
                <w:bCs/>
                <w:sz w:val="24"/>
                <w:rFonts w:ascii="Times New Roman" w:hAnsi="Times New Roman"/>
              </w:rPr>
            </w:pPr>
            <w:r>
              <w:rPr>
                <w:sz w:val="24"/>
                <w:rFonts w:ascii="Times New Roman" w:hAnsi="Times New Roman"/>
              </w:rPr>
              <w:t xml:space="preserve">Las ponderaciones estándar que se indican en la columna 0070 son las especificadas por defecto en el Reglamento Delegado (UE) 2015/61 y se incluyen exclusivamente con fines de información.</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sz w:val="24"/>
                <w:rFonts w:ascii="Times New Roman" w:hAnsi="Times New Roman"/>
              </w:rPr>
            </w:pPr>
            <w:r>
              <w:rPr>
                <w:sz w:val="24"/>
                <w:rFonts w:ascii="Times New Roman" w:hAnsi="Times New Roman"/>
              </w:rPr>
              <w:t xml:space="preserve">0080</w:t>
            </w:r>
          </w:p>
        </w:tc>
        <w:tc>
          <w:tcPr>
            <w:tcW w:w="7339" w:type="dxa"/>
            <w:gridSpan w:val="2"/>
            <w:shd w:val="clear" w:color="auto" w:fill="auto"/>
          </w:tcPr>
          <w:p w14:paraId="5D287B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Ponderación aplicable - Sujeción al límite máximo del 75 % sobre las entradas</w:t>
            </w:r>
          </w:p>
          <w:p w14:paraId="7524353B" w14:textId="452AAC1D"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091B0CE0" w14:textId="06EF4275" w:rsidR="007453EC" w:rsidRPr="000B6B22" w:rsidRDefault="007453EC">
            <w:pPr>
              <w:spacing w:before="0"/>
              <w:rPr>
                <w:bCs/>
                <w:sz w:val="24"/>
                <w:rFonts w:ascii="Times New Roman" w:hAnsi="Times New Roman"/>
              </w:rPr>
            </w:pPr>
            <w:r>
              <w:rPr>
                <w:sz w:val="24"/>
                <w:rFonts w:ascii="Times New Roman" w:hAnsi="Times New Roman"/>
              </w:rPr>
              <w:t xml:space="preserve">La ponderación aplicable</w:t>
            </w:r>
            <w:r>
              <w:rPr>
                <w:sz w:val="24"/>
                <w:rFonts w:ascii="Times New Roman" w:hAnsi="Times New Roman"/>
              </w:rPr>
              <w:t xml:space="preserve"> es la especificada en los artículos 32 a 34 del Reglamento Delegado (UE) 2015/61.</w:t>
            </w:r>
            <w:r>
              <w:rPr>
                <w:sz w:val="24"/>
                <w:rFonts w:ascii="Times New Roman" w:hAnsi="Times New Roman"/>
              </w:rPr>
              <w:t xml:space="preserve"> </w:t>
            </w:r>
            <w:r>
              <w:rPr>
                <w:sz w:val="24"/>
                <w:rFonts w:ascii="Times New Roman" w:hAnsi="Times New Roman"/>
              </w:rPr>
              <w:t xml:space="preserve">Las ponderaciones aplicables pueden arrojar valores medios ponderados y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Las ponderaciones aplicables pueden reflejar, aunque no exclusivamente, decisiones adoptadas discrecionalmente por las empresas o las autoridades nacionales.</w:t>
            </w:r>
          </w:p>
          <w:p w14:paraId="6CBF0AC2" w14:textId="139C6F61" w:rsidR="007453EC" w:rsidRPr="000B6B22" w:rsidRDefault="002A1DC6">
            <w:pPr>
              <w:spacing w:before="0"/>
              <w:rPr>
                <w:bCs/>
                <w:sz w:val="24"/>
                <w:rFonts w:ascii="Times New Roman" w:hAnsi="Times New Roman"/>
              </w:rPr>
            </w:pPr>
            <w:r>
              <w:rPr>
                <w:sz w:val="24"/>
                <w:rFonts w:ascii="Times New Roman" w:hAnsi="Times New Roman"/>
              </w:rPr>
              <w:t xml:space="preserve">En relación con las filas 0040, 0060-0090, 0120-0130, 0150-0260, 0269, 0273, 0277, 0281, 0285, 0289, 0293, 0301-0303, 0309, 0313, 0317, 0321, 0325, 0329, 0333, 0341-0345, 0450 y 0470 0510, las entidades de crédito comunicarán en la columna 0080 la ponderación media aplicada a los activos / pagos pendientes / importes máximos que puedan utilizarse que estén sujetos al límite máximo del 75 % sobre las entradas, según se especifica en el artículo 33, apartado 1, del Reglamento Delegado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sz w:val="24"/>
                <w:rFonts w:ascii="Times New Roman" w:hAnsi="Times New Roman"/>
              </w:rPr>
            </w:pPr>
            <w:r>
              <w:rPr>
                <w:sz w:val="24"/>
                <w:rFonts w:ascii="Times New Roman" w:hAnsi="Times New Roman"/>
              </w:rPr>
              <w:t xml:space="preserve">0090</w:t>
            </w:r>
          </w:p>
        </w:tc>
        <w:tc>
          <w:tcPr>
            <w:tcW w:w="7339" w:type="dxa"/>
            <w:gridSpan w:val="2"/>
            <w:shd w:val="clear" w:color="auto" w:fill="auto"/>
          </w:tcPr>
          <w:p w14:paraId="566DD20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Ponderación aplicable - Sujeción al límite máximo del 90 % sobre las entradas</w:t>
            </w:r>
          </w:p>
          <w:p w14:paraId="4E2077E5" w14:textId="709CBDEB"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4EA45BFD" w14:textId="482ED7CE" w:rsidR="007453EC" w:rsidRPr="000B6B22" w:rsidRDefault="007453EC">
            <w:pPr>
              <w:spacing w:before="0"/>
              <w:rPr>
                <w:bCs/>
                <w:sz w:val="24"/>
                <w:rFonts w:ascii="Times New Roman" w:hAnsi="Times New Roman"/>
              </w:rPr>
            </w:pPr>
            <w:r>
              <w:rPr>
                <w:sz w:val="24"/>
                <w:rFonts w:ascii="Times New Roman" w:hAnsi="Times New Roman"/>
              </w:rPr>
              <w:t xml:space="preserve">La ponderación aplicable</w:t>
            </w:r>
            <w:r>
              <w:rPr>
                <w:sz w:val="24"/>
                <w:rFonts w:ascii="Times New Roman" w:hAnsi="Times New Roman"/>
              </w:rPr>
              <w:t xml:space="preserve"> es la especificada en los artículos 32 a 34 del Reglamento Delegado (UE) 2015/61.</w:t>
            </w:r>
            <w:r>
              <w:rPr>
                <w:sz w:val="24"/>
                <w:rFonts w:ascii="Times New Roman" w:hAnsi="Times New Roman"/>
              </w:rPr>
              <w:t xml:space="preserve"> </w:t>
            </w:r>
            <w:r>
              <w:rPr>
                <w:sz w:val="24"/>
                <w:rFonts w:ascii="Times New Roman" w:hAnsi="Times New Roman"/>
              </w:rPr>
              <w:t xml:space="preserve">Las ponderaciones aplicables pueden arrojar valores medios ponderados y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Las ponderaciones aplicables pueden reflejar, aunque no exclusivamente, decisiones adoptadas discrecionalmente por las empresas o las autoridades nacionales.</w:t>
            </w:r>
          </w:p>
          <w:p w14:paraId="035923CF" w14:textId="2547393B" w:rsidR="007453EC" w:rsidRPr="000B6B22" w:rsidRDefault="002A1DC6">
            <w:pPr>
              <w:spacing w:before="0"/>
              <w:rPr>
                <w:b/>
                <w:bCs/>
                <w:sz w:val="24"/>
                <w:rFonts w:ascii="Times New Roman" w:hAnsi="Times New Roman"/>
              </w:rPr>
            </w:pPr>
            <w:r>
              <w:rPr>
                <w:sz w:val="24"/>
                <w:rFonts w:ascii="Times New Roman" w:hAnsi="Times New Roman"/>
              </w:rPr>
              <w:t xml:space="preserve">En relación con las filas 0040, 0060-0090, 0120-0130, 0150-0260, 0269, 0273, 0277, 0281, 0285, 0289, 0293, 0301-0303, 0309, 0313, 0317, 0321, 0325, 0329, 0333, 0341-0345, 0450 y 0470 0510, las entidades de crédito comunicarán en la columna 0090 la ponderación media aplicada a los activos / pagos pendientes / importes máximos que puedan utilizarse que estén sujetos del límite máximo del 90 % sobre las entradas, según se especifica en el artículo 33, apartados 4 y 5, del Reglamento Delegado (UE) 2015/61.</w:t>
            </w:r>
            <w:r>
              <w:rPr>
                <w:sz w:val="24"/>
                <w:rFonts w:ascii="Times New Roman" w:hAnsi="Times New Roman"/>
              </w:rPr>
              <w:t xml:space="preserv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sz w:val="24"/>
                <w:rFonts w:ascii="Times New Roman" w:hAnsi="Times New Roman"/>
              </w:rPr>
            </w:pPr>
            <w:r>
              <w:rPr>
                <w:sz w:val="24"/>
                <w:rFonts w:ascii="Times New Roman" w:hAnsi="Times New Roman"/>
              </w:rPr>
              <w:t xml:space="preserve">0100</w:t>
            </w:r>
          </w:p>
        </w:tc>
        <w:tc>
          <w:tcPr>
            <w:tcW w:w="7339" w:type="dxa"/>
            <w:gridSpan w:val="2"/>
            <w:shd w:val="clear" w:color="auto" w:fill="auto"/>
          </w:tcPr>
          <w:p w14:paraId="626544F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Ponderación aplicable - Exención del límite máximo sobre las entradas</w:t>
            </w:r>
          </w:p>
          <w:p w14:paraId="6212EA54" w14:textId="59D2CEBF"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0AB4805F" w14:textId="07525D8A" w:rsidR="007453EC" w:rsidRPr="000B6B22" w:rsidRDefault="007453EC">
            <w:pPr>
              <w:spacing w:before="0"/>
              <w:rPr>
                <w:bCs/>
                <w:sz w:val="24"/>
                <w:rFonts w:ascii="Times New Roman" w:hAnsi="Times New Roman"/>
              </w:rPr>
            </w:pPr>
            <w:r>
              <w:rPr>
                <w:sz w:val="24"/>
                <w:rFonts w:ascii="Times New Roman" w:hAnsi="Times New Roman"/>
              </w:rPr>
              <w:t xml:space="preserve">La ponderación aplicable es la especificada en los artículos 32 a 34 del Reglamento Delegado (UE) 2015/61.</w:t>
            </w:r>
            <w:r>
              <w:rPr>
                <w:sz w:val="24"/>
                <w:rFonts w:ascii="Times New Roman" w:hAnsi="Times New Roman"/>
              </w:rPr>
              <w:t xml:space="preserve"> </w:t>
            </w:r>
            <w:r>
              <w:rPr>
                <w:sz w:val="24"/>
                <w:rFonts w:ascii="Times New Roman" w:hAnsi="Times New Roman"/>
              </w:rPr>
              <w:t xml:space="preserve">Las ponderaciones aplicables pueden arrojar valores medios ponderados y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Las ponderaciones aplicables pueden reflejar, aunque no exclusivamente, decisiones adoptadas discrecionalmente por las empresas o las autoridades nacionales.</w:t>
            </w:r>
          </w:p>
          <w:p w14:paraId="1C43DEE1" w14:textId="42323BF5" w:rsidR="007453EC" w:rsidRPr="000B6B22" w:rsidRDefault="002A1DC6">
            <w:pPr>
              <w:spacing w:before="0"/>
              <w:rPr>
                <w:b/>
                <w:bCs/>
                <w:sz w:val="24"/>
                <w:rFonts w:ascii="Times New Roman" w:hAnsi="Times New Roman"/>
              </w:rPr>
            </w:pPr>
            <w:r>
              <w:rPr>
                <w:sz w:val="24"/>
                <w:rFonts w:ascii="Times New Roman" w:hAnsi="Times New Roman"/>
              </w:rPr>
              <w:t xml:space="preserve">En relación con las filas 0040, 0060-0090, 0120-0130, 0150-0260, 0269, 0273, 0277, 0281, 0285, 0289, 0293, 0301-0303, 0309, 0313, 0317, 0321, 0325, 0329, 0333, 0341-0345, 0450 y 0470 –0510, las entidades de crédito comunicarán en la columna 0100 la ponderación media aplicada a los activos / pagos pendientes / importes máximos que puedan utilizarse que estén exentos del límite máximo sobre las entradas, según se especifica en el artículo 33, apartados 2, 3 y 5, del Reglamento Delegado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sz w:val="24"/>
                <w:rFonts w:ascii="Times New Roman" w:hAnsi="Times New Roman"/>
              </w:rPr>
            </w:pPr>
            <w:r>
              <w:rPr>
                <w:sz w:val="24"/>
                <w:rFonts w:ascii="Times New Roman" w:hAnsi="Times New Roman"/>
              </w:rPr>
              <w:t xml:space="preserve">0110</w:t>
            </w:r>
          </w:p>
        </w:tc>
        <w:tc>
          <w:tcPr>
            <w:tcW w:w="7339" w:type="dxa"/>
            <w:gridSpan w:val="2"/>
            <w:shd w:val="clear" w:color="auto" w:fill="auto"/>
          </w:tcPr>
          <w:p w14:paraId="01F186E9" w14:textId="5EC19487" w:rsidR="007453EC" w:rsidRPr="000B6B22" w:rsidRDefault="007453EC">
            <w:pPr>
              <w:spacing w:before="0"/>
              <w:rPr>
                <w:b/>
                <w:bCs/>
                <w:sz w:val="24"/>
                <w:rFonts w:ascii="Times New Roman" w:hAnsi="Times New Roman"/>
              </w:rPr>
            </w:pPr>
            <w:r>
              <w:rPr>
                <w:b/>
                <w:sz w:val="24"/>
                <w:rFonts w:ascii="Times New Roman" w:hAnsi="Times New Roman"/>
              </w:rPr>
              <w:t xml:space="preserve">Valor de las garantías reales recibidas con arreglo al artículo 9 - Sujeción al límite máximo del 75 % sobre las entradas</w:t>
            </w:r>
          </w:p>
          <w:p w14:paraId="29D13FC2" w14:textId="436BEE76"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0A1DFECB" w14:textId="4488C2C0" w:rsidR="002A1DC6" w:rsidRPr="000B6B22" w:rsidRDefault="002A1DC6">
            <w:pPr>
              <w:spacing w:before="0"/>
              <w:rPr>
                <w:bCs/>
                <w:sz w:val="24"/>
                <w:rFonts w:ascii="Times New Roman" w:hAnsi="Times New Roman"/>
              </w:rPr>
            </w:pPr>
            <w:r>
              <w:rPr>
                <w:sz w:val="24"/>
                <w:rFonts w:ascii="Times New Roman" w:hAnsi="Times New Roman"/>
              </w:rPr>
              <w:t xml:space="preserve">En relación con las filas 0271, 0275, 0279, 0283, 0287, 0291, 0295, 0311, 0315, 0319, 0323, 0327, 0331 y 0335, las entidades de crédito comunicarán en la columna 0110 el valor de las garantías reales recibidas, con arreglo al artículo 9 del Reglamento Delegado (UE) 2015/61, en operaciones de préstamo garantizadas y operaciones vinculadas al mercado de capitales sujetas al límite máximo del 75 % sobre las entradas, tal como se especifica en el artículo 33, apartado 1, del Reglamento Delegado (UE) 2015/61.</w:t>
            </w:r>
          </w:p>
          <w:p w14:paraId="3F8BB70C" w14:textId="713A15DE"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vinculadas al mercado de capitales que sean objeto de exención se comunicará en la columna 0120 o 0130, y el valor de las garantías reales recibidas, con arreglo a dicho artículo 9, en operaciones de préstamo garantizadas y operaciones vinculadas al mercado de capitales que no sean objeto de exención se comunicará en la columna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sz w:val="24"/>
                <w:rFonts w:ascii="Times New Roman" w:hAnsi="Times New Roman"/>
              </w:rPr>
            </w:pPr>
            <w:r>
              <w:rPr>
                <w:sz w:val="24"/>
                <w:rFonts w:ascii="Times New Roman" w:hAnsi="Times New Roman"/>
              </w:rPr>
              <w:t xml:space="preserve">0120</w:t>
            </w:r>
          </w:p>
        </w:tc>
        <w:tc>
          <w:tcPr>
            <w:tcW w:w="7339" w:type="dxa"/>
            <w:gridSpan w:val="2"/>
            <w:shd w:val="clear" w:color="auto" w:fill="auto"/>
          </w:tcPr>
          <w:p w14:paraId="312C8C71" w14:textId="043DB08A" w:rsidR="007453EC" w:rsidRPr="000B6B22" w:rsidRDefault="007453EC">
            <w:pPr>
              <w:spacing w:before="0"/>
              <w:rPr>
                <w:b/>
                <w:bCs/>
                <w:sz w:val="24"/>
                <w:rFonts w:ascii="Times New Roman" w:hAnsi="Times New Roman"/>
              </w:rPr>
            </w:pPr>
            <w:r>
              <w:rPr>
                <w:b/>
                <w:sz w:val="24"/>
                <w:rFonts w:ascii="Times New Roman" w:hAnsi="Times New Roman"/>
              </w:rPr>
              <w:t xml:space="preserve">Valor de las garantías reales recibidas con arreglo al artículo 9 - Sujeción al límite máximo del 90 % sobre las entradas</w:t>
            </w:r>
          </w:p>
          <w:p w14:paraId="1514A139" w14:textId="4DAA4B50"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11F56268" w14:textId="4E8DA150" w:rsidR="002A1DC6" w:rsidRPr="000B6B22" w:rsidRDefault="002A1DC6">
            <w:pPr>
              <w:spacing w:before="0"/>
              <w:rPr>
                <w:bCs/>
                <w:sz w:val="24"/>
                <w:rFonts w:ascii="Times New Roman" w:hAnsi="Times New Roman"/>
              </w:rPr>
            </w:pPr>
            <w:r>
              <w:rPr>
                <w:sz w:val="24"/>
                <w:rFonts w:ascii="Times New Roman" w:hAnsi="Times New Roman"/>
              </w:rPr>
              <w:t xml:space="preserve">En relación con las filas 0271, 0275, 0279, 0283, 0287, 0291, 0295, 0311, 0315, 0319, 0323, 0327, 0331 y 0335, las entidades de crédito comunicarán en la columna 0120 el valor de las garantías reales recibidas, con arreglo al artículo 9 del Reglamento Delegado (UE) 2015/61, en operaciones de préstamo garantizadas y operaciones vinculadas al mercado de capitales sujetas al límite máximo del 90 % sobre las entradas, tal como se especifica en el artículo 33, apartados 4 y 5, del Reglamento Delegado (UE) 2015/61.</w:t>
            </w:r>
          </w:p>
          <w:p w14:paraId="56B73A1E" w14:textId="431CCAA1"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vinculadas al mercado de capitales que sean objeto de exención se comunicará en la columna 0120 o 0130, y el valor de las garantías reales recibidas, con arreglo a dicho artículo 9, en operaciones de préstamo garantizadas y operaciones vinculadas al mercado de capitales que no sean objeto de exención se comunicará en la columna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sz w:val="24"/>
                <w:rFonts w:ascii="Times New Roman" w:hAnsi="Times New Roman"/>
              </w:rPr>
            </w:pPr>
            <w:r>
              <w:rPr>
                <w:sz w:val="24"/>
                <w:rFonts w:ascii="Times New Roman" w:hAnsi="Times New Roman"/>
              </w:rPr>
              <w:t xml:space="preserve">0130</w:t>
            </w:r>
          </w:p>
        </w:tc>
        <w:tc>
          <w:tcPr>
            <w:tcW w:w="7339" w:type="dxa"/>
            <w:gridSpan w:val="2"/>
            <w:shd w:val="clear" w:color="auto" w:fill="auto"/>
          </w:tcPr>
          <w:p w14:paraId="3A9204D6" w14:textId="7700B381" w:rsidR="007453EC" w:rsidRPr="000B6B22" w:rsidRDefault="007453EC">
            <w:pPr>
              <w:spacing w:before="0"/>
              <w:rPr>
                <w:b/>
                <w:bCs/>
                <w:sz w:val="24"/>
                <w:rFonts w:ascii="Times New Roman" w:hAnsi="Times New Roman"/>
              </w:rPr>
            </w:pPr>
            <w:r>
              <w:rPr>
                <w:b/>
                <w:sz w:val="24"/>
                <w:rFonts w:ascii="Times New Roman" w:hAnsi="Times New Roman"/>
              </w:rPr>
              <w:t xml:space="preserve">Valor de las garantías reales recibidas con arreglo al artículo 9 - Exención del límite máximo sobre las entradas</w:t>
            </w:r>
          </w:p>
          <w:p w14:paraId="0ED04715" w14:textId="70F345A9"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0685802D" w14:textId="22087C39" w:rsidR="002A1DC6" w:rsidRPr="000B6B22" w:rsidRDefault="002A1DC6">
            <w:pPr>
              <w:spacing w:before="0"/>
              <w:rPr>
                <w:bCs/>
                <w:sz w:val="24"/>
                <w:rFonts w:ascii="Times New Roman" w:hAnsi="Times New Roman"/>
              </w:rPr>
            </w:pPr>
            <w:r>
              <w:rPr>
                <w:sz w:val="24"/>
                <w:rFonts w:ascii="Times New Roman" w:hAnsi="Times New Roman"/>
              </w:rPr>
              <w:t xml:space="preserve">En relación con las filas 0271, 0275, 0279, 0283, 0287, 0291, 0295, 0311, 0315, 0319, 0323, 0327, 0331 y 0335, las entidades de crédito comunicarán en la columna 0130 el valor de las garantías reales recibidas, con arreglo al artículo 9 del Reglamento Delegado (UE) 2015/61, en operaciones de préstamo garantizadas y operaciones vinculadas al mercado de capitales plenamente exentas del límite máximo sobre las entradas, tal como se especifica en el artículo 33, apartados 2, 3 y 5, del Reglamento Delegado (UE) 2015/61.</w:t>
            </w:r>
          </w:p>
          <w:p w14:paraId="78400F34" w14:textId="28DE2D1B" w:rsidR="007453EC" w:rsidRPr="000B6B22" w:rsidRDefault="007453EC">
            <w:pPr>
              <w:spacing w:before="0"/>
              <w:rPr>
                <w:bCs/>
                <w:sz w:val="24"/>
                <w:rFonts w:ascii="Times New Roman" w:hAnsi="Times New Roman"/>
              </w:rPr>
            </w:pPr>
            <w:r>
              <w:rPr>
                <w:sz w:val="24"/>
                <w:rFonts w:ascii="Times New Roman" w:hAnsi="Times New Roman"/>
              </w:rPr>
              <w:t xml:space="preserve">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vinculadas al mercado de capitales que sean objeto de exención se comunicará en la columna 0120 o 0130, y el valor de las garantías reales recibidas, con arreglo a dicho artículo 9, en operaciones de préstamo garantizadas y operaciones vinculadas al mercado de capitales que no sean objeto de exención se comunicará en la columna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sz w:val="24"/>
                <w:rFonts w:ascii="Times New Roman" w:hAnsi="Times New Roman"/>
              </w:rPr>
            </w:pPr>
            <w:r>
              <w:rPr>
                <w:sz w:val="24"/>
                <w:rFonts w:ascii="Times New Roman" w:hAnsi="Times New Roman"/>
              </w:rPr>
              <w:t xml:space="preserve">0140</w:t>
            </w:r>
          </w:p>
        </w:tc>
        <w:tc>
          <w:tcPr>
            <w:tcW w:w="7528" w:type="dxa"/>
            <w:shd w:val="clear" w:color="auto" w:fill="auto"/>
          </w:tcPr>
          <w:p w14:paraId="25011DE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Entradas - Sujeción al límite máximo del 75 % sobre las entradas</w:t>
            </w:r>
          </w:p>
          <w:p w14:paraId="36E5D0FC" w14:textId="042DAE98" w:rsidR="007453EC" w:rsidRPr="000B6B22" w:rsidRDefault="007453EC">
            <w:pPr>
              <w:spacing w:before="0"/>
              <w:rPr>
                <w:b/>
                <w:bCs/>
                <w:sz w:val="24"/>
                <w:rFonts w:ascii="Times New Roman" w:hAnsi="Times New Roman"/>
              </w:rPr>
            </w:pPr>
            <w:r>
              <w:rPr>
                <w:sz w:val="24"/>
                <w:rFonts w:ascii="Times New Roman" w:hAnsi="Times New Roman"/>
              </w:rPr>
              <w:t xml:space="preserve">Artículos 32, 33 y 34 del Reglamento Delegado (UE) 2015/61</w:t>
            </w:r>
          </w:p>
          <w:p w14:paraId="17B0DDC5" w14:textId="4244BA29" w:rsidR="002B1DA1" w:rsidRPr="000B6B22" w:rsidRDefault="002B1DA1">
            <w:pPr>
              <w:spacing w:before="0"/>
              <w:rPr>
                <w:bCs/>
                <w:sz w:val="24"/>
                <w:rFonts w:ascii="Times New Roman" w:hAnsi="Times New Roman"/>
              </w:rPr>
            </w:pPr>
            <w:r>
              <w:rPr>
                <w:sz w:val="24"/>
                <w:rFonts w:ascii="Times New Roman" w:hAnsi="Times New Roman"/>
              </w:rPr>
              <w:t xml:space="preserve">En relación con las filas 0040, 0060-0090, 0120-0130, 0150-0260, 0269, 0273, 0277, 0281, 0285, 0289, 0293, 0301-0303, 0309, 0313, 0317, 0321, 0325, 0329, 0333, 0341-0345, 0450 y 0470-510, las entidades de crédito comunicarán en la columna 0140 el total de entradas sujetas al límite máximo del 75 %, según se especifica en el artículo 33, apartado 1, del Reglamento Delegado (UE) 2015/61, que se calculará multiplicando el importe total / importe máximo que pueda utilizarse de la columna 0010 por la ponderación pertinente de la columna 0080.</w:t>
            </w:r>
          </w:p>
          <w:p w14:paraId="4BA3D379" w14:textId="4C78E013" w:rsidR="007453EC" w:rsidRPr="000B6B22" w:rsidRDefault="002B1DA1">
            <w:pPr>
              <w:spacing w:before="0"/>
              <w:rPr>
                <w:bCs/>
                <w:sz w:val="24"/>
                <w:rFonts w:ascii="Times New Roman" w:hAnsi="Times New Roman"/>
              </w:rPr>
            </w:pPr>
            <w:r>
              <w:rPr>
                <w:sz w:val="24"/>
                <w:rFonts w:ascii="Times New Roman" w:hAnsi="Times New Roman"/>
              </w:rPr>
              <w:t xml:space="preserve">En relación con la fila 0170, las entidades de crédito comunicarán en la columna 0140 el total de entradas sujetas al límite máximo del 75 %, según se especifica en el artículo 33, apartado 1,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sz w:val="24"/>
                <w:rFonts w:ascii="Times New Roman" w:hAnsi="Times New Roman"/>
              </w:rPr>
            </w:pPr>
            <w:r>
              <w:rPr>
                <w:sz w:val="24"/>
                <w:rFonts w:ascii="Times New Roman" w:hAnsi="Times New Roman"/>
              </w:rPr>
              <w:t xml:space="preserve">0150</w:t>
            </w:r>
          </w:p>
        </w:tc>
        <w:tc>
          <w:tcPr>
            <w:tcW w:w="7528" w:type="dxa"/>
            <w:shd w:val="clear" w:color="auto" w:fill="auto"/>
          </w:tcPr>
          <w:p w14:paraId="1C5040C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Entradas - Sujeción al límite máximo del 90 % sobre las entradas</w:t>
            </w:r>
          </w:p>
          <w:p w14:paraId="4DD2FA3F" w14:textId="19BA64AE" w:rsidR="007453EC" w:rsidRPr="000B6B22" w:rsidRDefault="007453EC">
            <w:pPr>
              <w:spacing w:before="0"/>
              <w:rPr>
                <w:b/>
                <w:bCs/>
                <w:sz w:val="24"/>
                <w:rFonts w:ascii="Times New Roman" w:hAnsi="Times New Roman"/>
              </w:rPr>
            </w:pPr>
            <w:r>
              <w:rPr>
                <w:sz w:val="24"/>
                <w:rFonts w:ascii="Times New Roman" w:hAnsi="Times New Roman"/>
              </w:rPr>
              <w:t xml:space="preserve">Artículos 32, 33 y 34 del Reglamento Delegado (UE) 2015/61</w:t>
            </w:r>
          </w:p>
          <w:p w14:paraId="484EFAFB" w14:textId="74EBACA2" w:rsidR="007453EC" w:rsidRPr="000B6B22" w:rsidRDefault="002B1DA1">
            <w:pPr>
              <w:spacing w:before="0"/>
              <w:rPr>
                <w:b/>
                <w:bCs/>
                <w:sz w:val="24"/>
                <w:rFonts w:ascii="Times New Roman" w:hAnsi="Times New Roman"/>
              </w:rPr>
            </w:pPr>
            <w:r>
              <w:rPr>
                <w:sz w:val="24"/>
                <w:rFonts w:ascii="Times New Roman" w:hAnsi="Times New Roman"/>
              </w:rPr>
              <w:t xml:space="preserve">En relación con las filas 0040, 0060-0090, 0120-0130, 0150-0260, 0269, 0273, 0277, 0281, 0285, 0289, 0293, 0301-0303, 0309, 0313, 0317, 0321, 0325, 0329, 0333, 0341-0345, 0450 y 0470-0510, las entidades de crédito comunicarán en la columna 0150 el total de entradas sujetas al límite máximo del 90 %, según se especifica en el artículo 33, apartados 4 y 5, del Reglamento Delegado (UE) 2015/61, que se calculará multiplicando el importe total / importe máximo que pueda utilizarse de la columna 0020 por la ponderación pertinente de la columna 0090.</w:t>
            </w:r>
            <w:r>
              <w:rPr>
                <w:sz w:val="24"/>
                <w:rFonts w:ascii="Times New Roman" w:hAnsi="Times New Roman"/>
              </w:rPr>
              <w:t xml:space="preserve"> </w:t>
            </w:r>
            <w:r>
              <w:rPr>
                <w:sz w:val="24"/>
                <w:rFonts w:ascii="Times New Roman" w:hAnsi="Times New Roman"/>
              </w:rPr>
              <w:t xml:space="preserve">En relación con la fila 0170, las entidades de crédito comunicarán en la columna 0150 el total de entradas sujetas al límite máximo del 90 %, según se especifica en el artículo 33, apartados 4 y 5,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sz w:val="24"/>
                <w:rFonts w:ascii="Times New Roman" w:hAnsi="Times New Roman"/>
              </w:rPr>
            </w:pPr>
            <w:r>
              <w:rPr>
                <w:sz w:val="24"/>
                <w:rFonts w:ascii="Times New Roman" w:hAnsi="Times New Roman"/>
              </w:rPr>
              <w:t xml:space="preserve">0160</w:t>
            </w:r>
          </w:p>
        </w:tc>
        <w:tc>
          <w:tcPr>
            <w:tcW w:w="7528" w:type="dxa"/>
            <w:shd w:val="clear" w:color="auto" w:fill="auto"/>
          </w:tcPr>
          <w:p w14:paraId="2C59B70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Entradas - Exención del límite máximo sobre las entradas</w:t>
            </w:r>
          </w:p>
          <w:p w14:paraId="08CEFDF5" w14:textId="62E623E9" w:rsidR="007453EC" w:rsidRPr="000B6B22" w:rsidRDefault="007453EC">
            <w:pPr>
              <w:spacing w:before="0"/>
              <w:rPr>
                <w:b/>
                <w:bCs/>
                <w:sz w:val="24"/>
                <w:rFonts w:ascii="Times New Roman" w:hAnsi="Times New Roman"/>
              </w:rPr>
            </w:pPr>
            <w:r>
              <w:rPr>
                <w:sz w:val="24"/>
                <w:rFonts w:ascii="Times New Roman" w:hAnsi="Times New Roman"/>
              </w:rPr>
              <w:t xml:space="preserve">Artículos 32, 33 y 34 del Reglamento Delegado (UE) 2015/61</w:t>
            </w:r>
          </w:p>
          <w:p w14:paraId="3630C9D6" w14:textId="74F37295" w:rsidR="002B1DA1" w:rsidRPr="000B6B22" w:rsidRDefault="002B1DA1">
            <w:pPr>
              <w:spacing w:before="0"/>
              <w:rPr>
                <w:bCs/>
                <w:sz w:val="24"/>
                <w:rFonts w:ascii="Times New Roman" w:hAnsi="Times New Roman"/>
              </w:rPr>
            </w:pPr>
            <w:r>
              <w:rPr>
                <w:sz w:val="24"/>
                <w:rFonts w:ascii="Times New Roman" w:hAnsi="Times New Roman"/>
              </w:rPr>
              <w:t xml:space="preserve">En relación con las filas 0040, 0060-0090, 0120-0130, 0150-0260, 0269, 0273, 0277, 0281, 0285, 0289, 0293, 0301-0303, 0309, 0313, 0317, 0321, 0325, 0329, 0333, 0341-0345, 0450 y 0470-0510, las entidades de crédito comunicarán en la columna 0160 el total de entradas exentas plenamente del límite máximo sobre las entradas, según se especifica en el artículo 33, apartados 2, 3 y 5, del Reglamento Delegado (UE) 2015/61, que se calculará multiplicando el importe total / importe máximo que pueda utilizarse de la columna 0030 por la ponderación pertinente de la columna 0100.</w:t>
            </w:r>
          </w:p>
          <w:p w14:paraId="4ADC76DC" w14:textId="4DA50371" w:rsidR="007453EC" w:rsidRPr="000B6B22" w:rsidRDefault="002B1DA1">
            <w:pPr>
              <w:spacing w:before="0"/>
              <w:rPr>
                <w:b/>
                <w:bCs/>
                <w:sz w:val="24"/>
                <w:rFonts w:ascii="Times New Roman" w:hAnsi="Times New Roman"/>
              </w:rPr>
            </w:pPr>
            <w:r>
              <w:rPr>
                <w:sz w:val="24"/>
                <w:rFonts w:ascii="Times New Roman" w:hAnsi="Times New Roman"/>
              </w:rPr>
              <w:t xml:space="preserve">En relación con la fila 0170, las entidades de crédito comunicarán en la columna 0160 el total de entradas plenamente exentas del límite máximo sobre las entradas, según se especifica en el artículo 33, apartados 2, 3 y 5,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bl>
    <w:p w14:paraId="13286CAD" w14:textId="2092BE00"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1.5.2.</w:t>
      </w:r>
      <w:r>
        <w:rPr>
          <w:sz w:val="24"/>
          <w:rFonts w:ascii="Times New Roman" w:hAnsi="Times New Roman"/>
        </w:rPr>
        <w:tab/>
      </w:r>
      <w:r>
        <w:rPr>
          <w:sz w:val="24"/>
          <w:rFonts w:ascii="Times New Roman" w:hAnsi="Times New Roman"/>
        </w:rPr>
        <w:t xml:space="preserve">Instrucciones relativas a filas concretas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sz w:val="24"/>
                <w:rFonts w:ascii="Times New Roman" w:hAnsi="Times New Roman"/>
              </w:rPr>
            </w:pPr>
            <w:r>
              <w:rPr>
                <w:sz w:val="24"/>
                <w:rFonts w:ascii="Times New Roman" w:hAnsi="Times New Roman"/>
              </w:rPr>
              <w:t xml:space="preserve">Fila</w:t>
            </w:r>
          </w:p>
        </w:tc>
        <w:tc>
          <w:tcPr>
            <w:tcW w:w="7540" w:type="dxa"/>
            <w:shd w:val="clear" w:color="auto" w:fill="D9D9D9"/>
          </w:tcPr>
          <w:p w14:paraId="2AB9098F" w14:textId="77777777" w:rsidR="007453EC" w:rsidRPr="000B6B22" w:rsidRDefault="007453EC">
            <w:pPr>
              <w:spacing w:before="0"/>
              <w:rPr>
                <w:sz w:val="24"/>
                <w:rFonts w:ascii="Times New Roman" w:hAnsi="Times New Roman"/>
              </w:rPr>
            </w:pPr>
            <w:r>
              <w:rPr>
                <w:sz w:val="24"/>
                <w:rFonts w:ascii="Times New Roman" w:hAnsi="Times New Roman"/>
              </w:rPr>
              <w:t xml:space="preserve">Referencias jurídicas e instrucciones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bCs/>
                <w:sz w:val="24"/>
                <w:rFonts w:ascii="Times New Roman" w:hAnsi="Times New Roman"/>
              </w:rPr>
            </w:pPr>
            <w:r>
              <w:rPr>
                <w:sz w:val="24"/>
                <w:rFonts w:ascii="Times New Roman" w:hAnsi="Times New Roman"/>
              </w:rPr>
              <w:t xml:space="preserve">0010</w:t>
            </w:r>
          </w:p>
        </w:tc>
        <w:tc>
          <w:tcPr>
            <w:tcW w:w="7540" w:type="dxa"/>
            <w:shd w:val="clear" w:color="auto" w:fill="auto"/>
          </w:tcPr>
          <w:p w14:paraId="7FB656A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TOTAL ENTRADAS</w:t>
            </w:r>
          </w:p>
          <w:p w14:paraId="112681C3" w14:textId="388FDC9E"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Reglamento Delegado (UE) 2015/61</w:t>
            </w:r>
          </w:p>
          <w:p w14:paraId="0D4CC187" w14:textId="4E81E210"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0010 de la plantilla C 74.00 del Anexo</w:t>
            </w:r>
            <w:r>
              <w:rPr>
                <w:sz w:val="24"/>
                <w:rFonts w:ascii="Times New Roman" w:hAnsi="Times New Roman"/>
              </w:rPr>
              <w:t xml:space="preserve"> XXIV:</w:t>
            </w:r>
          </w:p>
          <w:p w14:paraId="54A9078C" w14:textId="0F9C53B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activos / pagos pendientes / importe máximo que pueda utilizarse, que será igual a la suma de los activos / pagos pendientes / importe máximo que pueda utilizarse de operaciones/depósitos no garantizados, operaciones de préstamo garantizadas y operaciones vinculadas al mercado de capitales;</w:t>
            </w:r>
          </w:p>
          <w:p w14:paraId="739365D7" w14:textId="7B4468D2"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la columna 0140, el total de entradas, que será igual a la suma de las entradas derivadas de operaciones/depósitos no garantizados, operaciones de préstamo garantizadas, operaciones vinculadas al mercado de capitales y operaciones de permuta de garantías reales, menos la diferencia entre el total de entradas ponderadas y el total de salidas ponderadas derivadas de operaciones en terceros países en los que existan restricciones de trasferencia o que estén denominadas en divisas no convertibles;</w:t>
            </w:r>
            <w:r>
              <w:rPr>
                <w:sz w:val="24"/>
                <w:rFonts w:ascii="Times New Roman" w:hAnsi="Times New Roman"/>
              </w:rPr>
              <w:t xml:space="preserve"> </w:t>
            </w:r>
            <w:r>
              <w:rPr>
                <w:sz w:val="24"/>
                <w:rFonts w:ascii="Times New Roman" w:hAnsi="Times New Roman"/>
              </w:rPr>
              <w:t xml:space="preserve">y</w:t>
            </w:r>
          </w:p>
          <w:p w14:paraId="78B6DD17" w14:textId="0A763C3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las columnas 0150 y 0160, el total de entradas, que será igual a la suma de las entradas derivadas de operaciones/depósitos no garantizados, operaciones de préstamo garantizadas, operaciones vinculadas al mercado de capitales y operaciones de permuta de garantías reales, menos la diferencia entre el total de entradas ponderadas y el total de salidas ponderadas derivadas de operaciones en terceros países en los que existan restricciones de transferencia o que estén denominadas en divisas no convertibles, y menos el excedente de entradas procedentes de entidades de crédito especializadas vinculadas, contempladas en el artículo 2, apartado 3, letra e), y el artículo 33, apartado 6, del Reglamento Delegado (UE)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sz w:val="24"/>
                <w:rFonts w:ascii="Times New Roman" w:hAnsi="Times New Roman"/>
              </w:rPr>
            </w:pPr>
            <w:r>
              <w:rPr>
                <w:sz w:val="24"/>
                <w:rFonts w:ascii="Times New Roman" w:hAnsi="Times New Roman"/>
              </w:rPr>
              <w:t xml:space="preserve">0020</w:t>
            </w:r>
          </w:p>
        </w:tc>
        <w:tc>
          <w:tcPr>
            <w:tcW w:w="7540" w:type="dxa"/>
            <w:shd w:val="clear" w:color="auto" w:fill="auto"/>
          </w:tcPr>
          <w:p w14:paraId="7E8E50F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Entradas de operaciones/depósitos no garantizados</w:t>
            </w:r>
          </w:p>
          <w:p w14:paraId="34C4D9F0" w14:textId="5C401A15" w:rsidR="007453EC" w:rsidRPr="000B6B22" w:rsidRDefault="007453EC">
            <w:pPr>
              <w:spacing w:before="0"/>
              <w:rPr>
                <w:bCs/>
                <w:sz w:val="24"/>
                <w:rFonts w:ascii="Times New Roman" w:hAnsi="Times New Roman"/>
              </w:rPr>
            </w:pPr>
            <w:r>
              <w:rPr>
                <w:sz w:val="24"/>
                <w:rFonts w:ascii="Times New Roman" w:hAnsi="Times New Roman"/>
              </w:rPr>
              <w:t xml:space="preserve">Artículos 32, 33 y 34 del </w:t>
            </w:r>
            <w:r>
              <w:rPr>
                <w:sz w:val="24"/>
                <w:rFonts w:ascii="Times New Roman" w:hAnsi="Times New Roman"/>
              </w:rPr>
              <w:t xml:space="preserve">Reglamento Delegado (UE) 2015/61</w:t>
            </w:r>
          </w:p>
          <w:p w14:paraId="7EE9ADAA" w14:textId="67CA5BBF"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0020 de la plantilla C 74.00 del Anexo XXIV:</w:t>
            </w:r>
          </w:p>
          <w:p w14:paraId="65B85F06" w14:textId="74F11A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activos / pagos pendientes / importe máximo que pueda utilizarse de las operaciones/depósitos no garantizados;</w:t>
            </w:r>
            <w:r>
              <w:rPr>
                <w:sz w:val="24"/>
                <w:rFonts w:ascii="Times New Roman" w:hAnsi="Times New Roman"/>
              </w:rPr>
              <w:t xml:space="preserve"> </w:t>
            </w:r>
            <w:r>
              <w:rPr>
                <w:sz w:val="24"/>
                <w:rFonts w:ascii="Times New Roman" w:hAnsi="Times New Roman"/>
              </w:rPr>
              <w:t xml:space="preserve">y</w:t>
            </w:r>
          </w:p>
          <w:p w14:paraId="6D224437" w14:textId="60A461C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entradas derivadas de operaciones/depósitos no garantizados.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sz w:val="24"/>
                <w:rFonts w:ascii="Times New Roman" w:hAnsi="Times New Roman"/>
              </w:rPr>
            </w:pPr>
            <w:r>
              <w:rPr>
                <w:sz w:val="24"/>
                <w:rFonts w:ascii="Times New Roman" w:hAnsi="Times New Roman"/>
              </w:rPr>
              <w:t xml:space="preserve">0030</w:t>
            </w:r>
          </w:p>
        </w:tc>
        <w:tc>
          <w:tcPr>
            <w:tcW w:w="7540" w:type="dxa"/>
            <w:shd w:val="clear" w:color="auto" w:fill="auto"/>
          </w:tcPr>
          <w:p w14:paraId="6A1E35A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 Pagos pendientes de clientes no financieros (excepto bancos centrales)</w:t>
            </w:r>
          </w:p>
          <w:p w14:paraId="23FE5278" w14:textId="48664A09" w:rsidR="007453EC" w:rsidRPr="000B6B22" w:rsidRDefault="00DD4C72">
            <w:pPr>
              <w:spacing w:before="0"/>
              <w:rPr>
                <w:bCs/>
                <w:sz w:val="24"/>
                <w:rFonts w:ascii="Times New Roman" w:hAnsi="Times New Roman"/>
              </w:rPr>
            </w:pPr>
            <w:r>
              <w:rPr>
                <w:sz w:val="24"/>
                <w:rFonts w:ascii="Times New Roman" w:hAnsi="Times New Roman"/>
              </w:rPr>
              <w:t xml:space="preserve">Artículo 32, apartado 3, letra a), del Reglamento Delegado (UE) 2015/61</w:t>
            </w:r>
          </w:p>
          <w:p w14:paraId="6EAE7B8A" w14:textId="592EA9B8"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0030 de la plantilla C 74.00 del Anexo XXIV:</w:t>
            </w:r>
          </w:p>
          <w:p w14:paraId="36C654F2" w14:textId="1D47E67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de clientes no financieros (excepto bancos centrales) (pagos pendientes de clientes no financieros que no correspondan a reembolsos del principal, así como cualesquiera otros pagos pendientes de clientes no financieros), y</w:t>
            </w:r>
          </w:p>
          <w:p w14:paraId="71B58C79" w14:textId="6A6013A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entradas de clientes no financieros (excepto bancos centrales) (entradas de clientes no financieros que no correspondan a reembolsos del principal, así como cualesquiera otras entradas de clientes no financieros).</w:t>
            </w:r>
          </w:p>
          <w:p w14:paraId="5CDADF83" w14:textId="1B6D7F7D" w:rsidR="007453EC" w:rsidRPr="000B6B22" w:rsidRDefault="007453EC">
            <w:pPr>
              <w:spacing w:before="0"/>
              <w:rPr>
                <w:bCs/>
                <w:sz w:val="24"/>
                <w:rFonts w:ascii="Times New Roman" w:hAnsi="Times New Roman"/>
              </w:rPr>
            </w:pPr>
            <w:r>
              <w:rPr>
                <w:sz w:val="24"/>
                <w:rFonts w:ascii="Times New Roman" w:hAnsi="Times New Roman"/>
              </w:rPr>
              <w:t xml:space="preserve">Los clientes no financieros incluirán, entre otros, personas físicas, PYME, empresas, emisores soberanos, bancos multilaterales de desarrollo y entes del sector público, de conformidad con el artículo 31 </w:t>
            </w:r>
            <w:r>
              <w:rPr>
                <w:sz w:val="24"/>
                <w:i/>
                <w:rFonts w:ascii="Times New Roman" w:hAnsi="Times New Roman"/>
              </w:rPr>
              <w:t xml:space="preserve">bis</w:t>
            </w:r>
            <w:r>
              <w:rPr>
                <w:sz w:val="24"/>
                <w:rFonts w:ascii="Times New Roman" w:hAnsi="Times New Roman"/>
              </w:rPr>
              <w:t xml:space="preserve"> del Reglamento Delegado (UE) 2015/61.</w:t>
            </w:r>
          </w:p>
          <w:p w14:paraId="53BD919C" w14:textId="0DE53934" w:rsidR="007453EC" w:rsidRPr="000B6B22" w:rsidRDefault="007453EC">
            <w:pPr>
              <w:spacing w:before="0"/>
              <w:rPr>
                <w:bCs/>
                <w:sz w:val="24"/>
                <w:rFonts w:ascii="Times New Roman" w:hAnsi="Times New Roman"/>
              </w:rPr>
            </w:pPr>
            <w:r>
              <w:rPr>
                <w:sz w:val="24"/>
                <w:rFonts w:ascii="Times New Roman" w:hAnsi="Times New Roman"/>
              </w:rPr>
              <w:t xml:space="preserve">En lo que atañe a los pagos pendientes de operaciones de préstamo garantizadas y operaciones vinculadas al mercado de capitales con un cliente no financiero que estén garantizadas con activos líquidos conforme al título II del Reglamento Delegado (UE) 2015/61, si tales operaciones se especifican en el artículo 192, puntos 2) y 3), del Reglamento (UE) n.º 575/2013, se comunicarán en la sección 1.2, y no se consignarán en la sección 1.1.1.</w:t>
            </w:r>
            <w:r>
              <w:rPr>
                <w:sz w:val="24"/>
                <w:rFonts w:ascii="Times New Roman" w:hAnsi="Times New Roman"/>
              </w:rPr>
              <w:t xml:space="preserve"> </w:t>
            </w:r>
            <w:r>
              <w:rPr>
                <w:sz w:val="24"/>
                <w:rFonts w:ascii="Times New Roman" w:hAnsi="Times New Roman"/>
              </w:rPr>
              <w:t xml:space="preserve">Los pagos pendientes de aquellas de tales operaciones que estén garantizadas con valores negociables que no puedan considerarse activos líquidos, conforme al título II del Reglamento Delegado (UE) 2015/61, se comunicarán en la sección 1.2, y no se consignarán en la sección 1.1.1.</w:t>
            </w:r>
            <w:r>
              <w:rPr>
                <w:sz w:val="24"/>
                <w:rFonts w:ascii="Times New Roman" w:hAnsi="Times New Roman"/>
              </w:rPr>
              <w:t xml:space="preserve"> </w:t>
            </w:r>
            <w:r>
              <w:rPr>
                <w:sz w:val="24"/>
                <w:rFonts w:ascii="Times New Roman" w:hAnsi="Times New Roman"/>
              </w:rPr>
              <w:t xml:space="preserve">Los pagos pendientes de aquellas de tales operaciones que se efectúen con clientes no financieros y estén garantizadas con activos no transmisibles que no puedan considerarse activos líquidos, conforme al título II del Reglamento Delegado (UE) 2015/61, se comunicarán en la fila pertinente de la sección 1.1.1.</w:t>
            </w:r>
          </w:p>
          <w:p w14:paraId="2A87F287" w14:textId="77777777" w:rsidR="007453EC" w:rsidRPr="000B6B22" w:rsidRDefault="007453EC">
            <w:pPr>
              <w:spacing w:before="0"/>
              <w:rPr>
                <w:bCs/>
                <w:sz w:val="24"/>
                <w:rFonts w:ascii="Times New Roman" w:hAnsi="Times New Roman"/>
              </w:rPr>
            </w:pPr>
            <w:r>
              <w:rPr>
                <w:sz w:val="24"/>
                <w:rFonts w:ascii="Times New Roman" w:hAnsi="Times New Roman"/>
              </w:rPr>
              <w:t xml:space="preserve">Los pagos pendientes de bancos centrales se comunicarán en la sección 1.1.2 y no se consignarán aquí.</w:t>
            </w:r>
            <w:r>
              <w:rPr>
                <w:sz w:val="24"/>
                <w:rFonts w:ascii="Times New Roman" w:hAnsi="Times New Roman"/>
              </w:rPr>
              <w:t xml:space="preserve"> </w:t>
            </w:r>
            <w:r>
              <w:rPr>
                <w:sz w:val="24"/>
                <w:rFonts w:ascii="Times New Roman" w:hAnsi="Times New Roman"/>
              </w:rPr>
              <w:t xml:space="preserve">Los pagos pendientes procedentes de operaciones de financiación comercial con un vencimiento residual no superior a 30 días se comunicarán en la sección 1.1.4 y no se consignarán aquí.</w:t>
            </w:r>
            <w:r>
              <w:rPr>
                <w:sz w:val="24"/>
                <w:rFonts w:ascii="Times New Roman" w:hAnsi="Times New Roman"/>
              </w:rPr>
              <w:t xml:space="preserve"> </w:t>
            </w:r>
            <w:r>
              <w:rPr>
                <w:sz w:val="24"/>
                <w:rFonts w:ascii="Times New Roman" w:hAnsi="Times New Roman"/>
              </w:rPr>
              <w:t xml:space="preserve">Los pagos pendientes de valores que venzan en el plazo de 30 días naturales se comunicarán en la sección 1.1.5 y no se consignarán aquí.</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sz w:val="24"/>
                <w:rFonts w:ascii="Times New Roman" w:hAnsi="Times New Roman"/>
              </w:rPr>
            </w:pPr>
            <w:r>
              <w:rPr>
                <w:sz w:val="24"/>
                <w:rFonts w:ascii="Times New Roman" w:hAnsi="Times New Roman"/>
              </w:rPr>
              <w:t xml:space="preserve">0040</w:t>
            </w:r>
          </w:p>
        </w:tc>
        <w:tc>
          <w:tcPr>
            <w:tcW w:w="7540" w:type="dxa"/>
            <w:shd w:val="clear" w:color="auto" w:fill="auto"/>
          </w:tcPr>
          <w:p w14:paraId="317E26F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1.1.1.1. Pagos pendientes de clientes no financieros (excepto bancos centrales) que no correspondan al reembolso del principal</w:t>
            </w:r>
          </w:p>
          <w:p w14:paraId="4FA9B0E4" w14:textId="3EF5C0AE" w:rsidR="007453EC" w:rsidRPr="000B6B22" w:rsidRDefault="00DD4C72">
            <w:pPr>
              <w:spacing w:before="0"/>
              <w:rPr>
                <w:bCs/>
                <w:sz w:val="24"/>
                <w:rFonts w:ascii="Times New Roman" w:hAnsi="Times New Roman"/>
              </w:rPr>
            </w:pPr>
            <w:r>
              <w:rPr>
                <w:sz w:val="24"/>
                <w:rFonts w:ascii="Times New Roman" w:hAnsi="Times New Roman"/>
              </w:rPr>
              <w:t xml:space="preserve">Artículo 32, apartado 3, letra a), del Reglamento Delegado (UE) 2015/61</w:t>
            </w:r>
          </w:p>
          <w:p w14:paraId="172C6ABF" w14:textId="02DFCE82" w:rsidR="007453EC" w:rsidRPr="000B6B22" w:rsidRDefault="007453EC">
            <w:pPr>
              <w:spacing w:before="0"/>
              <w:rPr>
                <w:b/>
                <w:bCs/>
                <w:sz w:val="24"/>
                <w:rFonts w:ascii="Times New Roman" w:hAnsi="Times New Roman"/>
              </w:rPr>
            </w:pPr>
            <w:r>
              <w:rPr>
                <w:sz w:val="24"/>
                <w:rFonts w:ascii="Times New Roman" w:hAnsi="Times New Roman"/>
              </w:rPr>
              <w:t xml:space="preserve">Pagos pendientes de clientes no financieros (excepto bancos centrales) con un vencimiento residual no superior a 30 días y que no correspondan al reembolso del principal.</w:t>
            </w:r>
            <w:r>
              <w:rPr>
                <w:sz w:val="24"/>
                <w:rFonts w:ascii="Times New Roman" w:hAnsi="Times New Roman"/>
              </w:rPr>
              <w:t xml:space="preserve"> </w:t>
            </w:r>
            <w:r>
              <w:rPr>
                <w:sz w:val="24"/>
                <w:rFonts w:ascii="Times New Roman" w:hAnsi="Times New Roman"/>
              </w:rPr>
              <w:t xml:space="preserve">Estas entradas incluyen los intereses y las comisiones adeudadas por clientes no financieros (excepto bancos centrales). Pagos pendientes de bancos centrales que no correspondan al reembolso del principal se comunicarán en la sección 1.1.2 y no se consignarán aquí.</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sz w:val="24"/>
                <w:rFonts w:ascii="Times New Roman" w:hAnsi="Times New Roman"/>
              </w:rPr>
            </w:pPr>
            <w:r>
              <w:rPr>
                <w:sz w:val="24"/>
                <w:rFonts w:ascii="Times New Roman" w:hAnsi="Times New Roman"/>
              </w:rPr>
              <w:t xml:space="preserve">0050</w:t>
            </w:r>
          </w:p>
        </w:tc>
        <w:tc>
          <w:tcPr>
            <w:tcW w:w="7540" w:type="dxa"/>
            <w:shd w:val="clear" w:color="auto" w:fill="auto"/>
          </w:tcPr>
          <w:p w14:paraId="7B07918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 Otros pagos pendientes de clientes no financieros (excepto bancos centrales)</w:t>
            </w:r>
          </w:p>
          <w:p w14:paraId="6C66B478" w14:textId="5EEEE80E" w:rsidR="007453EC" w:rsidRPr="000B6B22" w:rsidRDefault="00DD4C72">
            <w:pPr>
              <w:spacing w:before="0"/>
              <w:rPr>
                <w:bCs/>
                <w:sz w:val="24"/>
                <w:rFonts w:ascii="Times New Roman" w:hAnsi="Times New Roman"/>
              </w:rPr>
            </w:pPr>
            <w:r>
              <w:rPr>
                <w:sz w:val="24"/>
                <w:rFonts w:ascii="Times New Roman" w:hAnsi="Times New Roman"/>
              </w:rPr>
              <w:t xml:space="preserve">Artículo 32, apartado 3, letra a), del Reglamento Delegado (UE) 2015/61</w:t>
            </w:r>
          </w:p>
          <w:p w14:paraId="3B2643EC" w14:textId="6E31D0EE"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0050 de la plantilla C 74.00 del Anexo XXIV:</w:t>
            </w:r>
          </w:p>
          <w:p w14:paraId="460896F7" w14:textId="5F0211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otros pagos pendientes de clientes no financieros (excepto bancos centrales), que será igual a la suma de los pagos pendientes de clientes no financieros por contraparte, y</w:t>
            </w:r>
          </w:p>
          <w:p w14:paraId="52946097" w14:textId="6D7808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otras entradas de clientes no financieros (excepto bancos centrales), que será igual a la suma de otras entradas de clientes no financieros por contraparte.</w:t>
            </w:r>
          </w:p>
          <w:p w14:paraId="214A590C" w14:textId="77777777" w:rsidR="007453EC" w:rsidRPr="000B6B22" w:rsidRDefault="007453EC">
            <w:pPr>
              <w:spacing w:before="0"/>
              <w:rPr>
                <w:bCs/>
                <w:sz w:val="24"/>
                <w:rFonts w:ascii="Times New Roman" w:hAnsi="Times New Roman"/>
              </w:rPr>
            </w:pPr>
            <w:r>
              <w:rPr>
                <w:sz w:val="24"/>
                <w:rFonts w:ascii="Times New Roman" w:hAnsi="Times New Roman"/>
              </w:rPr>
              <w:t xml:space="preserve">Los pagos pendientes de clientes no financieros (excepto bancos centrales) que no correspondan al reembolso del principal se comunicarán en la sección 1.1.1.1 y no se consignarán aquí.</w:t>
            </w:r>
          </w:p>
          <w:p w14:paraId="3C46F32E" w14:textId="77777777" w:rsidR="007453EC" w:rsidRPr="000B6B22" w:rsidRDefault="007453EC">
            <w:pPr>
              <w:spacing w:before="0"/>
              <w:rPr>
                <w:bCs/>
                <w:sz w:val="24"/>
                <w:rFonts w:ascii="Times New Roman" w:hAnsi="Times New Roman"/>
              </w:rPr>
            </w:pPr>
            <w:r>
              <w:rPr>
                <w:sz w:val="24"/>
                <w:rFonts w:ascii="Times New Roman" w:hAnsi="Times New Roman"/>
              </w:rPr>
              <w:t xml:space="preserve">Otros pagos pendientes de bancos centrales se comunicarán en la sección 1.1.2 y no se consignarán aquí.</w:t>
            </w:r>
          </w:p>
          <w:p w14:paraId="08EC130A" w14:textId="0E49451E" w:rsidR="007453EC" w:rsidRPr="000B6B22" w:rsidRDefault="007453EC">
            <w:pPr>
              <w:spacing w:before="0"/>
              <w:rPr>
                <w:bCs/>
                <w:sz w:val="24"/>
                <w:rFonts w:ascii="Times New Roman" w:hAnsi="Times New Roman"/>
              </w:rPr>
            </w:pPr>
            <w:r>
              <w:rPr>
                <w:sz w:val="24"/>
                <w:rFonts w:ascii="Times New Roman" w:hAnsi="Times New Roman"/>
              </w:rPr>
              <w:t xml:space="preserve">Las entradas correspondientes a salidas de conformidad con los compromisos de préstamos promocionales contemplados en el artículo 31, apartado 9, del Reglamento Delegado (UE) 2015/61, se comunicarán en la sección 1.1.3 y no se consignarán aquí.</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sz w:val="24"/>
                <w:rFonts w:ascii="Times New Roman" w:hAnsi="Times New Roman"/>
              </w:rPr>
            </w:pPr>
            <w:r>
              <w:rPr>
                <w:sz w:val="24"/>
                <w:rFonts w:ascii="Times New Roman" w:hAnsi="Times New Roman"/>
              </w:rPr>
              <w:t xml:space="preserve">0060</w:t>
            </w:r>
          </w:p>
        </w:tc>
        <w:tc>
          <w:tcPr>
            <w:tcW w:w="7540" w:type="dxa"/>
            <w:shd w:val="clear" w:color="auto" w:fill="auto"/>
          </w:tcPr>
          <w:p w14:paraId="67FEE3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1.1.1.2.1. Pagos pendientes de clientes minoristas</w:t>
            </w:r>
          </w:p>
          <w:p w14:paraId="3878003B" w14:textId="418625CE" w:rsidR="007453EC" w:rsidRPr="000B6B22" w:rsidRDefault="00DD4C72">
            <w:pPr>
              <w:spacing w:before="0"/>
              <w:rPr>
                <w:bCs/>
                <w:sz w:val="24"/>
                <w:rFonts w:ascii="Times New Roman" w:hAnsi="Times New Roman"/>
              </w:rPr>
            </w:pPr>
            <w:r>
              <w:rPr>
                <w:sz w:val="24"/>
                <w:rFonts w:ascii="Times New Roman" w:hAnsi="Times New Roman"/>
              </w:rPr>
              <w:t xml:space="preserve">Artículo 32, apartado 3, letra a), del Reglamento Delegado (UE) 2015/61</w:t>
            </w:r>
          </w:p>
          <w:p w14:paraId="6EADAFB2" w14:textId="443BAE12" w:rsidR="007453EC" w:rsidRPr="000B6B22" w:rsidRDefault="007453EC">
            <w:pPr>
              <w:spacing w:before="0"/>
              <w:rPr>
                <w:b/>
                <w:bCs/>
                <w:sz w:val="24"/>
                <w:rFonts w:ascii="Times New Roman" w:hAnsi="Times New Roman"/>
              </w:rPr>
            </w:pPr>
            <w:r>
              <w:rPr>
                <w:sz w:val="24"/>
                <w:rFonts w:ascii="Times New Roman" w:hAnsi="Times New Roman"/>
              </w:rPr>
              <w:t xml:space="preserve">Pagos pendientes de clientes minoristas con un vencimiento residual no superior a 30 días.</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sz w:val="24"/>
                <w:rFonts w:ascii="Times New Roman" w:hAnsi="Times New Roman"/>
              </w:rPr>
            </w:pPr>
            <w:r>
              <w:rPr>
                <w:sz w:val="24"/>
                <w:rFonts w:ascii="Times New Roman" w:hAnsi="Times New Roman"/>
              </w:rPr>
              <w:t xml:space="preserve">0070</w:t>
            </w:r>
          </w:p>
        </w:tc>
        <w:tc>
          <w:tcPr>
            <w:tcW w:w="7540" w:type="dxa"/>
            <w:shd w:val="clear" w:color="auto" w:fill="auto"/>
          </w:tcPr>
          <w:p w14:paraId="5182AD9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1.1.1.2.2. Pagos pendientes de empresas no financieras</w:t>
            </w:r>
          </w:p>
          <w:p w14:paraId="1D49F1FE" w14:textId="6D016E65" w:rsidR="007453EC" w:rsidRPr="000B6B22" w:rsidRDefault="00DD4C72">
            <w:pPr>
              <w:spacing w:before="0"/>
              <w:rPr>
                <w:bCs/>
                <w:sz w:val="24"/>
                <w:rFonts w:ascii="Times New Roman" w:hAnsi="Times New Roman"/>
              </w:rPr>
            </w:pPr>
            <w:r>
              <w:rPr>
                <w:sz w:val="24"/>
                <w:rFonts w:ascii="Times New Roman" w:hAnsi="Times New Roman"/>
              </w:rPr>
              <w:t xml:space="preserve">Artículo 32, apartado 3, letra a), del Reglamento Delegado (UE) 2015/61</w:t>
            </w:r>
          </w:p>
          <w:p w14:paraId="38D54DFA" w14:textId="4091AF0C" w:rsidR="007453EC" w:rsidRPr="000B6B22" w:rsidRDefault="007453EC">
            <w:pPr>
              <w:spacing w:before="0"/>
              <w:rPr>
                <w:b/>
                <w:bCs/>
                <w:sz w:val="24"/>
                <w:rFonts w:ascii="Times New Roman" w:hAnsi="Times New Roman"/>
              </w:rPr>
            </w:pPr>
            <w:r>
              <w:rPr>
                <w:sz w:val="24"/>
                <w:rFonts w:ascii="Times New Roman" w:hAnsi="Times New Roman"/>
              </w:rPr>
              <w:t xml:space="preserve">Pagos pendientes de empresas no financieras con un vencimiento residual no superior a 30 días.</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sz w:val="24"/>
                <w:rFonts w:ascii="Times New Roman" w:hAnsi="Times New Roman"/>
              </w:rPr>
            </w:pPr>
            <w:r>
              <w:rPr>
                <w:sz w:val="24"/>
                <w:rFonts w:ascii="Times New Roman" w:hAnsi="Times New Roman"/>
              </w:rPr>
              <w:t xml:space="preserve">0080</w:t>
            </w:r>
          </w:p>
        </w:tc>
        <w:tc>
          <w:tcPr>
            <w:tcW w:w="7540" w:type="dxa"/>
            <w:shd w:val="clear" w:color="auto" w:fill="auto"/>
          </w:tcPr>
          <w:p w14:paraId="2DA637D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1.1.1.2.3. Pagos pendientes de emisores soberanos, bancos multilaterales de desarrollo y entes del sector público</w:t>
            </w:r>
          </w:p>
          <w:p w14:paraId="5CB95ACB" w14:textId="548FDFFB" w:rsidR="007453EC" w:rsidRPr="000B6B22" w:rsidRDefault="00DD4C72">
            <w:pPr>
              <w:spacing w:before="0"/>
              <w:rPr>
                <w:bCs/>
                <w:sz w:val="24"/>
                <w:rFonts w:ascii="Times New Roman" w:hAnsi="Times New Roman"/>
              </w:rPr>
            </w:pPr>
            <w:r>
              <w:rPr>
                <w:sz w:val="24"/>
                <w:rFonts w:ascii="Times New Roman" w:hAnsi="Times New Roman"/>
              </w:rPr>
              <w:t xml:space="preserve">Artículo 32, apartado 3, letra a), del Reglamento Delegado (UE) 2015/61</w:t>
            </w:r>
          </w:p>
          <w:p w14:paraId="4DDD16B8" w14:textId="2FF53647" w:rsidR="007453EC" w:rsidRPr="000B6B22" w:rsidRDefault="007453EC">
            <w:pPr>
              <w:spacing w:before="0"/>
              <w:rPr>
                <w:b/>
                <w:bCs/>
                <w:sz w:val="24"/>
                <w:rFonts w:ascii="Times New Roman" w:hAnsi="Times New Roman"/>
              </w:rPr>
            </w:pPr>
            <w:r>
              <w:rPr>
                <w:sz w:val="24"/>
                <w:rFonts w:ascii="Times New Roman" w:hAnsi="Times New Roman"/>
              </w:rPr>
              <w:t xml:space="preserve">Pagos pendientes de emisores soberanos, bancos multilaterales de desarrollo y entes del sector público con un vencimiento residual no superior a 30 días.</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sz w:val="24"/>
                <w:rFonts w:ascii="Times New Roman" w:hAnsi="Times New Roman"/>
              </w:rPr>
            </w:pPr>
            <w:r>
              <w:rPr>
                <w:sz w:val="24"/>
                <w:rFonts w:ascii="Times New Roman" w:hAnsi="Times New Roman"/>
              </w:rPr>
              <w:t xml:space="preserve">0090</w:t>
            </w:r>
          </w:p>
        </w:tc>
        <w:tc>
          <w:tcPr>
            <w:tcW w:w="7540" w:type="dxa"/>
            <w:shd w:val="clear" w:color="auto" w:fill="auto"/>
          </w:tcPr>
          <w:p w14:paraId="670CA2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1.1.1.2.4. Pagos pendientes de otras personas jurídicas</w:t>
            </w:r>
          </w:p>
          <w:p w14:paraId="6ACB8013" w14:textId="769D95BF" w:rsidR="007453EC" w:rsidRPr="000B6B22" w:rsidRDefault="00DD4C72">
            <w:pPr>
              <w:spacing w:before="0"/>
              <w:rPr>
                <w:bCs/>
                <w:sz w:val="24"/>
                <w:rFonts w:ascii="Times New Roman" w:hAnsi="Times New Roman"/>
              </w:rPr>
            </w:pPr>
            <w:r>
              <w:rPr>
                <w:sz w:val="24"/>
                <w:rFonts w:ascii="Times New Roman" w:hAnsi="Times New Roman"/>
              </w:rPr>
              <w:t xml:space="preserve">Artículo 32, apartado 3, letra a), del Reglamento Delegado (UE) 2015/61</w:t>
            </w:r>
          </w:p>
          <w:p w14:paraId="1BFD562F" w14:textId="6D30103E" w:rsidR="007453EC" w:rsidRPr="000B6B22" w:rsidRDefault="007453EC">
            <w:pPr>
              <w:spacing w:before="0"/>
              <w:rPr>
                <w:b/>
                <w:bCs/>
                <w:sz w:val="24"/>
                <w:rFonts w:ascii="Times New Roman" w:hAnsi="Times New Roman"/>
              </w:rPr>
            </w:pPr>
            <w:r>
              <w:rPr>
                <w:sz w:val="24"/>
                <w:rFonts w:ascii="Times New Roman" w:hAnsi="Times New Roman"/>
              </w:rPr>
              <w:t xml:space="preserve">Pagos pendientes de otras personas jurídicas no incluidas en ninguna de las partidas anteriores con un vencimiento residual no superior a 30 días.</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sz w:val="24"/>
                <w:rFonts w:ascii="Times New Roman" w:hAnsi="Times New Roman"/>
              </w:rPr>
            </w:pPr>
            <w:r>
              <w:rPr>
                <w:sz w:val="24"/>
                <w:rFonts w:ascii="Times New Roman" w:hAnsi="Times New Roman"/>
              </w:rPr>
              <w:t xml:space="preserve">0100</w:t>
            </w:r>
          </w:p>
        </w:tc>
        <w:tc>
          <w:tcPr>
            <w:tcW w:w="7540" w:type="dxa"/>
            <w:shd w:val="clear" w:color="auto" w:fill="auto"/>
            <w:vAlign w:val="center"/>
          </w:tcPr>
          <w:p w14:paraId="045DD93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 Pagos pendientes de bancos centrales y clientes financieros</w:t>
            </w:r>
          </w:p>
          <w:p w14:paraId="1F631B5A" w14:textId="3755D185" w:rsidR="007453EC" w:rsidRPr="000B6B22" w:rsidRDefault="000378A5">
            <w:pPr>
              <w:spacing w:before="0"/>
              <w:rPr>
                <w:bCs/>
                <w:sz w:val="24"/>
                <w:rFonts w:ascii="Times New Roman" w:hAnsi="Times New Roman"/>
              </w:rPr>
            </w:pPr>
            <w:r>
              <w:rPr>
                <w:sz w:val="24"/>
                <w:rFonts w:ascii="Times New Roman" w:hAnsi="Times New Roman"/>
              </w:rPr>
              <w:t xml:space="preserve">Artículo 32, apartado 2, letra a), y apartado 3, letra d), leído en relación con el artículo 27 del Reglamento Delegado (UE) 2015/61</w:t>
            </w:r>
          </w:p>
          <w:p w14:paraId="4ED465DC" w14:textId="0829398B"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0100 de la plantilla C 74.00 del Anexo XXIV:</w:t>
            </w:r>
          </w:p>
          <w:p w14:paraId="4554799F" w14:textId="30DE6FD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de bancos centrales y clientes financieros (depósitos operativos y no operativos);</w:t>
            </w:r>
            <w:r>
              <w:rPr>
                <w:sz w:val="24"/>
                <w:rFonts w:ascii="Times New Roman" w:hAnsi="Times New Roman"/>
              </w:rPr>
              <w:t xml:space="preserve"> </w:t>
            </w:r>
            <w:r>
              <w:rPr>
                <w:sz w:val="24"/>
                <w:rFonts w:ascii="Times New Roman" w:hAnsi="Times New Roman"/>
              </w:rPr>
              <w:t xml:space="preserve">y</w:t>
            </w:r>
          </w:p>
          <w:p w14:paraId="54CA944A" w14:textId="6075DF6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entradas de bancos centrales y clientes financieros (depósitos operativos y no operativos).</w:t>
            </w:r>
          </w:p>
          <w:p w14:paraId="7AA7B851" w14:textId="67EBFB2E"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aquí los pagos pendientes, con un vencimiento residual no superior a 30 días, de bancos centrales y clientes financieros, que no estén en situación de mora y respecto de los cuales el banco no tenga motivos para esperar un incumplimiento en el horizonte temporal de 30 días.</w:t>
            </w:r>
          </w:p>
          <w:p w14:paraId="0F56E8AD" w14:textId="77777777" w:rsidR="007453EC" w:rsidRPr="000B6B22" w:rsidRDefault="007453EC">
            <w:pPr>
              <w:spacing w:before="0"/>
              <w:rPr>
                <w:bCs/>
                <w:sz w:val="24"/>
                <w:rFonts w:ascii="Times New Roman" w:hAnsi="Times New Roman"/>
              </w:rPr>
            </w:pPr>
            <w:r>
              <w:rPr>
                <w:sz w:val="24"/>
                <w:rFonts w:ascii="Times New Roman" w:hAnsi="Times New Roman"/>
              </w:rPr>
              <w:t xml:space="preserve">Los pagos pendientes de bancos centrales y clientes financieros que no correspondan al reembolso del principal se comunicarán en la sección pertinente.</w:t>
            </w:r>
          </w:p>
          <w:p w14:paraId="1428E208" w14:textId="7253B30E" w:rsidR="007453EC" w:rsidRPr="000B6B22" w:rsidRDefault="007453EC">
            <w:pPr>
              <w:spacing w:before="0"/>
              <w:rPr>
                <w:bCs/>
                <w:sz w:val="24"/>
                <w:rFonts w:ascii="Times New Roman" w:hAnsi="Times New Roman"/>
              </w:rPr>
            </w:pPr>
            <w:r>
              <w:rPr>
                <w:sz w:val="24"/>
                <w:rFonts w:ascii="Times New Roman" w:hAnsi="Times New Roman"/>
              </w:rPr>
              <w:t xml:space="preserve">Los depósitos en la entidad central contemplados en el artículo 27, apartado 3, del Reglamento Delegado (UE) 2015/61 no se consignarán como entradas.</w:t>
            </w:r>
          </w:p>
          <w:p w14:paraId="7F7414AF" w14:textId="77777777" w:rsidR="007453EC" w:rsidRPr="000B6B22" w:rsidRDefault="007453EC">
            <w:pPr>
              <w:spacing w:before="0"/>
              <w:rPr>
                <w:bCs/>
                <w:sz w:val="24"/>
                <w:rFonts w:ascii="Times New Roman" w:hAnsi="Times New Roman"/>
              </w:rPr>
            </w:pPr>
            <w:r>
              <w:rPr>
                <w:sz w:val="24"/>
                <w:rFonts w:ascii="Times New Roman" w:hAnsi="Times New Roman"/>
              </w:rPr>
              <w:t xml:space="preserve">Los pagos pendientes procedentes de operaciones de financiación comercial con un vencimiento residual no superior a 30 días se comunicarán en la sección 1.1.4 y no se consignarán aquí.</w:t>
            </w:r>
            <w:r>
              <w:rPr>
                <w:sz w:val="24"/>
                <w:rFonts w:ascii="Times New Roman" w:hAnsi="Times New Roman"/>
              </w:rPr>
              <w:t xml:space="preserve"> </w:t>
            </w:r>
            <w:r>
              <w:rPr>
                <w:sz w:val="24"/>
                <w:rFonts w:ascii="Times New Roman" w:hAnsi="Times New Roman"/>
              </w:rPr>
              <w:t xml:space="preserve">Los pagos pendientes de valores que venzan en el plazo de 30 días naturales se comunicarán en la sección 1.1.5 y no se consignarán aquí.</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sz w:val="24"/>
                <w:rFonts w:ascii="Times New Roman" w:hAnsi="Times New Roman"/>
              </w:rPr>
            </w:pPr>
            <w:r>
              <w:rPr>
                <w:sz w:val="24"/>
                <w:rFonts w:ascii="Times New Roman" w:hAnsi="Times New Roman"/>
              </w:rPr>
              <w:t xml:space="preserve">0110</w:t>
            </w:r>
          </w:p>
        </w:tc>
        <w:tc>
          <w:tcPr>
            <w:tcW w:w="7540" w:type="dxa"/>
            <w:shd w:val="clear" w:color="auto" w:fill="auto"/>
            <w:vAlign w:val="center"/>
          </w:tcPr>
          <w:p w14:paraId="5A4F945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 Pagos pendientes de clientes financieros clasificados como depósitos operativos</w:t>
            </w:r>
          </w:p>
          <w:p w14:paraId="39FA7398" w14:textId="4770BC57"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d), leído en relación con el artículo 27, del </w:t>
            </w:r>
            <w:r>
              <w:rPr>
                <w:sz w:val="24"/>
                <w:rFonts w:ascii="Times New Roman" w:hAnsi="Times New Roman"/>
              </w:rPr>
              <w:t xml:space="preserve">Reglamento Delegado (UE) 2015/61</w:t>
            </w:r>
          </w:p>
          <w:p w14:paraId="7AF8F30A" w14:textId="30913F5F"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0110 de la plantilla C 74.00 del Anexo XXIV:</w:t>
            </w:r>
          </w:p>
          <w:p w14:paraId="3B90C483" w14:textId="2507564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de clientes financieros clasificados como depósitos operativos (sin tener en cuenta si la entidad de crédito puede establecer o no un índice de entrada simétrica correspondiente);</w:t>
            </w:r>
            <w:r>
              <w:rPr>
                <w:sz w:val="24"/>
                <w:rFonts w:ascii="Times New Roman" w:hAnsi="Times New Roman"/>
              </w:rPr>
              <w:t xml:space="preserve"> </w:t>
            </w:r>
            <w:r>
              <w:rPr>
                <w:sz w:val="24"/>
                <w:rFonts w:ascii="Times New Roman" w:hAnsi="Times New Roman"/>
              </w:rPr>
              <w:t xml:space="preserve">y</w:t>
            </w:r>
          </w:p>
          <w:p w14:paraId="3BCFB56C" w14:textId="25855A3A"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entradas de clientes financieros clasificadas como depósitos operativos (sin tener en cuenta si la entidad de crédito puede establecer o no un índice de entrada simétrica correspondiente).</w:t>
            </w:r>
          </w:p>
          <w:p w14:paraId="2A6FD64A" w14:textId="4AF63FB4" w:rsidR="007453EC" w:rsidRPr="000B6B22" w:rsidRDefault="007453EC">
            <w:pPr>
              <w:spacing w:before="0"/>
              <w:rPr>
                <w:bCs/>
                <w:sz w:val="24"/>
                <w:rFonts w:ascii="Times New Roman" w:hAnsi="Times New Roman"/>
              </w:rPr>
            </w:pPr>
            <w:r>
              <w:rPr>
                <w:sz w:val="24"/>
                <w:rFonts w:ascii="Times New Roman" w:hAnsi="Times New Roman"/>
              </w:rPr>
              <w:t xml:space="preserve">La entidad de crédito comunicará aquí los pagos pendientes de clientes financieros destinados a la obtención, por parte de la entidad, de servicios de compensación, custodia o gestión de efectivo, de conformidad con el artículo 27 del Reglamento Delegado (UE)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sz w:val="24"/>
                <w:rFonts w:ascii="Times New Roman" w:hAnsi="Times New Roman"/>
              </w:rPr>
            </w:pPr>
            <w:r>
              <w:rPr>
                <w:sz w:val="24"/>
                <w:rFonts w:ascii="Times New Roman" w:hAnsi="Times New Roman"/>
              </w:rPr>
              <w:t xml:space="preserve">0120</w:t>
            </w:r>
          </w:p>
        </w:tc>
        <w:tc>
          <w:tcPr>
            <w:tcW w:w="7540" w:type="dxa"/>
            <w:shd w:val="clear" w:color="auto" w:fill="auto"/>
          </w:tcPr>
          <w:p w14:paraId="0B7B170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1.1.2.1.1. Pagos pendientes de clientes financieros clasificados como depósitos operativos respecto de los cuales la entidad de crédito pueda establecer un índice de entrada simétrica correspondiente</w:t>
            </w:r>
          </w:p>
          <w:p w14:paraId="0C2F0E5C" w14:textId="60B334D3"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d), leído en relación con el artículo 27, del Reglamento Delegado (UE) 2015/61</w:t>
            </w:r>
          </w:p>
          <w:p w14:paraId="04469659" w14:textId="55FE77D7" w:rsidR="007453EC" w:rsidRPr="000B6B22" w:rsidRDefault="007453EC">
            <w:pPr>
              <w:spacing w:before="0"/>
              <w:rPr>
                <w:b/>
                <w:bCs/>
                <w:sz w:val="24"/>
                <w:rFonts w:ascii="Times New Roman" w:hAnsi="Times New Roman"/>
              </w:rPr>
            </w:pPr>
            <w:r>
              <w:rPr>
                <w:sz w:val="24"/>
                <w:rFonts w:ascii="Times New Roman" w:hAnsi="Times New Roman"/>
              </w:rPr>
              <w:t xml:space="preserve">Pagos pendientes de clientes financieros con un vencimiento residual no superior a 30 días destinados a la obtención, por parte de la entidad de crédito, de servicios de compensación, custodia o gestión de efectivo, de conformidad con el artículo 27 del Reglamento Delegado (UE) 2015/61, cuando la entidad de crédito pueda establecer un índice de entrada simétrica correspondiente.</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sz w:val="24"/>
                <w:rFonts w:ascii="Times New Roman" w:hAnsi="Times New Roman"/>
              </w:rPr>
            </w:pPr>
            <w:r>
              <w:rPr>
                <w:sz w:val="24"/>
                <w:rFonts w:ascii="Times New Roman" w:hAnsi="Times New Roman"/>
              </w:rPr>
              <w:t xml:space="preserve">0130</w:t>
            </w:r>
          </w:p>
        </w:tc>
        <w:tc>
          <w:tcPr>
            <w:tcW w:w="7540" w:type="dxa"/>
            <w:shd w:val="clear" w:color="auto" w:fill="auto"/>
          </w:tcPr>
          <w:p w14:paraId="019A336C"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1.1.2.1.2. Pagos pendientes de clientes financieros clasificados como depósitos operativos respecto de los cuales la entidad de crédito no pueda establecer un índice de entrada simétrica correspondiente</w:t>
            </w:r>
          </w:p>
          <w:p w14:paraId="13B37973" w14:textId="573B2BE5"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d), leído en relación con el artículo 27, del Reglamento Delegado (UE) 2015/61</w:t>
            </w:r>
          </w:p>
          <w:p w14:paraId="6746E1A1" w14:textId="3E479540" w:rsidR="007453EC" w:rsidRPr="000B6B22" w:rsidRDefault="007453EC">
            <w:pPr>
              <w:spacing w:before="0"/>
              <w:rPr>
                <w:b/>
                <w:bCs/>
                <w:sz w:val="24"/>
                <w:rFonts w:ascii="Times New Roman" w:hAnsi="Times New Roman"/>
              </w:rPr>
            </w:pPr>
            <w:r>
              <w:rPr>
                <w:sz w:val="24"/>
                <w:rFonts w:ascii="Times New Roman" w:hAnsi="Times New Roman"/>
              </w:rPr>
              <w:t xml:space="preserve">Pagos pendientes de clientes financieros con un vencimiento residual no superior a 30 días destinados a la obtención, por parte de la entidad de crédito, de servicios de compensación, custodia o gestión de efectivo, de conformidad con el artículo 27 del Reglamento Delegado (UE) 2015/61, cuando la entidad de crédito no pueda establecer un índice de entrada simétrica correspondiente.</w:t>
            </w:r>
            <w:r>
              <w:rPr>
                <w:sz w:val="24"/>
                <w:b/>
                <w:rFonts w:ascii="Times New Roman" w:hAnsi="Times New Roman"/>
              </w:rPr>
              <w:t xml:space="preserve"> </w:t>
            </w:r>
            <w:r>
              <w:rPr>
                <w:sz w:val="24"/>
                <w:rFonts w:ascii="Times New Roman" w:hAnsi="Times New Roman"/>
              </w:rPr>
              <w:t xml:space="preserve">En relación con estas partidas, se aplicará un índice de entrada del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sz w:val="24"/>
                <w:rFonts w:ascii="Times New Roman" w:hAnsi="Times New Roman"/>
              </w:rPr>
            </w:pPr>
            <w:r>
              <w:rPr>
                <w:sz w:val="24"/>
                <w:rFonts w:ascii="Times New Roman" w:hAnsi="Times New Roman"/>
              </w:rPr>
              <w:t xml:space="preserve">0140</w:t>
            </w:r>
          </w:p>
        </w:tc>
        <w:tc>
          <w:tcPr>
            <w:tcW w:w="7540" w:type="dxa"/>
            <w:shd w:val="clear" w:color="auto" w:fill="auto"/>
          </w:tcPr>
          <w:p w14:paraId="16406FE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 Pagos pendientes de bancos centrales y clientes financieros no clasificados como depósitos operativos</w:t>
            </w:r>
          </w:p>
          <w:p w14:paraId="4112A8EB" w14:textId="2EDC68EE" w:rsidR="007453EC" w:rsidRPr="000B6B22" w:rsidRDefault="000378A5">
            <w:pPr>
              <w:spacing w:before="0"/>
              <w:rPr>
                <w:bCs/>
                <w:sz w:val="24"/>
                <w:rFonts w:ascii="Times New Roman" w:hAnsi="Times New Roman"/>
              </w:rPr>
            </w:pPr>
            <w:r>
              <w:rPr>
                <w:sz w:val="24"/>
                <w:rFonts w:ascii="Times New Roman" w:hAnsi="Times New Roman"/>
              </w:rPr>
              <w:t xml:space="preserve">Artículo 32, apartado 2, letra a), del Reglamento Delegado (UE) 2015/61</w:t>
            </w:r>
          </w:p>
          <w:p w14:paraId="03E726B4" w14:textId="4F38E9FD"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140 de la plantilla C 74.00 del Anexo XXIV:</w:t>
            </w:r>
          </w:p>
          <w:p w14:paraId="55C46702" w14:textId="07E32FA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de bancos centrales y clientes financieros no clasificados como depósitos operativos, y</w:t>
            </w:r>
          </w:p>
          <w:p w14:paraId="6AB0AA97" w14:textId="31A7BF3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entradas de bancos centrales y clientes financieros no clasificadas como depósitos operativos.</w:t>
            </w:r>
          </w:p>
          <w:p w14:paraId="168D4E28" w14:textId="474EE3E0" w:rsidR="007453EC" w:rsidRPr="000B6B22" w:rsidRDefault="007453EC">
            <w:pPr>
              <w:spacing w:before="0"/>
              <w:rPr>
                <w:b/>
                <w:bCs/>
                <w:sz w:val="24"/>
                <w:rFonts w:ascii="Times New Roman" w:hAnsi="Times New Roman"/>
              </w:rPr>
            </w:pPr>
            <w:r>
              <w:rPr>
                <w:sz w:val="24"/>
                <w:rFonts w:ascii="Times New Roman" w:hAnsi="Times New Roman"/>
              </w:rPr>
              <w:t xml:space="preserve">Las entidades de crédito comunicarán aquí los pagos pendientes de bancos centrales y clientes financieros que no puedan tratarse como depósitos operativos, tal como se especifica en el artículo 32, apartado 3, letra d), leído en relación con el artículo 27, del Reglamento Delegado (UE)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sz w:val="24"/>
                <w:rFonts w:ascii="Times New Roman" w:hAnsi="Times New Roman"/>
              </w:rPr>
            </w:pPr>
            <w:r>
              <w:rPr>
                <w:sz w:val="24"/>
                <w:rFonts w:ascii="Times New Roman" w:hAnsi="Times New Roman"/>
              </w:rPr>
              <w:t xml:space="preserve">0150</w:t>
            </w:r>
          </w:p>
        </w:tc>
        <w:tc>
          <w:tcPr>
            <w:tcW w:w="7540" w:type="dxa"/>
            <w:shd w:val="clear" w:color="auto" w:fill="auto"/>
          </w:tcPr>
          <w:p w14:paraId="7D857A5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1.1.2.2.1. Pagos pendientes de bancos centrales</w:t>
            </w:r>
          </w:p>
          <w:p w14:paraId="04B27F13" w14:textId="74C8BBC1" w:rsidR="007453EC" w:rsidRPr="000B6B22" w:rsidRDefault="000378A5">
            <w:pPr>
              <w:spacing w:before="0"/>
              <w:rPr>
                <w:bCs/>
                <w:sz w:val="24"/>
                <w:rFonts w:ascii="Times New Roman" w:hAnsi="Times New Roman"/>
              </w:rPr>
            </w:pPr>
            <w:r>
              <w:rPr>
                <w:sz w:val="24"/>
                <w:rFonts w:ascii="Times New Roman" w:hAnsi="Times New Roman"/>
              </w:rPr>
              <w:t xml:space="preserve">Artículo 32, apartado 2, letra a), del Reglamento Delegado (UE) 2015/61</w:t>
            </w:r>
          </w:p>
          <w:p w14:paraId="4EC1A2F0" w14:textId="1B2DC25D" w:rsidR="007453EC" w:rsidRPr="000B6B22" w:rsidRDefault="007453EC">
            <w:pPr>
              <w:spacing w:before="0"/>
              <w:rPr>
                <w:b/>
                <w:bCs/>
                <w:sz w:val="24"/>
                <w:rFonts w:ascii="Times New Roman" w:hAnsi="Times New Roman"/>
              </w:rPr>
            </w:pPr>
            <w:r>
              <w:rPr>
                <w:sz w:val="24"/>
                <w:rFonts w:ascii="Times New Roman" w:hAnsi="Times New Roman"/>
              </w:rPr>
              <w:t xml:space="preserve">Pagos pendientes de bancos centrales con un vencimiento residual no superior a 30 días con arreglo al artículo 32, apartado 2, letra a), del Reglamento Delegado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sz w:val="24"/>
                <w:rFonts w:ascii="Times New Roman" w:hAnsi="Times New Roman"/>
              </w:rPr>
            </w:pPr>
            <w:r>
              <w:rPr>
                <w:sz w:val="24"/>
                <w:rFonts w:ascii="Times New Roman" w:hAnsi="Times New Roman"/>
              </w:rPr>
              <w:t xml:space="preserve">0160</w:t>
            </w:r>
          </w:p>
        </w:tc>
        <w:tc>
          <w:tcPr>
            <w:tcW w:w="7540" w:type="dxa"/>
            <w:shd w:val="clear" w:color="auto" w:fill="auto"/>
          </w:tcPr>
          <w:p w14:paraId="26706E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1.1.2.2.2. Pagos pendientes de clientes financieros</w:t>
            </w:r>
          </w:p>
          <w:p w14:paraId="425BBC82" w14:textId="48F198E9" w:rsidR="007453EC" w:rsidRPr="000B6B22" w:rsidRDefault="000378A5">
            <w:pPr>
              <w:spacing w:before="0"/>
              <w:rPr>
                <w:bCs/>
                <w:sz w:val="24"/>
                <w:rFonts w:ascii="Times New Roman" w:hAnsi="Times New Roman"/>
              </w:rPr>
            </w:pPr>
            <w:r>
              <w:rPr>
                <w:sz w:val="24"/>
                <w:rFonts w:ascii="Times New Roman" w:hAnsi="Times New Roman"/>
              </w:rPr>
              <w:t xml:space="preserve">Artículo 32, apartado 2, letra a), del Reglamento Delegado (UE) 2015/61</w:t>
            </w:r>
          </w:p>
          <w:p w14:paraId="545B953A" w14:textId="1F87FB0E" w:rsidR="007453EC" w:rsidRPr="000B6B22" w:rsidRDefault="007453EC">
            <w:pPr>
              <w:spacing w:before="0"/>
              <w:rPr>
                <w:bCs/>
                <w:sz w:val="24"/>
                <w:rFonts w:ascii="Times New Roman" w:hAnsi="Times New Roman"/>
              </w:rPr>
            </w:pPr>
            <w:r>
              <w:rPr>
                <w:sz w:val="24"/>
                <w:rFonts w:ascii="Times New Roman" w:hAnsi="Times New Roman"/>
              </w:rPr>
              <w:t xml:space="preserve">Pagos pendientes de clientes financieros con un vencimiento residual no superior a 30 días que no puedan tratarse como depósitos operativos, tal como se especifica en el artículo 32, apartado 3, letra d), leído en relación con el artículo 27, del Reglamento Delegado (UE) 2015/61.</w:t>
            </w:r>
          </w:p>
          <w:p w14:paraId="5878AF48" w14:textId="3EB7084D" w:rsidR="007453EC" w:rsidRPr="000B6B22" w:rsidRDefault="007453EC">
            <w:pPr>
              <w:spacing w:before="0"/>
              <w:rPr>
                <w:b/>
                <w:bCs/>
                <w:sz w:val="24"/>
                <w:rFonts w:ascii="Times New Roman" w:hAnsi="Times New Roman"/>
              </w:rPr>
            </w:pPr>
            <w:r>
              <w:rPr>
                <w:sz w:val="24"/>
                <w:rFonts w:ascii="Times New Roman" w:hAnsi="Times New Roman"/>
              </w:rPr>
              <w:t xml:space="preserve">Las entradas correspondientes a salidas de conformidad con los compromisos de préstamos promocionales contemplados en el artículo 31, apartado 9, del Reglamento Delegado (UE) 2015/61, se comunicarán en la sección 1.1.3 y no se consignarán aquí.</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sz w:val="24"/>
                <w:rFonts w:ascii="Times New Roman" w:hAnsi="Times New Roman"/>
              </w:rPr>
            </w:pPr>
            <w:r>
              <w:rPr>
                <w:sz w:val="24"/>
                <w:rFonts w:ascii="Times New Roman" w:hAnsi="Times New Roman"/>
              </w:rPr>
              <w:t xml:space="preserve">0170</w:t>
            </w:r>
          </w:p>
        </w:tc>
        <w:tc>
          <w:tcPr>
            <w:tcW w:w="7540" w:type="dxa"/>
            <w:shd w:val="clear" w:color="auto" w:fill="auto"/>
            <w:vAlign w:val="center"/>
          </w:tcPr>
          <w:p w14:paraId="084BB847" w14:textId="0EC63F01" w:rsidR="007453EC" w:rsidRPr="000B6B22" w:rsidRDefault="007453EC">
            <w:pPr>
              <w:spacing w:before="0"/>
              <w:rPr>
                <w:b/>
                <w:bCs/>
                <w:sz w:val="24"/>
                <w:rFonts w:ascii="Times New Roman" w:hAnsi="Times New Roman"/>
              </w:rPr>
            </w:pPr>
            <w:r>
              <w:rPr>
                <w:b/>
                <w:sz w:val="24"/>
                <w:rFonts w:ascii="Times New Roman" w:hAnsi="Times New Roman"/>
              </w:rPr>
              <w:t xml:space="preserve">1.1.3. Entradas correspondientes a salidas de conformidad con los compromisos de préstamos promocionales a que se refiere el artículo 31, apartado 9, del Reglamento Delegado (UE) 2015/61</w:t>
            </w:r>
          </w:p>
          <w:p w14:paraId="5BE94286" w14:textId="4CA5E7E2"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a), del Reglamento Delegado (UE) 2015/61</w:t>
            </w:r>
          </w:p>
          <w:p w14:paraId="1EA9FA81" w14:textId="13BDA3FE" w:rsidR="007453EC" w:rsidRPr="000B6B22" w:rsidRDefault="007453EC">
            <w:pPr>
              <w:spacing w:before="0"/>
              <w:rPr>
                <w:bCs/>
                <w:sz w:val="24"/>
                <w:rFonts w:ascii="Times New Roman" w:hAnsi="Times New Roman"/>
              </w:rPr>
            </w:pPr>
            <w:r>
              <w:rPr>
                <w:sz w:val="24"/>
                <w:rFonts w:ascii="Times New Roman" w:hAnsi="Times New Roman"/>
              </w:rPr>
              <w:t xml:space="preserve">Entradas correspondientes a salidas de conformidad con los compromisos de préstamos promocionales a que se refiere el artículo 31, apartado 9, del Reglamento Delegado (UE)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sz w:val="24"/>
                <w:rFonts w:ascii="Times New Roman" w:hAnsi="Times New Roman"/>
              </w:rPr>
            </w:pPr>
            <w:r>
              <w:rPr>
                <w:sz w:val="24"/>
                <w:rFonts w:ascii="Times New Roman" w:hAnsi="Times New Roman"/>
              </w:rPr>
              <w:t xml:space="preserve">0180</w:t>
            </w:r>
          </w:p>
        </w:tc>
        <w:tc>
          <w:tcPr>
            <w:tcW w:w="7540" w:type="dxa"/>
            <w:shd w:val="clear" w:color="auto" w:fill="auto"/>
            <w:vAlign w:val="center"/>
          </w:tcPr>
          <w:p w14:paraId="2650DEF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1.1.4. Pagos pendientes procedentes de operaciones de financiación comercial</w:t>
            </w:r>
          </w:p>
          <w:p w14:paraId="07856EB7" w14:textId="25AE3391" w:rsidR="007453EC" w:rsidRPr="000B6B22" w:rsidRDefault="000378A5">
            <w:pPr>
              <w:spacing w:before="0"/>
              <w:rPr>
                <w:bCs/>
                <w:sz w:val="24"/>
                <w:rFonts w:ascii="Times New Roman" w:hAnsi="Times New Roman"/>
              </w:rPr>
            </w:pPr>
            <w:r>
              <w:rPr>
                <w:sz w:val="24"/>
                <w:rFonts w:ascii="Times New Roman" w:hAnsi="Times New Roman"/>
              </w:rPr>
              <w:t xml:space="preserve">Artículo 32, apartado 2, letra b), del Reglamento Delegado (UE) 2015/61</w:t>
            </w:r>
          </w:p>
          <w:p w14:paraId="24F50792" w14:textId="3C40DCB3" w:rsidR="007453EC" w:rsidRPr="000B6B22" w:rsidRDefault="007453EC">
            <w:pPr>
              <w:spacing w:before="0"/>
              <w:rPr>
                <w:b/>
                <w:bCs/>
                <w:sz w:val="24"/>
                <w:rFonts w:ascii="Times New Roman" w:hAnsi="Times New Roman"/>
              </w:rPr>
            </w:pPr>
            <w:r>
              <w:rPr>
                <w:sz w:val="24"/>
                <w:rFonts w:ascii="Times New Roman" w:hAnsi="Times New Roman"/>
              </w:rPr>
              <w:t xml:space="preserve">Pagos pendientes de operaciones de financiación comercial con un vencimiento residual no superior a 30 días con arreglo al artículo 32, apartado 2, letra b), del Reglamento Delegado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sz w:val="24"/>
                <w:rFonts w:ascii="Times New Roman" w:hAnsi="Times New Roman"/>
              </w:rPr>
            </w:pPr>
            <w:r>
              <w:rPr>
                <w:sz w:val="24"/>
                <w:rFonts w:ascii="Times New Roman" w:hAnsi="Times New Roman"/>
              </w:rPr>
              <w:t xml:space="preserve">0190</w:t>
            </w:r>
          </w:p>
        </w:tc>
        <w:tc>
          <w:tcPr>
            <w:tcW w:w="7540" w:type="dxa"/>
            <w:shd w:val="clear" w:color="auto" w:fill="auto"/>
            <w:vAlign w:val="center"/>
          </w:tcPr>
          <w:p w14:paraId="23D0EA7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1.1.5. Pagos pendientes procedentes de valores que venzan en el plazo de 30 días</w:t>
            </w:r>
          </w:p>
          <w:p w14:paraId="20BF47DF" w14:textId="30C33678" w:rsidR="007453EC" w:rsidRPr="000B6B22" w:rsidRDefault="000378A5">
            <w:pPr>
              <w:spacing w:before="0"/>
              <w:rPr>
                <w:bCs/>
                <w:sz w:val="24"/>
                <w:rFonts w:ascii="Times New Roman" w:hAnsi="Times New Roman"/>
              </w:rPr>
            </w:pPr>
            <w:r>
              <w:rPr>
                <w:sz w:val="24"/>
                <w:rFonts w:ascii="Times New Roman" w:hAnsi="Times New Roman"/>
              </w:rPr>
              <w:t xml:space="preserve">Artículo 32, apartado 2, letra c), del Reglamento Delegado (UE) 2015/61</w:t>
            </w:r>
          </w:p>
          <w:p w14:paraId="653506C8" w14:textId="39AAEB2A" w:rsidR="007453EC" w:rsidRPr="000B6B22" w:rsidRDefault="007453EC">
            <w:pPr>
              <w:spacing w:before="0"/>
              <w:rPr>
                <w:b/>
                <w:bCs/>
                <w:sz w:val="24"/>
                <w:rFonts w:ascii="Times New Roman" w:hAnsi="Times New Roman"/>
              </w:rPr>
            </w:pPr>
            <w:r>
              <w:rPr>
                <w:sz w:val="24"/>
                <w:rFonts w:ascii="Times New Roman" w:hAnsi="Times New Roman"/>
              </w:rPr>
              <w:t xml:space="preserve">Pagos pendientes procedentes de valores que venzan en el plazo de 30 días naturales con arreglo al artículo 32, apartado 2, letra c), del Reglamento Delegado (UE)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sz w:val="24"/>
                <w:rFonts w:ascii="Times New Roman" w:hAnsi="Times New Roman"/>
              </w:rPr>
            </w:pPr>
            <w:r>
              <w:rPr>
                <w:sz w:val="24"/>
                <w:rFonts w:ascii="Times New Roman" w:hAnsi="Times New Roman"/>
              </w:rPr>
              <w:t xml:space="preserve">0201</w:t>
            </w:r>
          </w:p>
        </w:tc>
        <w:tc>
          <w:tcPr>
            <w:tcW w:w="7540" w:type="dxa"/>
            <w:shd w:val="clear" w:color="auto" w:fill="auto"/>
            <w:vAlign w:val="center"/>
          </w:tcPr>
          <w:p w14:paraId="7E34F252" w14:textId="2CF0CA1A" w:rsidR="007453EC" w:rsidRPr="000B6B22" w:rsidRDefault="007453EC">
            <w:pPr>
              <w:spacing w:before="0"/>
              <w:rPr>
                <w:b/>
                <w:bCs/>
                <w:sz w:val="24"/>
                <w:rFonts w:ascii="Times New Roman" w:hAnsi="Times New Roman"/>
              </w:rPr>
            </w:pPr>
            <w:r>
              <w:rPr>
                <w:b/>
                <w:sz w:val="24"/>
                <w:rFonts w:ascii="Times New Roman" w:hAnsi="Times New Roman"/>
              </w:rPr>
              <w:t xml:space="preserve">1.1.6. Préstamos con una fecha de vencimiento contractual no definida</w:t>
            </w:r>
          </w:p>
          <w:p w14:paraId="50412A1A" w14:textId="711B8B54"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i), del Reglamento Delegado (UE) 2015/61</w:t>
            </w:r>
          </w:p>
          <w:p w14:paraId="6EF8FA17" w14:textId="18CEC767" w:rsidR="007453EC" w:rsidRPr="000B6B22" w:rsidRDefault="007453EC">
            <w:pPr>
              <w:spacing w:before="0"/>
              <w:rPr>
                <w:b/>
                <w:bCs/>
                <w:sz w:val="24"/>
                <w:rFonts w:ascii="Times New Roman" w:hAnsi="Times New Roman"/>
              </w:rPr>
            </w:pPr>
            <w:r>
              <w:rPr>
                <w:sz w:val="24"/>
                <w:rFonts w:ascii="Times New Roman" w:hAnsi="Times New Roman"/>
              </w:rPr>
              <w:t xml:space="preserve">Préstamos con fecha de vencimiento contractual no definida, con arreglo al artículo 32, apartado 3, letra i), del Reglamento Delegado (UE) 2015/61.</w:t>
            </w:r>
            <w:r>
              <w:rPr>
                <w:sz w:val="24"/>
                <w:rFonts w:ascii="Times New Roman" w:hAnsi="Times New Roman"/>
              </w:rPr>
              <w:t xml:space="preserve"> </w:t>
            </w:r>
            <w:r>
              <w:rPr>
                <w:sz w:val="24"/>
                <w:rFonts w:ascii="Times New Roman" w:hAnsi="Times New Roman"/>
              </w:rPr>
              <w:t xml:space="preserve">Las entidades de crédito solo tendrán en cuenta esos préstamos cuando el contrato les permita rescindirlo o solicitar el pago en un plazo de 30 días naturales.</w:t>
            </w:r>
            <w:r>
              <w:rPr>
                <w:sz w:val="24"/>
                <w:rFonts w:ascii="Times New Roman" w:hAnsi="Times New Roman"/>
              </w:rPr>
              <w:t xml:space="preserve"> </w:t>
            </w:r>
            <w:r>
              <w:rPr>
                <w:sz w:val="24"/>
                <w:rFonts w:ascii="Times New Roman" w:hAnsi="Times New Roman"/>
              </w:rPr>
              <w:t xml:space="preserve">Los intereses y pagos mínimos que deban adeudarse en la cuenta del cliente en ese plazo de 30 días naturales se incluirán en el importe comunicado.</w:t>
            </w:r>
            <w:r>
              <w:rPr>
                <w:sz w:val="24"/>
                <w:rFonts w:ascii="Times New Roman" w:hAnsi="Times New Roman"/>
              </w:rPr>
              <w:t xml:space="preserve"> </w:t>
            </w:r>
            <w:r>
              <w:rPr>
                <w:sz w:val="24"/>
                <w:rFonts w:ascii="Times New Roman" w:hAnsi="Times New Roman"/>
              </w:rPr>
              <w:t xml:space="preserve">Los intereses y pagos mínimos derivados de préstamos con una fecha de vencimiento contractual no definida que se adeuden con arreglo a contrato y originen una entrada real de efectivo en los 30 días naturales siguientes se considerarán como pagos pendientes y se consignarán en la fila pertinente, con arreglo al tratamiento que establece el artículo 32 para los pagos pendientes.</w:t>
            </w:r>
            <w:r>
              <w:rPr>
                <w:sz w:val="24"/>
                <w:rFonts w:ascii="Times New Roman" w:hAnsi="Times New Roman"/>
              </w:rPr>
              <w:t xml:space="preserve"> </w:t>
            </w:r>
            <w:r>
              <w:rPr>
                <w:sz w:val="24"/>
                <w:rFonts w:ascii="Times New Roman" w:hAnsi="Times New Roman"/>
              </w:rPr>
              <w:t xml:space="preserve">Las entidades de crédito no comunicarán otros intereses devengados pero que ni se adeuden en la cuenta del cliente ni originen una entrada real de efectivo en esos 30 días naturales siguientes.</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sz w:val="24"/>
                <w:rFonts w:ascii="Times New Roman" w:hAnsi="Times New Roman"/>
              </w:rPr>
            </w:pPr>
            <w:r>
              <w:rPr>
                <w:sz w:val="24"/>
                <w:rFonts w:ascii="Times New Roman" w:hAnsi="Times New Roman"/>
              </w:rPr>
              <w:t xml:space="preserve">0210</w:t>
            </w:r>
          </w:p>
        </w:tc>
        <w:tc>
          <w:tcPr>
            <w:tcW w:w="7540" w:type="dxa"/>
            <w:shd w:val="clear" w:color="auto" w:fill="auto"/>
            <w:vAlign w:val="center"/>
          </w:tcPr>
          <w:p w14:paraId="489DF64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1.1.7. Pagos pendientes procedentes de posiciones en instrumentos de patrimonio vinculados a un índice importante, siempre que no haya un doble cómputo con activos líquidos</w:t>
            </w:r>
          </w:p>
          <w:p w14:paraId="6EFECAA7" w14:textId="41986F3F" w:rsidR="007453EC" w:rsidRPr="000B6B22" w:rsidRDefault="000378A5">
            <w:pPr>
              <w:spacing w:before="0"/>
              <w:rPr>
                <w:bCs/>
                <w:sz w:val="24"/>
                <w:rFonts w:ascii="Times New Roman" w:hAnsi="Times New Roman"/>
              </w:rPr>
            </w:pPr>
            <w:r>
              <w:rPr>
                <w:sz w:val="24"/>
                <w:rFonts w:ascii="Times New Roman" w:hAnsi="Times New Roman"/>
              </w:rPr>
              <w:t xml:space="preserve">Artículo 32, apartado 2, letra d), del Reglamento Delegado (UE) 2015/61</w:t>
            </w:r>
          </w:p>
          <w:p w14:paraId="3FB14AF9" w14:textId="5F6008BB" w:rsidR="007453EC" w:rsidRPr="000B6B22" w:rsidRDefault="007453EC">
            <w:pPr>
              <w:spacing w:before="0"/>
              <w:rPr>
                <w:b/>
                <w:bCs/>
                <w:sz w:val="24"/>
                <w:rFonts w:ascii="Times New Roman" w:hAnsi="Times New Roman"/>
              </w:rPr>
            </w:pPr>
            <w:r>
              <w:rPr>
                <w:sz w:val="24"/>
                <w:rFonts w:ascii="Times New Roman" w:hAnsi="Times New Roman"/>
              </w:rPr>
              <w:t xml:space="preserve">Pagos pendientes procedentes de posiciones en instrumentos de patrimonio vinculados a un índice importante, siempre que no haya un doble cómputo con activos líquidos, de conformidad con el artículo 32, apartado 2, letra d), del Reglamento Delegado (UE) 2015/61.</w:t>
            </w:r>
            <w:r>
              <w:rPr>
                <w:sz w:val="24"/>
                <w:rFonts w:ascii="Times New Roman" w:hAnsi="Times New Roman"/>
              </w:rPr>
              <w:t xml:space="preserve"> </w:t>
            </w:r>
            <w:r>
              <w:rPr>
                <w:sz w:val="24"/>
                <w:rFonts w:ascii="Times New Roman" w:hAnsi="Times New Roman"/>
              </w:rPr>
              <w:t xml:space="preserve">La posición incluirá los pagos que se adeuden con arreglo a contrato en un plazo de 30 días naturales, tales como los dividendos en efectivo procedentes de esos índices importantes y el efectivo adeudado por aquellos de esos instrumentos de patrimonio que se hayan vendido pero estén aún pendientes de liquidación, si no se reconocen como activos líquidos de conformidad con el título II del Reglamento Delegado (UE)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sz w:val="24"/>
                <w:rFonts w:ascii="Times New Roman" w:hAnsi="Times New Roman"/>
              </w:rPr>
            </w:pPr>
            <w:r>
              <w:rPr>
                <w:sz w:val="24"/>
                <w:rFonts w:ascii="Times New Roman" w:hAnsi="Times New Roman"/>
              </w:rPr>
              <w:t xml:space="preserve">0230</w:t>
            </w:r>
          </w:p>
        </w:tc>
        <w:tc>
          <w:tcPr>
            <w:tcW w:w="7540" w:type="dxa"/>
            <w:shd w:val="clear" w:color="auto" w:fill="auto"/>
            <w:vAlign w:val="center"/>
          </w:tcPr>
          <w:p w14:paraId="0A443FE1" w14:textId="3DD7455C" w:rsidR="007453EC" w:rsidRPr="000B6B22" w:rsidRDefault="007453EC">
            <w:pPr>
              <w:spacing w:before="0"/>
              <w:rPr>
                <w:b/>
                <w:bCs/>
                <w:sz w:val="24"/>
                <w:rFonts w:ascii="Times New Roman" w:hAnsi="Times New Roman"/>
              </w:rPr>
            </w:pPr>
            <w:r>
              <w:rPr>
                <w:b/>
                <w:sz w:val="24"/>
                <w:rFonts w:ascii="Times New Roman" w:hAnsi="Times New Roman"/>
              </w:rPr>
              <w:t xml:space="preserve">1.1.8. Entradas procedentes de la liberación de saldos mantenidos en cuentas segregadas conforme a los requisitos normativos relativos a la protección de los activos comerciales de los clientes</w:t>
            </w:r>
          </w:p>
          <w:p w14:paraId="775341D9" w14:textId="023BC8E7" w:rsidR="007453EC" w:rsidRPr="000B6B22" w:rsidRDefault="007453EC">
            <w:pPr>
              <w:spacing w:before="0"/>
              <w:rPr>
                <w:bCs/>
                <w:sz w:val="24"/>
                <w:rFonts w:ascii="Times New Roman" w:hAnsi="Times New Roman"/>
              </w:rPr>
            </w:pPr>
            <w:r>
              <w:rPr>
                <w:sz w:val="24"/>
                <w:rFonts w:ascii="Times New Roman" w:hAnsi="Times New Roman"/>
              </w:rPr>
              <w:t xml:space="preserve">Artículo 32, apartado 4, del Reglamento Delegado (UE) 2015/61</w:t>
            </w:r>
          </w:p>
          <w:p w14:paraId="50121AFE" w14:textId="4A96E6A9" w:rsidR="007453EC" w:rsidRPr="000B6B22" w:rsidRDefault="007453EC">
            <w:pPr>
              <w:spacing w:before="0"/>
              <w:rPr>
                <w:bCs/>
                <w:sz w:val="24"/>
                <w:rFonts w:ascii="Times New Roman" w:hAnsi="Times New Roman"/>
              </w:rPr>
            </w:pPr>
            <w:r>
              <w:rPr>
                <w:sz w:val="24"/>
                <w:rFonts w:ascii="Times New Roman" w:hAnsi="Times New Roman"/>
              </w:rPr>
              <w:t xml:space="preserve">Entradas procedentes de la liberación de saldos mantenidos en cuentas segregadas conforme a los requisitos normativos relativos a la protección de los activos comerciales de los clientes, de conformidad con el artículo 32, apartado 4, del Reglamento Delegado (UE) 2015/61.</w:t>
            </w:r>
          </w:p>
          <w:p w14:paraId="61A2512C" w14:textId="37159C83" w:rsidR="007453EC" w:rsidRPr="000B6B22" w:rsidRDefault="007453EC">
            <w:pPr>
              <w:spacing w:before="0"/>
              <w:rPr>
                <w:b/>
                <w:bCs/>
                <w:sz w:val="24"/>
                <w:rFonts w:ascii="Times New Roman" w:hAnsi="Times New Roman"/>
              </w:rPr>
            </w:pPr>
            <w:r>
              <w:rPr>
                <w:sz w:val="24"/>
                <w:rFonts w:ascii="Times New Roman" w:hAnsi="Times New Roman"/>
              </w:rPr>
              <w:t xml:space="preserve">Las entradas solo se tendrán en cuenta si estos saldos se mantienen en activos líquidos, tal como se especifica en el título II del Reglamento Delegado (UE) 2015/61 de la Comisión.</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sz w:val="24"/>
                <w:rFonts w:ascii="Times New Roman" w:hAnsi="Times New Roman"/>
              </w:rPr>
            </w:pPr>
            <w:r>
              <w:rPr>
                <w:sz w:val="24"/>
                <w:rFonts w:ascii="Times New Roman" w:hAnsi="Times New Roman"/>
              </w:rPr>
              <w:t xml:space="preserve">0240</w:t>
            </w:r>
          </w:p>
        </w:tc>
        <w:tc>
          <w:tcPr>
            <w:tcW w:w="7540" w:type="dxa"/>
            <w:shd w:val="clear" w:color="auto" w:fill="auto"/>
            <w:vAlign w:val="center"/>
          </w:tcPr>
          <w:p w14:paraId="7CB0F28F" w14:textId="068CB41D" w:rsidR="007453EC" w:rsidRPr="000B6B22" w:rsidRDefault="007453EC">
            <w:pPr>
              <w:spacing w:before="0"/>
              <w:rPr>
                <w:b/>
                <w:bCs/>
                <w:sz w:val="24"/>
                <w:rFonts w:ascii="Times New Roman" w:hAnsi="Times New Roman"/>
              </w:rPr>
            </w:pPr>
            <w:r>
              <w:rPr>
                <w:b/>
                <w:sz w:val="24"/>
                <w:rFonts w:ascii="Times New Roman" w:hAnsi="Times New Roman"/>
              </w:rPr>
              <w:t xml:space="preserve">1.1.9. Entradas procedentes de derivados</w:t>
            </w:r>
          </w:p>
          <w:p w14:paraId="2B565980" w14:textId="5322282D" w:rsidR="007453EC" w:rsidRPr="000B6B22" w:rsidRDefault="007453EC">
            <w:pPr>
              <w:spacing w:before="0"/>
              <w:rPr>
                <w:bCs/>
                <w:sz w:val="24"/>
                <w:rFonts w:ascii="Times New Roman" w:hAnsi="Times New Roman"/>
              </w:rPr>
            </w:pPr>
            <w:r>
              <w:rPr>
                <w:sz w:val="24"/>
                <w:rFonts w:ascii="Times New Roman" w:hAnsi="Times New Roman"/>
              </w:rPr>
              <w:t xml:space="preserve">Artículo 32, apartado 5, leído en relación con el artículo 21, del Reglamento Delegado (UE) 2015/61</w:t>
            </w:r>
          </w:p>
          <w:p w14:paraId="2AB45F97" w14:textId="4BD3B8B3" w:rsidR="007453EC" w:rsidRPr="000B6B22" w:rsidRDefault="007453EC">
            <w:pPr>
              <w:spacing w:before="0"/>
              <w:rPr>
                <w:bCs/>
                <w:sz w:val="24"/>
                <w:rFonts w:ascii="Times New Roman" w:hAnsi="Times New Roman"/>
              </w:rPr>
            </w:pPr>
            <w:r>
              <w:rPr>
                <w:sz w:val="24"/>
                <w:rFonts w:ascii="Times New Roman" w:hAnsi="Times New Roman"/>
              </w:rPr>
              <w:t xml:space="preserve">Importe neto de los derechos de cobro previstos en un plazo de 30 días naturales respecto a los contratos enumerados en el anexo II del Reglamento (UE) n.º 575/2013 y a los derivados de crédito.</w:t>
            </w:r>
          </w:p>
          <w:p w14:paraId="498479E7" w14:textId="3293DB26"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calcularán las entradas previstas a lo largo de 30 días naturales en términos netos y por contraparte, con sujeción a los acuerdos bilaterales de compensación celebrados con arreglo al artículo 295 del Reglamento (UE) n.º 575/2013.</w:t>
            </w:r>
            <w:r>
              <w:rPr>
                <w:sz w:val="24"/>
                <w:rFonts w:ascii="Times New Roman" w:hAnsi="Times New Roman"/>
              </w:rPr>
              <w:t xml:space="preserve"> </w:t>
            </w:r>
            <w:r>
              <w:rPr>
                <w:sz w:val="24"/>
                <w:rFonts w:ascii="Times New Roman" w:hAnsi="Times New Roman"/>
              </w:rPr>
              <w:t xml:space="preserve">Por términos netos se entenderá también netos de las garantías reales recibidas, siempre que estas puedan considerarse activos líquidos en virtud del título II del Reglamento Delegado (UE) 2015/61.</w:t>
            </w:r>
          </w:p>
          <w:p w14:paraId="7A456C61" w14:textId="77777777" w:rsidR="007453EC" w:rsidRPr="000B6B22" w:rsidRDefault="007453EC">
            <w:pPr>
              <w:spacing w:before="0"/>
              <w:rPr>
                <w:bCs/>
                <w:sz w:val="24"/>
                <w:rFonts w:ascii="Times New Roman" w:hAnsi="Times New Roman"/>
              </w:rPr>
            </w:pPr>
            <w:r>
              <w:rPr>
                <w:sz w:val="24"/>
                <w:rFonts w:ascii="Times New Roman" w:hAnsi="Times New Roman"/>
              </w:rPr>
              <w:t xml:space="preserve">Las salidas y entradas de efectivo derivadas de las operaciones con derivados sobre divisas o con derivados de crédito que impliquen un intercambio completo de cantidades del principal de forma simultánea (o en el mismo día) se calcularán sobre una base neta, incluso cuando dichas operaciones no estén cubiertas por un acuerdo de compensación bilateral.</w:t>
            </w:r>
          </w:p>
          <w:p w14:paraId="545BC0CB" w14:textId="5C31DEF7" w:rsidR="007453EC" w:rsidRPr="000B6B22" w:rsidRDefault="007453EC">
            <w:pPr>
              <w:spacing w:before="0"/>
              <w:rPr>
                <w:bCs/>
                <w:sz w:val="24"/>
                <w:rFonts w:ascii="Times New Roman" w:hAnsi="Times New Roman"/>
              </w:rPr>
            </w:pPr>
            <w:r>
              <w:rPr>
                <w:sz w:val="24"/>
                <w:rFonts w:ascii="Times New Roman" w:hAnsi="Times New Roman"/>
              </w:rPr>
              <w:t xml:space="preserve">En el caso de información por separado de conformidad con el artículo 415, apartado 2, del Reglamento (UE) n.º 575/2013, las operaciones con derivados </w:t>
            </w:r>
            <w:r>
              <w:rPr>
                <w:sz w:val="24"/>
                <w:rFonts w:ascii="Times New Roman" w:hAnsi="Times New Roman"/>
              </w:rPr>
              <w:t xml:space="preserve">o con derivados de crédito se desglosarán en cada moneda.</w:t>
            </w:r>
            <w:r>
              <w:rPr>
                <w:sz w:val="24"/>
                <w:rFonts w:ascii="Times New Roman" w:hAnsi="Times New Roman"/>
              </w:rPr>
              <w:t xml:space="preserve"> </w:t>
            </w:r>
            <w:r>
              <w:rPr>
                <w:sz w:val="24"/>
                <w:rFonts w:ascii="Times New Roman" w:hAnsi="Times New Roman"/>
              </w:rPr>
              <w:t xml:space="preserve">La compensación por contraparte solo puede aplicarse a los flujos en la moneda de que se trate.</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sz w:val="24"/>
                <w:rFonts w:ascii="Times New Roman" w:hAnsi="Times New Roman"/>
              </w:rPr>
            </w:pPr>
            <w:r>
              <w:rPr>
                <w:sz w:val="24"/>
                <w:rFonts w:ascii="Times New Roman" w:hAnsi="Times New Roman"/>
              </w:rPr>
              <w:t xml:space="preserve">0250</w:t>
            </w:r>
          </w:p>
        </w:tc>
        <w:tc>
          <w:tcPr>
            <w:tcW w:w="7540" w:type="dxa"/>
            <w:shd w:val="clear" w:color="auto" w:fill="auto"/>
            <w:vAlign w:val="center"/>
          </w:tcPr>
          <w:p w14:paraId="58265C20" w14:textId="00438872" w:rsidR="007453EC" w:rsidRPr="000B6B22" w:rsidRDefault="007453EC">
            <w:pPr>
              <w:spacing w:before="0"/>
              <w:rPr>
                <w:b/>
                <w:bCs/>
                <w:sz w:val="24"/>
                <w:rFonts w:ascii="Times New Roman" w:hAnsi="Times New Roman"/>
              </w:rPr>
            </w:pPr>
            <w:r>
              <w:rPr>
                <w:b/>
                <w:sz w:val="24"/>
                <w:rFonts w:ascii="Times New Roman" w:hAnsi="Times New Roman"/>
              </w:rPr>
              <w:t xml:space="preserve">1.1.10. Entradas derivadas de líneas de crédito o de liquidez no utilizadas concedidas por miembros de un grupo o un sistema institucional de protección, cuando las autoridades competentes hayan autorizado la aplicación de un índice de entrada superior</w:t>
            </w:r>
          </w:p>
          <w:p w14:paraId="52A91E47" w14:textId="6D4B12C6" w:rsidR="007453EC" w:rsidRPr="000B6B22" w:rsidRDefault="007453EC">
            <w:pPr>
              <w:spacing w:before="0"/>
              <w:rPr>
                <w:bCs/>
                <w:sz w:val="24"/>
                <w:rFonts w:ascii="Times New Roman" w:hAnsi="Times New Roman"/>
              </w:rPr>
            </w:pPr>
            <w:r>
              <w:rPr>
                <w:sz w:val="24"/>
                <w:rFonts w:ascii="Times New Roman" w:hAnsi="Times New Roman"/>
              </w:rPr>
              <w:t xml:space="preserve">Artículo 34 del Reglamento Delegado (UE) 2015/61</w:t>
            </w:r>
          </w:p>
          <w:p w14:paraId="3CFB5DCA" w14:textId="741C2B31" w:rsidR="007453EC" w:rsidRPr="000B6B22" w:rsidRDefault="007453EC">
            <w:pPr>
              <w:spacing w:before="0"/>
              <w:rPr>
                <w:b/>
                <w:bCs/>
                <w:sz w:val="24"/>
                <w:rFonts w:ascii="Times New Roman" w:hAnsi="Times New Roman"/>
              </w:rPr>
            </w:pPr>
            <w:r>
              <w:rPr>
                <w:sz w:val="24"/>
                <w:rFonts w:ascii="Times New Roman" w:hAnsi="Times New Roman"/>
              </w:rPr>
              <w:t xml:space="preserve">Entradas derivadas de líneas de crédito o de liquidez no utilizadas concedidas por miembros de un grupo o un sistema institucional de protección, cuando las autoridades competentes hayan autorizado la aplicación de un índice de entrada superior con arreglo al artículo 34 del Reglamento Delegado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sz w:val="24"/>
                <w:rFonts w:ascii="Times New Roman" w:hAnsi="Times New Roman"/>
              </w:rPr>
            </w:pPr>
            <w:r>
              <w:rPr>
                <w:sz w:val="24"/>
                <w:rFonts w:ascii="Times New Roman" w:hAnsi="Times New Roman"/>
              </w:rPr>
              <w:t xml:space="preserve">0260</w:t>
            </w:r>
          </w:p>
        </w:tc>
        <w:tc>
          <w:tcPr>
            <w:tcW w:w="7540" w:type="dxa"/>
            <w:shd w:val="clear" w:color="auto" w:fill="auto"/>
            <w:vAlign w:val="center"/>
          </w:tcPr>
          <w:p w14:paraId="22324DF3" w14:textId="39D6214E" w:rsidR="007453EC" w:rsidRPr="000B6B22" w:rsidRDefault="007453EC">
            <w:pPr>
              <w:spacing w:before="0"/>
              <w:rPr>
                <w:b/>
                <w:bCs/>
                <w:sz w:val="24"/>
                <w:rFonts w:ascii="Times New Roman" w:hAnsi="Times New Roman"/>
              </w:rPr>
            </w:pPr>
            <w:r>
              <w:rPr>
                <w:b/>
                <w:sz w:val="24"/>
                <w:rFonts w:ascii="Times New Roman" w:hAnsi="Times New Roman"/>
              </w:rPr>
              <w:t xml:space="preserve">1.1.11. Otras entradas</w:t>
            </w:r>
          </w:p>
          <w:p w14:paraId="7EE5352C" w14:textId="77B1DAFA" w:rsidR="007453EC" w:rsidRPr="000B6B22" w:rsidRDefault="007453EC">
            <w:pPr>
              <w:spacing w:before="0"/>
              <w:rPr>
                <w:bCs/>
                <w:sz w:val="24"/>
                <w:rFonts w:ascii="Times New Roman" w:hAnsi="Times New Roman"/>
              </w:rPr>
            </w:pPr>
            <w:r>
              <w:rPr>
                <w:sz w:val="24"/>
                <w:rFonts w:ascii="Times New Roman" w:hAnsi="Times New Roman"/>
              </w:rPr>
              <w:t xml:space="preserve">Artículo 32, apartado 2, del Reglamento Delegado (UE) 2015/61</w:t>
            </w:r>
          </w:p>
          <w:p w14:paraId="3A35C748" w14:textId="7D2AA379" w:rsidR="007453EC" w:rsidRPr="000B6B22" w:rsidRDefault="007453EC">
            <w:pPr>
              <w:spacing w:before="0"/>
              <w:rPr>
                <w:b/>
                <w:bCs/>
                <w:sz w:val="24"/>
                <w:rFonts w:ascii="Times New Roman" w:hAnsi="Times New Roman"/>
              </w:rPr>
            </w:pPr>
            <w:r>
              <w:rPr>
                <w:sz w:val="24"/>
                <w:rFonts w:ascii="Times New Roman" w:hAnsi="Times New Roman"/>
              </w:rPr>
              <w:t xml:space="preserve">Todas las demás entradas de conformidad con el artículo 32, apartado 2, del Reglamento Delegado (UE) 2015/61 no consignadas en ningún otro lugar de la plantilla.</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sz w:val="24"/>
                <w:rFonts w:ascii="Times New Roman" w:hAnsi="Times New Roman"/>
              </w:rPr>
            </w:pPr>
            <w:r>
              <w:rPr>
                <w:sz w:val="24"/>
                <w:rFonts w:ascii="Times New Roman" w:hAnsi="Times New Roman"/>
              </w:rPr>
              <w:t xml:space="preserve">0263</w:t>
            </w:r>
          </w:p>
        </w:tc>
        <w:tc>
          <w:tcPr>
            <w:tcW w:w="7540" w:type="dxa"/>
            <w:shd w:val="clear" w:color="auto" w:fill="auto"/>
            <w:vAlign w:val="center"/>
          </w:tcPr>
          <w:p w14:paraId="3939191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Entradas procedentes de operaciones de préstamo garantizadas y</w:t>
            </w:r>
            <w:r>
              <w:rPr>
                <w:b/>
                <w:sz w:val="24"/>
                <w:rFonts w:ascii="Times New Roman" w:hAnsi="Times New Roman"/>
              </w:rPr>
              <w:t xml:space="preserve"> </w:t>
            </w:r>
            <w:r>
              <w:rPr>
                <w:b/>
                <w:sz w:val="24"/>
                <w:rFonts w:ascii="Times New Roman" w:hAnsi="Times New Roman"/>
              </w:rPr>
              <w:t xml:space="preserve">operaciones vinculadas al mercado de capitales</w:t>
            </w:r>
          </w:p>
          <w:p w14:paraId="5E83DDB2" w14:textId="520D0FDE" w:rsidR="007453EC" w:rsidRPr="000B6B22" w:rsidRDefault="000378A5">
            <w:pPr>
              <w:spacing w:before="0"/>
              <w:rPr>
                <w:bCs/>
                <w:sz w:val="24"/>
                <w:rFonts w:ascii="Times New Roman" w:hAnsi="Times New Roman"/>
              </w:rPr>
            </w:pPr>
            <w:r>
              <w:rPr>
                <w:sz w:val="24"/>
                <w:rFonts w:ascii="Times New Roman" w:hAnsi="Times New Roman"/>
              </w:rPr>
              <w:t xml:space="preserve">El artículo 32, apartado 3, letras b), c) y f), del Reglamento Delegado (UE) 2015/61 se refiere a las entradas procedentes de operaciones de préstamo garantizadas y operaciones vinculadas al mercado de capitales con un vencimiento residual no superior a 30 días.</w:t>
            </w:r>
          </w:p>
          <w:p w14:paraId="03DCCFCF" w14:textId="55757DE1" w:rsidR="007453EC" w:rsidRPr="000B6B22" w:rsidRDefault="007453EC">
            <w:pPr>
              <w:spacing w:before="0"/>
              <w:rPr>
                <w:sz w:val="24"/>
                <w:rFonts w:ascii="Times New Roman" w:hAnsi="Times New Roman"/>
              </w:rPr>
            </w:pPr>
            <w:r>
              <w:rPr>
                <w:sz w:val="24"/>
                <w:rFonts w:ascii="Times New Roman" w:hAnsi="Times New Roman"/>
              </w:rPr>
              <w:t xml:space="preserve">Las entidades de crédito comunicarán en la fila 0263 de la plantilla C 74.00 del Anexo XXIV:</w:t>
            </w:r>
          </w:p>
          <w:p w14:paraId="491CD905" w14:textId="0B5F2E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procedentes de operaciones de préstamo garantizadas y operaciones vinculadas al mercado de capitales;</w:t>
            </w:r>
            <w:r>
              <w:rPr>
                <w:sz w:val="24"/>
                <w:rFonts w:ascii="Times New Roman" w:hAnsi="Times New Roman"/>
              </w:rPr>
              <w:t xml:space="preserve"> </w:t>
            </w:r>
            <w:r>
              <w:rPr>
                <w:sz w:val="24"/>
                <w:rFonts w:ascii="Times New Roman" w:hAnsi="Times New Roman"/>
              </w:rPr>
              <w:t xml:space="preserve">y</w:t>
            </w:r>
          </w:p>
          <w:p w14:paraId="72BE5DB8" w14:textId="5D7B0043"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las entradas procedentes de operaciones de préstamo garantizadas y operaciones vinculadas al mercado de capitales.</w:t>
            </w:r>
          </w:p>
          <w:p w14:paraId="7B541C76" w14:textId="778E3A36" w:rsidR="007453EC" w:rsidRPr="000B6B22" w:rsidRDefault="007453EC">
            <w:pPr>
              <w:spacing w:before="0"/>
              <w:rPr>
                <w:bCs/>
                <w:sz w:val="24"/>
                <w:rFonts w:ascii="Times New Roman" w:hAnsi="Times New Roman"/>
              </w:rPr>
            </w:pPr>
            <w:r>
              <w:rPr>
                <w:sz w:val="24"/>
                <w:rFonts w:ascii="Times New Roman" w:hAnsi="Times New Roman"/>
              </w:rPr>
              <w:t xml:space="preserve">Las operaciones de permuta de garantías reales que venzan en el plazo de 30 días naturales se comunicarán en la plantilla C 75.01 del anexo XXIV y no se consignarán aquí.</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sz w:val="24"/>
                <w:rFonts w:ascii="Times New Roman" w:hAnsi="Times New Roman"/>
              </w:rPr>
            </w:pPr>
            <w:r>
              <w:rPr>
                <w:sz w:val="24"/>
                <w:rFonts w:ascii="Times New Roman" w:hAnsi="Times New Roman"/>
              </w:rPr>
              <w:t xml:space="preserve">0265</w:t>
            </w:r>
          </w:p>
        </w:tc>
        <w:tc>
          <w:tcPr>
            <w:tcW w:w="7540" w:type="dxa"/>
            <w:shd w:val="clear" w:color="auto" w:fill="auto"/>
            <w:vAlign w:val="center"/>
          </w:tcPr>
          <w:p w14:paraId="30886BA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 La contraparte es un banco central</w:t>
            </w:r>
          </w:p>
          <w:p w14:paraId="7C97E42C" w14:textId="77777777" w:rsidR="007453EC" w:rsidRPr="000B6B22" w:rsidRDefault="007453EC">
            <w:pPr>
              <w:spacing w:before="0"/>
              <w:rPr>
                <w:sz w:val="24"/>
                <w:rFonts w:ascii="Times New Roman" w:hAnsi="Times New Roman"/>
              </w:rPr>
            </w:pPr>
            <w:r>
              <w:rPr>
                <w:sz w:val="24"/>
                <w:rFonts w:ascii="Times New Roman" w:hAnsi="Times New Roman"/>
              </w:rPr>
              <w:t xml:space="preserve">Las entidades de crédito comunicarán aquí las entradas resultantes de operaciones de préstamo garantizadas y operaciones vinculadas al mercado de capitales, tal como se definen en el artículo 192, puntos 2 y 3, del Reglamento (UE) n.º 575/2013, </w:t>
            </w:r>
            <w:r>
              <w:rPr>
                <w:sz w:val="24"/>
                <w:rFonts w:ascii="Times New Roman" w:hAnsi="Times New Roman"/>
              </w:rPr>
              <w:t xml:space="preserve">que tengan un vencimiento residual no superior a 30 días</w:t>
            </w:r>
            <w:r>
              <w:rPr>
                <w:sz w:val="24"/>
                <w:rFonts w:ascii="Times New Roman" w:hAnsi="Times New Roman"/>
              </w:rPr>
              <w:t xml:space="preserve"> y en las que la contraparte sea un banco central.</w:t>
            </w:r>
          </w:p>
          <w:p w14:paraId="6A1976C0" w14:textId="176AFAF4" w:rsidR="007453EC" w:rsidRPr="000B6B22" w:rsidRDefault="007453EC">
            <w:pPr>
              <w:spacing w:before="0"/>
              <w:rPr>
                <w:sz w:val="24"/>
                <w:rFonts w:ascii="Times New Roman" w:hAnsi="Times New Roman"/>
              </w:rPr>
            </w:pPr>
            <w:r>
              <w:rPr>
                <w:sz w:val="24"/>
                <w:rFonts w:ascii="Times New Roman" w:hAnsi="Times New Roman"/>
              </w:rPr>
              <w:t xml:space="preserve">Las entidades de crédito comunicarán en la fila 0265 de la plantilla C 74.00 del Anexo XXIV:</w:t>
            </w:r>
          </w:p>
          <w:p w14:paraId="6DED8CDF" w14:textId="52C5DF9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procedentes de operaciones de préstamo garantizadas y operaciones vinculadas al mercado de capitales en las que la contraparte sea un banco central;</w:t>
            </w:r>
            <w:r>
              <w:rPr>
                <w:sz w:val="24"/>
                <w:rFonts w:ascii="Times New Roman" w:hAnsi="Times New Roman"/>
              </w:rPr>
              <w:t xml:space="preserve"> </w:t>
            </w:r>
            <w:r>
              <w:rPr>
                <w:sz w:val="24"/>
                <w:rFonts w:ascii="Times New Roman" w:hAnsi="Times New Roman"/>
              </w:rPr>
              <w:t xml:space="preserve">y</w:t>
            </w:r>
          </w:p>
          <w:p w14:paraId="4D424125" w14:textId="0C203246"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las entradas procedentes de operaciones de préstamo garantizadas y operaciones vinculadas al mercado de capitales en las que la contraparte sea un banco central.</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sz w:val="24"/>
                <w:rFonts w:ascii="Times New Roman" w:hAnsi="Times New Roman"/>
              </w:rPr>
            </w:pPr>
            <w:r>
              <w:rPr>
                <w:sz w:val="24"/>
                <w:rFonts w:ascii="Times New Roman" w:hAnsi="Times New Roman"/>
              </w:rPr>
              <w:t xml:space="preserve">0267</w:t>
            </w:r>
          </w:p>
        </w:tc>
        <w:tc>
          <w:tcPr>
            <w:tcW w:w="7540" w:type="dxa"/>
            <w:shd w:val="clear" w:color="auto" w:fill="auto"/>
            <w:vAlign w:val="center"/>
          </w:tcPr>
          <w:p w14:paraId="37D80B0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 Garantías reales que pueden considerarse activos líquidos</w:t>
            </w:r>
          </w:p>
          <w:p w14:paraId="762C261E" w14:textId="7E2A30CA" w:rsidR="007453EC" w:rsidRPr="000B6B22" w:rsidRDefault="007453EC">
            <w:pPr>
              <w:spacing w:before="0"/>
              <w:rPr>
                <w:sz w:val="24"/>
                <w:rFonts w:ascii="Times New Roman" w:hAnsi="Times New Roman"/>
              </w:rPr>
            </w:pPr>
            <w:r>
              <w:rPr>
                <w:sz w:val="24"/>
                <w:rFonts w:ascii="Times New Roman" w:hAnsi="Times New Roman"/>
              </w:rPr>
              <w:t xml:space="preserve">Las entidades de crédito comunicarán en la fila 0267 de la plantilla C 74.00 del Anexo XXIV:</w:t>
            </w:r>
          </w:p>
          <w:p w14:paraId="16BF428A" w14:textId="4A356FA9"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procedentes de operaciones de préstamo garantizadas y operaciones vinculadas al mercado de capitales que tengan un vencimiento residual no superior a 30 días, en las que la contraparte sea un banco central y que estén garantizadas con activos líquidos;</w:t>
            </w:r>
            <w:r>
              <w:rPr>
                <w:sz w:val="24"/>
                <w:rFonts w:ascii="Times New Roman" w:hAnsi="Times New Roman"/>
              </w:rPr>
              <w:t xml:space="preserve"> </w:t>
            </w:r>
            <w:r>
              <w:rPr>
                <w:sz w:val="24"/>
                <w:rFonts w:ascii="Times New Roman" w:hAnsi="Times New Roman"/>
              </w:rPr>
              <w:t xml:space="preserve">y</w:t>
            </w:r>
          </w:p>
          <w:p w14:paraId="42686281" w14:textId="7F098420"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en relación con cada una de las columnas 0140, 0150 y 0160, el total de las entradas procedentes de operaciones de préstamo garantizadas y operaciones vinculadas al mercado de capitales que tengan un vencimiento residual no superior a 30 días, en las que la contraparte sea un banco central y que estén garantizadas con activos líquidos.</w:t>
            </w:r>
          </w:p>
          <w:p w14:paraId="3997B572" w14:textId="2E3B537A"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las operaciones de préstamo garantizadas y operaciones vinculadas al mercado de capitales que tengan un vencimiento residual no superior a 30 días, en las que la contraparte sea un banco central y que estén garantizadas con activos líquidos, ya se reutilicen o no en otra operación e independientemente de que los activos líquidos recibidos cumplan los requisitos operativos con arreglo al artículo 8 del Reglamento Delegado (UE)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sz w:val="24"/>
                <w:rFonts w:ascii="Times New Roman" w:hAnsi="Times New Roman"/>
              </w:rPr>
            </w:pPr>
            <w:r>
              <w:rPr>
                <w:sz w:val="24"/>
                <w:rFonts w:ascii="Times New Roman" w:hAnsi="Times New Roman"/>
              </w:rPr>
              <w:t xml:space="preserve">0269</w:t>
            </w:r>
          </w:p>
        </w:tc>
        <w:tc>
          <w:tcPr>
            <w:tcW w:w="7540" w:type="dxa"/>
            <w:shd w:val="clear" w:color="auto" w:fill="auto"/>
            <w:vAlign w:val="center"/>
          </w:tcPr>
          <w:p w14:paraId="17B0430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1.2.1.1.1.</w:t>
            </w:r>
            <w:r>
              <w:rPr>
                <w:b/>
                <w:sz w:val="24"/>
                <w:rFonts w:ascii="Times New Roman" w:hAnsi="Times New Roman"/>
              </w:rPr>
              <w:t xml:space="preserve"> </w:t>
            </w:r>
            <w:r>
              <w:rPr>
                <w:b/>
                <w:sz w:val="24"/>
                <w:rFonts w:ascii="Times New Roman" w:hAnsi="Times New Roman"/>
              </w:rPr>
              <w:t xml:space="preserve">Garantías reales de nivel 1, excepto bonos garantizados de calidad sumamente elevada</w:t>
            </w:r>
          </w:p>
          <w:p w14:paraId="60075FD1" w14:textId="166CA80F"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15F3C8B1" w14:textId="6177F8AD"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10 del Reglamento Delegado (UE) 2015/61, activos líquidos de alguna de las categorías de activos de nivel 1 contempladas en el artículo 10, a excepción de los bonos garantizados de calidad sumamente elevada contemplados en el artículo 10, apartado 1, letra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sz w:val="24"/>
                <w:rFonts w:ascii="Times New Roman" w:hAnsi="Times New Roman"/>
              </w:rPr>
            </w:pPr>
            <w:r>
              <w:rPr>
                <w:sz w:val="24"/>
                <w:rFonts w:ascii="Times New Roman" w:hAnsi="Times New Roman"/>
              </w:rPr>
              <w:t xml:space="preserve">0271</w:t>
            </w:r>
          </w:p>
        </w:tc>
        <w:tc>
          <w:tcPr>
            <w:tcW w:w="7540" w:type="dxa"/>
            <w:shd w:val="clear" w:color="auto" w:fill="auto"/>
            <w:vAlign w:val="center"/>
          </w:tcPr>
          <w:p w14:paraId="55292B9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1.2.1.1.1.1.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2779EE63" w14:textId="5CDC213C"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0BBB1E17" w14:textId="03F3E426" w:rsidR="007453EC" w:rsidRPr="000B6B22" w:rsidRDefault="007453EC">
            <w:pPr>
              <w:spacing w:before="0"/>
              <w:rPr>
                <w:sz w:val="24"/>
                <w:rFonts w:ascii="Times New Roman" w:hAnsi="Times New Roman"/>
              </w:rPr>
            </w:pPr>
            <w:r>
              <w:rPr>
                <w:sz w:val="24"/>
                <w:rFonts w:ascii="Times New Roman" w:hAnsi="Times New Roman"/>
              </w:rPr>
              <w:t xml:space="preserve">Aquellas de las operaciones consignadas en la partida 1.2.1.1.1 en las que las garantías reales recibidas cumplen los requisitos operativos con arreglo al artículo 8 del Reglamento Delegado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sz w:val="24"/>
                <w:rFonts w:ascii="Times New Roman" w:hAnsi="Times New Roman"/>
              </w:rPr>
            </w:pPr>
            <w:r>
              <w:rPr>
                <w:sz w:val="24"/>
                <w:rFonts w:ascii="Times New Roman" w:hAnsi="Times New Roman"/>
              </w:rPr>
              <w:t xml:space="preserve">0273</w:t>
            </w:r>
          </w:p>
        </w:tc>
        <w:tc>
          <w:tcPr>
            <w:tcW w:w="7540" w:type="dxa"/>
            <w:shd w:val="clear" w:color="auto" w:fill="auto"/>
            <w:vAlign w:val="center"/>
          </w:tcPr>
          <w:p w14:paraId="4373A3B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1.2.1.1.2.</w:t>
            </w:r>
            <w:r>
              <w:rPr>
                <w:b/>
                <w:sz w:val="24"/>
                <w:rFonts w:ascii="Times New Roman" w:hAnsi="Times New Roman"/>
              </w:rPr>
              <w:t xml:space="preserve"> </w:t>
            </w:r>
            <w:r>
              <w:rPr>
                <w:b/>
                <w:sz w:val="24"/>
                <w:rFonts w:ascii="Times New Roman" w:hAnsi="Times New Roman"/>
              </w:rPr>
              <w:t xml:space="preserve">Garantías reales de nivel 1 consistentes en bonos garantizados de calidad sumamente elevada</w:t>
            </w:r>
          </w:p>
          <w:p w14:paraId="465D66DF" w14:textId="73CF7738"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0840515B" w14:textId="791D94C1"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10 del Reglamento Delegado (UE) 2015/61, activos líquidos de la categoría contemplada en el artículo 10, apartado 1, letra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sz w:val="24"/>
                <w:rFonts w:ascii="Times New Roman" w:hAnsi="Times New Roman"/>
              </w:rPr>
            </w:pPr>
            <w:r>
              <w:rPr>
                <w:sz w:val="24"/>
                <w:rFonts w:ascii="Times New Roman" w:hAnsi="Times New Roman"/>
              </w:rPr>
              <w:t xml:space="preserve">0275</w:t>
            </w:r>
          </w:p>
        </w:tc>
        <w:tc>
          <w:tcPr>
            <w:tcW w:w="7540" w:type="dxa"/>
            <w:shd w:val="clear" w:color="auto" w:fill="auto"/>
            <w:vAlign w:val="center"/>
          </w:tcPr>
          <w:p w14:paraId="7FE0E5C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1.2.1.1.2.1.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71DCD54B" w14:textId="0ABC7D7D"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3FEF86C5" w14:textId="7C26E5F8" w:rsidR="007453EC" w:rsidRPr="000B6B22" w:rsidRDefault="007453EC">
            <w:pPr>
              <w:spacing w:before="0"/>
              <w:rPr>
                <w:bCs/>
                <w:sz w:val="24"/>
                <w:rFonts w:ascii="Times New Roman" w:hAnsi="Times New Roman"/>
              </w:rPr>
            </w:pPr>
            <w:r>
              <w:rPr>
                <w:sz w:val="24"/>
                <w:rFonts w:ascii="Times New Roman" w:hAnsi="Times New Roman"/>
              </w:rPr>
              <w:t xml:space="preserve">Aquellas de las operaciones consignadas en la partida 1.2.1.1.2 en las que las garantías reales recibidas cumplen los requisitos operativos con arreglo al artículo 8 del Reglamento Delegado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sz w:val="24"/>
                <w:rFonts w:ascii="Times New Roman" w:hAnsi="Times New Roman"/>
              </w:rPr>
            </w:pPr>
            <w:r>
              <w:rPr>
                <w:sz w:val="24"/>
                <w:rFonts w:ascii="Times New Roman" w:hAnsi="Times New Roman"/>
              </w:rPr>
              <w:t xml:space="preserve">0277</w:t>
            </w:r>
          </w:p>
        </w:tc>
        <w:tc>
          <w:tcPr>
            <w:tcW w:w="7540" w:type="dxa"/>
            <w:shd w:val="clear" w:color="auto" w:fill="auto"/>
            <w:vAlign w:val="center"/>
          </w:tcPr>
          <w:p w14:paraId="228195A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1.2.1.1.3.</w:t>
            </w:r>
            <w:r>
              <w:rPr>
                <w:b/>
                <w:sz w:val="24"/>
                <w:rFonts w:ascii="Times New Roman" w:hAnsi="Times New Roman"/>
              </w:rPr>
              <w:t xml:space="preserve"> </w:t>
            </w:r>
            <w:r>
              <w:rPr>
                <w:b/>
                <w:sz w:val="24"/>
                <w:rFonts w:ascii="Times New Roman" w:hAnsi="Times New Roman"/>
              </w:rPr>
              <w:t xml:space="preserve">Garantías reales de nivel 2A</w:t>
            </w:r>
          </w:p>
          <w:p w14:paraId="6057672F" w14:textId="1BBCB13B"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141E5A68" w14:textId="30E7ED57"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11 del Reglamento Delegado (UE) 2015/61, activos líquidos de alguna de las categorías de activos de nivel 2A contempladas en el artículo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sz w:val="24"/>
                <w:rFonts w:ascii="Times New Roman" w:hAnsi="Times New Roman"/>
              </w:rPr>
            </w:pPr>
            <w:r>
              <w:rPr>
                <w:sz w:val="24"/>
                <w:rFonts w:ascii="Times New Roman" w:hAnsi="Times New Roman"/>
              </w:rPr>
              <w:t xml:space="preserve">0279</w:t>
            </w:r>
          </w:p>
        </w:tc>
        <w:tc>
          <w:tcPr>
            <w:tcW w:w="7540" w:type="dxa"/>
            <w:shd w:val="clear" w:color="auto" w:fill="auto"/>
            <w:vAlign w:val="center"/>
          </w:tcPr>
          <w:p w14:paraId="0CCD77A3"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1.2.1.1.3.1.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41735A45" w14:textId="3CC5648C"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015AE06D" w14:textId="7BAF1524" w:rsidR="007453EC" w:rsidRPr="000B6B22" w:rsidRDefault="007453EC">
            <w:pPr>
              <w:spacing w:before="0"/>
              <w:rPr>
                <w:b/>
                <w:bCs/>
                <w:sz w:val="24"/>
                <w:rFonts w:ascii="Times New Roman" w:hAnsi="Times New Roman"/>
              </w:rPr>
            </w:pPr>
            <w:r>
              <w:rPr>
                <w:sz w:val="24"/>
                <w:rFonts w:ascii="Times New Roman" w:hAnsi="Times New Roman"/>
              </w:rPr>
              <w:t xml:space="preserve">Aquellas de las operaciones consignadas en la partida 1.2.1.1.3 en las que las garantías reales recibidas cumplen los requisitos operativos con arreglo al artículo 8 del Reglamento Delegado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sz w:val="24"/>
                <w:rFonts w:ascii="Times New Roman" w:hAnsi="Times New Roman"/>
              </w:rPr>
            </w:pPr>
            <w:r>
              <w:rPr>
                <w:sz w:val="24"/>
                <w:rFonts w:ascii="Times New Roman" w:hAnsi="Times New Roman"/>
              </w:rPr>
              <w:t xml:space="preserve">0281</w:t>
            </w:r>
          </w:p>
        </w:tc>
        <w:tc>
          <w:tcPr>
            <w:tcW w:w="7540" w:type="dxa"/>
            <w:shd w:val="clear" w:color="auto" w:fill="auto"/>
            <w:vAlign w:val="center"/>
          </w:tcPr>
          <w:p w14:paraId="5CD6AD3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1.2.1.1.4.</w:t>
            </w:r>
            <w:r>
              <w:rPr>
                <w:b/>
                <w:sz w:val="24"/>
                <w:rFonts w:ascii="Times New Roman" w:hAnsi="Times New Roman"/>
              </w:rPr>
              <w:t xml:space="preserve"> </w:t>
            </w:r>
            <w:r>
              <w:rPr>
                <w:b/>
                <w:sz w:val="24"/>
                <w:rFonts w:ascii="Times New Roman" w:hAnsi="Times New Roman"/>
              </w:rPr>
              <w:t xml:space="preserve">Garantías reales de nivel 2B consistentes en bonos de titulización de activos (residenciales o automóviles)</w:t>
            </w:r>
          </w:p>
          <w:p w14:paraId="32BFA614" w14:textId="322AB308"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7D532AEC" w14:textId="2B1EC8BF"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13 del Reglamento Delegado (UE) 2015/61, activos líquidos de alguna de las categorías de activos de nivel 2B contempladas en el artículo 13 apartado 2, letra g), incisos i), ii) o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sz w:val="24"/>
                <w:rFonts w:ascii="Times New Roman" w:hAnsi="Times New Roman"/>
              </w:rPr>
            </w:pPr>
            <w:r>
              <w:rPr>
                <w:sz w:val="24"/>
                <w:rFonts w:ascii="Times New Roman" w:hAnsi="Times New Roman"/>
              </w:rPr>
              <w:t xml:space="preserve">0283</w:t>
            </w:r>
          </w:p>
        </w:tc>
        <w:tc>
          <w:tcPr>
            <w:tcW w:w="7540" w:type="dxa"/>
            <w:shd w:val="clear" w:color="auto" w:fill="auto"/>
            <w:vAlign w:val="center"/>
          </w:tcPr>
          <w:p w14:paraId="66D1F16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1.2.1.1.4.1.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1F274A53" w14:textId="647760C8"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415B0B53" w14:textId="52C8B711" w:rsidR="007453EC" w:rsidRPr="000B6B22" w:rsidRDefault="007453EC">
            <w:pPr>
              <w:spacing w:before="0"/>
              <w:rPr>
                <w:b/>
                <w:bCs/>
                <w:sz w:val="24"/>
                <w:rFonts w:ascii="Times New Roman" w:hAnsi="Times New Roman"/>
              </w:rPr>
            </w:pPr>
            <w:r>
              <w:rPr>
                <w:sz w:val="24"/>
                <w:rFonts w:ascii="Times New Roman" w:hAnsi="Times New Roman"/>
              </w:rPr>
              <w:t xml:space="preserve">Aquellas de las operaciones consignadas en la partida 1.2.1.1.4 en las que las garantías reales recibidas cumplen los requisitos operativos con arreglo al artículo 8 del Reglamento Delegado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sz w:val="24"/>
                <w:rFonts w:ascii="Times New Roman" w:hAnsi="Times New Roman"/>
              </w:rPr>
            </w:pPr>
            <w:r>
              <w:rPr>
                <w:sz w:val="24"/>
                <w:rFonts w:ascii="Times New Roman" w:hAnsi="Times New Roman"/>
              </w:rPr>
              <w:t xml:space="preserve">0285</w:t>
            </w:r>
          </w:p>
        </w:tc>
        <w:tc>
          <w:tcPr>
            <w:tcW w:w="7540" w:type="dxa"/>
            <w:shd w:val="clear" w:color="auto" w:fill="auto"/>
            <w:vAlign w:val="center"/>
          </w:tcPr>
          <w:p w14:paraId="63B4EF2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1.2.1.1.5.</w:t>
            </w:r>
            <w:r>
              <w:rPr>
                <w:b/>
                <w:sz w:val="24"/>
                <w:rFonts w:ascii="Times New Roman" w:hAnsi="Times New Roman"/>
              </w:rPr>
              <w:t xml:space="preserve"> </w:t>
            </w:r>
            <w:r>
              <w:rPr>
                <w:b/>
                <w:sz w:val="24"/>
                <w:rFonts w:ascii="Times New Roman" w:hAnsi="Times New Roman"/>
              </w:rPr>
              <w:t xml:space="preserve">Garantías reales de nivel 2B consistentes en bonos garantizados de calidad elevada</w:t>
            </w:r>
          </w:p>
          <w:p w14:paraId="2F479E2F" w14:textId="6FB8B0EB"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698C43F1" w14:textId="01B272F8"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12 del Reglamento Delegado (UE) 2015/61, activos líquidos de la categoría de activo de nivel 2B contemplada en el artículo 12, apartado 1, letra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sz w:val="24"/>
                <w:rFonts w:ascii="Times New Roman" w:hAnsi="Times New Roman"/>
              </w:rPr>
            </w:pPr>
            <w:r>
              <w:rPr>
                <w:sz w:val="24"/>
                <w:rFonts w:ascii="Times New Roman" w:hAnsi="Times New Roman"/>
              </w:rPr>
              <w:t xml:space="preserve">0287</w:t>
            </w:r>
          </w:p>
        </w:tc>
        <w:tc>
          <w:tcPr>
            <w:tcW w:w="7540" w:type="dxa"/>
            <w:shd w:val="clear" w:color="auto" w:fill="auto"/>
            <w:vAlign w:val="center"/>
          </w:tcPr>
          <w:p w14:paraId="04965F51"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1.2.1.1.5.1.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17D3606C" w14:textId="04A6D9F7"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2326D957" w14:textId="1C3B3FA2" w:rsidR="007453EC" w:rsidRPr="000B6B22" w:rsidRDefault="007453EC">
            <w:pPr>
              <w:spacing w:before="0"/>
              <w:rPr>
                <w:b/>
                <w:bCs/>
                <w:sz w:val="24"/>
                <w:rFonts w:ascii="Times New Roman" w:hAnsi="Times New Roman"/>
              </w:rPr>
            </w:pPr>
            <w:r>
              <w:rPr>
                <w:sz w:val="24"/>
                <w:rFonts w:ascii="Times New Roman" w:hAnsi="Times New Roman"/>
              </w:rPr>
              <w:t xml:space="preserve">Aquellas de las operaciones consignadas en la partida 1.2.1.1.5 en las que las garantías reales recibidas cumplen los requisitos operativos con arreglo al artículo 8 del Reglamento Delegado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sz w:val="24"/>
                <w:rFonts w:ascii="Times New Roman" w:hAnsi="Times New Roman"/>
              </w:rPr>
            </w:pPr>
            <w:r>
              <w:rPr>
                <w:sz w:val="24"/>
                <w:rFonts w:ascii="Times New Roman" w:hAnsi="Times New Roman"/>
              </w:rPr>
              <w:t xml:space="preserve">0289</w:t>
            </w:r>
          </w:p>
        </w:tc>
        <w:tc>
          <w:tcPr>
            <w:tcW w:w="7540" w:type="dxa"/>
            <w:shd w:val="clear" w:color="auto" w:fill="auto"/>
            <w:vAlign w:val="center"/>
          </w:tcPr>
          <w:p w14:paraId="3615D6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1.2.1.1.6.</w:t>
            </w:r>
            <w:r>
              <w:rPr>
                <w:b/>
                <w:sz w:val="24"/>
                <w:rFonts w:ascii="Times New Roman" w:hAnsi="Times New Roman"/>
              </w:rPr>
              <w:t xml:space="preserve"> </w:t>
            </w:r>
            <w:r>
              <w:rPr>
                <w:b/>
                <w:sz w:val="24"/>
                <w:rFonts w:ascii="Times New Roman" w:hAnsi="Times New Roman"/>
              </w:rPr>
              <w:t xml:space="preserve">Garantías reales de nivel 2B consistentes en bonos de titulización de activos (comerciales o particulares)</w:t>
            </w:r>
          </w:p>
          <w:p w14:paraId="7ECE90DE" w14:textId="5DA031B4"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55988CFB" w14:textId="57080A72"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13 del Reglamento Delegado (UE) 2015/61, activos líquidos de alguna de las categorías de activos de nivel 2B contempladas en el artículo 13 apartado 2, letra g), incisos iii) o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sz w:val="24"/>
                <w:rFonts w:ascii="Times New Roman" w:hAnsi="Times New Roman"/>
              </w:rPr>
            </w:pPr>
            <w:r>
              <w:rPr>
                <w:sz w:val="24"/>
                <w:rFonts w:ascii="Times New Roman" w:hAnsi="Times New Roman"/>
              </w:rPr>
              <w:t xml:space="preserve">0291</w:t>
            </w:r>
          </w:p>
        </w:tc>
        <w:tc>
          <w:tcPr>
            <w:tcW w:w="7540" w:type="dxa"/>
            <w:shd w:val="clear" w:color="auto" w:fill="auto"/>
            <w:vAlign w:val="center"/>
          </w:tcPr>
          <w:p w14:paraId="2060625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2CA9D556" w14:textId="5B566ECC"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0A6A1864" w14:textId="1DE58026" w:rsidR="007453EC" w:rsidRPr="000B6B22" w:rsidRDefault="007453EC">
            <w:pPr>
              <w:spacing w:before="0"/>
              <w:rPr>
                <w:b/>
                <w:bCs/>
                <w:sz w:val="24"/>
                <w:rFonts w:ascii="Times New Roman" w:hAnsi="Times New Roman"/>
              </w:rPr>
            </w:pPr>
            <w:r>
              <w:rPr>
                <w:sz w:val="24"/>
                <w:rFonts w:ascii="Times New Roman" w:hAnsi="Times New Roman"/>
              </w:rPr>
              <w:t xml:space="preserve">Aquellas de las operaciones consignadas en la partida 1.2.1.1.6 en las que las garantías reales recibidas cumplen los requisitos operativos con arreglo al artículo 8 del Reglamento Delegado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sz w:val="24"/>
                <w:rFonts w:ascii="Times New Roman" w:hAnsi="Times New Roman"/>
              </w:rPr>
            </w:pPr>
            <w:r>
              <w:rPr>
                <w:sz w:val="24"/>
                <w:rFonts w:ascii="Times New Roman" w:hAnsi="Times New Roman"/>
              </w:rPr>
              <w:t xml:space="preserve">0293</w:t>
            </w:r>
          </w:p>
        </w:tc>
        <w:tc>
          <w:tcPr>
            <w:tcW w:w="7540" w:type="dxa"/>
            <w:shd w:val="clear" w:color="auto" w:fill="auto"/>
            <w:vAlign w:val="center"/>
          </w:tcPr>
          <w:p w14:paraId="3E676A9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1.2.1.1.7.</w:t>
            </w:r>
            <w:r>
              <w:rPr>
                <w:b/>
                <w:sz w:val="24"/>
                <w:rFonts w:ascii="Times New Roman" w:hAnsi="Times New Roman"/>
              </w:rPr>
              <w:t xml:space="preserve"> </w:t>
            </w:r>
            <w:r>
              <w:rPr>
                <w:b/>
                <w:sz w:val="24"/>
                <w:rFonts w:ascii="Times New Roman" w:hAnsi="Times New Roman"/>
              </w:rPr>
              <w:t xml:space="preserve">Garantías reales de nivel 2B no incluidas en las secciones 1.2.1.1.4., 1.2.1.1.5. o 1.2.1.1.6.</w:t>
            </w:r>
          </w:p>
          <w:p w14:paraId="207160CD" w14:textId="14648D9B"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389B5D8F" w14:textId="2BBE4B6E"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12 del Reglamento Delegado (UE) 2015/61, activos líquidos de alguna de las categorías de activo de nivel 2B contempladas en el artículo 12, apartado 1, letras b), c) o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sz w:val="24"/>
                <w:rFonts w:ascii="Times New Roman" w:hAnsi="Times New Roman"/>
              </w:rPr>
            </w:pPr>
            <w:r>
              <w:rPr>
                <w:sz w:val="24"/>
                <w:rFonts w:ascii="Times New Roman" w:hAnsi="Times New Roman"/>
              </w:rPr>
              <w:t xml:space="preserve">0295</w:t>
            </w:r>
          </w:p>
        </w:tc>
        <w:tc>
          <w:tcPr>
            <w:tcW w:w="7540" w:type="dxa"/>
            <w:shd w:val="clear" w:color="auto" w:fill="auto"/>
            <w:vAlign w:val="center"/>
          </w:tcPr>
          <w:p w14:paraId="48E22EFF"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1.2.1.1.7.1.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2831C8CD" w14:textId="3FB88739"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18F123FC" w14:textId="25286B5A" w:rsidR="007453EC" w:rsidRPr="000B6B22" w:rsidRDefault="007453EC">
            <w:pPr>
              <w:spacing w:before="0"/>
              <w:rPr>
                <w:b/>
                <w:bCs/>
                <w:sz w:val="24"/>
                <w:rFonts w:ascii="Times New Roman" w:hAnsi="Times New Roman"/>
              </w:rPr>
            </w:pPr>
            <w:r>
              <w:rPr>
                <w:sz w:val="24"/>
                <w:rFonts w:ascii="Times New Roman" w:hAnsi="Times New Roman"/>
              </w:rPr>
              <w:t xml:space="preserve">Aquellas de las operaciones consignadas en la partida 1.2.1.1.7 en las que las garantías reales recibidas cumplen los requisitos operativos con arreglo al artículo 8 del Reglamento Delegado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sz w:val="24"/>
                <w:rFonts w:ascii="Times New Roman" w:hAnsi="Times New Roman"/>
              </w:rPr>
            </w:pPr>
            <w:r>
              <w:rPr>
                <w:sz w:val="24"/>
                <w:rFonts w:ascii="Times New Roman" w:hAnsi="Times New Roman"/>
              </w:rPr>
              <w:t xml:space="preserve">0297</w:t>
            </w:r>
          </w:p>
        </w:tc>
        <w:tc>
          <w:tcPr>
            <w:tcW w:w="7540" w:type="dxa"/>
            <w:shd w:val="clear" w:color="auto" w:fill="auto"/>
            <w:vAlign w:val="center"/>
          </w:tcPr>
          <w:p w14:paraId="418C82D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1.2.1.2. Garantías reales utilizadas para cubrir una posición corta</w:t>
            </w:r>
          </w:p>
          <w:p w14:paraId="468345EC" w14:textId="32FB53EB"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351E38D7" w14:textId="77777777"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que se utilicen para cubrir una posición corta con arreglo a la segunda frase del artículo 30, apartado 5.</w:t>
            </w:r>
            <w:r>
              <w:rPr>
                <w:sz w:val="24"/>
                <w:rFonts w:ascii="Times New Roman" w:hAnsi="Times New Roman"/>
              </w:rPr>
              <w:t xml:space="preserve"> </w:t>
            </w:r>
            <w:r>
              <w:rPr>
                <w:sz w:val="24"/>
                <w:rFonts w:ascii="Times New Roman" w:hAnsi="Times New Roman"/>
              </w:rPr>
              <w:t xml:space="preserve">Siempre que se utilicen garantías reales de cualquier tipo para cubrir una posición corta, ello se reflejará aquí y no en alguna de las filas anteriores.</w:t>
            </w:r>
            <w:r>
              <w:rPr>
                <w:sz w:val="24"/>
                <w:rFonts w:ascii="Times New Roman" w:hAnsi="Times New Roman"/>
              </w:rPr>
              <w:t xml:space="preserve"> </w:t>
            </w:r>
            <w:r>
              <w:rPr>
                <w:sz w:val="24"/>
                <w:rFonts w:ascii="Times New Roman" w:hAnsi="Times New Roman"/>
              </w:rPr>
              <w:t xml:space="preserve">No debe producirse un doble cómputo.</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sz w:val="24"/>
                <w:rFonts w:ascii="Times New Roman" w:hAnsi="Times New Roman"/>
              </w:rPr>
            </w:pPr>
            <w:r>
              <w:rPr>
                <w:sz w:val="24"/>
                <w:rFonts w:ascii="Times New Roman" w:hAnsi="Times New Roman"/>
              </w:rPr>
              <w:t xml:space="preserve">0299</w:t>
            </w:r>
          </w:p>
        </w:tc>
        <w:tc>
          <w:tcPr>
            <w:tcW w:w="7540" w:type="dxa"/>
            <w:shd w:val="clear" w:color="auto" w:fill="auto"/>
            <w:vAlign w:val="center"/>
          </w:tcPr>
          <w:p w14:paraId="0906B3E5" w14:textId="38F98C3F" w:rsidR="007453EC" w:rsidRPr="000B6B22" w:rsidRDefault="007453EC">
            <w:pPr>
              <w:spacing w:before="0"/>
              <w:rPr>
                <w:b/>
                <w:bCs/>
                <w:sz w:val="24"/>
                <w:rFonts w:ascii="Times New Roman" w:hAnsi="Times New Roman"/>
              </w:rPr>
            </w:pPr>
            <w:r>
              <w:rPr>
                <w:b/>
                <w:sz w:val="24"/>
                <w:rFonts w:ascii="Times New Roman" w:hAnsi="Times New Roman"/>
              </w:rPr>
              <w:t xml:space="preserve">1.2.1.3. Garantías reales que no pueden considerarse activos líquidos</w:t>
            </w:r>
          </w:p>
          <w:p w14:paraId="6130085E" w14:textId="339EA088"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0299 de la plantilla C 74.00 del Anexo XXIV las operaciones de préstamo garantizadas y operaciones vinculadas al mercado de capitales que tengan un vencimiento residual no superior a 30 días, en las que la contraparte no sea un banco central y que estén garantizadas con activos que no puedan considerarse activos líquidos.</w:t>
            </w:r>
            <w:r>
              <w:rPr>
                <w:sz w:val="24"/>
                <w:rFonts w:ascii="Times New Roman" w:hAnsi="Times New Roman"/>
              </w:rPr>
              <w:t xml:space="preserve"> </w:t>
            </w:r>
            <w:r>
              <w:rPr>
                <w:sz w:val="24"/>
                <w:rFonts w:ascii="Times New Roman" w:hAnsi="Times New Roman"/>
              </w:rPr>
              <w:t xml:space="preserve">Las entidades de crédito comunicarán</w:t>
            </w:r>
          </w:p>
          <w:p w14:paraId="0ABDF67D" w14:textId="6A85A70E"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en relación con cada una de las columnas 0010, 0020 y 0030, el importe total de los pagos pendientes de esas operaciones, que será igual a la suma de los pagos pendientes de operaciones de préstamo garantizadas y operaciones vinculadas al mercado de capitales garantizadas con instrumentos de patrimonio no líquidos o respaldadas con cualquier otra garantía real no líquida;</w:t>
            </w:r>
            <w:r>
              <w:rPr>
                <w:sz w:val="24"/>
                <w:rFonts w:ascii="Times New Roman" w:hAnsi="Times New Roman"/>
              </w:rPr>
              <w:t xml:space="preserve"> </w:t>
            </w:r>
            <w:r>
              <w:rPr>
                <w:sz w:val="24"/>
                <w:rFonts w:ascii="Times New Roman" w:hAnsi="Times New Roman"/>
              </w:rPr>
              <w:t xml:space="preserve">y</w:t>
            </w:r>
          </w:p>
          <w:p w14:paraId="34A5C1F3" w14:textId="2466B6A7"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en relación con cada una de las columnas 0140, 0150 y 0160, el total de entradas de esas operaciones, que será igual a la suma de las entradas de operaciones de préstamo garantizadas y operaciones vinculadas al mercado de capitales garantizadas con instrumentos de patrimonio no líquidos o respaldadas con cualquier otra garantía real no líquida.</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sz w:val="24"/>
                <w:rFonts w:ascii="Times New Roman" w:hAnsi="Times New Roman"/>
              </w:rPr>
            </w:pPr>
            <w:r>
              <w:rPr>
                <w:sz w:val="24"/>
                <w:rFonts w:ascii="Times New Roman" w:hAnsi="Times New Roman"/>
              </w:rPr>
              <w:t xml:space="preserve">0301</w:t>
            </w:r>
          </w:p>
        </w:tc>
        <w:tc>
          <w:tcPr>
            <w:tcW w:w="7540" w:type="dxa"/>
            <w:shd w:val="clear" w:color="auto" w:fill="auto"/>
            <w:vAlign w:val="center"/>
          </w:tcPr>
          <w:p w14:paraId="4F64A750" w14:textId="5ECB3B95" w:rsidR="007453EC" w:rsidRPr="000B6B22" w:rsidRDefault="007453EC">
            <w:pPr>
              <w:spacing w:before="0"/>
              <w:rPr>
                <w:b/>
                <w:bCs/>
                <w:sz w:val="24"/>
                <w:rFonts w:ascii="Times New Roman" w:hAnsi="Times New Roman"/>
              </w:rPr>
            </w:pPr>
            <w:r>
              <w:rPr>
                <w:b/>
                <w:sz w:val="24"/>
                <w:rFonts w:ascii="Times New Roman" w:hAnsi="Times New Roman"/>
              </w:rPr>
              <w:t xml:space="preserve">1.2.1.3.1. Garantías reales consistentes en instrumentos de patrimonio no líquidos</w:t>
            </w:r>
          </w:p>
          <w:p w14:paraId="637379CF" w14:textId="7C7F66ED"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6014DA8E" w14:textId="77777777"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instrumentos de patrimonio no líquidos.</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sz w:val="24"/>
                <w:rFonts w:ascii="Times New Roman" w:hAnsi="Times New Roman"/>
              </w:rPr>
            </w:pPr>
            <w:r>
              <w:rPr>
                <w:sz w:val="24"/>
                <w:rFonts w:ascii="Times New Roman" w:hAnsi="Times New Roman"/>
              </w:rPr>
              <w:t xml:space="preserve">0303</w:t>
            </w:r>
          </w:p>
        </w:tc>
        <w:tc>
          <w:tcPr>
            <w:tcW w:w="7540" w:type="dxa"/>
            <w:shd w:val="clear" w:color="auto" w:fill="auto"/>
            <w:vAlign w:val="center"/>
          </w:tcPr>
          <w:p w14:paraId="576A716F" w14:textId="74C78E7C" w:rsidR="007453EC" w:rsidRPr="000B6B22" w:rsidRDefault="007453EC">
            <w:pPr>
              <w:spacing w:before="0"/>
              <w:rPr>
                <w:b/>
                <w:bCs/>
                <w:sz w:val="24"/>
                <w:rFonts w:ascii="Times New Roman" w:hAnsi="Times New Roman"/>
              </w:rPr>
            </w:pPr>
            <w:r>
              <w:rPr>
                <w:b/>
                <w:sz w:val="24"/>
                <w:rFonts w:ascii="Times New Roman" w:hAnsi="Times New Roman"/>
              </w:rPr>
              <w:t xml:space="preserve">1.2.1.3.2. Todas las demás garantías reales no líquidas</w:t>
            </w:r>
          </w:p>
          <w:p w14:paraId="298EA1F7" w14:textId="15861E17"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5FE8571F" w14:textId="330B69E7" w:rsidR="007453EC" w:rsidRPr="000B6B22" w:rsidRDefault="007453EC">
            <w:pPr>
              <w:spacing w:before="0"/>
              <w:rPr>
                <w:bCs/>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sea un banco central y que estén garantizadas con activos no líquidos que no estén ya incluidos en la sección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sz w:val="24"/>
                <w:rFonts w:ascii="Times New Roman" w:hAnsi="Times New Roman"/>
              </w:rPr>
            </w:pPr>
            <w:r>
              <w:rPr>
                <w:sz w:val="24"/>
                <w:rFonts w:ascii="Times New Roman" w:hAnsi="Times New Roman"/>
              </w:rPr>
              <w:t xml:space="preserve">0305</w:t>
            </w:r>
          </w:p>
        </w:tc>
        <w:tc>
          <w:tcPr>
            <w:tcW w:w="7540" w:type="dxa"/>
            <w:shd w:val="clear" w:color="auto" w:fill="auto"/>
            <w:vAlign w:val="center"/>
          </w:tcPr>
          <w:p w14:paraId="2318A73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 La contraparte no es un banco central</w:t>
            </w:r>
          </w:p>
          <w:p w14:paraId="03D32ACB" w14:textId="77777777" w:rsidR="007453EC" w:rsidRPr="000B6B22" w:rsidRDefault="007453EC">
            <w:pPr>
              <w:spacing w:before="0"/>
              <w:rPr>
                <w:sz w:val="24"/>
                <w:rFonts w:ascii="Times New Roman" w:hAnsi="Times New Roman"/>
              </w:rPr>
            </w:pPr>
            <w:r>
              <w:rPr>
                <w:sz w:val="24"/>
                <w:rFonts w:ascii="Times New Roman" w:hAnsi="Times New Roman"/>
              </w:rPr>
              <w:t xml:space="preserve">Las entidades de crédito comunicarán aquí las entradas resultantes de operaciones de préstamo garantizadas y operaciones vinculadas al mercado de capitales, tal como se definen en el artículo 192, puntos 2 y 3, del Reglamento (UE) n.º 575/2013, </w:t>
            </w:r>
            <w:r>
              <w:rPr>
                <w:sz w:val="24"/>
                <w:rFonts w:ascii="Times New Roman" w:hAnsi="Times New Roman"/>
              </w:rPr>
              <w:t xml:space="preserve">que tengan un vencimiento residual no superior a 30 días</w:t>
            </w:r>
            <w:r>
              <w:rPr>
                <w:sz w:val="24"/>
                <w:rFonts w:ascii="Times New Roman" w:hAnsi="Times New Roman"/>
              </w:rPr>
              <w:t xml:space="preserve"> y en las que la contraparte no sea un banco central.</w:t>
            </w:r>
          </w:p>
          <w:p w14:paraId="571D6A5D" w14:textId="678151A7" w:rsidR="007453EC" w:rsidRPr="000B6B22" w:rsidRDefault="007453EC">
            <w:pPr>
              <w:spacing w:before="0"/>
              <w:rPr>
                <w:sz w:val="24"/>
                <w:rFonts w:ascii="Times New Roman" w:hAnsi="Times New Roman"/>
              </w:rPr>
            </w:pPr>
            <w:r>
              <w:rPr>
                <w:sz w:val="24"/>
                <w:rFonts w:ascii="Times New Roman" w:hAnsi="Times New Roman"/>
              </w:rPr>
              <w:t xml:space="preserve">Las entidades de crédito comunicarán en la fila 0305 de la plantilla C 74.00 del Anexo XXIV:</w:t>
            </w:r>
          </w:p>
          <w:p w14:paraId="1E86499A" w14:textId="1379F41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procedentes de operaciones de préstamo garantizadas y operaciones vinculadas al mercado de capitales en las que la contraparte no sea un banco central;</w:t>
            </w:r>
            <w:r>
              <w:rPr>
                <w:sz w:val="24"/>
                <w:rFonts w:ascii="Times New Roman" w:hAnsi="Times New Roman"/>
              </w:rPr>
              <w:t xml:space="preserve"> </w:t>
            </w:r>
            <w:r>
              <w:rPr>
                <w:sz w:val="24"/>
                <w:rFonts w:ascii="Times New Roman" w:hAnsi="Times New Roman"/>
              </w:rPr>
              <w:t xml:space="preserve">y</w:t>
            </w:r>
          </w:p>
          <w:p w14:paraId="20C26E4A" w14:textId="489604E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las entradas procedentes de operaciones de préstamo garantizadas y operaciones vinculadas al mercado de capitales en las que la contraparte no sea un banco central.</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sz w:val="24"/>
                <w:rFonts w:ascii="Times New Roman" w:hAnsi="Times New Roman"/>
              </w:rPr>
            </w:pPr>
            <w:r>
              <w:rPr>
                <w:sz w:val="24"/>
                <w:rFonts w:ascii="Times New Roman" w:hAnsi="Times New Roman"/>
              </w:rPr>
              <w:t xml:space="preserve">0307</w:t>
            </w:r>
          </w:p>
        </w:tc>
        <w:tc>
          <w:tcPr>
            <w:tcW w:w="7540" w:type="dxa"/>
            <w:shd w:val="clear" w:color="auto" w:fill="auto"/>
            <w:vAlign w:val="center"/>
          </w:tcPr>
          <w:p w14:paraId="256EB55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 Garantías reales que pueden considerarse activos líquidos</w:t>
            </w:r>
          </w:p>
          <w:p w14:paraId="233069A8" w14:textId="6726621C" w:rsidR="007453EC" w:rsidRPr="000B6B22" w:rsidRDefault="007453EC">
            <w:pPr>
              <w:spacing w:before="0"/>
              <w:rPr>
                <w:sz w:val="24"/>
                <w:rFonts w:ascii="Times New Roman" w:hAnsi="Times New Roman"/>
              </w:rPr>
            </w:pPr>
            <w:r>
              <w:rPr>
                <w:sz w:val="24"/>
                <w:rFonts w:ascii="Times New Roman" w:hAnsi="Times New Roman"/>
              </w:rPr>
              <w:t xml:space="preserve">Las entidades de crédito comunicarán en la fila 0307 de la plantilla C 74.00 del Anexo XXIV:</w:t>
            </w:r>
          </w:p>
          <w:p w14:paraId="135226B4" w14:textId="3E45DC24"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procedentes de operaciones de préstamo garantizadas y operaciones vinculadas al mercado de capitales que tengan un vencimiento residual no superior a 30 días, en las que la contraparte no sea un banco central y que estén garantizadas con activos líquidos;</w:t>
            </w:r>
            <w:r>
              <w:rPr>
                <w:sz w:val="24"/>
                <w:rFonts w:ascii="Times New Roman" w:hAnsi="Times New Roman"/>
              </w:rPr>
              <w:t xml:space="preserve"> </w:t>
            </w:r>
            <w:r>
              <w:rPr>
                <w:sz w:val="24"/>
                <w:rFonts w:ascii="Times New Roman" w:hAnsi="Times New Roman"/>
              </w:rPr>
              <w:t xml:space="preserve">y</w:t>
            </w:r>
          </w:p>
          <w:p w14:paraId="51A3849B" w14:textId="191B37F5"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en relación con cada una de las columnas 0140, 0150 y 0160, el total de las entradas procedentes de operaciones de préstamo garantizadas y operaciones vinculadas al mercado de capitales que tengan un vencimiento residual no superior a 30 días, en las que la contraparte no sea un banco central y que estén garantizadas con activos líquidos.</w:t>
            </w:r>
          </w:p>
          <w:p w14:paraId="09231783" w14:textId="553D16FF"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las operaciones de préstamo garantizadas y operaciones vinculadas al mercado de capitales que tengan un vencimiento residual no superior a 30 días, en las que la contraparte no sea un banco central y que estén garantizadas con activos líquidos, ya se reutilicen o no en otra operación e independientemente de que los activos líquidos recibidos cumplan los requisitos operativos con arreglo al artículo 8 del Reglamento Delegado (UE)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sz w:val="24"/>
                <w:rFonts w:ascii="Times New Roman" w:hAnsi="Times New Roman"/>
              </w:rPr>
            </w:pPr>
            <w:r>
              <w:rPr>
                <w:sz w:val="24"/>
                <w:rFonts w:ascii="Times New Roman" w:hAnsi="Times New Roman"/>
              </w:rPr>
              <w:t xml:space="preserve">0309</w:t>
            </w:r>
          </w:p>
        </w:tc>
        <w:tc>
          <w:tcPr>
            <w:tcW w:w="7540" w:type="dxa"/>
            <w:shd w:val="clear" w:color="auto" w:fill="auto"/>
            <w:vAlign w:val="center"/>
          </w:tcPr>
          <w:p w14:paraId="05A84D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Garantías reales de nivel 1, excepto bonos garantizados de calidad sumamente elevada</w:t>
            </w:r>
          </w:p>
          <w:p w14:paraId="24C1B65E" w14:textId="0065B9D3"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367E09A9" w14:textId="59968CF9"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10 del Reglamento Delegado (UE) 2015/61, activos líquidos de alguna de las categorías de activos de nivel 1 contempladas en el artículo 10, a excepción de los bonos garantizados de calidad sumamente elevada contemplados en el artículo 10, apartado 1, letra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sz w:val="24"/>
                <w:rFonts w:ascii="Times New Roman" w:hAnsi="Times New Roman"/>
              </w:rPr>
            </w:pPr>
            <w:r>
              <w:rPr>
                <w:sz w:val="24"/>
                <w:rFonts w:ascii="Times New Roman" w:hAnsi="Times New Roman"/>
              </w:rPr>
              <w:t xml:space="preserve">0311</w:t>
            </w:r>
          </w:p>
        </w:tc>
        <w:tc>
          <w:tcPr>
            <w:tcW w:w="7540" w:type="dxa"/>
            <w:shd w:val="clear" w:color="auto" w:fill="auto"/>
            <w:vAlign w:val="center"/>
          </w:tcPr>
          <w:p w14:paraId="0B0F775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1.2.2.1.1.1.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6B62DBA3" w14:textId="5EDB54A4"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4A90E68A" w14:textId="1F4AFE4F" w:rsidR="007453EC" w:rsidRPr="000B6B22" w:rsidRDefault="007453EC">
            <w:pPr>
              <w:spacing w:before="0"/>
              <w:rPr>
                <w:bCs/>
                <w:sz w:val="24"/>
                <w:rFonts w:ascii="Times New Roman" w:hAnsi="Times New Roman"/>
              </w:rPr>
            </w:pPr>
            <w:r>
              <w:rPr>
                <w:sz w:val="24"/>
                <w:rFonts w:ascii="Times New Roman" w:hAnsi="Times New Roman"/>
              </w:rPr>
              <w:t xml:space="preserve">Aquellas de las operaciones consignadas en la partida 1.2.2.1.1 en las que las garantías reales recibidas cumplen los requisitos operativos con arreglo al artículo 8 del Reglamento Delegado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sz w:val="24"/>
                <w:rFonts w:ascii="Times New Roman" w:hAnsi="Times New Roman"/>
              </w:rPr>
            </w:pPr>
            <w:r>
              <w:rPr>
                <w:sz w:val="24"/>
                <w:rFonts w:ascii="Times New Roman" w:hAnsi="Times New Roman"/>
              </w:rPr>
              <w:t xml:space="preserve">0313</w:t>
            </w:r>
          </w:p>
        </w:tc>
        <w:tc>
          <w:tcPr>
            <w:tcW w:w="7540" w:type="dxa"/>
            <w:shd w:val="clear" w:color="auto" w:fill="auto"/>
            <w:vAlign w:val="center"/>
          </w:tcPr>
          <w:p w14:paraId="4BA1B05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Garantías reales de nivel 1 consistentes en bonos garantizados de calidad sumamente elevada</w:t>
            </w:r>
          </w:p>
          <w:p w14:paraId="14F81783" w14:textId="090C3E15"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0CAABEC1" w14:textId="3AE6A809"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10 del Reglamento Delegado (UE) 2015/61, activos líquidos de la categoría contemplada en el artículo 10, apartado 1, letra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sz w:val="24"/>
                <w:rFonts w:ascii="Times New Roman" w:hAnsi="Times New Roman"/>
              </w:rPr>
            </w:pPr>
            <w:r>
              <w:rPr>
                <w:sz w:val="24"/>
                <w:rFonts w:ascii="Times New Roman" w:hAnsi="Times New Roman"/>
              </w:rPr>
              <w:t xml:space="preserve">0315</w:t>
            </w:r>
          </w:p>
        </w:tc>
        <w:tc>
          <w:tcPr>
            <w:tcW w:w="7540" w:type="dxa"/>
            <w:shd w:val="clear" w:color="auto" w:fill="auto"/>
            <w:vAlign w:val="center"/>
          </w:tcPr>
          <w:p w14:paraId="5F805BAC"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1.2.2.1.2.1.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5A49C7E6" w14:textId="00D3A644"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5B86AA67" w14:textId="529E2EF5" w:rsidR="007453EC" w:rsidRPr="000B6B22" w:rsidRDefault="007453EC">
            <w:pPr>
              <w:spacing w:before="0"/>
              <w:rPr>
                <w:bCs/>
                <w:sz w:val="24"/>
                <w:rFonts w:ascii="Times New Roman" w:hAnsi="Times New Roman"/>
              </w:rPr>
            </w:pPr>
            <w:r>
              <w:rPr>
                <w:sz w:val="24"/>
                <w:rFonts w:ascii="Times New Roman" w:hAnsi="Times New Roman"/>
              </w:rPr>
              <w:t xml:space="preserve">Aquellas de las operaciones consignadas en la partida 1.2.2.1.2 en las que las garantías reales recibidas cumplen los requisitos operativos con arreglo al artículo 8 del Reglamento Delegado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sz w:val="24"/>
                <w:rFonts w:ascii="Times New Roman" w:hAnsi="Times New Roman"/>
              </w:rPr>
            </w:pPr>
            <w:r>
              <w:rPr>
                <w:sz w:val="24"/>
                <w:rFonts w:ascii="Times New Roman" w:hAnsi="Times New Roman"/>
              </w:rPr>
              <w:t xml:space="preserve">0317</w:t>
            </w:r>
          </w:p>
        </w:tc>
        <w:tc>
          <w:tcPr>
            <w:tcW w:w="7540" w:type="dxa"/>
            <w:shd w:val="clear" w:color="auto" w:fill="auto"/>
            <w:vAlign w:val="center"/>
          </w:tcPr>
          <w:p w14:paraId="55FAC7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Garantías reales de nivel 2A</w:t>
            </w:r>
          </w:p>
          <w:p w14:paraId="10C3F229" w14:textId="5AA898AD"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482DCA03" w14:textId="7D0571EF"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11 del Reglamento Delegado (UE) 2015/61, activos líquidos de alguna de las categorías de activos de nivel 2A contempladas en el artículo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sz w:val="24"/>
                <w:rFonts w:ascii="Times New Roman" w:hAnsi="Times New Roman"/>
              </w:rPr>
            </w:pPr>
            <w:r>
              <w:rPr>
                <w:sz w:val="24"/>
                <w:rFonts w:ascii="Times New Roman" w:hAnsi="Times New Roman"/>
              </w:rPr>
              <w:t xml:space="preserve">0319</w:t>
            </w:r>
          </w:p>
        </w:tc>
        <w:tc>
          <w:tcPr>
            <w:tcW w:w="7540" w:type="dxa"/>
            <w:shd w:val="clear" w:color="auto" w:fill="auto"/>
            <w:vAlign w:val="center"/>
          </w:tcPr>
          <w:p w14:paraId="77A13422"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1.2.2.1.3.1.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7E5A06E4" w14:textId="21AF0FCB"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5EC7537C" w14:textId="4699542E" w:rsidR="007453EC" w:rsidRPr="000B6B22" w:rsidRDefault="007453EC">
            <w:pPr>
              <w:spacing w:before="0"/>
              <w:rPr>
                <w:bCs/>
                <w:sz w:val="24"/>
                <w:rFonts w:ascii="Times New Roman" w:hAnsi="Times New Roman"/>
              </w:rPr>
            </w:pPr>
            <w:r>
              <w:rPr>
                <w:sz w:val="24"/>
                <w:rFonts w:ascii="Times New Roman" w:hAnsi="Times New Roman"/>
              </w:rPr>
              <w:t xml:space="preserve">Aquellas de las operaciones consignadas en la partida 1.2.2.1.3 en las que las garantías reales recibidas cumplen los requisitos operativos con arreglo al artículo 8 del Reglamento Delegado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sz w:val="24"/>
                <w:rFonts w:ascii="Times New Roman" w:hAnsi="Times New Roman"/>
              </w:rPr>
            </w:pPr>
            <w:r>
              <w:rPr>
                <w:sz w:val="24"/>
                <w:rFonts w:ascii="Times New Roman" w:hAnsi="Times New Roman"/>
              </w:rPr>
              <w:t xml:space="preserve">0321</w:t>
            </w:r>
          </w:p>
        </w:tc>
        <w:tc>
          <w:tcPr>
            <w:tcW w:w="7540" w:type="dxa"/>
            <w:shd w:val="clear" w:color="auto" w:fill="auto"/>
            <w:vAlign w:val="center"/>
          </w:tcPr>
          <w:p w14:paraId="296F73A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Garantías reales de nivel 2B consistentes en bonos de titulización de activos (residenciales o automóviles)</w:t>
            </w:r>
          </w:p>
          <w:p w14:paraId="33B44521" w14:textId="2AB2A660"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25CCC1B5" w14:textId="443E748A"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13 del Reglamento Delegado (UE) 2015/61, activos líquidos de alguna de las categorías de activos de nivel 2B contempladas en el artículo 13 apartado 2, letra g), incisos i), ii) o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sz w:val="24"/>
                <w:rFonts w:ascii="Times New Roman" w:hAnsi="Times New Roman"/>
              </w:rPr>
            </w:pPr>
            <w:r>
              <w:rPr>
                <w:sz w:val="24"/>
                <w:rFonts w:ascii="Times New Roman" w:hAnsi="Times New Roman"/>
              </w:rPr>
              <w:t xml:space="preserve">0323</w:t>
            </w:r>
          </w:p>
        </w:tc>
        <w:tc>
          <w:tcPr>
            <w:tcW w:w="7540" w:type="dxa"/>
            <w:shd w:val="clear" w:color="auto" w:fill="auto"/>
            <w:vAlign w:val="center"/>
          </w:tcPr>
          <w:p w14:paraId="6885C25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1.2.2.1.4.1.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6E7D5832" w14:textId="748D1B6A"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59AD7923" w14:textId="64619D67" w:rsidR="007453EC" w:rsidRPr="000B6B22" w:rsidRDefault="007453EC">
            <w:pPr>
              <w:spacing w:before="0"/>
              <w:rPr>
                <w:bCs/>
                <w:sz w:val="24"/>
                <w:rFonts w:ascii="Times New Roman" w:hAnsi="Times New Roman"/>
              </w:rPr>
            </w:pPr>
            <w:r>
              <w:rPr>
                <w:sz w:val="24"/>
                <w:rFonts w:ascii="Times New Roman" w:hAnsi="Times New Roman"/>
              </w:rPr>
              <w:t xml:space="preserve">Aquellas de las operaciones consignadas en la partida 1.2.2.1.4 en las que las garantías reales recibidas cumplen los requisitos operativos con arreglo al artículo 8 del Reglamento Delegado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sz w:val="24"/>
                <w:rFonts w:ascii="Times New Roman" w:hAnsi="Times New Roman"/>
              </w:rPr>
            </w:pPr>
            <w:r>
              <w:rPr>
                <w:sz w:val="24"/>
                <w:rFonts w:ascii="Times New Roman" w:hAnsi="Times New Roman"/>
              </w:rPr>
              <w:t xml:space="preserve">0325</w:t>
            </w:r>
          </w:p>
        </w:tc>
        <w:tc>
          <w:tcPr>
            <w:tcW w:w="7540" w:type="dxa"/>
            <w:shd w:val="clear" w:color="auto" w:fill="auto"/>
            <w:vAlign w:val="center"/>
          </w:tcPr>
          <w:p w14:paraId="0C8B93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Garantías reales de nivel 2B consistentes en bonos garantizados de calidad elevada</w:t>
            </w:r>
          </w:p>
          <w:p w14:paraId="6196A3D5" w14:textId="2EFC5A67"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6B181158" w14:textId="2224FD35"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12 del Reglamento Delegado (UE) 2015/61, activos líquidos de la categoría de activo de nivel 2B contemplada en el artículo 12, apartado 1, letra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sz w:val="24"/>
                <w:rFonts w:ascii="Times New Roman" w:hAnsi="Times New Roman"/>
              </w:rPr>
            </w:pPr>
            <w:r>
              <w:rPr>
                <w:sz w:val="24"/>
                <w:rFonts w:ascii="Times New Roman" w:hAnsi="Times New Roman"/>
              </w:rPr>
              <w:t xml:space="preserve">0327</w:t>
            </w:r>
          </w:p>
        </w:tc>
        <w:tc>
          <w:tcPr>
            <w:tcW w:w="7540" w:type="dxa"/>
            <w:shd w:val="clear" w:color="auto" w:fill="auto"/>
            <w:vAlign w:val="center"/>
          </w:tcPr>
          <w:p w14:paraId="4EE941E0"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1.2.2.1.5.1.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6590FE79" w14:textId="6A57D929"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067F4878" w14:textId="4732EAD0" w:rsidR="007453EC" w:rsidRPr="000B6B22" w:rsidRDefault="007453EC">
            <w:pPr>
              <w:spacing w:before="0"/>
              <w:rPr>
                <w:bCs/>
                <w:sz w:val="24"/>
                <w:rFonts w:ascii="Times New Roman" w:hAnsi="Times New Roman"/>
              </w:rPr>
            </w:pPr>
            <w:r>
              <w:rPr>
                <w:sz w:val="24"/>
                <w:rFonts w:ascii="Times New Roman" w:hAnsi="Times New Roman"/>
              </w:rPr>
              <w:t xml:space="preserve">Aquellas de las operaciones consignadas en la partida 1.2.2.1.5 en las que las garantías reales recibidas cumplen los requisitos operativos con arreglo al artículo 8 del Reglamento Delegado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sz w:val="24"/>
                <w:rFonts w:ascii="Times New Roman" w:hAnsi="Times New Roman"/>
              </w:rPr>
            </w:pPr>
            <w:r>
              <w:rPr>
                <w:sz w:val="24"/>
                <w:rFonts w:ascii="Times New Roman" w:hAnsi="Times New Roman"/>
              </w:rPr>
              <w:t xml:space="preserve">0329</w:t>
            </w:r>
          </w:p>
        </w:tc>
        <w:tc>
          <w:tcPr>
            <w:tcW w:w="7540" w:type="dxa"/>
            <w:shd w:val="clear" w:color="auto" w:fill="auto"/>
            <w:vAlign w:val="center"/>
          </w:tcPr>
          <w:p w14:paraId="52BCC6A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Garantías reales de nivel 2B consistentes en bonos de titulización de activos (comerciales o particulares)</w:t>
            </w:r>
          </w:p>
          <w:p w14:paraId="2F1CFA16" w14:textId="1509FDCF"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05B2F18B" w14:textId="2B09B75D"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13 del Reglamento Delegado (UE) 2015/61, activos líquidos de alguna de las categorías de activos de nivel 2B contempladas en el artículo 13 apartado 2, letra g), incisos iii) o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sz w:val="24"/>
                <w:rFonts w:ascii="Times New Roman" w:hAnsi="Times New Roman"/>
              </w:rPr>
            </w:pPr>
            <w:r>
              <w:rPr>
                <w:sz w:val="24"/>
                <w:rFonts w:ascii="Times New Roman" w:hAnsi="Times New Roman"/>
              </w:rPr>
              <w:t xml:space="preserve">0331</w:t>
            </w:r>
          </w:p>
        </w:tc>
        <w:tc>
          <w:tcPr>
            <w:tcW w:w="7540" w:type="dxa"/>
            <w:shd w:val="clear" w:color="auto" w:fill="auto"/>
            <w:vAlign w:val="center"/>
          </w:tcPr>
          <w:p w14:paraId="6FCF29B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7980AB98" w14:textId="5BB8893C"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5843DD21" w14:textId="5175A52D" w:rsidR="007453EC" w:rsidRPr="000B6B22" w:rsidRDefault="007453EC">
            <w:pPr>
              <w:spacing w:before="0"/>
              <w:rPr>
                <w:bCs/>
                <w:sz w:val="24"/>
                <w:rFonts w:ascii="Times New Roman" w:hAnsi="Times New Roman"/>
              </w:rPr>
            </w:pPr>
            <w:r>
              <w:rPr>
                <w:sz w:val="24"/>
                <w:rFonts w:ascii="Times New Roman" w:hAnsi="Times New Roman"/>
              </w:rPr>
              <w:t xml:space="preserve">Aquellas de las operaciones consignadas en la partida 1.2.2.1.6 en las que las garantías reales recibidas cumplen los requisitos operativos con arreglo al artículo 8 del Reglamento Delegado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sz w:val="24"/>
                <w:rFonts w:ascii="Times New Roman" w:hAnsi="Times New Roman"/>
              </w:rPr>
            </w:pPr>
            <w:r>
              <w:rPr>
                <w:sz w:val="24"/>
                <w:rFonts w:ascii="Times New Roman" w:hAnsi="Times New Roman"/>
              </w:rPr>
              <w:t xml:space="preserve">0333</w:t>
            </w:r>
          </w:p>
        </w:tc>
        <w:tc>
          <w:tcPr>
            <w:tcW w:w="7540" w:type="dxa"/>
            <w:shd w:val="clear" w:color="auto" w:fill="auto"/>
            <w:vAlign w:val="center"/>
          </w:tcPr>
          <w:p w14:paraId="6BD8AC7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1.2.2.1.7.</w:t>
            </w:r>
            <w:r>
              <w:rPr>
                <w:b/>
                <w:sz w:val="24"/>
                <w:rFonts w:ascii="Times New Roman" w:hAnsi="Times New Roman"/>
              </w:rPr>
              <w:t xml:space="preserve"> </w:t>
            </w:r>
            <w:r>
              <w:rPr>
                <w:b/>
                <w:sz w:val="24"/>
                <w:rFonts w:ascii="Times New Roman" w:hAnsi="Times New Roman"/>
              </w:rPr>
              <w:t xml:space="preserve">Garantías reales de nivel 2B no incluidas en las secciones 1.2.2.1.4., 1.2.2.1.5. o 1.2.2.1.6.</w:t>
            </w:r>
          </w:p>
          <w:p w14:paraId="725CDF50" w14:textId="47C90764"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6FF005F5" w14:textId="062D59E7"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12 del Reglamento Delegado (UE) 2015/61, activos líquidos de alguna de las categorías de activo de nivel 2B contempladas en el artículo 12, apartado 1, letras b), c) o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sz w:val="24"/>
                <w:rFonts w:ascii="Times New Roman" w:hAnsi="Times New Roman"/>
              </w:rPr>
            </w:pPr>
            <w:r>
              <w:rPr>
                <w:sz w:val="24"/>
                <w:rFonts w:ascii="Times New Roman" w:hAnsi="Times New Roman"/>
              </w:rPr>
              <w:t xml:space="preserve">0335</w:t>
            </w:r>
          </w:p>
        </w:tc>
        <w:tc>
          <w:tcPr>
            <w:tcW w:w="7540" w:type="dxa"/>
            <w:shd w:val="clear" w:color="auto" w:fill="auto"/>
            <w:vAlign w:val="center"/>
          </w:tcPr>
          <w:p w14:paraId="570F7619"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1.2.2.1.7.1.</w:t>
            </w:r>
            <w:r>
              <w:rPr>
                <w:sz w:val="24"/>
                <w:rFonts w:ascii="Times New Roman" w:hAnsi="Times New Roman"/>
              </w:rPr>
              <w:t xml:space="preserve"> </w:t>
            </w:r>
            <w:r>
              <w:rPr>
                <w:sz w:val="24"/>
                <w:b/>
                <w:rFonts w:ascii="Times New Roman" w:hAnsi="Times New Roman"/>
              </w:rPr>
              <w:t xml:space="preserve">De las cuales: las garantías reales recibidas cumplen los requisitos operativos</w:t>
            </w:r>
          </w:p>
          <w:p w14:paraId="07328C5B" w14:textId="438055C6"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393F286B" w14:textId="2D675503" w:rsidR="007453EC" w:rsidRPr="000B6B22" w:rsidRDefault="007453EC">
            <w:pPr>
              <w:spacing w:before="0"/>
              <w:rPr>
                <w:bCs/>
                <w:sz w:val="24"/>
                <w:rFonts w:ascii="Times New Roman" w:hAnsi="Times New Roman"/>
              </w:rPr>
            </w:pPr>
            <w:r>
              <w:rPr>
                <w:sz w:val="24"/>
                <w:rFonts w:ascii="Times New Roman" w:hAnsi="Times New Roman"/>
              </w:rPr>
              <w:t xml:space="preserve">Aquellas de las operaciones consignadas en la partida 1.2.2.1.7 en las que las garantías reales recibidas cumplen los requisitos operativos con arreglo al artículo 8 del Reglamento Delegado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sz w:val="24"/>
                <w:rFonts w:ascii="Times New Roman" w:hAnsi="Times New Roman"/>
              </w:rPr>
            </w:pPr>
            <w:r>
              <w:rPr>
                <w:sz w:val="24"/>
                <w:rFonts w:ascii="Times New Roman" w:hAnsi="Times New Roman"/>
              </w:rPr>
              <w:t xml:space="preserve">0337</w:t>
            </w:r>
          </w:p>
        </w:tc>
        <w:tc>
          <w:tcPr>
            <w:tcW w:w="7540" w:type="dxa"/>
            <w:shd w:val="clear" w:color="auto" w:fill="auto"/>
            <w:vAlign w:val="center"/>
          </w:tcPr>
          <w:p w14:paraId="2990F4E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1.2.2.2. Garantías reales utilizadas para cubrir una posición corta</w:t>
            </w:r>
          </w:p>
          <w:p w14:paraId="39101CBB" w14:textId="41AEA676"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3A2B1178" w14:textId="4A973BC2"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que se utilicen para cubrir una posición corta con arreglo a la segunda frase del artículo 30, apartado 5.</w:t>
            </w:r>
            <w:r>
              <w:rPr>
                <w:sz w:val="24"/>
                <w:rFonts w:ascii="Times New Roman" w:hAnsi="Times New Roman"/>
              </w:rPr>
              <w:t xml:space="preserve"> </w:t>
            </w:r>
            <w:r>
              <w:rPr>
                <w:sz w:val="24"/>
                <w:rFonts w:ascii="Times New Roman" w:hAnsi="Times New Roman"/>
              </w:rPr>
              <w:t xml:space="preserve">Siempre que se utilicen garantías reales de cualquier tipo para cubrir una posición corta, ello se reflejará aquí y no en alguna de las filas anteriores.</w:t>
            </w:r>
            <w:r>
              <w:rPr>
                <w:sz w:val="24"/>
                <w:rFonts w:ascii="Times New Roman" w:hAnsi="Times New Roman"/>
              </w:rPr>
              <w:t xml:space="preserve"> </w:t>
            </w:r>
            <w:r>
              <w:rPr>
                <w:sz w:val="24"/>
                <w:rFonts w:ascii="Times New Roman" w:hAnsi="Times New Roman"/>
              </w:rPr>
              <w:t xml:space="preserve">No debe producirse un doble cómputo.</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sz w:val="24"/>
                <w:rFonts w:ascii="Times New Roman" w:hAnsi="Times New Roman"/>
              </w:rPr>
            </w:pPr>
            <w:r>
              <w:rPr>
                <w:sz w:val="24"/>
                <w:rFonts w:ascii="Times New Roman" w:hAnsi="Times New Roman"/>
              </w:rPr>
              <w:t xml:space="preserve">339</w:t>
            </w:r>
          </w:p>
        </w:tc>
        <w:tc>
          <w:tcPr>
            <w:tcW w:w="7540" w:type="dxa"/>
            <w:shd w:val="clear" w:color="auto" w:fill="auto"/>
            <w:vAlign w:val="center"/>
          </w:tcPr>
          <w:p w14:paraId="1110F5E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 Garantías reales que no pueden considerarse activos líquidos</w:t>
            </w:r>
          </w:p>
          <w:p w14:paraId="52B58564" w14:textId="468EC255"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0339 de la plantilla C 74.00 del Anexo XXIV las operaciones de préstamo garantizadas y operaciones vinculadas al mercado de capitales que tengan un vencimiento residual no superior a 30 días, en las que la contraparte no sea un banco central y que estén garantizadas con activos que no puedan considerarse activos líquidos.</w:t>
            </w:r>
            <w:r>
              <w:rPr>
                <w:sz w:val="24"/>
                <w:rFonts w:ascii="Times New Roman" w:hAnsi="Times New Roman"/>
              </w:rPr>
              <w:t xml:space="preserve"> </w:t>
            </w:r>
            <w:r>
              <w:rPr>
                <w:sz w:val="24"/>
                <w:rFonts w:ascii="Times New Roman" w:hAnsi="Times New Roman"/>
              </w:rPr>
              <w:t xml:space="preserve">Las entidades de crédito comunicarán</w:t>
            </w:r>
          </w:p>
          <w:p w14:paraId="18CB2034" w14:textId="2ECC2D7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de esas operaciones, que será igual a la suma de los pagos pendientes de préstamos de margen en los que las garantías reales no sean líquidas, operaciones de préstamo garantizadas y operaciones vinculadas al mercado de capitales garantizadas con instrumentos de patrimonio no líquidos y operaciones de préstamo garantizadas y operaciones vinculadas al mercado de capitales respaldadas con cualquier otra garantía real no líquida;</w:t>
            </w:r>
            <w:r>
              <w:rPr>
                <w:sz w:val="24"/>
                <w:rFonts w:ascii="Times New Roman" w:hAnsi="Times New Roman"/>
              </w:rPr>
              <w:t xml:space="preserve"> </w:t>
            </w:r>
            <w:r>
              <w:rPr>
                <w:sz w:val="24"/>
                <w:rFonts w:ascii="Times New Roman" w:hAnsi="Times New Roman"/>
              </w:rPr>
              <w:t xml:space="preserve">y</w:t>
            </w:r>
          </w:p>
          <w:p w14:paraId="439F1A52" w14:textId="69F947C2" w:rsidR="007453EC" w:rsidRPr="000B6B22" w:rsidRDefault="007453EC">
            <w:pPr>
              <w:numPr>
                <w:ilvl w:val="0"/>
                <w:numId w:val="40"/>
              </w:numPr>
              <w:spacing w:before="0"/>
              <w:rPr>
                <w:sz w:val="24"/>
                <w:rFonts w:ascii="Times New Roman" w:hAnsi="Times New Roman"/>
              </w:rPr>
            </w:pPr>
            <w:r>
              <w:rPr>
                <w:sz w:val="24"/>
                <w:rFonts w:ascii="Times New Roman" w:hAnsi="Times New Roman"/>
              </w:rPr>
              <w:t xml:space="preserve">en relación con cada una de las columnas 0140, 0150 y 0160, el total de entradas de esas operaciones, que será igual a la suma de las entradas de préstamos de margen en los que las garantías reales no sean líquidas, operaciones de préstamo garantizadas y operaciones vinculadas al mercado de capitales garantizadas con instrumentos de patrimonio no líquidos y operaciones de préstamo garantizadas y operaciones vinculadas al mercado de capitales respaldadas con cualquier otra garantía real no líquida.</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sz w:val="24"/>
                <w:rFonts w:ascii="Times New Roman" w:hAnsi="Times New Roman"/>
              </w:rPr>
            </w:pPr>
            <w:r>
              <w:rPr>
                <w:sz w:val="24"/>
                <w:rFonts w:ascii="Times New Roman" w:hAnsi="Times New Roman"/>
              </w:rPr>
              <w:t xml:space="preserve">0341</w:t>
            </w:r>
          </w:p>
        </w:tc>
        <w:tc>
          <w:tcPr>
            <w:tcW w:w="7540" w:type="dxa"/>
            <w:shd w:val="clear" w:color="auto" w:fill="auto"/>
            <w:vAlign w:val="center"/>
          </w:tcPr>
          <w:p w14:paraId="356358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1.2.2.3.1. Préstamos de margen:</w:t>
            </w:r>
            <w:r>
              <w:rPr>
                <w:b/>
                <w:sz w:val="24"/>
                <w:rFonts w:ascii="Times New Roman" w:hAnsi="Times New Roman"/>
              </w:rPr>
              <w:t xml:space="preserve"> </w:t>
            </w:r>
            <w:r>
              <w:rPr>
                <w:b/>
                <w:sz w:val="24"/>
                <w:rFonts w:ascii="Times New Roman" w:hAnsi="Times New Roman"/>
              </w:rPr>
              <w:t xml:space="preserve">garantías reales no líquidas</w:t>
            </w:r>
          </w:p>
          <w:p w14:paraId="3F467D84" w14:textId="5C511614"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c), del Reglamento Delegado (UE) 2015/61</w:t>
            </w:r>
          </w:p>
          <w:p w14:paraId="0E49FD15" w14:textId="0C8F3CE2" w:rsidR="007453EC" w:rsidRPr="000B6B22" w:rsidRDefault="007453EC">
            <w:pPr>
              <w:spacing w:before="0"/>
              <w:rPr>
                <w:b/>
                <w:bCs/>
                <w:sz w:val="24"/>
                <w:rFonts w:ascii="Times New Roman" w:hAnsi="Times New Roman"/>
              </w:rPr>
            </w:pPr>
            <w:r>
              <w:rPr>
                <w:sz w:val="24"/>
                <w:rFonts w:ascii="Times New Roman" w:hAnsi="Times New Roman"/>
              </w:rPr>
              <w:t xml:space="preserve">Préstamos de margen otorgados contra activos no líquidos</w:t>
            </w:r>
            <w:r>
              <w:rPr>
                <w:sz w:val="24"/>
                <w:rFonts w:ascii="Times New Roman" w:hAnsi="Times New Roman"/>
              </w:rPr>
              <w:t xml:space="preserve"> con un vencimiento residual no superior a 30 días cuando la contraparte no sea un banco central y los activos recibidos no se utilicen para cubrir posiciones cortas, según se indica en el artículo 32, apartado 3, letra c), del Reglamento Delegado (UE)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sz w:val="24"/>
                <w:rFonts w:ascii="Times New Roman" w:hAnsi="Times New Roman"/>
              </w:rPr>
            </w:pPr>
            <w:r>
              <w:rPr>
                <w:sz w:val="24"/>
                <w:rFonts w:ascii="Times New Roman" w:hAnsi="Times New Roman"/>
              </w:rPr>
              <w:t xml:space="preserve">0343</w:t>
            </w:r>
          </w:p>
        </w:tc>
        <w:tc>
          <w:tcPr>
            <w:tcW w:w="7540" w:type="dxa"/>
            <w:shd w:val="clear" w:color="auto" w:fill="auto"/>
            <w:vAlign w:val="center"/>
          </w:tcPr>
          <w:p w14:paraId="03D1B47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1.2.2.3.2. Garantías reales consistentes en instrumentos de patrimonio no líquidos</w:t>
            </w:r>
          </w:p>
          <w:p w14:paraId="1F04D6E8" w14:textId="4244E03C"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17B53310" w14:textId="6CA90FF2"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instrumentos de patrimonio no líquidos.</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sz w:val="24"/>
                <w:rFonts w:ascii="Times New Roman" w:hAnsi="Times New Roman"/>
              </w:rPr>
            </w:pPr>
            <w:r>
              <w:rPr>
                <w:sz w:val="24"/>
                <w:rFonts w:ascii="Times New Roman" w:hAnsi="Times New Roman"/>
              </w:rPr>
              <w:t xml:space="preserve">0345</w:t>
            </w:r>
          </w:p>
        </w:tc>
        <w:tc>
          <w:tcPr>
            <w:tcW w:w="7540" w:type="dxa"/>
            <w:shd w:val="clear" w:color="auto" w:fill="auto"/>
            <w:vAlign w:val="center"/>
          </w:tcPr>
          <w:p w14:paraId="4EE191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1.2.2.3.3. Todas las demás garantías reales no líquidas</w:t>
            </w:r>
          </w:p>
          <w:p w14:paraId="3E87F6CC" w14:textId="30080A2F" w:rsidR="007453EC" w:rsidRPr="000B6B22" w:rsidRDefault="000378A5">
            <w:pPr>
              <w:spacing w:before="0"/>
              <w:rPr>
                <w:bCs/>
                <w:sz w:val="24"/>
                <w:rFonts w:ascii="Times New Roman" w:hAnsi="Times New Roman"/>
              </w:rPr>
            </w:pPr>
            <w:r>
              <w:rPr>
                <w:sz w:val="24"/>
                <w:rFonts w:ascii="Times New Roman" w:hAnsi="Times New Roman"/>
              </w:rPr>
              <w:t xml:space="preserve">Artículo 32, apartado 3, letra b), del Reglamento Delegado (UE) 2015/61</w:t>
            </w:r>
          </w:p>
          <w:p w14:paraId="0113C8FA" w14:textId="1A7AB2B4" w:rsidR="007453EC" w:rsidRPr="000B6B22" w:rsidRDefault="007453EC">
            <w:pPr>
              <w:spacing w:before="0"/>
              <w:rPr>
                <w:sz w:val="24"/>
                <w:rFonts w:ascii="Times New Roman" w:hAnsi="Times New Roman"/>
              </w:rPr>
            </w:pPr>
            <w:r>
              <w:rPr>
                <w:sz w:val="24"/>
                <w:rFonts w:ascii="Times New Roman" w:hAnsi="Times New Roman"/>
              </w:rPr>
              <w:t xml:space="preserve">Operaciones de préstamo garantizadas y operaciones vinculadas al mercado de capitales con un vencimiento residual no superior a 30 días, en las que la contraparte no sea un banco central y que estén garantizadas con activos no líquidos que no estén ya incluidos en las secciones 1.2.2.3.1 o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sz w:val="24"/>
                <w:rFonts w:ascii="Times New Roman" w:hAnsi="Times New Roman"/>
              </w:rPr>
            </w:pPr>
            <w:r>
              <w:rPr>
                <w:sz w:val="24"/>
                <w:rFonts w:ascii="Times New Roman" w:hAnsi="Times New Roman"/>
              </w:rPr>
              <w:t xml:space="preserve">0410</w:t>
            </w:r>
          </w:p>
        </w:tc>
        <w:tc>
          <w:tcPr>
            <w:tcW w:w="7540" w:type="dxa"/>
            <w:shd w:val="clear" w:color="auto" w:fill="auto"/>
            <w:vAlign w:val="center"/>
          </w:tcPr>
          <w:p w14:paraId="6C9A9C0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Total de entradas derivadas de permutas de garantías reales</w:t>
            </w:r>
          </w:p>
          <w:p w14:paraId="026023A4" w14:textId="6DC221E0"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aquí la suma del total de las entradas derivadas de operaciones de permuta de garantías reales calculada en la plantilla C 75.01 del Anexo</w:t>
            </w:r>
            <w:r>
              <w:rPr>
                <w:sz w:val="24"/>
                <w:rFonts w:ascii="Times New Roman" w:hAnsi="Times New Roman"/>
              </w:rPr>
              <w:t xml:space="preserve">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sz w:val="24"/>
                <w:rFonts w:ascii="Times New Roman" w:hAnsi="Times New Roman"/>
              </w:rPr>
            </w:pPr>
            <w:r>
              <w:rPr>
                <w:sz w:val="24"/>
                <w:rFonts w:ascii="Times New Roman" w:hAnsi="Times New Roman"/>
              </w:rPr>
              <w:t xml:space="preserve">0420</w:t>
            </w:r>
          </w:p>
        </w:tc>
        <w:tc>
          <w:tcPr>
            <w:tcW w:w="7540" w:type="dxa"/>
            <w:shd w:val="clear" w:color="auto" w:fill="auto"/>
            <w:vAlign w:val="center"/>
          </w:tcPr>
          <w:p w14:paraId="76E21CB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(Diferencia entre el total de entradas ponderadas y el total de salidas ponderadas derivadas de operaciones en terceros países en los que existan restricciones de transferencia o que estén denominadas en divisas no convertibles)</w:t>
            </w:r>
          </w:p>
          <w:p w14:paraId="5B749BFA" w14:textId="3F7B74A2" w:rsidR="007453EC" w:rsidRPr="000B6B22" w:rsidRDefault="007453EC">
            <w:pPr>
              <w:spacing w:before="0"/>
              <w:rPr>
                <w:bCs/>
                <w:sz w:val="24"/>
                <w:rFonts w:ascii="Times New Roman" w:hAnsi="Times New Roman"/>
              </w:rPr>
            </w:pPr>
            <w:r>
              <w:rPr>
                <w:sz w:val="24"/>
                <w:rFonts w:ascii="Times New Roman" w:hAnsi="Times New Roman"/>
              </w:rPr>
              <w:t xml:space="preserve">Artículo 32, apartado 8, del Reglamento Delegado (UE) 2015/61</w:t>
            </w:r>
          </w:p>
          <w:p w14:paraId="2390BDA2" w14:textId="4B9A76E6" w:rsidR="007453EC" w:rsidRPr="000B6B22" w:rsidRDefault="007453EC">
            <w:pPr>
              <w:spacing w:before="0"/>
              <w:rPr>
                <w:b/>
                <w:sz w:val="24"/>
                <w:rFonts w:ascii="Times New Roman" w:hAnsi="Times New Roman"/>
              </w:rPr>
            </w:pPr>
            <w:r>
              <w:rPr>
                <w:sz w:val="24"/>
                <w:rFonts w:ascii="Times New Roman" w:hAnsi="Times New Roman"/>
              </w:rPr>
              <w:t xml:space="preserve">Las entidades comunicarán en la pertinente columna 0140, 0150 o 0160 el importe total de las entradas ponderadas procedentes de terceros países en los que existan restricciones a las transferencias, o que estén denominadas en divisas no convertibles, menos el importe total de las salidas ponderadas hacia terceros países en los que existan restricciones a las transferencias, o que estén denominadas en divisas no convertibles, consignado en la plantilla C 73.00 del Anexo XXIV.</w:t>
            </w:r>
            <w:r>
              <w:rPr>
                <w:sz w:val="24"/>
                <w:rFonts w:ascii="Times New Roman" w:hAnsi="Times New Roman"/>
              </w:rPr>
              <w:t xml:space="preserve"> </w:t>
            </w:r>
            <w:r>
              <w:rPr>
                <w:sz w:val="24"/>
                <w:rFonts w:ascii="Times New Roman" w:hAnsi="Times New Roman"/>
              </w:rPr>
              <w:t xml:space="preserve">Si este importe es negativo, las entidades consignarán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sz w:val="24"/>
                <w:rFonts w:ascii="Times New Roman" w:hAnsi="Times New Roman"/>
              </w:rPr>
            </w:pPr>
            <w:r>
              <w:rPr>
                <w:sz w:val="24"/>
                <w:rFonts w:ascii="Times New Roman" w:hAnsi="Times New Roman"/>
              </w:rPr>
              <w:t xml:space="preserve">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(Excedente de entradas procedentes de entidades de crédito especializadas vinculadas)</w:t>
            </w:r>
          </w:p>
          <w:p w14:paraId="56944145" w14:textId="7FE54F46" w:rsidR="007453EC" w:rsidRPr="000B6B22" w:rsidRDefault="00DD4C72">
            <w:pPr>
              <w:spacing w:before="0"/>
              <w:rPr>
                <w:bCs/>
                <w:sz w:val="24"/>
                <w:rFonts w:ascii="Times New Roman" w:hAnsi="Times New Roman"/>
              </w:rPr>
            </w:pPr>
            <w:r>
              <w:rPr>
                <w:sz w:val="24"/>
                <w:rFonts w:ascii="Times New Roman" w:hAnsi="Times New Roman"/>
              </w:rPr>
              <w:t xml:space="preserve">Artículo 2, apartado 3, letra e), y artículo 33, apartado 6, del </w:t>
            </w:r>
            <w:r>
              <w:rPr>
                <w:sz w:val="24"/>
                <w:rFonts w:ascii="Times New Roman" w:hAnsi="Times New Roman"/>
              </w:rPr>
              <w:t xml:space="preserve">Reglamento Delegado (UE) 2015/61</w:t>
            </w:r>
          </w:p>
          <w:p w14:paraId="1098E357" w14:textId="6A8AC411"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que informen sobre una base consolidada comunicarán en la pertinente columna 0140, 0150 o 0160 el importe de las entradas procedentes de entidades de crédito especializadas vinculadas, contempladas en el artículo 33, apartados 3 y 4, del Reglamento Delegado (UE) 2015/61, que exceda de las salidas procedentes de esas mismas empresas.</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PRO MEMORIA</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sz w:val="24"/>
                <w:rFonts w:ascii="Times New Roman" w:hAnsi="Times New Roman"/>
              </w:rPr>
            </w:pPr>
            <w:r>
              <w:rPr>
                <w:sz w:val="24"/>
                <w:rFonts w:ascii="Times New Roman" w:hAnsi="Times New Roman"/>
              </w:rPr>
              <w:t xml:space="preserve">0450</w:t>
            </w:r>
          </w:p>
        </w:tc>
        <w:tc>
          <w:tcPr>
            <w:tcW w:w="7540" w:type="dxa"/>
            <w:shd w:val="clear" w:color="auto" w:fill="auto"/>
            <w:vAlign w:val="center"/>
          </w:tcPr>
          <w:p w14:paraId="1EFF48EE" w14:textId="49DD8672" w:rsidR="007453EC" w:rsidRPr="000B6B22" w:rsidRDefault="007453EC">
            <w:pPr>
              <w:spacing w:before="0"/>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Entradas de divisas</w:t>
            </w:r>
          </w:p>
          <w:p w14:paraId="429DA1A9" w14:textId="0CC93E7C" w:rsidR="007453EC" w:rsidRPr="000B6B22" w:rsidRDefault="007453EC">
            <w:pPr>
              <w:spacing w:before="0"/>
              <w:rPr>
                <w:bCs/>
                <w:sz w:val="24"/>
                <w:rFonts w:ascii="Times New Roman" w:hAnsi="Times New Roman"/>
              </w:rPr>
            </w:pPr>
            <w:r>
              <w:rPr>
                <w:sz w:val="24"/>
                <w:rFonts w:ascii="Times New Roman" w:hAnsi="Times New Roman"/>
              </w:rPr>
              <w:t xml:space="preserve">Esta partida pro memoria solo se comunicará en caso de información por separado</w:t>
            </w:r>
            <w:r>
              <w:rPr>
                <w:sz w:val="24"/>
                <w:rFonts w:ascii="Times New Roman" w:hAnsi="Times New Roman"/>
              </w:rPr>
              <w:t xml:space="preserve"> de la divisa de referencia o de una divisa distinta de la de referencia, de conformidad con el artículo 415, apartado 2, del Reglamento (UE) n.º 575/2013.</w:t>
            </w:r>
          </w:p>
          <w:p w14:paraId="6F39F1DB" w14:textId="7B4BA173" w:rsidR="007453EC" w:rsidRPr="000B6B22" w:rsidRDefault="007453EC">
            <w:pPr>
              <w:spacing w:before="0"/>
              <w:rPr>
                <w:sz w:val="24"/>
                <w:rFonts w:ascii="Times New Roman" w:eastAsia="Calibri" w:hAnsi="Times New Roman"/>
              </w:rPr>
            </w:pPr>
            <w:r>
              <w:rPr>
                <w:sz w:val="24"/>
                <w:rFonts w:ascii="Times New Roman" w:hAnsi="Times New Roman"/>
              </w:rPr>
              <w:t xml:space="preserve">Las entidades de crédito comunicarán la parte de las entradas procedentes de derivados (consignadas en la sección 1.1.9) que se refiera a los flujos del principal en divisas en la correspondiente moneda de las permutas de tipos de interés interdivisas y las operaciones en divisas al contado y a plazo con vencimiento en el plazo de 30 días.</w:t>
            </w:r>
            <w:r>
              <w:rPr>
                <w:sz w:val="24"/>
                <w:rFonts w:ascii="Times New Roman" w:hAnsi="Times New Roman"/>
              </w:rPr>
              <w:t xml:space="preserve"> </w:t>
            </w:r>
            <w:r>
              <w:rPr>
                <w:sz w:val="24"/>
                <w:rFonts w:ascii="Times New Roman" w:hAnsi="Times New Roman"/>
              </w:rPr>
              <w:t xml:space="preserve">La compensación por contraparte solo puede aplicarse a los flujos en la moneda de que se trate.</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sz w:val="24"/>
                <w:rFonts w:ascii="Times New Roman" w:hAnsi="Times New Roman"/>
              </w:rPr>
            </w:pPr>
            <w:r>
              <w:rPr>
                <w:sz w:val="24"/>
                <w:rFonts w:ascii="Times New Roman" w:hAnsi="Times New Roman"/>
              </w:rPr>
              <w:t xml:space="preserve">0460</w:t>
            </w:r>
          </w:p>
        </w:tc>
        <w:tc>
          <w:tcPr>
            <w:tcW w:w="7540" w:type="dxa"/>
            <w:shd w:val="clear" w:color="auto" w:fill="auto"/>
            <w:vAlign w:val="center"/>
          </w:tcPr>
          <w:p w14:paraId="547FA751" w14:textId="1F7DAB58" w:rsidR="007453EC" w:rsidRPr="000B6B22" w:rsidRDefault="007453EC">
            <w:pPr>
              <w:spacing w:before="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Entradas en el marco de un grupo o un sistema institucional de protección</w:t>
            </w:r>
          </w:p>
          <w:p w14:paraId="4042A99D" w14:textId="33231E78"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aquí como partidas pro memoria todas las operaciones comunicadas en la sección 1 (excepto en 1.1.10) en las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p w14:paraId="5871C80C" w14:textId="7FD03E60" w:rsidR="007453EC" w:rsidRPr="000B6B22" w:rsidRDefault="007453EC">
            <w:pPr>
              <w:spacing w:before="0"/>
              <w:rPr>
                <w:bCs/>
                <w:sz w:val="24"/>
                <w:rFonts w:ascii="Times New Roman" w:hAnsi="Times New Roman"/>
              </w:rPr>
            </w:pPr>
            <w:r>
              <w:rPr>
                <w:sz w:val="24"/>
                <w:rFonts w:ascii="Times New Roman" w:hAnsi="Times New Roman"/>
              </w:rPr>
              <w:t xml:space="preserve">Las entidades de crédito comunicarán en la fila 0460 de la plantilla C 74.00 del Anexo XXIV:</w:t>
            </w:r>
          </w:p>
          <w:p w14:paraId="2014504C" w14:textId="6890C04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0010, 0020 y 0030, el importe total de los pagos pendientes / importe máximo que pueda utilizarse en el marco de un grupo o un sistema institucional de protección, que será igual a la suma de los pagos pendientes / importe máximo que pueda utilizarse en el marco de un grupo o un sistema institucional de protección por tipo de operación y contraparte;</w:t>
            </w:r>
            <w:r>
              <w:rPr>
                <w:sz w:val="24"/>
                <w:rFonts w:ascii="Times New Roman" w:hAnsi="Times New Roman"/>
              </w:rPr>
              <w:t xml:space="preserve"> </w:t>
            </w:r>
            <w:r>
              <w:rPr>
                <w:sz w:val="24"/>
                <w:rFonts w:ascii="Times New Roman" w:hAnsi="Times New Roman"/>
              </w:rPr>
              <w:t xml:space="preserve">y</w:t>
            </w:r>
          </w:p>
          <w:p w14:paraId="46594894" w14:textId="142E3B0B" w:rsidR="007453EC" w:rsidRPr="000B6B22" w:rsidRDefault="007453EC">
            <w:pPr>
              <w:spacing w:before="0"/>
              <w:ind w:left="720" w:hanging="360"/>
              <w:rPr>
                <w:b/>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en relación con cada una de las columnas 0140, 0150 y 0160 el total de entradas en el marco de un grupo o un sistema institucional de protección, que será igual a la suma de entradas en el marco de un grupo o un sistema institucional de protección por tipo de operación y contraparte.</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sz w:val="24"/>
                <w:rFonts w:ascii="Times New Roman" w:hAnsi="Times New Roman"/>
              </w:rPr>
            </w:pPr>
            <w:r>
              <w:rPr>
                <w:sz w:val="24"/>
                <w:rFonts w:ascii="Times New Roman" w:hAnsi="Times New Roman"/>
              </w:rPr>
              <w:t xml:space="preserve">0470</w:t>
            </w:r>
          </w:p>
        </w:tc>
        <w:tc>
          <w:tcPr>
            <w:tcW w:w="7540" w:type="dxa"/>
            <w:shd w:val="clear" w:color="auto" w:fill="auto"/>
            <w:vAlign w:val="center"/>
          </w:tcPr>
          <w:p w14:paraId="5DD639AA" w14:textId="6554B0B7" w:rsidR="007453EC" w:rsidRPr="000B6B22" w:rsidRDefault="007453EC">
            <w:pPr>
              <w:spacing w:before="0"/>
              <w:rPr>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Pagos pendientes de clientes no financieros (excepto bancos centrales)</w:t>
            </w:r>
          </w:p>
          <w:p w14:paraId="7E6F1F99" w14:textId="77777777" w:rsidR="007453EC" w:rsidRPr="000B6B22" w:rsidRDefault="007453EC">
            <w:pPr>
              <w:spacing w:before="0"/>
              <w:rPr>
                <w:b/>
                <w:bCs/>
                <w:sz w:val="24"/>
                <w:rFonts w:ascii="Times New Roman" w:hAnsi="Times New Roman"/>
              </w:rPr>
            </w:pPr>
            <w:r>
              <w:rPr>
                <w:sz w:val="24"/>
                <w:rFonts w:ascii="Times New Roman" w:hAnsi="Times New Roman"/>
              </w:rPr>
              <w:t xml:space="preserve">Las entidades de crédito comunicarán aquí todos los pagos pendientes de clientes no financieros comunicados en la sección 1.1.1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de crédito central o un miembro de una red o grupo de cooperativas tal como se contempla en el artículo 10 de ese Reglamento.</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sz w:val="24"/>
                <w:rFonts w:ascii="Times New Roman" w:hAnsi="Times New Roman"/>
              </w:rPr>
            </w:pPr>
            <w:r>
              <w:rPr>
                <w:sz w:val="24"/>
                <w:rFonts w:ascii="Times New Roman" w:hAnsi="Times New Roman"/>
              </w:rPr>
              <w:t xml:space="preserve">0480</w:t>
            </w:r>
          </w:p>
        </w:tc>
        <w:tc>
          <w:tcPr>
            <w:tcW w:w="7540" w:type="dxa"/>
            <w:shd w:val="clear" w:color="auto" w:fill="auto"/>
            <w:vAlign w:val="center"/>
          </w:tcPr>
          <w:p w14:paraId="43B1FCB5" w14:textId="7D0C557C" w:rsidR="007453EC" w:rsidRPr="000B6B22" w:rsidRDefault="007453EC">
            <w:pPr>
              <w:spacing w:before="0"/>
              <w:rPr>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Pagos pendientes de clientes financieros</w:t>
            </w:r>
          </w:p>
          <w:p w14:paraId="1E3892C8" w14:textId="77777777" w:rsidR="007453EC" w:rsidRPr="000B6B22" w:rsidRDefault="007453EC">
            <w:pPr>
              <w:spacing w:before="0"/>
              <w:rPr>
                <w:b/>
                <w:bCs/>
                <w:sz w:val="24"/>
                <w:rFonts w:ascii="Times New Roman" w:hAnsi="Times New Roman"/>
              </w:rPr>
            </w:pPr>
            <w:r>
              <w:rPr>
                <w:sz w:val="24"/>
                <w:rFonts w:ascii="Times New Roman" w:hAnsi="Times New Roman"/>
              </w:rPr>
              <w:t xml:space="preserve">Las entidades de crédito comunicarán aquí todos los pagos pendientes de clientes financieros comunicados en la sección 1.1.2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del Reglamento (UE) n.º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sz w:val="24"/>
                <w:rFonts w:ascii="Times New Roman" w:hAnsi="Times New Roman"/>
              </w:rPr>
            </w:pPr>
            <w:r>
              <w:rPr>
                <w:sz w:val="24"/>
                <w:rFonts w:ascii="Times New Roman" w:hAnsi="Times New Roman"/>
              </w:rPr>
              <w:t xml:space="preserve">0490</w:t>
            </w:r>
          </w:p>
        </w:tc>
        <w:tc>
          <w:tcPr>
            <w:tcW w:w="7540" w:type="dxa"/>
            <w:shd w:val="clear" w:color="auto" w:fill="auto"/>
            <w:vAlign w:val="center"/>
          </w:tcPr>
          <w:p w14:paraId="1665BB55" w14:textId="5D3883A9" w:rsidR="007453EC" w:rsidRPr="000B6B22" w:rsidRDefault="007453EC">
            <w:pPr>
              <w:spacing w:before="0"/>
              <w:rPr>
                <w:bCs/>
                <w:sz w:val="24"/>
                <w:rFonts w:ascii="Times New Roman" w:hAnsi="Times New Roman"/>
              </w:rPr>
            </w:pPr>
            <w:r>
              <w:rPr>
                <w:b/>
                <w:sz w:val="24"/>
                <w:rFonts w:ascii="Times New Roman" w:hAnsi="Times New Roman"/>
              </w:rPr>
              <w:t xml:space="preserve">3.3.</w:t>
            </w:r>
            <w:r>
              <w:rPr>
                <w:b/>
                <w:sz w:val="24"/>
                <w:rFonts w:ascii="Times New Roman" w:hAnsi="Times New Roman"/>
              </w:rPr>
              <w:t xml:space="preserve"> </w:t>
            </w:r>
            <w:r>
              <w:rPr>
                <w:b/>
                <w:sz w:val="24"/>
                <w:rFonts w:ascii="Times New Roman" w:hAnsi="Times New Roman"/>
              </w:rPr>
              <w:t xml:space="preserve">Operaciones garantizadas</w:t>
            </w:r>
          </w:p>
          <w:p w14:paraId="57D0789B" w14:textId="3E2F0A5A" w:rsidR="007453EC" w:rsidRPr="000B6B22" w:rsidRDefault="007453EC">
            <w:pPr>
              <w:spacing w:before="0"/>
              <w:rPr>
                <w:b/>
                <w:bCs/>
                <w:sz w:val="24"/>
                <w:rFonts w:ascii="Times New Roman" w:hAnsi="Times New Roman"/>
              </w:rPr>
            </w:pPr>
            <w:r>
              <w:rPr>
                <w:sz w:val="24"/>
                <w:rFonts w:ascii="Times New Roman" w:hAnsi="Times New Roman"/>
              </w:rPr>
              <w:t xml:space="preserve">Las entidades de crédito comunicarán aquí todos los pagos pendientes procedentes de operaciones de préstamo garantizadas y operaciones vinculadas al mercado de capitales, así como el valor total de mercado de las garantías reales recibidas y comunicadas en la sección 1.2., en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sz w:val="24"/>
                <w:rFonts w:ascii="Times New Roman" w:hAnsi="Times New Roman"/>
              </w:rPr>
            </w:pPr>
            <w:r>
              <w:rPr>
                <w:sz w:val="24"/>
                <w:rFonts w:ascii="Times New Roman" w:hAnsi="Times New Roman"/>
              </w:rPr>
              <w:t xml:space="preserve">0500</w:t>
            </w:r>
          </w:p>
        </w:tc>
        <w:tc>
          <w:tcPr>
            <w:tcW w:w="7540" w:type="dxa"/>
            <w:shd w:val="clear" w:color="auto" w:fill="auto"/>
            <w:vAlign w:val="center"/>
          </w:tcPr>
          <w:p w14:paraId="0B34C4DD" w14:textId="2DACEA13" w:rsidR="007453EC" w:rsidRPr="000B6B22" w:rsidRDefault="007453EC">
            <w:pPr>
              <w:spacing w:before="0"/>
              <w:rPr>
                <w:b/>
                <w:bCs/>
                <w:sz w:val="24"/>
                <w:rFonts w:ascii="Times New Roman" w:hAnsi="Times New Roman"/>
              </w:rPr>
            </w:pPr>
            <w:r>
              <w:rPr>
                <w:b/>
                <w:sz w:val="24"/>
                <w:rFonts w:ascii="Times New Roman" w:hAnsi="Times New Roman"/>
              </w:rPr>
              <w:t xml:space="preserve">3.4.</w:t>
            </w:r>
            <w:r>
              <w:rPr>
                <w:b/>
                <w:sz w:val="24"/>
                <w:rFonts w:ascii="Times New Roman" w:hAnsi="Times New Roman"/>
              </w:rPr>
              <w:t xml:space="preserve"> </w:t>
            </w:r>
            <w:r>
              <w:rPr>
                <w:b/>
                <w:sz w:val="24"/>
                <w:rFonts w:ascii="Times New Roman" w:hAnsi="Times New Roman"/>
              </w:rPr>
              <w:t xml:space="preserve">Pagos pendientes procedentes de valores que venzan en el plazo de 30 días</w:t>
            </w:r>
          </w:p>
          <w:p w14:paraId="02710816" w14:textId="77777777" w:rsidR="007453EC" w:rsidRPr="000B6B22" w:rsidRDefault="007453EC">
            <w:pPr>
              <w:spacing w:before="0"/>
              <w:rPr>
                <w:b/>
                <w:bCs/>
                <w:sz w:val="24"/>
                <w:rFonts w:ascii="Times New Roman" w:hAnsi="Times New Roman"/>
              </w:rPr>
            </w:pPr>
            <w:r>
              <w:rPr>
                <w:sz w:val="24"/>
                <w:rFonts w:ascii="Times New Roman" w:hAnsi="Times New Roman"/>
              </w:rPr>
              <w:t xml:space="preserve">Las entidades de crédito comunicarán aquí todos los pagos pendientes procedentes de valores que venzan en el plazo de 30 días comunicados en la sección 1.1.5,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sz w:val="24"/>
                <w:rFonts w:ascii="Times New Roman" w:hAnsi="Times New Roman"/>
              </w:rPr>
            </w:pPr>
            <w:r>
              <w:rPr>
                <w:sz w:val="24"/>
                <w:rFonts w:ascii="Times New Roman" w:hAnsi="Times New Roman"/>
              </w:rPr>
              <w:t xml:space="preserve">0510</w:t>
            </w:r>
          </w:p>
        </w:tc>
        <w:tc>
          <w:tcPr>
            <w:tcW w:w="7540" w:type="dxa"/>
            <w:shd w:val="clear" w:color="auto" w:fill="auto"/>
            <w:vAlign w:val="center"/>
          </w:tcPr>
          <w:p w14:paraId="78D97DB2" w14:textId="5D9CAA66" w:rsidR="007453EC" w:rsidRPr="000B6B22" w:rsidRDefault="007453EC">
            <w:pPr>
              <w:spacing w:before="0"/>
              <w:rPr>
                <w:bCs/>
                <w:sz w:val="24"/>
                <w:rFonts w:ascii="Times New Roman" w:hAnsi="Times New Roman"/>
              </w:rPr>
            </w:pPr>
            <w:r>
              <w:rPr>
                <w:b/>
                <w:sz w:val="24"/>
                <w:rFonts w:ascii="Times New Roman" w:hAnsi="Times New Roman"/>
              </w:rPr>
              <w:t xml:space="preserve">3.5.</w:t>
            </w:r>
            <w:r>
              <w:rPr>
                <w:b/>
                <w:sz w:val="24"/>
                <w:rFonts w:ascii="Times New Roman" w:hAnsi="Times New Roman"/>
              </w:rPr>
              <w:t xml:space="preserve"> </w:t>
            </w:r>
            <w:r>
              <w:rPr>
                <w:b/>
                <w:sz w:val="24"/>
                <w:rFonts w:ascii="Times New Roman" w:hAnsi="Times New Roman"/>
              </w:rPr>
              <w:t xml:space="preserve">Cualquier otra entrada en el marco de un grupo o un sistema institucional de protección</w:t>
            </w:r>
          </w:p>
          <w:p w14:paraId="4AB804A2" w14:textId="251BA725" w:rsidR="007453EC" w:rsidRPr="000B6B22" w:rsidRDefault="007453EC">
            <w:pPr>
              <w:spacing w:before="0"/>
              <w:rPr>
                <w:b/>
                <w:bCs/>
                <w:sz w:val="24"/>
                <w:rFonts w:ascii="Times New Roman" w:hAnsi="Times New Roman"/>
              </w:rPr>
            </w:pPr>
            <w:r>
              <w:rPr>
                <w:sz w:val="24"/>
                <w:rFonts w:ascii="Times New Roman" w:hAnsi="Times New Roman"/>
              </w:rPr>
              <w:t xml:space="preserve">Las entidades de crédito comunicarán aquí cualesquiera otras entradas en el marco de un grupo o un sistema institucional de protección comunicadas en las secciones 1.1.3. a 1.1.11. (excepto 1.1.5 y 1.1.10), cuando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b/>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Operaciones de préstamo garantizadas exentas de la aplicación del artículo 17, apartados 2 y 3</w:t>
            </w:r>
          </w:p>
          <w:p w14:paraId="3AF54C59" w14:textId="311443FF" w:rsidR="007453EC" w:rsidRPr="000B6B22" w:rsidDel="00F07329" w:rsidRDefault="007453EC">
            <w:pPr>
              <w:spacing w:before="0"/>
              <w:rPr>
                <w:b/>
                <w:bCs/>
                <w:sz w:val="24"/>
                <w:rFonts w:ascii="Times New Roman" w:hAnsi="Times New Roman"/>
              </w:rPr>
            </w:pPr>
            <w:r>
              <w:rPr>
                <w:sz w:val="24"/>
                <w:rFonts w:ascii="Times New Roman" w:hAnsi="Times New Roman"/>
              </w:rPr>
              <w:t xml:space="preserve">Las entidades de crédito comunicarán aquí las operaciones de préstamos garantizadas con un vencimiento residual no superior a 30 días en las que la contraparte sea un banco central y que estén exentas de la aplicación del artículo 17, apartados 2 y 3, del Reglamento Delegado (UE) 2015/61 en virtud de su artículo 17, apartado 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sz w:val="24"/>
                <w:rFonts w:ascii="Times New Roman" w:hAnsi="Times New Roman"/>
              </w:rPr>
            </w:pPr>
            <w:r>
              <w:rPr>
                <w:sz w:val="24"/>
                <w:rFonts w:ascii="Times New Roman" w:hAnsi="Times New Roman"/>
              </w:rPr>
              <w:t xml:space="preserve">0530</w:t>
            </w:r>
          </w:p>
        </w:tc>
        <w:tc>
          <w:tcPr>
            <w:tcW w:w="7540" w:type="dxa"/>
            <w:shd w:val="clear" w:color="auto" w:fill="auto"/>
            <w:vAlign w:val="center"/>
          </w:tcPr>
          <w:p w14:paraId="5887A6F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4.1. De las cuales:</w:t>
            </w:r>
            <w:r>
              <w:rPr>
                <w:b/>
                <w:sz w:val="24"/>
                <w:rFonts w:ascii="Times New Roman" w:hAnsi="Times New Roman"/>
              </w:rPr>
              <w:t xml:space="preserve"> </w:t>
            </w:r>
            <w:r>
              <w:rPr>
                <w:b/>
                <w:sz w:val="24"/>
                <w:rFonts w:ascii="Times New Roman" w:hAnsi="Times New Roman"/>
              </w:rPr>
              <w:t xml:space="preserve">garantizadas por activos de nivel 1, excepto bonos garantizados de calidad sumamente elevada</w:t>
            </w:r>
          </w:p>
          <w:p w14:paraId="671CE057" w14:textId="109C0F2C" w:rsidR="007453EC" w:rsidRPr="000B6B22" w:rsidDel="00F07329" w:rsidRDefault="007453EC">
            <w:pPr>
              <w:spacing w:before="0"/>
              <w:rPr>
                <w:b/>
                <w:bCs/>
                <w:sz w:val="24"/>
                <w:rFonts w:ascii="Times New Roman" w:hAnsi="Times New Roman"/>
              </w:rPr>
            </w:pPr>
            <w:r>
              <w:rPr>
                <w:sz w:val="24"/>
                <w:rFonts w:ascii="Times New Roman" w:hAnsi="Times New Roman"/>
              </w:rPr>
              <w:t xml:space="preserve">Las entidades de crédito comunicarán aquí las operaciones de préstamo garantizadas que venzan en un plazo de 30 días naturales en las que la contraparte sea un banco central y las garantías reales recibidas sean garantías reales de nivel 1, excepto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sz w:val="24"/>
                <w:rFonts w:ascii="Times New Roman" w:hAnsi="Times New Roman"/>
              </w:rPr>
            </w:pPr>
            <w:r>
              <w:rPr>
                <w:sz w:val="24"/>
                <w:rFonts w:ascii="Times New Roman" w:hAnsi="Times New Roman"/>
              </w:rPr>
              <w:t xml:space="preserve">0540</w:t>
            </w:r>
          </w:p>
        </w:tc>
        <w:tc>
          <w:tcPr>
            <w:tcW w:w="7540" w:type="dxa"/>
            <w:shd w:val="clear" w:color="auto" w:fill="auto"/>
            <w:vAlign w:val="center"/>
          </w:tcPr>
          <w:p w14:paraId="75D499D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4.2. De las cuales:</w:t>
            </w:r>
            <w:r>
              <w:rPr>
                <w:b/>
                <w:sz w:val="24"/>
                <w:rFonts w:ascii="Times New Roman" w:hAnsi="Times New Roman"/>
              </w:rPr>
              <w:t xml:space="preserve"> </w:t>
            </w:r>
            <w:r>
              <w:rPr>
                <w:b/>
                <w:sz w:val="24"/>
                <w:rFonts w:ascii="Times New Roman" w:hAnsi="Times New Roman"/>
              </w:rPr>
              <w:t xml:space="preserve">garantizadas por bonos garantizados de calidad sumamente elevada de nivel 1</w:t>
            </w:r>
          </w:p>
          <w:p w14:paraId="781FF86B" w14:textId="37BA2EDA" w:rsidR="007453EC" w:rsidRPr="000B6B22" w:rsidDel="00F07329" w:rsidRDefault="007453EC">
            <w:pPr>
              <w:spacing w:before="0"/>
              <w:rPr>
                <w:b/>
                <w:bCs/>
                <w:sz w:val="24"/>
                <w:rFonts w:ascii="Times New Roman" w:hAnsi="Times New Roman"/>
              </w:rPr>
            </w:pPr>
            <w:r>
              <w:rPr>
                <w:sz w:val="24"/>
                <w:rFonts w:ascii="Times New Roman" w:hAnsi="Times New Roman"/>
              </w:rPr>
              <w:t xml:space="preserve">Las entidades de crédito comunicarán aquí las operaciones de préstamo garantizadas que venzan en un plazo de 30 días naturales en las que la contraparte sea un banco central y las garantías reales recibidas sean garantías reales de nivel 1 consistentes en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sz w:val="24"/>
                <w:rFonts w:ascii="Times New Roman" w:hAnsi="Times New Roman"/>
              </w:rPr>
            </w:pPr>
            <w:r>
              <w:rPr>
                <w:sz w:val="24"/>
                <w:rFonts w:ascii="Times New Roman" w:hAnsi="Times New Roman"/>
              </w:rPr>
              <w:t xml:space="preserve">0550</w:t>
            </w:r>
          </w:p>
        </w:tc>
        <w:tc>
          <w:tcPr>
            <w:tcW w:w="7540" w:type="dxa"/>
            <w:shd w:val="clear" w:color="auto" w:fill="auto"/>
            <w:vAlign w:val="center"/>
          </w:tcPr>
          <w:p w14:paraId="0795E96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4.3. De las cuales:</w:t>
            </w:r>
            <w:r>
              <w:rPr>
                <w:b/>
                <w:sz w:val="24"/>
                <w:rFonts w:ascii="Times New Roman" w:hAnsi="Times New Roman"/>
              </w:rPr>
              <w:t xml:space="preserve"> </w:t>
            </w:r>
            <w:r>
              <w:rPr>
                <w:b/>
                <w:sz w:val="24"/>
                <w:rFonts w:ascii="Times New Roman" w:hAnsi="Times New Roman"/>
              </w:rPr>
              <w:t xml:space="preserve">garantizadas por activos de nivel 2A</w:t>
            </w:r>
          </w:p>
          <w:p w14:paraId="1D28B831" w14:textId="6834268C" w:rsidR="007453EC" w:rsidRPr="000B6B22" w:rsidDel="00F07329" w:rsidRDefault="007453EC">
            <w:pPr>
              <w:spacing w:before="0"/>
              <w:rPr>
                <w:b/>
                <w:bCs/>
                <w:sz w:val="24"/>
                <w:rFonts w:ascii="Times New Roman" w:hAnsi="Times New Roman"/>
              </w:rPr>
            </w:pPr>
            <w:r>
              <w:rPr>
                <w:sz w:val="24"/>
                <w:rFonts w:ascii="Times New Roman" w:hAnsi="Times New Roman"/>
              </w:rPr>
              <w:t xml:space="preserve">Las entidades de crédito comunicarán aquí las operaciones de préstamo garantizadas que venzan en un plazo de 30 días naturales en las que la contraparte sea un banco central y las garantías reales recibidas sean garantías reales de nivel 2A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sz w:val="24"/>
                <w:rFonts w:ascii="Times New Roman" w:hAnsi="Times New Roman"/>
              </w:rPr>
            </w:pPr>
            <w:r>
              <w:rPr>
                <w:sz w:val="24"/>
                <w:rFonts w:ascii="Times New Roman" w:hAnsi="Times New Roman"/>
              </w:rPr>
              <w:t xml:space="preserve">0560</w:t>
            </w:r>
          </w:p>
        </w:tc>
        <w:tc>
          <w:tcPr>
            <w:tcW w:w="7540" w:type="dxa"/>
            <w:shd w:val="clear" w:color="auto" w:fill="auto"/>
            <w:vAlign w:val="center"/>
          </w:tcPr>
          <w:p w14:paraId="4ADEC558" w14:textId="583BA053" w:rsidR="007453EC" w:rsidRPr="000B6B22" w:rsidRDefault="007453EC">
            <w:pPr>
              <w:spacing w:before="0"/>
              <w:rPr>
                <w:b/>
                <w:bCs/>
                <w:sz w:val="24"/>
                <w:rFonts w:ascii="Times New Roman" w:hAnsi="Times New Roman"/>
              </w:rPr>
            </w:pPr>
            <w:r>
              <w:rPr>
                <w:b/>
                <w:sz w:val="24"/>
                <w:rFonts w:ascii="Times New Roman" w:hAnsi="Times New Roman"/>
              </w:rPr>
              <w:t xml:space="preserve">4.4. De las cuales:</w:t>
            </w:r>
            <w:r>
              <w:rPr>
                <w:b/>
                <w:sz w:val="24"/>
                <w:rFonts w:ascii="Times New Roman" w:hAnsi="Times New Roman"/>
              </w:rPr>
              <w:t xml:space="preserve"> </w:t>
            </w:r>
            <w:r>
              <w:rPr>
                <w:b/>
                <w:sz w:val="24"/>
                <w:rFonts w:ascii="Times New Roman" w:hAnsi="Times New Roman"/>
              </w:rPr>
              <w:t xml:space="preserve">garantizadas por activos de nivel 2B</w:t>
            </w:r>
          </w:p>
          <w:p w14:paraId="5F45A406" w14:textId="4737FCA1" w:rsidR="007453EC" w:rsidRPr="000B6B22" w:rsidDel="00F07329" w:rsidRDefault="007453EC">
            <w:pPr>
              <w:spacing w:before="0"/>
              <w:rPr>
                <w:b/>
                <w:bCs/>
                <w:sz w:val="24"/>
                <w:rFonts w:ascii="Times New Roman" w:hAnsi="Times New Roman"/>
              </w:rPr>
            </w:pPr>
            <w:r>
              <w:rPr>
                <w:sz w:val="24"/>
                <w:rFonts w:ascii="Times New Roman" w:hAnsi="Times New Roman"/>
              </w:rPr>
              <w:t xml:space="preserve">Las entidades de crédito comunicarán aquí las operaciones de préstamo garantizadas que venzan en un plazo de 30 días naturales en las que la contraparte sea un banco central y las garantías reales recibidas sean garantías reales de nivel 2B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sz w:val="24"/>
                <w:rFonts w:ascii="Times New Roman" w:hAnsi="Times New Roman"/>
              </w:rPr>
            </w:pPr>
            <w:r>
              <w:rPr>
                <w:sz w:val="24"/>
                <w:rFonts w:ascii="Times New Roman" w:hAnsi="Times New Roman"/>
              </w:rPr>
              <w:t xml:space="preserve">0570</w:t>
            </w:r>
          </w:p>
        </w:tc>
        <w:tc>
          <w:tcPr>
            <w:tcW w:w="7540" w:type="dxa"/>
            <w:shd w:val="clear" w:color="auto" w:fill="auto"/>
            <w:vAlign w:val="center"/>
          </w:tcPr>
          <w:p w14:paraId="3AB8F6E0" w14:textId="77777777" w:rsidR="003626D1" w:rsidRPr="000B6B22" w:rsidRDefault="003626D1">
            <w:pPr>
              <w:spacing w:before="0"/>
              <w:rPr>
                <w:b/>
                <w:bCs/>
                <w:sz w:val="24"/>
                <w:rFonts w:ascii="Times New Roman" w:hAnsi="Times New Roman"/>
              </w:rPr>
            </w:pPr>
            <w:r>
              <w:rPr>
                <w:b/>
                <w:sz w:val="24"/>
                <w:rFonts w:ascii="Times New Roman" w:hAnsi="Times New Roman"/>
              </w:rPr>
              <w:t xml:space="preserve">4.5. De las cuales:</w:t>
            </w:r>
            <w:r>
              <w:rPr>
                <w:b/>
                <w:sz w:val="24"/>
                <w:rFonts w:ascii="Times New Roman" w:hAnsi="Times New Roman"/>
              </w:rPr>
              <w:t xml:space="preserve"> </w:t>
            </w:r>
            <w:r>
              <w:rPr>
                <w:b/>
                <w:sz w:val="24"/>
                <w:rFonts w:ascii="Times New Roman" w:hAnsi="Times New Roman"/>
              </w:rPr>
              <w:t xml:space="preserve">garantizadas por activos no líquidos</w:t>
            </w:r>
          </w:p>
          <w:p w14:paraId="262E60D9" w14:textId="482CBC50" w:rsidR="003626D1" w:rsidRPr="000B6B22" w:rsidRDefault="003626D1">
            <w:pPr>
              <w:spacing w:before="0"/>
              <w:rPr>
                <w:b/>
                <w:bCs/>
                <w:sz w:val="24"/>
                <w:rFonts w:ascii="Times New Roman" w:hAnsi="Times New Roman"/>
              </w:rPr>
            </w:pPr>
            <w:r>
              <w:rPr>
                <w:sz w:val="24"/>
                <w:rFonts w:ascii="Times New Roman" w:hAnsi="Times New Roman"/>
              </w:rPr>
              <w:t xml:space="preserve">Las entidades de crédito comunicarán aquí las operaciones de préstamo garantizadas que venzan en un plazo de 30 días naturales en las que la contraparte sea un banco central y las garantías reales recibidas no sean líquidas, cuando las operaciones pertinentes estén exentas de la aplicación del artículo 17, apartados 2 y 3, del Reglamento Delegado (UE) 2015/61 en virtud de su artículo 17, apartado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sz w:val="24"/>
          <w:rFonts w:ascii="Times New Roman" w:hAnsi="Times New Roman"/>
        </w:rPr>
      </w:pPr>
      <w:r>
        <w:br w:type="page"/>
      </w:r>
    </w:p>
    <w:p w14:paraId="2A99A7D3" w14:textId="71048DC8" w:rsidR="00F71050" w:rsidRPr="000B6B22" w:rsidRDefault="009D4EFF" w:rsidP="009D4EFF">
      <w:pPr>
        <w:spacing w:before="0"/>
        <w:rPr>
          <w:b/>
          <w:sz w:val="24"/>
          <w:rFonts w:ascii="Times New Roman" w:eastAsia="PMingLiU" w:hAnsi="Times New Roman"/>
        </w:rPr>
      </w:pPr>
      <w:r>
        <w:rPr>
          <w:b/>
          <w:sz w:val="24"/>
          <w:rFonts w:ascii="Times New Roman" w:hAnsi="Times New Roman"/>
        </w:rPr>
        <w:t xml:space="preserve">PARTE 4:</w:t>
      </w:r>
      <w:r>
        <w:rPr>
          <w:b/>
          <w:sz w:val="24"/>
          <w:rFonts w:ascii="Times New Roman" w:hAnsi="Times New Roman"/>
        </w:rPr>
        <w:t xml:space="preserve"> </w:t>
      </w:r>
      <w:r>
        <w:rPr>
          <w:b/>
          <w:sz w:val="24"/>
          <w:rFonts w:ascii="Times New Roman" w:hAnsi="Times New Roman"/>
        </w:rPr>
        <w:t xml:space="preserve">PERMUTAS DE GARANTÍAS REALES</w:t>
      </w:r>
    </w:p>
    <w:p w14:paraId="63C813AE" w14:textId="77411E41"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Permutas de garantías reales.</w:t>
      </w:r>
    </w:p>
    <w:p w14:paraId="0DA7E5BD" w14:textId="1832919C"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Observaciones generales</w:t>
      </w:r>
    </w:p>
    <w:p w14:paraId="7D2529DF" w14:textId="59A0F58A" w:rsidR="00F71050" w:rsidRPr="000B6B22" w:rsidRDefault="00F71050">
      <w:pPr>
        <w:pStyle w:val="InstructionsText2"/>
        <w:numPr>
          <w:ilvl w:val="0"/>
          <w:numId w:val="114"/>
        </w:numPr>
        <w:spacing w:after="120"/>
        <w:rPr>
          <w:sz w:val="24"/>
          <w:szCs w:val="24"/>
          <w:rFonts w:eastAsia="PMingLiU" w:cs="Times New Roman"/>
        </w:rPr>
      </w:pPr>
      <w:r>
        <w:rPr>
          <w:sz w:val="24"/>
        </w:rPr>
        <w:t xml:space="preserve">En esta plantilla se comunicará toda operación que venza en los 30 días naturales siguientes y en la que activos distintos del efectivo sean objeto de permuta por otros activos distintos del efectivo.</w:t>
      </w:r>
      <w:r>
        <w:rPr>
          <w:sz w:val="24"/>
        </w:rPr>
        <w:t xml:space="preserve"> </w:t>
      </w:r>
      <w:r>
        <w:rPr>
          <w:sz w:val="24"/>
        </w:rPr>
        <w:t xml:space="preserve">Las partidas que no deben ser cumplimentadas por las entidades están sombreadas en gris.</w:t>
      </w:r>
    </w:p>
    <w:p w14:paraId="15C44248" w14:textId="2487973B" w:rsidR="00F71050" w:rsidRPr="000B6B22" w:rsidRDefault="00F71050">
      <w:pPr>
        <w:pStyle w:val="InstructionsText2"/>
        <w:spacing w:after="120"/>
        <w:rPr>
          <w:sz w:val="24"/>
          <w:szCs w:val="24"/>
          <w:rFonts w:eastAsia="PMingLiU" w:cs="Times New Roman"/>
        </w:rPr>
      </w:pPr>
      <w:r>
        <w:rPr>
          <w:sz w:val="24"/>
        </w:rPr>
        <w:t xml:space="preserve">Las operaciones de permuta de garantías reales que venzan en los 30 días naturales siguientes darán lugar a una salida si el activo tomado en préstamo es objeto de un recorte de valoración inferior en virtud del capítulo 2 del Reglamento Delegado (UE) 2015/61 que el activo prestado.</w:t>
      </w:r>
      <w:r>
        <w:rPr>
          <w:sz w:val="24"/>
        </w:rPr>
        <w:t xml:space="preserve"> </w:t>
      </w:r>
      <w:r>
        <w:rPr>
          <w:sz w:val="24"/>
        </w:rPr>
        <w:t xml:space="preserve">La salida se calculará multiplicando el valor de mercado del activo tomado en préstamo por la diferencia entre el índice de salida aplicable al activo prestado y el índice de salida aplicable al activo tomado en préstamo en las operaciones de financiación garantizada que venzan en los 30 días naturales siguientes.</w:t>
      </w:r>
      <w:r>
        <w:rPr>
          <w:sz w:val="24"/>
        </w:rPr>
        <w:t xml:space="preserve"> </w:t>
      </w:r>
      <w:r>
        <w:rPr>
          <w:sz w:val="24"/>
        </w:rPr>
        <w:t xml:space="preserve">En caso de que la contraparte sea el banco central nacional de la entidad de crédito, el índice de salida que se aplicará al valor de mercado del activo tomado en préstamo será del 0 %.</w:t>
      </w:r>
      <w:r>
        <w:rPr>
          <w:sz w:val="24"/>
        </w:rPr>
        <w:t xml:space="preserve"> </w:t>
      </w:r>
      <w:r>
        <w:rPr>
          <w:sz w:val="24"/>
        </w:rPr>
        <w:t xml:space="preserve">Por lo que respecta al «banco central nacional» de la entidad de crédito, se sigue la definición que figura en el artículo 28, apartado 8, del Reglamento Delegado (UE) 2015/61.</w:t>
      </w:r>
    </w:p>
    <w:p w14:paraId="252F77C9" w14:textId="4C9BCC25" w:rsidR="00F71050" w:rsidRPr="000B6B22" w:rsidRDefault="00F71050">
      <w:pPr>
        <w:pStyle w:val="InstructionsText2"/>
        <w:spacing w:after="120"/>
        <w:rPr>
          <w:sz w:val="24"/>
          <w:szCs w:val="24"/>
          <w:rFonts w:eastAsia="PMingLiU" w:cs="Times New Roman"/>
        </w:rPr>
      </w:pPr>
      <w:r>
        <w:rPr>
          <w:sz w:val="24"/>
        </w:rPr>
        <w:t xml:space="preserve">Las permutas de garantías reales que venzan en los 30 días naturales siguientes darán lugar a una entrada en la que, con arreglo al capítulo 2 del Reglamento Delegado (UE) 2015/61, el activo prestado es objeto de un recorte de valoración inferior al del activo tomado en préstamo.</w:t>
      </w:r>
      <w:r>
        <w:rPr>
          <w:sz w:val="24"/>
        </w:rPr>
        <w:t xml:space="preserve"> </w:t>
      </w:r>
      <w:r>
        <w:rPr>
          <w:sz w:val="24"/>
        </w:rPr>
        <w:t xml:space="preserve">La entrada se calculará multiplicando el valor de mercado del activo prestado por la diferencia entre el índice de entrada aplicable al activo tomado en préstamo y el índice de entrada aplicable al activo prestado en las operaciones de financiación garantizada que venzan en los 30 días naturales siguientes.</w:t>
      </w:r>
      <w:r>
        <w:rPr>
          <w:sz w:val="24"/>
        </w:rPr>
        <w:t xml:space="preserve"> </w:t>
      </w:r>
      <w:r>
        <w:rPr>
          <w:sz w:val="24"/>
        </w:rPr>
        <w:t xml:space="preserve">Si las garantías reales obtenidas se utilizan para cubrir posiciones cortas que puedan prolongarse más allá de 30 días naturales, no se reconocerá ninguna entrada.</w:t>
      </w:r>
    </w:p>
    <w:p w14:paraId="29131344" w14:textId="4A439145" w:rsidR="00F71050" w:rsidRPr="000B6B22" w:rsidRDefault="00F71050">
      <w:pPr>
        <w:pStyle w:val="InstructionsText2"/>
        <w:spacing w:after="120"/>
        <w:rPr>
          <w:sz w:val="24"/>
          <w:szCs w:val="24"/>
          <w:rFonts w:eastAsia="PMingLiU" w:cs="Times New Roman"/>
        </w:rPr>
      </w:pPr>
      <w:r>
        <w:rPr>
          <w:sz w:val="24"/>
        </w:rPr>
        <w:t xml:space="preserve">En el caso de los activos líquidos, el valor de liquidez se calcula de conformidad con el artículo 9 del Reglamento Delegado (UE) 2015/61.</w:t>
      </w:r>
    </w:p>
    <w:p w14:paraId="5BD6E8D9" w14:textId="09E78D86" w:rsidR="00F71050" w:rsidRPr="000B6B22" w:rsidRDefault="00F71050">
      <w:pPr>
        <w:pStyle w:val="InstructionsText2"/>
        <w:spacing w:after="120"/>
        <w:rPr>
          <w:sz w:val="24"/>
          <w:szCs w:val="24"/>
          <w:rFonts w:eastAsia="PMingLiU" w:cs="Times New Roman"/>
        </w:rPr>
      </w:pPr>
      <w:r>
        <w:rPr>
          <w:sz w:val="24"/>
        </w:rPr>
        <w:t xml:space="preserve">Cada operación de permuta de garantías reales se evaluará individualmente y el correspondiente flujo se comunicará como salida o entrada (por operación) en la fila pertinente.</w:t>
      </w:r>
      <w:r>
        <w:rPr>
          <w:sz w:val="24"/>
        </w:rPr>
        <w:t xml:space="preserve"> </w:t>
      </w:r>
      <w:r>
        <w:rPr>
          <w:sz w:val="24"/>
        </w:rPr>
        <w:t xml:space="preserve">Si una operación contiene múltiples categorías de tipos de garantías reales (por ejemplo, una cesta de activos de garantía), se comunicará desglosada en partes, conforme a las filas de la plantilla, y se evaluará por partes.</w:t>
      </w:r>
      <w:r>
        <w:rPr>
          <w:sz w:val="24"/>
        </w:rPr>
        <w:t xml:space="preserve"> </w:t>
      </w:r>
      <w:r>
        <w:rPr>
          <w:sz w:val="24"/>
        </w:rPr>
        <w:t xml:space="preserve">En el contexto de las operaciones de permuta de cestas o conjuntos de garantías reales que venzan en los 30 días naturales siguientes, los activos distintos del efectivo prestados se asignarán individualmente a los activos distintos del efectivo tomados en préstamo, de conformidad con las categorías de activos líquidos que se definen en el título II, capítulo 2, del Reglamento Delegado (UE) 2015/61, comenzando por la combinación menos líquida (es decir, activos distintos del efectivo y no líquidos prestados, activos distintos del efectivo y no líquidos tomados en préstamo).</w:t>
      </w:r>
      <w:r>
        <w:rPr>
          <w:sz w:val="24"/>
        </w:rPr>
        <w:t xml:space="preserve"> </w:t>
      </w:r>
      <w:r>
        <w:rPr>
          <w:sz w:val="24"/>
        </w:rPr>
        <w:t xml:space="preserve">Todo excedente de garantías reales dentro de una combinación se desplazará a la categoría superior, de modo que, hasta la combinación más líquida, las combinaciones pertinentes se correspondan plenamente.</w:t>
      </w:r>
      <w:r>
        <w:rPr>
          <w:sz w:val="24"/>
        </w:rPr>
        <w:t xml:space="preserve"> </w:t>
      </w:r>
      <w:r>
        <w:rPr>
          <w:sz w:val="24"/>
        </w:rPr>
        <w:t xml:space="preserve">Todo excedente de garantías reales se plasmará entonces en la combinación más líquida.</w:t>
      </w:r>
    </w:p>
    <w:p w14:paraId="5EAFC22B" w14:textId="35C61A17" w:rsidR="00F71050" w:rsidRPr="000B6B22" w:rsidRDefault="00F71050">
      <w:pPr>
        <w:pStyle w:val="InstructionsText2"/>
        <w:spacing w:after="120"/>
        <w:rPr>
          <w:sz w:val="24"/>
          <w:szCs w:val="24"/>
          <w:rFonts w:eastAsia="PMingLiU" w:cs="Times New Roman"/>
        </w:rPr>
      </w:pPr>
      <w:r>
        <w:rPr>
          <w:sz w:val="24"/>
        </w:rPr>
        <w:t xml:space="preserve">Las operaciones de permuta de garantías reales que impliquen acciones o participaciones en OIC se comunicarán como si las operaciones implicasen los activos subyacentes del OIC.</w:t>
      </w:r>
      <w:r>
        <w:rPr>
          <w:sz w:val="24"/>
        </w:rPr>
        <w:t xml:space="preserve"> </w:t>
      </w:r>
      <w:r>
        <w:rPr>
          <w:sz w:val="24"/>
        </w:rPr>
        <w:t xml:space="preserve">Los diferentes recortes de valoración aplicados a las acciones o participaciones en OIC se reflejarán en el correspondiente índice de salida o entrada que debe comunicarse.</w:t>
      </w:r>
    </w:p>
    <w:p w14:paraId="17B8D6B2" w14:textId="132D07E7" w:rsidR="00F71050" w:rsidRPr="000B6B22" w:rsidRDefault="00F71050">
      <w:pPr>
        <w:pStyle w:val="InstructionsText2"/>
        <w:spacing w:after="120"/>
        <w:rPr>
          <w:sz w:val="24"/>
          <w:szCs w:val="24"/>
          <w:rFonts w:eastAsia="PMingLiU" w:cs="Times New Roman"/>
        </w:rPr>
      </w:pPr>
      <w:r>
        <w:rPr>
          <w:sz w:val="24"/>
        </w:rPr>
        <w:t xml:space="preserve">Las entidades de crédito presentarán la plantilla en las correspondientes monedas con arreglo al artículo 415, apartado 2, del Reglamento (UE) n.º 575/2013.</w:t>
      </w:r>
      <w:r>
        <w:rPr>
          <w:sz w:val="24"/>
        </w:rPr>
        <w:t xml:space="preserve"> </w:t>
      </w:r>
      <w:r>
        <w:rPr>
          <w:sz w:val="24"/>
        </w:rPr>
        <w:t xml:space="preserve">En este caso, los saldos comunicados comprenderán únicamente los que estén denominados en la divisa pertinente, a fin de garantizar que los desfases entre divisas se reflejen correctamente.</w:t>
      </w:r>
      <w:r>
        <w:rPr>
          <w:sz w:val="24"/>
        </w:rPr>
        <w:t xml:space="preserve"> </w:t>
      </w:r>
      <w:r>
        <w:rPr>
          <w:sz w:val="24"/>
        </w:rPr>
        <w:t xml:space="preserve">Esto puede significar que solo se consigne en la plantilla de la divisa pertinente un lado de la operación, con los correspondientes efectos en el valor de liquidez excedentario.</w:t>
      </w:r>
    </w:p>
    <w:p w14:paraId="291133CC" w14:textId="4194EBA0" w:rsidR="00F71050" w:rsidRPr="000B6B22" w:rsidRDefault="00F71050">
      <w:pPr>
        <w:keepNext/>
        <w:spacing w:before="0"/>
        <w:ind w:left="357" w:hanging="357"/>
        <w:outlineLvl w:val="1"/>
        <w:rPr>
          <w:sz w:val="24"/>
          <w:rFonts w:ascii="Times New Roman" w:eastAsia="PMingLiU" w:hAnsi="Times New Roman"/>
        </w:rPr>
      </w:pPr>
      <w:r>
        <w:rPr>
          <w:sz w:val="24"/>
          <w:rFonts w:ascii="Times New Roman" w:hAnsi="Times New Roman"/>
        </w:rPr>
        <w:t xml:space="preserve">1.2.</w:t>
      </w:r>
      <w:r>
        <w:rPr>
          <w:sz w:val="24"/>
          <w:rFonts w:ascii="Times New Roman" w:hAnsi="Times New Roman"/>
        </w:rPr>
        <w:t xml:space="preserve"> </w:t>
      </w:r>
      <w:r>
        <w:rPr>
          <w:sz w:val="24"/>
          <w:rFonts w:ascii="Times New Roman" w:hAnsi="Times New Roman"/>
        </w:rPr>
        <w:t xml:space="preserve">Observaciones específicas</w:t>
      </w:r>
    </w:p>
    <w:p w14:paraId="13FCD761" w14:textId="6F946856" w:rsidR="00F71050" w:rsidRPr="000B6B22" w:rsidRDefault="00F71050">
      <w:pPr>
        <w:pStyle w:val="InstructionsText2"/>
        <w:spacing w:after="120"/>
        <w:rPr>
          <w:sz w:val="24"/>
          <w:szCs w:val="24"/>
          <w:rFonts w:eastAsia="PMingLiU" w:cs="Times New Roman"/>
        </w:rPr>
      </w:pPr>
      <w:r>
        <w:rPr>
          <w:sz w:val="24"/>
        </w:rPr>
        <w:t xml:space="preserve">Para el cálculo de las entradas o salidas, las operaciones de permuta de garantías reales se comunicarán con independencia de que las correspondientes garantías reales subyacentes cumplan, o cumplieran de no haber sido utilizadas para garantizar esa operación, los requisitos operativos previstos en el artículo 8 del Reglamento Delegado (UE) 2015/61.</w:t>
      </w:r>
      <w:r>
        <w:rPr>
          <w:sz w:val="24"/>
        </w:rPr>
        <w:t xml:space="preserve"> </w:t>
      </w:r>
      <w:r>
        <w:rPr>
          <w:sz w:val="24"/>
        </w:rPr>
        <w:t xml:space="preserve">Además, a fin de permitir el cálculo de la reserva ajustada de activos líquidos de conformidad con el artículo 17, apartado 2, del Reglamento Delegado (UE) 2015/61, las entidades de crédito también comunicarán por separado las operaciones en las que al menos un componente de las garantías reales cumpla los requisitos operativos previstos en el artículo 8 de ese Reglamento Delegado.</w:t>
      </w:r>
    </w:p>
    <w:p w14:paraId="65DF558A" w14:textId="5BC1B3A1" w:rsidR="00F71050" w:rsidRPr="000B6B22" w:rsidRDefault="00F71050">
      <w:pPr>
        <w:pStyle w:val="InstructionsText2"/>
        <w:spacing w:after="120"/>
        <w:rPr>
          <w:sz w:val="24"/>
          <w:szCs w:val="24"/>
          <w:rFonts w:eastAsia="PMingLiU" w:cs="Times New Roman"/>
        </w:rPr>
      </w:pPr>
      <w:r>
        <w:rPr>
          <w:sz w:val="24"/>
        </w:rPr>
        <w:t xml:space="preserve">Cuando una entidad solo pueda reconocer parte de 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artículo 12, apartado 1, letra c), inciso ii), y el artículo 10, apartado 1, letra d), del Reglamento Delegado (UE) 2015/61.</w:t>
      </w:r>
      <w:r>
        <w:rPr>
          <w:sz w:val="24"/>
        </w:rPr>
        <w:t xml:space="preserve"> </w:t>
      </w:r>
      <w:r>
        <w:rPr>
          <w:sz w:val="24"/>
        </w:rPr>
        <w:t xml:space="preserve">Cuando el activo de que se trate se utilice como garantía real por un importe que exceda de la parte que pueda reconocerse como activo líquido, el importe excedentario deberá consignarse en la sección no líquida.</w:t>
      </w:r>
    </w:p>
    <w:p w14:paraId="43E17CE7" w14:textId="105C6179" w:rsidR="00F71050" w:rsidRPr="000B6B22" w:rsidRDefault="00F71050">
      <w:pPr>
        <w:pStyle w:val="InstructionsText2"/>
        <w:spacing w:after="120"/>
        <w:rPr>
          <w:sz w:val="24"/>
          <w:szCs w:val="24"/>
          <w:rFonts w:eastAsia="PMingLiU" w:cs="Times New Roman"/>
        </w:rPr>
      </w:pPr>
      <w:r>
        <w:rPr>
          <w:sz w:val="24"/>
        </w:rPr>
        <w:t xml:space="preserve">Las permutas de garantías reales que impliquen activos de nivel 2A se comunicarán en la correspondiente fila de activos de nivel 2A, incluso si se sigue un enfoque alternativo de tratamiento de la liquidez (es decir, en la comunicación de permutas de garantías reales no deben trasladarse al nivel 1 las partidas del nivel 2A).</w:t>
      </w:r>
    </w:p>
    <w:p w14:paraId="3C8187BB" w14:textId="41AF1E75" w:rsidR="00F71050" w:rsidRPr="000B6B22" w:rsidRDefault="0062009E">
      <w:pPr>
        <w:keepNext/>
        <w:spacing w:before="0"/>
        <w:ind w:left="720" w:hanging="720"/>
        <w:outlineLvl w:val="1"/>
        <w:rPr>
          <w:sz w:val="24"/>
          <w:rFonts w:ascii="Times New Roman" w:eastAsia="PMingLiU"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Subplantilla de permutas de garantías reales</w:t>
      </w:r>
    </w:p>
    <w:p w14:paraId="5040D44B" w14:textId="2E6019DD"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1.3.1</w:t>
      </w:r>
      <w:r>
        <w:rPr>
          <w:sz w:val="24"/>
          <w:rFonts w:ascii="Times New Roman" w:hAnsi="Times New Roman"/>
        </w:rPr>
        <w:tab/>
      </w:r>
      <w:r>
        <w:rPr>
          <w:sz w:val="24"/>
          <w:rFonts w:ascii="Times New Roman" w:hAnsi="Times New Roman"/>
        </w:rPr>
        <w:t xml:space="preserve">Instrucciones relativas a columnas específicas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Columna</w:t>
            </w:r>
          </w:p>
        </w:tc>
        <w:tc>
          <w:tcPr>
            <w:tcW w:w="7087" w:type="dxa"/>
            <w:shd w:val="clear" w:color="auto" w:fill="E6E6E6"/>
          </w:tcPr>
          <w:p w14:paraId="1356F924"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Referencias jurídicas e instrucciones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087" w:type="dxa"/>
            <w:shd w:val="clear" w:color="auto" w:fill="auto"/>
          </w:tcPr>
          <w:p w14:paraId="569C4E60"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Valor de mercado de las garantías reales prestadas</w:t>
            </w:r>
          </w:p>
          <w:p w14:paraId="1A57E4B8" w14:textId="72F5ED7F" w:rsidR="00F71050" w:rsidRPr="000B6B22" w:rsidRDefault="00F71050" w:rsidP="009D4EFF">
            <w:pPr>
              <w:spacing w:before="0"/>
              <w:ind w:left="-89"/>
              <w:rPr>
                <w:bCs/>
                <w:sz w:val="24"/>
                <w:rFonts w:ascii="Times New Roman" w:eastAsia="PMingLiU" w:hAnsi="Times New Roman"/>
              </w:rPr>
            </w:pPr>
            <w:r>
              <w:rPr>
                <w:sz w:val="24"/>
                <w:rFonts w:ascii="Times New Roman" w:hAnsi="Times New Roman"/>
              </w:rPr>
              <w:t xml:space="preserve">El valor de mercado de las garantías reales prestadas se comunicará en la columna 0010.</w:t>
            </w:r>
            <w:r>
              <w:rPr>
                <w:sz w:val="24"/>
                <w:rFonts w:ascii="Times New Roman" w:hAnsi="Times New Roman"/>
              </w:rPr>
              <w:t xml:space="preserve"> </w:t>
            </w:r>
            <w:r>
              <w:rPr>
                <w:sz w:val="24"/>
                <w:rFonts w:ascii="Times New Roman" w:hAnsi="Times New Roman"/>
              </w:rPr>
              <w:t xml:space="preserve">El valor de mercado reflejará el valor actual de mercado, sin deducción de los recortes de valoración, pero sí de los flujos resultantes de la reversión de las coberturas correspondientes con arreglo al artículo 8, apartado 5, del</w:t>
            </w:r>
            <w:r>
              <w:rPr>
                <w:sz w:val="24"/>
                <w:rFonts w:ascii="Times New Roman" w:hAnsi="Times New Roman"/>
              </w:rPr>
              <w:t xml:space="preserve"> Reglamento Delegado (UE)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087" w:type="dxa"/>
            <w:shd w:val="clear" w:color="auto" w:fill="auto"/>
          </w:tcPr>
          <w:p w14:paraId="65813A34"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Valor de liquidez de las garantías reales prestadas</w:t>
            </w:r>
          </w:p>
          <w:p w14:paraId="744CC458" w14:textId="5A2878F1"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El valor de liquidez de las garantías reales prestadas se comunicará en la columna 0020.</w:t>
            </w:r>
            <w:r>
              <w:rPr>
                <w:sz w:val="24"/>
                <w:rFonts w:ascii="Times New Roman" w:hAnsi="Times New Roman"/>
              </w:rPr>
              <w:t xml:space="preserve"> </w:t>
            </w:r>
            <w:r>
              <w:rPr>
                <w:sz w:val="24"/>
                <w:rFonts w:ascii="Times New Roman" w:hAnsi="Times New Roman"/>
              </w:rPr>
              <w:t xml:space="preserve">En el caso de los activos líquidos, el valor de liquidez reflejará el valor del activo, neto de recortes de valoración.</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087" w:type="dxa"/>
          </w:tcPr>
          <w:p w14:paraId="3D925073"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Valor de mercado de las garantías reales tomadas en préstamo</w:t>
            </w:r>
          </w:p>
          <w:p w14:paraId="783AFA6A" w14:textId="5DB4989B" w:rsidR="00F71050" w:rsidRPr="000B6B22" w:rsidRDefault="00F71050" w:rsidP="009D4EFF">
            <w:pPr>
              <w:autoSpaceDE w:val="0"/>
              <w:autoSpaceDN w:val="0"/>
              <w:adjustRightInd w:val="0"/>
              <w:spacing w:before="0"/>
              <w:ind w:left="-89"/>
              <w:rPr>
                <w:sz w:val="24"/>
                <w:rFonts w:ascii="Times New Roman" w:eastAsia="PMingLiU" w:hAnsi="Times New Roman"/>
              </w:rPr>
            </w:pPr>
            <w:r>
              <w:rPr>
                <w:sz w:val="24"/>
                <w:rFonts w:ascii="Times New Roman" w:hAnsi="Times New Roman"/>
              </w:rPr>
              <w:t xml:space="preserve">El valor de mercado de las garantías reales tomadas en préstamo se comunicará en la columna 0030.</w:t>
            </w:r>
            <w:r>
              <w:rPr>
                <w:sz w:val="24"/>
                <w:rFonts w:ascii="Times New Roman" w:hAnsi="Times New Roman"/>
              </w:rPr>
              <w:t xml:space="preserve"> </w:t>
            </w:r>
            <w:r>
              <w:rPr>
                <w:sz w:val="24"/>
                <w:rFonts w:ascii="Times New Roman" w:hAnsi="Times New Roman"/>
              </w:rPr>
              <w:t xml:space="preserve">El valor de mercado reflejará el valor actual de mercado, sin deducción de los recortes de valoración, pero sí de los flujos resultantes de la reversión de las coberturas correspondientes con arreglo al artículo 8, apartado 5, del Reglamento Delegado (UE)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087" w:type="dxa"/>
          </w:tcPr>
          <w:p w14:paraId="724A290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Valor de liquidez de las garantías reales tomadas en préstamo</w:t>
            </w:r>
          </w:p>
          <w:p w14:paraId="221551A8" w14:textId="5B3C330D"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El valor de liquidez de las garantías reales tomadas en préstamo se comunicará en la columna 0040.</w:t>
            </w:r>
            <w:r>
              <w:rPr>
                <w:sz w:val="24"/>
                <w:rFonts w:ascii="Times New Roman" w:hAnsi="Times New Roman"/>
              </w:rPr>
              <w:t xml:space="preserve"> </w:t>
            </w:r>
            <w:r>
              <w:rPr>
                <w:sz w:val="24"/>
                <w:rFonts w:ascii="Times New Roman" w:hAnsi="Times New Roman"/>
              </w:rPr>
              <w:t xml:space="preserve">En el caso de los activos líquidos, el valor de liquidez reflejará el valor del activo, neto de recortes de valoración.</w:t>
            </w:r>
            <w:r>
              <w:rPr>
                <w:sz w:val="24"/>
                <w:rFonts w:ascii="Times New Roman" w:hAnsi="Times New Roman"/>
              </w:rPr>
              <w:t xml:space="preserve">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087" w:type="dxa"/>
          </w:tcPr>
          <w:p w14:paraId="7DB799C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Ponderación estándar</w:t>
            </w:r>
          </w:p>
          <w:p w14:paraId="0792AD27" w14:textId="744F51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Artículos 28 y 32 del Reglamento Delegado (UE) 2015/61</w:t>
            </w:r>
          </w:p>
          <w:p w14:paraId="21096672" w14:textId="09FF5ABF"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Las ponderaciones estándar que se indican en la columna 0050 son las especificadas por defecto en el Reglamento Delegado (UE) 2015/61 y se incluyen exclusivamente con fines de información.</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087" w:type="dxa"/>
          </w:tcPr>
          <w:p w14:paraId="51239FB1"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Ponderación aplicable</w:t>
            </w:r>
          </w:p>
          <w:p w14:paraId="5EB218B9" w14:textId="21E6D6F1"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Artículos 28 y 32 del Reglamento Delegado (UE) 2015/61</w:t>
            </w:r>
          </w:p>
          <w:p w14:paraId="716B5FB9" w14:textId="1EFC13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Las ponderaciones aplicables</w:t>
            </w:r>
            <w:r>
              <w:rPr>
                <w:sz w:val="24"/>
                <w:rFonts w:ascii="Times New Roman" w:hAnsi="Times New Roman"/>
              </w:rPr>
              <w:t xml:space="preserve"> son las especificadas en los artículos 28 y 32 del Reglamento Delegado (UE) 2015/61.</w:t>
            </w:r>
            <w:r>
              <w:rPr>
                <w:sz w:val="24"/>
                <w:rFonts w:ascii="Times New Roman" w:hAnsi="Times New Roman"/>
              </w:rPr>
              <w:t xml:space="preserve"> </w:t>
            </w:r>
            <w:r>
              <w:rPr>
                <w:sz w:val="24"/>
                <w:rFonts w:ascii="Times New Roman" w:hAnsi="Times New Roman"/>
              </w:rPr>
              <w:t xml:space="preserve">Las ponderaciones aplicables pueden arrojar valores medios ponderados y se consignarán en cifras decimales (es decir, 1,00 para una ponderación aplicable del 100 por cien, o 0,50 para una ponderación aplicable del 50 por ciento).</w:t>
            </w:r>
            <w:r>
              <w:rPr>
                <w:sz w:val="24"/>
                <w:rFonts w:ascii="Times New Roman" w:hAnsi="Times New Roman"/>
              </w:rPr>
              <w:t xml:space="preserve"> </w:t>
            </w:r>
            <w:r>
              <w:rPr>
                <w:sz w:val="24"/>
                <w:rFonts w:ascii="Times New Roman" w:hAnsi="Times New Roman"/>
              </w:rPr>
              <w:t xml:space="preserve">Las ponderaciones aplicables pueden reflejar, aunque no exclusivamente, decisiones adoptadas discrecionalmente por las empresas o las autoridades nacionales.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087" w:type="dxa"/>
          </w:tcPr>
          <w:p w14:paraId="59174A8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Salidas</w:t>
            </w:r>
          </w:p>
          <w:p w14:paraId="6D936D1E" w14:textId="6634DB72"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Las entidades de crédito comunicarán aquí las salidas.</w:t>
            </w:r>
            <w:r>
              <w:rPr>
                <w:sz w:val="24"/>
                <w:rFonts w:ascii="Times New Roman" w:hAnsi="Times New Roman"/>
              </w:rPr>
              <w:t xml:space="preserve"> </w:t>
            </w:r>
            <w:r>
              <w:rPr>
                <w:sz w:val="24"/>
                <w:rFonts w:ascii="Times New Roman" w:hAnsi="Times New Roman"/>
              </w:rPr>
              <w:t xml:space="preserve">Este valor se calculará multiplicando la columna 0060 por la columna 0030, ambas de la plantilla C75.01 del anexo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087" w:type="dxa"/>
          </w:tcPr>
          <w:p w14:paraId="3398FDF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Entradas sujetas al límite máximo del 75 %</w:t>
            </w:r>
          </w:p>
          <w:p w14:paraId="5117380C" w14:textId="743615B9"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Las entidades de crédito comunicarán aquí las entradas de operaciones sujetas al límite máximo del 75 % sobre las entradas.</w:t>
            </w:r>
            <w:r>
              <w:rPr>
                <w:sz w:val="24"/>
                <w:rFonts w:ascii="Times New Roman" w:hAnsi="Times New Roman"/>
              </w:rPr>
              <w:t xml:space="preserve"> </w:t>
            </w:r>
            <w:r>
              <w:rPr>
                <w:sz w:val="24"/>
                <w:rFonts w:ascii="Times New Roman" w:hAnsi="Times New Roman"/>
              </w:rPr>
              <w:t xml:space="preserve">Este valor se calculará multiplicando la columna 0060 por la columna 0010, ambas de la plantilla C 75.01 del anexo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087" w:type="dxa"/>
          </w:tcPr>
          <w:p w14:paraId="1187773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Entradas sujetas al límite máximo del 90 %</w:t>
            </w:r>
          </w:p>
          <w:p w14:paraId="34F55EF6" w14:textId="59EC4A13"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Las entidades de crédito comunicarán aquí las entradas de operaciones sujetas al límite máximo del 90 % sobre las entradas.</w:t>
            </w:r>
            <w:r>
              <w:rPr>
                <w:sz w:val="24"/>
                <w:rFonts w:ascii="Times New Roman" w:hAnsi="Times New Roman"/>
              </w:rPr>
              <w:t xml:space="preserve"> </w:t>
            </w:r>
            <w:r>
              <w:rPr>
                <w:sz w:val="24"/>
                <w:rFonts w:ascii="Times New Roman" w:hAnsi="Times New Roman"/>
              </w:rPr>
              <w:t xml:space="preserve">Este valor se calculará multiplicando la columna 0060 por la columna 0010, ambas de la plantilla C 75.01 del anexo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087" w:type="dxa"/>
          </w:tcPr>
          <w:p w14:paraId="08F902E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Entradas exentas del límite máximo</w:t>
            </w:r>
          </w:p>
          <w:p w14:paraId="3B784AFC" w14:textId="088AC206"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Las entidades de crédito comunicarán aquí las entradas de operaciones exentas del límite máximo sobre las entradas.</w:t>
            </w:r>
            <w:r>
              <w:rPr>
                <w:sz w:val="24"/>
                <w:rFonts w:ascii="Times New Roman" w:hAnsi="Times New Roman"/>
              </w:rPr>
              <w:t xml:space="preserve"> </w:t>
            </w:r>
            <w:r>
              <w:rPr>
                <w:sz w:val="24"/>
                <w:rFonts w:ascii="Times New Roman" w:hAnsi="Times New Roman"/>
              </w:rPr>
              <w:t xml:space="preserve">Este valor se calculará multiplicando la columna 0060 por la columna 0010, ambas de la plantilla C 75.01 del anexo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1.3.2</w:t>
      </w:r>
      <w:r>
        <w:rPr>
          <w:sz w:val="24"/>
          <w:rFonts w:ascii="Times New Roman" w:hAnsi="Times New Roman"/>
        </w:rPr>
        <w:tab/>
      </w:r>
      <w:r>
        <w:rPr>
          <w:sz w:val="24"/>
          <w:rFonts w:ascii="Times New Roman" w:hAnsi="Times New Roman"/>
        </w:rPr>
        <w:t xml:space="preserve">Instrucciones relativas a filas concretas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Fila</w:t>
            </w:r>
          </w:p>
        </w:tc>
        <w:tc>
          <w:tcPr>
            <w:tcW w:w="7371" w:type="dxa"/>
            <w:shd w:val="clear" w:color="auto" w:fill="E6E6E6"/>
          </w:tcPr>
          <w:p w14:paraId="062CCB6A"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Referencias jurídicas e instrucciones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371" w:type="dxa"/>
            <w:shd w:val="clear" w:color="auto" w:fill="auto"/>
          </w:tcPr>
          <w:p w14:paraId="0D752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TOTAL DE PERMUTAS DE GARANTÍAS REALES (la contraparte es un banco central)</w:t>
            </w:r>
          </w:p>
          <w:p w14:paraId="410748FC" w14:textId="4775223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5F65B00E" w14:textId="5A9F472E"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371" w:type="dxa"/>
            <w:shd w:val="clear" w:color="auto" w:fill="auto"/>
          </w:tcPr>
          <w:p w14:paraId="694BB43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Totales de las operaciones en las que se prestan activos de nivel 1 (excepto bonos garantizados de calidad sumamente elevada) y se toman en préstamo las garantías reales siguientes:</w:t>
            </w:r>
          </w:p>
          <w:p w14:paraId="184C7FC3" w14:textId="73AD54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67B4CC98" w14:textId="1AA4CDBD"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cada columna pertinente, los valores totales de las permutas de garantías reales de operaciones en las que se presten activos de nivel 1 (excepto bonos garantizados de calidad sumamente elevada).</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371" w:type="dxa"/>
          </w:tcPr>
          <w:p w14:paraId="4F6BB82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6C852399" w14:textId="196D357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activos de nivel 1, excepto bonos garantizados de calidad sumamente elevada (tomados en préstamo).</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371" w:type="dxa"/>
          </w:tcPr>
          <w:p w14:paraId="4DE4E92C" w14:textId="77777777" w:rsidR="00F71050" w:rsidRPr="000B6B22" w:rsidRDefault="00F71050" w:rsidP="009D4EFF">
            <w:pPr>
              <w:numPr>
                <w:ilvl w:val="3"/>
                <w:numId w:val="42"/>
              </w:numPr>
              <w:spacing w:before="0"/>
              <w:ind w:left="-84"/>
              <w:rPr>
                <w:b/>
                <w:bCs/>
                <w:sz w:val="24"/>
                <w:rFonts w:ascii="Times New Roman" w:eastAsia="PMingLiU" w:hAnsi="Times New Roman"/>
              </w:rPr>
            </w:pPr>
            <w:r>
              <w:rPr>
                <w:b/>
                <w:sz w:val="24"/>
                <w:rFonts w:ascii="Times New Roman" w:hAnsi="Times New Roman"/>
              </w:rPr>
              <w:t xml:space="preserve">De las cuales: las garantías reales permutadas cumplen los requisitos operativos</w:t>
            </w:r>
          </w:p>
          <w:p w14:paraId="39840EA4" w14:textId="0DA8981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1.1.1., las entidades de crédito comunicarán:</w:t>
            </w:r>
          </w:p>
          <w:p w14:paraId="1A327DA6" w14:textId="6D3D3F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7124514" w14:textId="17E00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371" w:type="dxa"/>
          </w:tcPr>
          <w:p w14:paraId="4AE201C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6343EDA3" w14:textId="093AB95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bonos garantizados de calidad sumamente elevada de nivel 1 (tomados en préstamo).</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371" w:type="dxa"/>
          </w:tcPr>
          <w:p w14:paraId="40FAEF8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DE48B07" w14:textId="6ABE6FD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1.1.2., las entidades de crédito comunicarán:</w:t>
            </w:r>
          </w:p>
          <w:p w14:paraId="38B522D4" w14:textId="6D7658D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53F3015" w14:textId="2CE62DE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371" w:type="dxa"/>
          </w:tcPr>
          <w:p w14:paraId="7703CE4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1.1.3.</w:t>
            </w:r>
            <w:r>
              <w:rPr>
                <w:b/>
                <w:sz w:val="24"/>
                <w:rFonts w:ascii="Times New Roman" w:hAnsi="Times New Roman"/>
              </w:rPr>
              <w:t xml:space="preserve"> </w:t>
            </w:r>
            <w:r>
              <w:rPr>
                <w:b/>
                <w:sz w:val="24"/>
                <w:rFonts w:ascii="Times New Roman" w:hAnsi="Times New Roman"/>
              </w:rPr>
              <w:t xml:space="preserve">Activos de nivel 2A</w:t>
            </w:r>
          </w:p>
          <w:p w14:paraId="2DB904B2" w14:textId="4C54998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activos de nivel 2A (tomados en préstamo).</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371" w:type="dxa"/>
          </w:tcPr>
          <w:p w14:paraId="289776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4C76F3D" w14:textId="4DB18E0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1.1.3., las entidades de crédito comunicarán:</w:t>
            </w:r>
          </w:p>
          <w:p w14:paraId="1244B5D3" w14:textId="53198B4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829D8B9" w14:textId="6491E4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371" w:type="dxa"/>
          </w:tcPr>
          <w:p w14:paraId="6524DEFB" w14:textId="4BFE69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401007E4" w14:textId="7A15191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bonos de titulización de</w:t>
            </w:r>
            <w:r>
              <w:rPr>
                <w:sz w:val="24"/>
                <w:rFonts w:ascii="Times New Roman" w:hAnsi="Times New Roman"/>
              </w:rPr>
              <w:t xml:space="preserve"> activos de nivel 2B (residenciales o automóviles, nivel de calidad crediticia 1) (tomados en préstamo).</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371" w:type="dxa"/>
          </w:tcPr>
          <w:p w14:paraId="2F96C8D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9C09BA4" w14:textId="6032C1C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1.1.4., las entidades de crédito comunicarán:</w:t>
            </w:r>
          </w:p>
          <w:p w14:paraId="6724542D" w14:textId="231EBCC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423A59A" w14:textId="167087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0110</w:t>
            </w:r>
          </w:p>
        </w:tc>
        <w:tc>
          <w:tcPr>
            <w:tcW w:w="7371" w:type="dxa"/>
          </w:tcPr>
          <w:p w14:paraId="0A7A32A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7FAE02E7" w14:textId="7604AB0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bonos garantizados de calidad elevada de nivel 2B (tomados en préstamo).</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0120</w:t>
            </w:r>
          </w:p>
        </w:tc>
        <w:tc>
          <w:tcPr>
            <w:tcW w:w="7371" w:type="dxa"/>
          </w:tcPr>
          <w:p w14:paraId="5D17C84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4F5FC02" w14:textId="3404A81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1.1.5., las entidades de crédito comunicarán:</w:t>
            </w:r>
          </w:p>
          <w:p w14:paraId="47742E12" w14:textId="1CD915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03545B1" w14:textId="2C21517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0130</w:t>
            </w:r>
          </w:p>
        </w:tc>
        <w:tc>
          <w:tcPr>
            <w:tcW w:w="7371" w:type="dxa"/>
          </w:tcPr>
          <w:p w14:paraId="49852CE1" w14:textId="153FA8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4479AE9C" w14:textId="3CA283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bonos de titulización de activos de nivel 2B (comerciales o particulares, Estados miembros, nivel de calidad crediticia 1) (tomados en préstamo).</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0140</w:t>
            </w:r>
          </w:p>
        </w:tc>
        <w:tc>
          <w:tcPr>
            <w:tcW w:w="7371" w:type="dxa"/>
          </w:tcPr>
          <w:p w14:paraId="26C560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036CCC8" w14:textId="4199D52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1.1.6., las entidades de crédito comunicarán:</w:t>
            </w:r>
          </w:p>
          <w:p w14:paraId="429173F7" w14:textId="4593151B" w:rsidR="00F71050" w:rsidRPr="00CA314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3DDE118" w14:textId="369D81C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0150</w:t>
            </w:r>
          </w:p>
        </w:tc>
        <w:tc>
          <w:tcPr>
            <w:tcW w:w="7371" w:type="dxa"/>
          </w:tcPr>
          <w:p w14:paraId="0FA04E43" w14:textId="5388886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1.1.7.</w:t>
            </w:r>
            <w:r>
              <w:rPr>
                <w:b/>
                <w:sz w:val="24"/>
                <w:rFonts w:ascii="Times New Roman" w:hAnsi="Times New Roman"/>
              </w:rPr>
              <w:t xml:space="preserve"> </w:t>
            </w:r>
            <w:r>
              <w:rPr>
                <w:b/>
                <w:sz w:val="24"/>
                <w:rFonts w:ascii="Times New Roman" w:hAnsi="Times New Roman"/>
              </w:rPr>
              <w:t xml:space="preserve">Otros de nivel 2B</w:t>
            </w:r>
          </w:p>
          <w:p w14:paraId="22DBEB81" w14:textId="64E42FA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otros de nivel 2B (tomados en préstamo).</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0160</w:t>
            </w:r>
          </w:p>
        </w:tc>
        <w:tc>
          <w:tcPr>
            <w:tcW w:w="7371" w:type="dxa"/>
          </w:tcPr>
          <w:p w14:paraId="252EAF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7818693" w14:textId="777777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1.1.7., las entidades de crédito comunicarán:</w:t>
            </w:r>
          </w:p>
          <w:p w14:paraId="73354A47" w14:textId="14FD564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8620A36" w14:textId="210557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0170</w:t>
            </w:r>
          </w:p>
        </w:tc>
        <w:tc>
          <w:tcPr>
            <w:tcW w:w="7371" w:type="dxa"/>
          </w:tcPr>
          <w:p w14:paraId="535565B8"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1.1.8.</w:t>
            </w:r>
            <w:r>
              <w:rPr>
                <w:b/>
                <w:sz w:val="24"/>
                <w:rFonts w:ascii="Times New Roman" w:hAnsi="Times New Roman"/>
              </w:rPr>
              <w:t xml:space="preserve"> </w:t>
            </w:r>
            <w:r>
              <w:rPr>
                <w:b/>
                <w:sz w:val="24"/>
                <w:rFonts w:ascii="Times New Roman" w:hAnsi="Times New Roman"/>
              </w:rPr>
              <w:t xml:space="preserve">Activos no líquidos</w:t>
            </w:r>
          </w:p>
          <w:p w14:paraId="2C554E3D" w14:textId="7A9544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activos no líquidos (tomados en préstamo).</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sz w:val="24"/>
                <w:rFonts w:ascii="Times New Roman" w:eastAsia="PMingLiU" w:hAnsi="Times New Roman"/>
              </w:rPr>
            </w:pPr>
            <w:r>
              <w:rPr>
                <w:sz w:val="24"/>
                <w:rFonts w:ascii="Times New Roman" w:hAnsi="Times New Roman"/>
              </w:rPr>
              <w:t xml:space="preserve">0180</w:t>
            </w:r>
          </w:p>
        </w:tc>
        <w:tc>
          <w:tcPr>
            <w:tcW w:w="7371" w:type="dxa"/>
            <w:shd w:val="clear" w:color="auto" w:fill="auto"/>
          </w:tcPr>
          <w:p w14:paraId="27DB139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78C3420" w14:textId="4B6E8B0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1.1.8.,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sz w:val="24"/>
                <w:rFonts w:ascii="Times New Roman" w:eastAsia="PMingLiU" w:hAnsi="Times New Roman"/>
              </w:rPr>
            </w:pPr>
            <w:r>
              <w:rPr>
                <w:sz w:val="24"/>
                <w:rFonts w:ascii="Times New Roman" w:hAnsi="Times New Roman"/>
              </w:rPr>
              <w:t xml:space="preserve">0190</w:t>
            </w:r>
          </w:p>
        </w:tc>
        <w:tc>
          <w:tcPr>
            <w:tcW w:w="7371" w:type="dxa"/>
            <w:shd w:val="clear" w:color="auto" w:fill="auto"/>
          </w:tcPr>
          <w:p w14:paraId="48B0D3F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Totales de las operaciones en las que se prestan bonos garantizados de calidad sumamente elevada de nivel 1 y se toman en préstamo las garantías reales siguientes:</w:t>
            </w:r>
          </w:p>
          <w:p w14:paraId="4643050A" w14:textId="01D198B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6ED00D2A" w14:textId="6F4F65A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en operaciones en las que se prestan bonos garantizados de calidad sumamente elevada de nivel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sz w:val="24"/>
                <w:rFonts w:ascii="Times New Roman" w:eastAsia="PMingLiU" w:hAnsi="Times New Roman"/>
              </w:rPr>
            </w:pPr>
            <w:r>
              <w:rPr>
                <w:sz w:val="24"/>
                <w:rFonts w:ascii="Times New Roman" w:hAnsi="Times New Roman"/>
              </w:rPr>
              <w:t xml:space="preserve">0200</w:t>
            </w:r>
          </w:p>
        </w:tc>
        <w:tc>
          <w:tcPr>
            <w:tcW w:w="7371" w:type="dxa"/>
          </w:tcPr>
          <w:p w14:paraId="340C6D3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555F3227" w14:textId="53FC203F"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activos de nivel 1, excepto bonos garantizados de calidad sumamente elevada (tomados en préstamo).</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sz w:val="24"/>
                <w:rFonts w:ascii="Times New Roman" w:eastAsia="PMingLiU" w:hAnsi="Times New Roman"/>
              </w:rPr>
            </w:pPr>
            <w:r>
              <w:rPr>
                <w:sz w:val="24"/>
                <w:rFonts w:ascii="Times New Roman" w:hAnsi="Times New Roman"/>
              </w:rPr>
              <w:t xml:space="preserve">0210</w:t>
            </w:r>
          </w:p>
        </w:tc>
        <w:tc>
          <w:tcPr>
            <w:tcW w:w="7371" w:type="dxa"/>
          </w:tcPr>
          <w:p w14:paraId="31404B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952F7E5" w14:textId="17ED324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1.2.1., las entidades de crédito comunicarán:</w:t>
            </w:r>
          </w:p>
          <w:p w14:paraId="76343C89" w14:textId="1F24179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241D593" w14:textId="0A6DE3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sz w:val="24"/>
                <w:rFonts w:ascii="Times New Roman" w:eastAsia="PMingLiU" w:hAnsi="Times New Roman"/>
              </w:rPr>
            </w:pPr>
            <w:r>
              <w:rPr>
                <w:sz w:val="24"/>
                <w:rFonts w:ascii="Times New Roman" w:hAnsi="Times New Roman"/>
              </w:rPr>
              <w:t xml:space="preserve">0220</w:t>
            </w:r>
          </w:p>
        </w:tc>
        <w:tc>
          <w:tcPr>
            <w:tcW w:w="7371" w:type="dxa"/>
          </w:tcPr>
          <w:p w14:paraId="06FE7B22"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5D12E0BC" w14:textId="14CB75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bonos garantizados de calidad sumamente elevada de nivel 1 (tomados en préstamo).</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sz w:val="24"/>
                <w:rFonts w:ascii="Times New Roman" w:eastAsia="PMingLiU" w:hAnsi="Times New Roman"/>
              </w:rPr>
            </w:pPr>
            <w:r>
              <w:rPr>
                <w:sz w:val="24"/>
                <w:rFonts w:ascii="Times New Roman" w:hAnsi="Times New Roman"/>
              </w:rPr>
              <w:t xml:space="preserve">0230</w:t>
            </w:r>
          </w:p>
        </w:tc>
        <w:tc>
          <w:tcPr>
            <w:tcW w:w="7371" w:type="dxa"/>
          </w:tcPr>
          <w:p w14:paraId="172E555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C729744" w14:textId="5C640D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1.2.2., las entidades de crédito comunicarán:</w:t>
            </w:r>
          </w:p>
          <w:p w14:paraId="5FEF820C" w14:textId="05710321"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122E9EA" w14:textId="5B91C4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sz w:val="24"/>
                <w:rFonts w:ascii="Times New Roman" w:eastAsia="PMingLiU" w:hAnsi="Times New Roman"/>
              </w:rPr>
            </w:pPr>
            <w:r>
              <w:rPr>
                <w:sz w:val="24"/>
                <w:rFonts w:ascii="Times New Roman" w:hAnsi="Times New Roman"/>
              </w:rPr>
              <w:t xml:space="preserve">0240</w:t>
            </w:r>
          </w:p>
        </w:tc>
        <w:tc>
          <w:tcPr>
            <w:tcW w:w="7371" w:type="dxa"/>
          </w:tcPr>
          <w:p w14:paraId="4D5E41D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1.2.3.</w:t>
            </w:r>
            <w:r>
              <w:rPr>
                <w:b/>
                <w:sz w:val="24"/>
                <w:rFonts w:ascii="Times New Roman" w:hAnsi="Times New Roman"/>
              </w:rPr>
              <w:t xml:space="preserve"> </w:t>
            </w:r>
            <w:r>
              <w:rPr>
                <w:b/>
                <w:sz w:val="24"/>
                <w:rFonts w:ascii="Times New Roman" w:hAnsi="Times New Roman"/>
              </w:rPr>
              <w:t xml:space="preserve">Activos de nivel 2A</w:t>
            </w:r>
          </w:p>
          <w:p w14:paraId="4D8A60F9" w14:textId="2182FC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activos de nivel 2A (tomados en préstamo).</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sz w:val="24"/>
                <w:rFonts w:ascii="Times New Roman" w:eastAsia="PMingLiU" w:hAnsi="Times New Roman"/>
              </w:rPr>
            </w:pPr>
            <w:r>
              <w:rPr>
                <w:sz w:val="24"/>
                <w:rFonts w:ascii="Times New Roman" w:hAnsi="Times New Roman"/>
              </w:rPr>
              <w:t xml:space="preserve">0250</w:t>
            </w:r>
          </w:p>
        </w:tc>
        <w:tc>
          <w:tcPr>
            <w:tcW w:w="7371" w:type="dxa"/>
          </w:tcPr>
          <w:p w14:paraId="16D790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E1E7C56" w14:textId="390C26D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1.2.3., las entidades de crédito comunicarán:</w:t>
            </w:r>
          </w:p>
          <w:p w14:paraId="4294B0F4" w14:textId="26FF579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27FAFB7" w14:textId="2239CAD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sz w:val="24"/>
                <w:rFonts w:ascii="Times New Roman" w:eastAsia="PMingLiU" w:hAnsi="Times New Roman"/>
              </w:rPr>
            </w:pPr>
            <w:r>
              <w:rPr>
                <w:sz w:val="24"/>
                <w:rFonts w:ascii="Times New Roman" w:hAnsi="Times New Roman"/>
              </w:rPr>
              <w:t xml:space="preserve">0260</w:t>
            </w:r>
          </w:p>
        </w:tc>
        <w:tc>
          <w:tcPr>
            <w:tcW w:w="7371" w:type="dxa"/>
          </w:tcPr>
          <w:p w14:paraId="26410FC8" w14:textId="1E2836D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14FC8217" w14:textId="48601D7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bonos de titulización de activos de nivel 2B (residenciales o automóviles, nivel de calidad crediticia 1) (tomados en préstamo).</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sz w:val="24"/>
                <w:rFonts w:ascii="Times New Roman" w:eastAsia="PMingLiU" w:hAnsi="Times New Roman"/>
              </w:rPr>
            </w:pPr>
            <w:r>
              <w:rPr>
                <w:sz w:val="24"/>
                <w:rFonts w:ascii="Times New Roman" w:hAnsi="Times New Roman"/>
              </w:rPr>
              <w:t xml:space="preserve">0270</w:t>
            </w:r>
          </w:p>
        </w:tc>
        <w:tc>
          <w:tcPr>
            <w:tcW w:w="7371" w:type="dxa"/>
          </w:tcPr>
          <w:p w14:paraId="3A82B5F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5757BAA" w14:textId="2A586EB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1.2.4., las entidades de crédito comunicarán:</w:t>
            </w:r>
          </w:p>
          <w:p w14:paraId="47160DB0" w14:textId="6EB6A5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3DC2E9A" w14:textId="1D9C840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sz w:val="24"/>
                <w:rFonts w:ascii="Times New Roman" w:eastAsia="PMingLiU" w:hAnsi="Times New Roman"/>
              </w:rPr>
            </w:pPr>
            <w:r>
              <w:rPr>
                <w:sz w:val="24"/>
                <w:rFonts w:ascii="Times New Roman" w:hAnsi="Times New Roman"/>
              </w:rPr>
              <w:t xml:space="preserve">0280</w:t>
            </w:r>
          </w:p>
        </w:tc>
        <w:tc>
          <w:tcPr>
            <w:tcW w:w="7371" w:type="dxa"/>
          </w:tcPr>
          <w:p w14:paraId="6C91B00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50CDA7BE" w14:textId="46704C9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bonos garantizados de calidad elevada de nivel 2B (tomados en préstamo).</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sz w:val="24"/>
                <w:rFonts w:ascii="Times New Roman" w:eastAsia="PMingLiU" w:hAnsi="Times New Roman"/>
              </w:rPr>
            </w:pPr>
            <w:r>
              <w:rPr>
                <w:sz w:val="24"/>
                <w:rFonts w:ascii="Times New Roman" w:hAnsi="Times New Roman"/>
              </w:rPr>
              <w:t xml:space="preserve">0290</w:t>
            </w:r>
          </w:p>
        </w:tc>
        <w:tc>
          <w:tcPr>
            <w:tcW w:w="7371" w:type="dxa"/>
          </w:tcPr>
          <w:p w14:paraId="18E250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CEB7826" w14:textId="3DEE62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1.2.5., las entidades de crédito comunicarán:</w:t>
            </w:r>
          </w:p>
          <w:p w14:paraId="716CDADA" w14:textId="5D384B3F"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1875A5C" w14:textId="53ABA7C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sz w:val="24"/>
                <w:rFonts w:ascii="Times New Roman" w:eastAsia="PMingLiU" w:hAnsi="Times New Roman"/>
              </w:rPr>
            </w:pPr>
            <w:r>
              <w:rPr>
                <w:sz w:val="24"/>
                <w:rFonts w:ascii="Times New Roman" w:hAnsi="Times New Roman"/>
              </w:rPr>
              <w:t xml:space="preserve">0300</w:t>
            </w:r>
          </w:p>
        </w:tc>
        <w:tc>
          <w:tcPr>
            <w:tcW w:w="7371" w:type="dxa"/>
          </w:tcPr>
          <w:p w14:paraId="648449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13EE4808" w14:textId="4C43E01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bonos de titulización de activos de nivel 2B (comerciales o particulares, Estados miembros, nivel de calidad crediticia 1) (tomados en préstamo).</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sz w:val="24"/>
                <w:rFonts w:ascii="Times New Roman" w:eastAsia="PMingLiU" w:hAnsi="Times New Roman"/>
              </w:rPr>
            </w:pPr>
            <w:r>
              <w:rPr>
                <w:sz w:val="24"/>
                <w:rFonts w:ascii="Times New Roman" w:hAnsi="Times New Roman"/>
              </w:rPr>
              <w:t xml:space="preserve">0310</w:t>
            </w:r>
          </w:p>
        </w:tc>
        <w:tc>
          <w:tcPr>
            <w:tcW w:w="7371" w:type="dxa"/>
          </w:tcPr>
          <w:p w14:paraId="5E933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C54FC94" w14:textId="7BCC023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1.2.6., las entidades de crédito comunicarán:</w:t>
            </w:r>
          </w:p>
          <w:p w14:paraId="58B9497B" w14:textId="6480B8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347CB0A" w14:textId="62F7DDB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sz w:val="24"/>
                <w:rFonts w:ascii="Times New Roman" w:eastAsia="PMingLiU" w:hAnsi="Times New Roman"/>
              </w:rPr>
            </w:pPr>
            <w:r>
              <w:rPr>
                <w:sz w:val="24"/>
                <w:rFonts w:ascii="Times New Roman" w:hAnsi="Times New Roman"/>
              </w:rPr>
              <w:t xml:space="preserve">0320</w:t>
            </w:r>
          </w:p>
        </w:tc>
        <w:tc>
          <w:tcPr>
            <w:tcW w:w="7371" w:type="dxa"/>
          </w:tcPr>
          <w:p w14:paraId="5113AC8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1.2.7.</w:t>
            </w:r>
            <w:r>
              <w:rPr>
                <w:b/>
                <w:sz w:val="24"/>
                <w:rFonts w:ascii="Times New Roman" w:hAnsi="Times New Roman"/>
              </w:rPr>
              <w:t xml:space="preserve"> </w:t>
            </w:r>
            <w:r>
              <w:rPr>
                <w:b/>
                <w:sz w:val="24"/>
                <w:rFonts w:ascii="Times New Roman" w:hAnsi="Times New Roman"/>
              </w:rPr>
              <w:t xml:space="preserve">Otros de nivel 2B</w:t>
            </w:r>
          </w:p>
          <w:p w14:paraId="1E1BA5AB" w14:textId="6776A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otros activos de nivel 2B (tomados en préstamo).</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sz w:val="24"/>
                <w:rFonts w:ascii="Times New Roman" w:eastAsia="PMingLiU" w:hAnsi="Times New Roman"/>
              </w:rPr>
            </w:pPr>
            <w:r>
              <w:rPr>
                <w:sz w:val="24"/>
                <w:rFonts w:ascii="Times New Roman" w:hAnsi="Times New Roman"/>
              </w:rPr>
              <w:t xml:space="preserve">0330</w:t>
            </w:r>
          </w:p>
        </w:tc>
        <w:tc>
          <w:tcPr>
            <w:tcW w:w="7371" w:type="dxa"/>
          </w:tcPr>
          <w:p w14:paraId="106163C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3FD0C76" w14:textId="70BA1DA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1.2.7., las entidades de crédito comunicarán:</w:t>
            </w:r>
          </w:p>
          <w:p w14:paraId="26138FC2" w14:textId="67107D3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628D79E0" w14:textId="4F3639C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sz w:val="24"/>
                <w:rFonts w:ascii="Times New Roman" w:eastAsia="PMingLiU" w:hAnsi="Times New Roman"/>
              </w:rPr>
            </w:pPr>
            <w:r>
              <w:rPr>
                <w:sz w:val="24"/>
                <w:rFonts w:ascii="Times New Roman" w:hAnsi="Times New Roman"/>
              </w:rPr>
              <w:t xml:space="preserve">0340</w:t>
            </w:r>
          </w:p>
        </w:tc>
        <w:tc>
          <w:tcPr>
            <w:tcW w:w="7371" w:type="dxa"/>
          </w:tcPr>
          <w:p w14:paraId="1D486D23"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1.2.8.</w:t>
            </w:r>
            <w:r>
              <w:rPr>
                <w:b/>
                <w:sz w:val="24"/>
                <w:rFonts w:ascii="Times New Roman" w:hAnsi="Times New Roman"/>
              </w:rPr>
              <w:t xml:space="preserve"> </w:t>
            </w:r>
            <w:r>
              <w:rPr>
                <w:b/>
                <w:sz w:val="24"/>
                <w:rFonts w:ascii="Times New Roman" w:hAnsi="Times New Roman"/>
              </w:rPr>
              <w:t xml:space="preserve">Activos no líquidos</w:t>
            </w:r>
          </w:p>
          <w:p w14:paraId="19A09A85" w14:textId="6B1BCD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activos no líquidos (tomados en préstamo).</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sz w:val="24"/>
                <w:rFonts w:ascii="Times New Roman" w:eastAsia="PMingLiU" w:hAnsi="Times New Roman"/>
              </w:rPr>
            </w:pPr>
            <w:r>
              <w:rPr>
                <w:sz w:val="24"/>
                <w:rFonts w:ascii="Times New Roman" w:hAnsi="Times New Roman"/>
              </w:rPr>
              <w:t xml:space="preserve">0350</w:t>
            </w:r>
          </w:p>
        </w:tc>
        <w:tc>
          <w:tcPr>
            <w:tcW w:w="7371" w:type="dxa"/>
            <w:shd w:val="clear" w:color="auto" w:fill="auto"/>
          </w:tcPr>
          <w:p w14:paraId="728CF50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B968F38" w14:textId="3BBDDB4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1.2.8.,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sz w:val="24"/>
                <w:rFonts w:ascii="Times New Roman" w:eastAsia="PMingLiU" w:hAnsi="Times New Roman"/>
              </w:rPr>
            </w:pPr>
            <w:r>
              <w:rPr>
                <w:sz w:val="24"/>
                <w:rFonts w:ascii="Times New Roman" w:hAnsi="Times New Roman"/>
              </w:rPr>
              <w:t xml:space="preserve">0360</w:t>
            </w:r>
          </w:p>
        </w:tc>
        <w:tc>
          <w:tcPr>
            <w:tcW w:w="7371" w:type="dxa"/>
            <w:shd w:val="clear" w:color="auto" w:fill="auto"/>
          </w:tcPr>
          <w:p w14:paraId="310C7245" w14:textId="7D9108B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Totales de las operaciones en las que se prestan activos de nivel 2A y se toman en préstamo las garantías reales siguientes:</w:t>
            </w:r>
          </w:p>
          <w:p w14:paraId="1FFCDDE2" w14:textId="07892B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18C6DD95" w14:textId="19A5CBC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en operaciones en las que se prestan activos de nivel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sz w:val="24"/>
                <w:rFonts w:ascii="Times New Roman" w:eastAsia="PMingLiU" w:hAnsi="Times New Roman"/>
              </w:rPr>
            </w:pPr>
            <w:r>
              <w:rPr>
                <w:sz w:val="24"/>
                <w:rFonts w:ascii="Times New Roman" w:hAnsi="Times New Roman"/>
              </w:rPr>
              <w:t xml:space="preserve">0370</w:t>
            </w:r>
          </w:p>
        </w:tc>
        <w:tc>
          <w:tcPr>
            <w:tcW w:w="7371" w:type="dxa"/>
          </w:tcPr>
          <w:p w14:paraId="51C1A87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2EFD9EA3" w14:textId="6FF4E39F"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Operaciones en las que la entidad ha permutado activos de nivel 2A (prestados) por activos de nivel 1, excepto bonos garantizados de calidad sumamente elevada (tomados en préstamo).</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sz w:val="24"/>
                <w:rFonts w:ascii="Times New Roman" w:eastAsia="PMingLiU" w:hAnsi="Times New Roman"/>
              </w:rPr>
            </w:pPr>
            <w:r>
              <w:rPr>
                <w:sz w:val="24"/>
                <w:rFonts w:ascii="Times New Roman" w:hAnsi="Times New Roman"/>
              </w:rPr>
              <w:t xml:space="preserve">0380</w:t>
            </w:r>
          </w:p>
        </w:tc>
        <w:tc>
          <w:tcPr>
            <w:tcW w:w="7371" w:type="dxa"/>
          </w:tcPr>
          <w:p w14:paraId="0670399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D5AC6F8" w14:textId="4017D10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1.3.1., las entidades de crédito comunicarán:</w:t>
            </w:r>
          </w:p>
          <w:p w14:paraId="2F16BF7A" w14:textId="05E89FC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077DDEC" w14:textId="20CD395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sz w:val="24"/>
                <w:rFonts w:ascii="Times New Roman" w:eastAsia="PMingLiU" w:hAnsi="Times New Roman"/>
              </w:rPr>
            </w:pPr>
            <w:r>
              <w:rPr>
                <w:sz w:val="24"/>
                <w:rFonts w:ascii="Times New Roman" w:hAnsi="Times New Roman"/>
              </w:rPr>
              <w:t xml:space="preserve">0390</w:t>
            </w:r>
          </w:p>
        </w:tc>
        <w:tc>
          <w:tcPr>
            <w:tcW w:w="7371" w:type="dxa"/>
          </w:tcPr>
          <w:p w14:paraId="5E302C8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5B43DE08" w14:textId="2E028F8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bonos garantizados de calidad sumamente elevada de nivel 1 (tomados en préstamo).</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sz w:val="24"/>
                <w:rFonts w:ascii="Times New Roman" w:eastAsia="PMingLiU" w:hAnsi="Times New Roman"/>
              </w:rPr>
            </w:pPr>
            <w:r>
              <w:rPr>
                <w:sz w:val="24"/>
                <w:rFonts w:ascii="Times New Roman" w:hAnsi="Times New Roman"/>
              </w:rPr>
              <w:t xml:space="preserve">0400</w:t>
            </w:r>
          </w:p>
        </w:tc>
        <w:tc>
          <w:tcPr>
            <w:tcW w:w="7371" w:type="dxa"/>
            <w:shd w:val="clear" w:color="auto" w:fill="FFFFFF"/>
          </w:tcPr>
          <w:p w14:paraId="022B794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06AD511" w14:textId="355E0E4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1.3.2., las entidades de crédito comunicarán:</w:t>
            </w:r>
          </w:p>
          <w:p w14:paraId="49A076F5" w14:textId="4E0C2D1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73024E5" w14:textId="33480AE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sz w:val="24"/>
                <w:rFonts w:ascii="Times New Roman" w:eastAsia="PMingLiU" w:hAnsi="Times New Roman"/>
              </w:rPr>
            </w:pPr>
            <w:r>
              <w:rPr>
                <w:sz w:val="24"/>
                <w:rFonts w:ascii="Times New Roman" w:hAnsi="Times New Roman"/>
              </w:rPr>
              <w:t xml:space="preserve">0410</w:t>
            </w:r>
          </w:p>
        </w:tc>
        <w:tc>
          <w:tcPr>
            <w:tcW w:w="7371" w:type="dxa"/>
            <w:shd w:val="clear" w:color="auto" w:fill="FFFFFF"/>
          </w:tcPr>
          <w:p w14:paraId="0658873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1.3.3.</w:t>
            </w:r>
            <w:r>
              <w:rPr>
                <w:b/>
                <w:sz w:val="24"/>
                <w:rFonts w:ascii="Times New Roman" w:hAnsi="Times New Roman"/>
              </w:rPr>
              <w:t xml:space="preserve"> </w:t>
            </w:r>
            <w:r>
              <w:rPr>
                <w:b/>
                <w:sz w:val="24"/>
                <w:rFonts w:ascii="Times New Roman" w:hAnsi="Times New Roman"/>
              </w:rPr>
              <w:t xml:space="preserve">Activos de nivel 2A</w:t>
            </w:r>
          </w:p>
          <w:p w14:paraId="037081F6" w14:textId="1007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activos de nivel 2A (tomados en préstamo).</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sz w:val="24"/>
                <w:rFonts w:ascii="Times New Roman" w:eastAsia="PMingLiU" w:hAnsi="Times New Roman"/>
              </w:rPr>
            </w:pPr>
            <w:r>
              <w:rPr>
                <w:sz w:val="24"/>
                <w:rFonts w:ascii="Times New Roman" w:hAnsi="Times New Roman"/>
              </w:rPr>
              <w:t xml:space="preserve">0420</w:t>
            </w:r>
          </w:p>
        </w:tc>
        <w:tc>
          <w:tcPr>
            <w:tcW w:w="7371" w:type="dxa"/>
            <w:shd w:val="clear" w:color="auto" w:fill="auto"/>
          </w:tcPr>
          <w:p w14:paraId="7F2B53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9527EBC" w14:textId="7591E78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1.3.3., las entidades de crédito comunicarán:</w:t>
            </w:r>
          </w:p>
          <w:p w14:paraId="2EE99B60" w14:textId="769F9CB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62FE51E" w14:textId="7DA7468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sz w:val="24"/>
                <w:rFonts w:ascii="Times New Roman" w:eastAsia="PMingLiU" w:hAnsi="Times New Roman"/>
              </w:rPr>
            </w:pPr>
            <w:r>
              <w:rPr>
                <w:sz w:val="24"/>
                <w:rFonts w:ascii="Times New Roman" w:hAnsi="Times New Roman"/>
              </w:rPr>
              <w:t xml:space="preserve">0430</w:t>
            </w:r>
          </w:p>
        </w:tc>
        <w:tc>
          <w:tcPr>
            <w:tcW w:w="7371" w:type="dxa"/>
            <w:shd w:val="clear" w:color="auto" w:fill="auto"/>
          </w:tcPr>
          <w:p w14:paraId="57AEEE1C" w14:textId="154A5E5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07EA60B5" w14:textId="166CB41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bonos de titulización de activos de nivel 2B (residenciales o automóviles, nivel de calidad crediticia 1) (tomados en préstamo).</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sz w:val="24"/>
                <w:rFonts w:ascii="Times New Roman" w:eastAsia="PMingLiU" w:hAnsi="Times New Roman"/>
              </w:rPr>
            </w:pPr>
            <w:r>
              <w:rPr>
                <w:sz w:val="24"/>
                <w:rFonts w:ascii="Times New Roman" w:hAnsi="Times New Roman"/>
              </w:rPr>
              <w:t xml:space="preserve">0440</w:t>
            </w:r>
          </w:p>
        </w:tc>
        <w:tc>
          <w:tcPr>
            <w:tcW w:w="7371" w:type="dxa"/>
            <w:shd w:val="clear" w:color="auto" w:fill="auto"/>
          </w:tcPr>
          <w:p w14:paraId="5188738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FD9E5CA" w14:textId="6344FB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1.3.4., las entidades de crédito comunicarán:</w:t>
            </w:r>
          </w:p>
          <w:p w14:paraId="2812B3D3" w14:textId="688136FE"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647FC6DE" w14:textId="4027993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sz w:val="24"/>
                <w:rFonts w:ascii="Times New Roman" w:eastAsia="PMingLiU" w:hAnsi="Times New Roman"/>
              </w:rPr>
            </w:pPr>
            <w:r>
              <w:rPr>
                <w:sz w:val="24"/>
                <w:rFonts w:ascii="Times New Roman" w:hAnsi="Times New Roman"/>
              </w:rPr>
              <w:t xml:space="preserve">0450</w:t>
            </w:r>
          </w:p>
        </w:tc>
        <w:tc>
          <w:tcPr>
            <w:tcW w:w="7371" w:type="dxa"/>
            <w:shd w:val="clear" w:color="auto" w:fill="auto"/>
          </w:tcPr>
          <w:p w14:paraId="761CA89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7C2EFE69" w14:textId="39B523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bonos garantizados de calidad elevada de nivel 2B (tomados en préstamo).</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sz w:val="24"/>
                <w:rFonts w:ascii="Times New Roman" w:eastAsia="PMingLiU" w:hAnsi="Times New Roman"/>
              </w:rPr>
            </w:pPr>
            <w:r>
              <w:rPr>
                <w:sz w:val="24"/>
                <w:rFonts w:ascii="Times New Roman" w:hAnsi="Times New Roman"/>
              </w:rPr>
              <w:t xml:space="preserve">0460</w:t>
            </w:r>
          </w:p>
        </w:tc>
        <w:tc>
          <w:tcPr>
            <w:tcW w:w="7371" w:type="dxa"/>
            <w:shd w:val="clear" w:color="auto" w:fill="FFFFFF"/>
          </w:tcPr>
          <w:p w14:paraId="5050A12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E1075C8" w14:textId="3436CA4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1.3.5., las entidades de crédito comunicarán:</w:t>
            </w:r>
          </w:p>
          <w:p w14:paraId="215DF84B" w14:textId="7527FA65"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EE3EA25" w14:textId="19BDE98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sz w:val="24"/>
                <w:rFonts w:ascii="Times New Roman" w:eastAsia="PMingLiU" w:hAnsi="Times New Roman"/>
              </w:rPr>
            </w:pPr>
            <w:r>
              <w:rPr>
                <w:sz w:val="24"/>
                <w:rFonts w:ascii="Times New Roman" w:hAnsi="Times New Roman"/>
              </w:rPr>
              <w:t xml:space="preserve">0470</w:t>
            </w:r>
          </w:p>
        </w:tc>
        <w:tc>
          <w:tcPr>
            <w:tcW w:w="7371" w:type="dxa"/>
            <w:shd w:val="clear" w:color="auto" w:fill="FFFFFF"/>
          </w:tcPr>
          <w:p w14:paraId="278D37CE" w14:textId="25B3DA9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4D52C25C" w14:textId="4BEBB7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bonos de titulización de activos de nivel 2B (comerciales o particulares, Estados miembros, nivel de calidad crediticia 1) (tomados en préstamo).</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sz w:val="24"/>
                <w:rFonts w:ascii="Times New Roman" w:eastAsia="PMingLiU" w:hAnsi="Times New Roman"/>
              </w:rPr>
            </w:pPr>
            <w:r>
              <w:rPr>
                <w:sz w:val="24"/>
                <w:rFonts w:ascii="Times New Roman" w:hAnsi="Times New Roman"/>
              </w:rPr>
              <w:t xml:space="preserve">0480</w:t>
            </w:r>
          </w:p>
        </w:tc>
        <w:tc>
          <w:tcPr>
            <w:tcW w:w="7371" w:type="dxa"/>
            <w:shd w:val="clear" w:color="auto" w:fill="FFFFFF"/>
          </w:tcPr>
          <w:p w14:paraId="66BE68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5B14CB8" w14:textId="49120F0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1.3.6., las entidades de crédito comunicarán:</w:t>
            </w:r>
          </w:p>
          <w:p w14:paraId="27D34E68" w14:textId="5E1EC6F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3672233B" w14:textId="2CDDD0D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sz w:val="24"/>
                <w:rFonts w:ascii="Times New Roman" w:eastAsia="PMingLiU" w:hAnsi="Times New Roman"/>
              </w:rPr>
            </w:pPr>
            <w:r>
              <w:rPr>
                <w:sz w:val="24"/>
                <w:rFonts w:ascii="Times New Roman" w:hAnsi="Times New Roman"/>
              </w:rPr>
              <w:t xml:space="preserve">0490</w:t>
            </w:r>
          </w:p>
        </w:tc>
        <w:tc>
          <w:tcPr>
            <w:tcW w:w="7371" w:type="dxa"/>
            <w:shd w:val="clear" w:color="auto" w:fill="FFFFFF"/>
          </w:tcPr>
          <w:p w14:paraId="18A8AB5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1.3.7.</w:t>
            </w:r>
            <w:r>
              <w:rPr>
                <w:b/>
                <w:sz w:val="24"/>
                <w:rFonts w:ascii="Times New Roman" w:hAnsi="Times New Roman"/>
              </w:rPr>
              <w:t xml:space="preserve"> </w:t>
            </w:r>
            <w:r>
              <w:rPr>
                <w:b/>
                <w:sz w:val="24"/>
                <w:rFonts w:ascii="Times New Roman" w:hAnsi="Times New Roman"/>
              </w:rPr>
              <w:t xml:space="preserve">Otros de nivel 2B</w:t>
            </w:r>
          </w:p>
          <w:p w14:paraId="2CD874A2" w14:textId="54A1D67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w:t>
            </w:r>
            <w:r>
              <w:rPr>
                <w:sz w:val="24"/>
                <w:rFonts w:ascii="Times New Roman" w:hAnsi="Times New Roman"/>
              </w:rPr>
              <w:t xml:space="preserve"> activos de nivel 2A (prestados) por otros activos de nivel 2B (tomados en préstamo).</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sz w:val="24"/>
                <w:rFonts w:ascii="Times New Roman" w:eastAsia="PMingLiU" w:hAnsi="Times New Roman"/>
              </w:rPr>
            </w:pPr>
            <w:r>
              <w:rPr>
                <w:sz w:val="24"/>
                <w:rFonts w:ascii="Times New Roman" w:hAnsi="Times New Roman"/>
              </w:rPr>
              <w:t xml:space="preserve">0500</w:t>
            </w:r>
          </w:p>
        </w:tc>
        <w:tc>
          <w:tcPr>
            <w:tcW w:w="7371" w:type="dxa"/>
            <w:shd w:val="clear" w:color="auto" w:fill="FFFFFF"/>
          </w:tcPr>
          <w:p w14:paraId="7D0127A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236FFFA" w14:textId="4C2A9B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1.3.7., las entidades de crédito comunicarán:</w:t>
            </w:r>
          </w:p>
          <w:p w14:paraId="68A655E5" w14:textId="5FAD97ED"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633363CB" w14:textId="21AA53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sz w:val="24"/>
                <w:rFonts w:ascii="Times New Roman" w:eastAsia="PMingLiU" w:hAnsi="Times New Roman"/>
              </w:rPr>
            </w:pPr>
            <w:r>
              <w:rPr>
                <w:sz w:val="24"/>
                <w:rFonts w:ascii="Times New Roman" w:hAnsi="Times New Roman"/>
              </w:rPr>
              <w:t xml:space="preserve">0510</w:t>
            </w:r>
          </w:p>
        </w:tc>
        <w:tc>
          <w:tcPr>
            <w:tcW w:w="7371" w:type="dxa"/>
            <w:shd w:val="clear" w:color="auto" w:fill="FFFFFF"/>
          </w:tcPr>
          <w:p w14:paraId="651DCE70" w14:textId="1E48137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1.3.8.</w:t>
            </w:r>
            <w:r>
              <w:rPr>
                <w:b/>
                <w:sz w:val="24"/>
                <w:rFonts w:ascii="Times New Roman" w:hAnsi="Times New Roman"/>
              </w:rPr>
              <w:t xml:space="preserve"> </w:t>
            </w:r>
            <w:r>
              <w:rPr>
                <w:b/>
                <w:sz w:val="24"/>
                <w:rFonts w:ascii="Times New Roman" w:hAnsi="Times New Roman"/>
              </w:rPr>
              <w:t xml:space="preserve">Activos no líquidos</w:t>
            </w:r>
          </w:p>
          <w:p w14:paraId="73311BEB" w14:textId="2E6DC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activos no líquidos (tomados en préstamo).</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sz w:val="24"/>
                <w:rFonts w:ascii="Times New Roman" w:eastAsia="PMingLiU" w:hAnsi="Times New Roman"/>
              </w:rPr>
            </w:pPr>
            <w:r>
              <w:rPr>
                <w:sz w:val="24"/>
                <w:rFonts w:ascii="Times New Roman" w:hAnsi="Times New Roman"/>
              </w:rPr>
              <w:t xml:space="preserve">0520</w:t>
            </w:r>
          </w:p>
        </w:tc>
        <w:tc>
          <w:tcPr>
            <w:tcW w:w="7371" w:type="dxa"/>
            <w:shd w:val="clear" w:color="auto" w:fill="auto"/>
          </w:tcPr>
          <w:p w14:paraId="32E61A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D5F7F9E" w14:textId="45BCA52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1.3.8.,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sz w:val="24"/>
                <w:rFonts w:ascii="Times New Roman" w:eastAsia="PMingLiU" w:hAnsi="Times New Roman"/>
              </w:rPr>
            </w:pPr>
            <w:r>
              <w:rPr>
                <w:sz w:val="24"/>
                <w:rFonts w:ascii="Times New Roman" w:hAnsi="Times New Roman"/>
              </w:rPr>
              <w:t xml:space="preserve">0530</w:t>
            </w:r>
          </w:p>
        </w:tc>
        <w:tc>
          <w:tcPr>
            <w:tcW w:w="7371" w:type="dxa"/>
            <w:shd w:val="clear" w:color="auto" w:fill="auto"/>
          </w:tcPr>
          <w:p w14:paraId="05A5308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Totales de las operaciones en las que se prestan bonos de titulización de activos de nivel 2B (residenciales o automóviles, nivel de calidad crediticia 1) y se toman en préstamo las garantías reales siguientes:</w:t>
            </w:r>
          </w:p>
          <w:p w14:paraId="3139FF9C" w14:textId="6FFBF60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4A779F6B" w14:textId="59D90DE5"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las operaciones en las que se prestan bonos de titulización de activos de nivel 2B (residenciales o automóviles, nivel de calidad crediticia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sz w:val="24"/>
                <w:rFonts w:ascii="Times New Roman" w:eastAsia="PMingLiU" w:hAnsi="Times New Roman"/>
              </w:rPr>
            </w:pPr>
            <w:r>
              <w:rPr>
                <w:sz w:val="24"/>
                <w:rFonts w:ascii="Times New Roman" w:hAnsi="Times New Roman"/>
              </w:rPr>
              <w:t xml:space="preserve">0540</w:t>
            </w:r>
          </w:p>
        </w:tc>
        <w:tc>
          <w:tcPr>
            <w:tcW w:w="7371" w:type="dxa"/>
            <w:shd w:val="clear" w:color="auto" w:fill="FFFFFF"/>
          </w:tcPr>
          <w:p w14:paraId="081E182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52C01C4F" w14:textId="7CF22665"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activos de nivel 1, excepto bonos garantizados de calidad sumamente elevada (tomados en préstamo).</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sz w:val="24"/>
                <w:rFonts w:ascii="Times New Roman" w:eastAsia="PMingLiU" w:hAnsi="Times New Roman"/>
              </w:rPr>
            </w:pPr>
            <w:r>
              <w:rPr>
                <w:sz w:val="24"/>
                <w:rFonts w:ascii="Times New Roman" w:hAnsi="Times New Roman"/>
              </w:rPr>
              <w:t xml:space="preserve">0550</w:t>
            </w:r>
          </w:p>
        </w:tc>
        <w:tc>
          <w:tcPr>
            <w:tcW w:w="7371" w:type="dxa"/>
            <w:shd w:val="clear" w:color="auto" w:fill="FFFFFF"/>
          </w:tcPr>
          <w:p w14:paraId="016EEB0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9074A5E" w14:textId="70B7FC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1.4.1., las entidades de crédito comunicarán:</w:t>
            </w:r>
          </w:p>
          <w:p w14:paraId="637CF550" w14:textId="5D6D3E3F"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BDCABC1" w14:textId="42F9D02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sz w:val="24"/>
                <w:rFonts w:ascii="Times New Roman" w:eastAsia="PMingLiU" w:hAnsi="Times New Roman"/>
              </w:rPr>
            </w:pPr>
            <w:r>
              <w:rPr>
                <w:sz w:val="24"/>
                <w:rFonts w:ascii="Times New Roman" w:hAnsi="Times New Roman"/>
              </w:rPr>
              <w:t xml:space="preserve">0560</w:t>
            </w:r>
          </w:p>
        </w:tc>
        <w:tc>
          <w:tcPr>
            <w:tcW w:w="7371" w:type="dxa"/>
            <w:shd w:val="clear" w:color="auto" w:fill="FFFFFF"/>
          </w:tcPr>
          <w:p w14:paraId="5F65F10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3CD86840" w14:textId="45A571C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bonos garantizados de calidad sumamente elevada de nivel 1 (tomados en préstamo).</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sz w:val="24"/>
                <w:rFonts w:ascii="Times New Roman" w:eastAsia="PMingLiU" w:hAnsi="Times New Roman"/>
              </w:rPr>
            </w:pPr>
            <w:r>
              <w:rPr>
                <w:sz w:val="24"/>
                <w:rFonts w:ascii="Times New Roman" w:hAnsi="Times New Roman"/>
              </w:rPr>
              <w:t xml:space="preserve">0570</w:t>
            </w:r>
          </w:p>
        </w:tc>
        <w:tc>
          <w:tcPr>
            <w:tcW w:w="7371" w:type="dxa"/>
            <w:shd w:val="clear" w:color="auto" w:fill="FFFFFF"/>
          </w:tcPr>
          <w:p w14:paraId="142DBCA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231B593" w14:textId="165C582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1.4.2., las entidades de crédito comunicarán:</w:t>
            </w:r>
          </w:p>
          <w:p w14:paraId="36664905" w14:textId="5AA06F7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6934154C" w14:textId="770B1D9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sz w:val="24"/>
                <w:rFonts w:ascii="Times New Roman" w:eastAsia="PMingLiU" w:hAnsi="Times New Roman"/>
              </w:rPr>
            </w:pPr>
            <w:r>
              <w:rPr>
                <w:sz w:val="24"/>
                <w:rFonts w:ascii="Times New Roman" w:hAnsi="Times New Roman"/>
              </w:rPr>
              <w:t xml:space="preserve">0580</w:t>
            </w:r>
          </w:p>
        </w:tc>
        <w:tc>
          <w:tcPr>
            <w:tcW w:w="7371" w:type="dxa"/>
            <w:shd w:val="clear" w:color="auto" w:fill="FFFFFF"/>
          </w:tcPr>
          <w:p w14:paraId="13B556DF" w14:textId="007BD19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1.4.3.</w:t>
            </w:r>
            <w:r>
              <w:rPr>
                <w:b/>
                <w:sz w:val="24"/>
                <w:rFonts w:ascii="Times New Roman" w:hAnsi="Times New Roman"/>
              </w:rPr>
              <w:t xml:space="preserve"> </w:t>
            </w:r>
            <w:r>
              <w:rPr>
                <w:b/>
                <w:sz w:val="24"/>
                <w:rFonts w:ascii="Times New Roman" w:hAnsi="Times New Roman"/>
              </w:rPr>
              <w:t xml:space="preserve">Activos de nivel 2A</w:t>
            </w:r>
          </w:p>
          <w:p w14:paraId="5B0A0CDA" w14:textId="7FCE690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activos de nivel 2A (tomados en préstamo).</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sz w:val="24"/>
                <w:rFonts w:ascii="Times New Roman" w:eastAsia="PMingLiU" w:hAnsi="Times New Roman"/>
              </w:rPr>
            </w:pPr>
            <w:r>
              <w:rPr>
                <w:sz w:val="24"/>
                <w:rFonts w:ascii="Times New Roman" w:hAnsi="Times New Roman"/>
              </w:rPr>
              <w:t xml:space="preserve">0590</w:t>
            </w:r>
          </w:p>
        </w:tc>
        <w:tc>
          <w:tcPr>
            <w:tcW w:w="7371" w:type="dxa"/>
            <w:shd w:val="clear" w:color="auto" w:fill="FFFFFF"/>
          </w:tcPr>
          <w:p w14:paraId="5E47D3F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02D5547" w14:textId="2F4E1B3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1.4.3., las entidades de crédito comunicarán:</w:t>
            </w:r>
          </w:p>
          <w:p w14:paraId="34F065E5" w14:textId="73CBC8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67E1CAEC" w14:textId="2CA0C0A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sz w:val="24"/>
                <w:rFonts w:ascii="Times New Roman" w:eastAsia="PMingLiU" w:hAnsi="Times New Roman"/>
              </w:rPr>
            </w:pPr>
            <w:r>
              <w:rPr>
                <w:sz w:val="24"/>
                <w:rFonts w:ascii="Times New Roman" w:hAnsi="Times New Roman"/>
              </w:rPr>
              <w:t xml:space="preserve">0600</w:t>
            </w:r>
          </w:p>
        </w:tc>
        <w:tc>
          <w:tcPr>
            <w:tcW w:w="7371" w:type="dxa"/>
            <w:shd w:val="clear" w:color="auto" w:fill="FFFFFF"/>
          </w:tcPr>
          <w:p w14:paraId="500ECDD5" w14:textId="2E0C577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59D40FEE" w14:textId="4921A5F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bonos de titulización de activos de nivel 2B (residenciales o automóviles, nivel de calidad crediticia 1) (tomados en préstamo).</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sz w:val="24"/>
                <w:rFonts w:ascii="Times New Roman" w:eastAsia="PMingLiU" w:hAnsi="Times New Roman"/>
              </w:rPr>
            </w:pPr>
            <w:r>
              <w:rPr>
                <w:sz w:val="24"/>
                <w:rFonts w:ascii="Times New Roman" w:hAnsi="Times New Roman"/>
              </w:rPr>
              <w:t xml:space="preserve">0610</w:t>
            </w:r>
          </w:p>
        </w:tc>
        <w:tc>
          <w:tcPr>
            <w:tcW w:w="7371" w:type="dxa"/>
            <w:shd w:val="clear" w:color="auto" w:fill="FFFFFF"/>
          </w:tcPr>
          <w:p w14:paraId="2BB9139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188E3CC" w14:textId="1F0BD5D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1.4.4., las entidades de crédito comunicarán:</w:t>
            </w:r>
          </w:p>
          <w:p w14:paraId="6F6E38FA" w14:textId="0D39ADD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043AEAF" w14:textId="2AE7FD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sz w:val="24"/>
                <w:rFonts w:ascii="Times New Roman" w:eastAsia="PMingLiU" w:hAnsi="Times New Roman"/>
              </w:rPr>
            </w:pPr>
            <w:r>
              <w:rPr>
                <w:sz w:val="24"/>
                <w:rFonts w:ascii="Times New Roman" w:hAnsi="Times New Roman"/>
              </w:rPr>
              <w:t xml:space="preserve">0620</w:t>
            </w:r>
          </w:p>
        </w:tc>
        <w:tc>
          <w:tcPr>
            <w:tcW w:w="7371" w:type="dxa"/>
            <w:shd w:val="clear" w:color="auto" w:fill="FFFFFF"/>
          </w:tcPr>
          <w:p w14:paraId="23DB941C" w14:textId="20ED11E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2602A82A" w14:textId="2CDA4E2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bonos garantizados de calidad elevada de nivel 2B (tomados en préstamo).</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sz w:val="24"/>
                <w:rFonts w:ascii="Times New Roman" w:eastAsia="PMingLiU" w:hAnsi="Times New Roman"/>
              </w:rPr>
            </w:pPr>
            <w:r>
              <w:rPr>
                <w:sz w:val="24"/>
                <w:rFonts w:ascii="Times New Roman" w:hAnsi="Times New Roman"/>
              </w:rPr>
              <w:t xml:space="preserve">0630</w:t>
            </w:r>
          </w:p>
        </w:tc>
        <w:tc>
          <w:tcPr>
            <w:tcW w:w="7371" w:type="dxa"/>
            <w:shd w:val="clear" w:color="auto" w:fill="FFFFFF"/>
          </w:tcPr>
          <w:p w14:paraId="07AE24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155315E" w14:textId="021B020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1.4.5., las entidades de crédito comunicarán:</w:t>
            </w:r>
          </w:p>
          <w:p w14:paraId="579978A3" w14:textId="2F231B2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DECC732" w14:textId="4DF3FC4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sz w:val="24"/>
                <w:rFonts w:ascii="Times New Roman" w:eastAsia="PMingLiU" w:hAnsi="Times New Roman"/>
              </w:rPr>
            </w:pPr>
            <w:r>
              <w:rPr>
                <w:sz w:val="24"/>
                <w:rFonts w:ascii="Times New Roman" w:hAnsi="Times New Roman"/>
              </w:rPr>
              <w:t xml:space="preserve">0640</w:t>
            </w:r>
          </w:p>
        </w:tc>
        <w:tc>
          <w:tcPr>
            <w:tcW w:w="7371" w:type="dxa"/>
            <w:shd w:val="clear" w:color="auto" w:fill="FFFFFF"/>
          </w:tcPr>
          <w:p w14:paraId="48D8F026" w14:textId="2422747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1E6CEA94" w14:textId="73C28F2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bonos de titulización de activos de nivel 2B (comerciales o particulares, Estados miembros, nivel de calidad crediticia 1) (tomados en préstamo).</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sz w:val="24"/>
                <w:rFonts w:ascii="Times New Roman" w:eastAsia="PMingLiU" w:hAnsi="Times New Roman"/>
              </w:rPr>
            </w:pPr>
            <w:r>
              <w:rPr>
                <w:sz w:val="24"/>
                <w:rFonts w:ascii="Times New Roman" w:hAnsi="Times New Roman"/>
              </w:rPr>
              <w:t xml:space="preserve">0650</w:t>
            </w:r>
          </w:p>
        </w:tc>
        <w:tc>
          <w:tcPr>
            <w:tcW w:w="7371" w:type="dxa"/>
            <w:shd w:val="clear" w:color="auto" w:fill="FFFFFF"/>
          </w:tcPr>
          <w:p w14:paraId="06C6352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1943F7B" w14:textId="09FABC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1.4.6., las entidades de crédito comunicarán:</w:t>
            </w:r>
          </w:p>
          <w:p w14:paraId="7B7840F3" w14:textId="732E064A"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C676C30" w14:textId="47B4484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sz w:val="24"/>
                <w:rFonts w:ascii="Times New Roman" w:eastAsia="PMingLiU" w:hAnsi="Times New Roman"/>
              </w:rPr>
            </w:pPr>
            <w:r>
              <w:rPr>
                <w:sz w:val="24"/>
                <w:rFonts w:ascii="Times New Roman" w:hAnsi="Times New Roman"/>
              </w:rPr>
              <w:t xml:space="preserve">0660</w:t>
            </w:r>
          </w:p>
        </w:tc>
        <w:tc>
          <w:tcPr>
            <w:tcW w:w="7371" w:type="dxa"/>
            <w:shd w:val="clear" w:color="auto" w:fill="FFFFFF"/>
          </w:tcPr>
          <w:p w14:paraId="1CFBE828" w14:textId="6A46C94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1.4.7.</w:t>
            </w:r>
            <w:r>
              <w:rPr>
                <w:b/>
                <w:sz w:val="24"/>
                <w:rFonts w:ascii="Times New Roman" w:hAnsi="Times New Roman"/>
              </w:rPr>
              <w:t xml:space="preserve"> </w:t>
            </w:r>
            <w:r>
              <w:rPr>
                <w:b/>
                <w:sz w:val="24"/>
                <w:rFonts w:ascii="Times New Roman" w:hAnsi="Times New Roman"/>
              </w:rPr>
              <w:t xml:space="preserve">Otros de nivel 2B</w:t>
            </w:r>
          </w:p>
          <w:p w14:paraId="0B970D6D" w14:textId="762C118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otros activos de nivel 2B (tomados en préstamo).</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sz w:val="24"/>
                <w:rFonts w:ascii="Times New Roman" w:eastAsia="PMingLiU" w:hAnsi="Times New Roman"/>
              </w:rPr>
            </w:pPr>
            <w:r>
              <w:rPr>
                <w:sz w:val="24"/>
                <w:rFonts w:ascii="Times New Roman" w:hAnsi="Times New Roman"/>
              </w:rPr>
              <w:t xml:space="preserve">0670</w:t>
            </w:r>
          </w:p>
        </w:tc>
        <w:tc>
          <w:tcPr>
            <w:tcW w:w="7371" w:type="dxa"/>
            <w:shd w:val="clear" w:color="auto" w:fill="FFFFFF"/>
          </w:tcPr>
          <w:p w14:paraId="4D7F91D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07155FE" w14:textId="6E85905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1.4.7., las entidades de crédito comunicarán:</w:t>
            </w:r>
          </w:p>
          <w:p w14:paraId="12CFF697" w14:textId="13A95CE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E9209F1" w14:textId="635EFE1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sz w:val="24"/>
                <w:rFonts w:ascii="Times New Roman" w:eastAsia="PMingLiU" w:hAnsi="Times New Roman"/>
              </w:rPr>
            </w:pPr>
            <w:r>
              <w:rPr>
                <w:sz w:val="24"/>
                <w:rFonts w:ascii="Times New Roman" w:hAnsi="Times New Roman"/>
              </w:rPr>
              <w:t xml:space="preserve">0680</w:t>
            </w:r>
          </w:p>
        </w:tc>
        <w:tc>
          <w:tcPr>
            <w:tcW w:w="7371" w:type="dxa"/>
            <w:shd w:val="clear" w:color="auto" w:fill="FFFFFF"/>
          </w:tcPr>
          <w:p w14:paraId="706829C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1.4.8.</w:t>
            </w:r>
            <w:r>
              <w:rPr>
                <w:b/>
                <w:sz w:val="24"/>
                <w:rFonts w:ascii="Times New Roman" w:hAnsi="Times New Roman"/>
              </w:rPr>
              <w:t xml:space="preserve"> </w:t>
            </w:r>
            <w:r>
              <w:rPr>
                <w:b/>
                <w:sz w:val="24"/>
                <w:rFonts w:ascii="Times New Roman" w:hAnsi="Times New Roman"/>
              </w:rPr>
              <w:t xml:space="preserve">Activos no líquidos</w:t>
            </w:r>
          </w:p>
          <w:p w14:paraId="36A43D90" w14:textId="7FD72E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activos no líquidos (tomados en préstamo).</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sz w:val="24"/>
                <w:rFonts w:ascii="Times New Roman" w:eastAsia="PMingLiU" w:hAnsi="Times New Roman"/>
              </w:rPr>
            </w:pPr>
            <w:r>
              <w:rPr>
                <w:sz w:val="24"/>
                <w:rFonts w:ascii="Times New Roman" w:hAnsi="Times New Roman"/>
              </w:rPr>
              <w:t xml:space="preserve">0690</w:t>
            </w:r>
          </w:p>
        </w:tc>
        <w:tc>
          <w:tcPr>
            <w:tcW w:w="7371" w:type="dxa"/>
            <w:shd w:val="clear" w:color="auto" w:fill="auto"/>
          </w:tcPr>
          <w:p w14:paraId="64E13F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76D0EDC" w14:textId="7D14BA6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1.4.8.,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sz w:val="24"/>
                <w:rFonts w:ascii="Times New Roman" w:eastAsia="PMingLiU" w:hAnsi="Times New Roman"/>
              </w:rPr>
            </w:pPr>
            <w:r>
              <w:rPr>
                <w:sz w:val="24"/>
                <w:rFonts w:ascii="Times New Roman" w:hAnsi="Times New Roman"/>
              </w:rPr>
              <w:t xml:space="preserve">0700</w:t>
            </w:r>
          </w:p>
        </w:tc>
        <w:tc>
          <w:tcPr>
            <w:tcW w:w="7371" w:type="dxa"/>
            <w:shd w:val="clear" w:color="auto" w:fill="auto"/>
          </w:tcPr>
          <w:p w14:paraId="52998ED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Totales de las operaciones en las que se prestan bonos garantizados de calidad elevada de nivel 2B y se toman en préstamo las garantías reales siguientes:</w:t>
            </w:r>
          </w:p>
          <w:p w14:paraId="2AA2145A" w14:textId="1F40447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66B676E5" w14:textId="2E450C0F"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operaciones en las que se presten bonos garantizados de calidad elevada de nivel 2B.</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sz w:val="24"/>
                <w:rFonts w:ascii="Times New Roman" w:eastAsia="PMingLiU" w:hAnsi="Times New Roman"/>
              </w:rPr>
            </w:pPr>
            <w:r>
              <w:rPr>
                <w:sz w:val="24"/>
                <w:rFonts w:ascii="Times New Roman" w:hAnsi="Times New Roman"/>
              </w:rPr>
              <w:t xml:space="preserve">0710</w:t>
            </w:r>
          </w:p>
        </w:tc>
        <w:tc>
          <w:tcPr>
            <w:tcW w:w="7371" w:type="dxa"/>
            <w:shd w:val="clear" w:color="auto" w:fill="FFFFFF"/>
          </w:tcPr>
          <w:p w14:paraId="2AE7EB9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52D507F0" w14:textId="29EC5A9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w:t>
            </w:r>
            <w:r>
              <w:rPr>
                <w:sz w:val="24"/>
                <w:rFonts w:ascii="Times New Roman" w:hAnsi="Times New Roman"/>
              </w:rPr>
              <w:t xml:space="preserve">bonos garantizados de calidad elevada de nivel 2B</w:t>
            </w:r>
            <w:r>
              <w:rPr>
                <w:sz w:val="24"/>
                <w:rFonts w:ascii="Times New Roman" w:hAnsi="Times New Roman"/>
              </w:rPr>
              <w:t xml:space="preserve"> (prestados) por activos de nivel 1, excepto bonos garantizados de calidad sumamente elevada (tomados en préstamo).</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sz w:val="24"/>
                <w:rFonts w:ascii="Times New Roman" w:eastAsia="PMingLiU" w:hAnsi="Times New Roman"/>
              </w:rPr>
            </w:pPr>
            <w:r>
              <w:rPr>
                <w:sz w:val="24"/>
                <w:rFonts w:ascii="Times New Roman" w:hAnsi="Times New Roman"/>
              </w:rPr>
              <w:t xml:space="preserve">0720</w:t>
            </w:r>
          </w:p>
        </w:tc>
        <w:tc>
          <w:tcPr>
            <w:tcW w:w="7371" w:type="dxa"/>
            <w:shd w:val="clear" w:color="auto" w:fill="FFFFFF"/>
          </w:tcPr>
          <w:p w14:paraId="4819794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0208A9C" w14:textId="6B5D17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1.5.1., las entidades de crédito comunicarán:</w:t>
            </w:r>
          </w:p>
          <w:p w14:paraId="4F08CB9B" w14:textId="6D5F04E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0F800FB" w14:textId="714BCD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sz w:val="24"/>
                <w:rFonts w:ascii="Times New Roman" w:eastAsia="PMingLiU" w:hAnsi="Times New Roman"/>
              </w:rPr>
            </w:pPr>
            <w:r>
              <w:rPr>
                <w:sz w:val="24"/>
                <w:rFonts w:ascii="Times New Roman" w:hAnsi="Times New Roman"/>
              </w:rPr>
              <w:t xml:space="preserve">0730</w:t>
            </w:r>
          </w:p>
        </w:tc>
        <w:tc>
          <w:tcPr>
            <w:tcW w:w="7371" w:type="dxa"/>
            <w:shd w:val="clear" w:color="auto" w:fill="FFFFFF"/>
          </w:tcPr>
          <w:p w14:paraId="72ACDD76" w14:textId="042836B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0D45B0FB" w14:textId="1362FF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bonos garantizados de calidad sumamente elevada de nivel 1 (tomados en préstamo).</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sz w:val="24"/>
                <w:rFonts w:ascii="Times New Roman" w:eastAsia="PMingLiU" w:hAnsi="Times New Roman"/>
              </w:rPr>
            </w:pPr>
            <w:r>
              <w:rPr>
                <w:sz w:val="24"/>
                <w:rFonts w:ascii="Times New Roman" w:hAnsi="Times New Roman"/>
              </w:rPr>
              <w:t xml:space="preserve">0740</w:t>
            </w:r>
          </w:p>
        </w:tc>
        <w:tc>
          <w:tcPr>
            <w:tcW w:w="7371" w:type="dxa"/>
            <w:shd w:val="clear" w:color="auto" w:fill="FFFFFF"/>
          </w:tcPr>
          <w:p w14:paraId="5772327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EDAE391" w14:textId="0F89F9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1.5.2., las entidades de crédito comunicarán:</w:t>
            </w:r>
          </w:p>
          <w:p w14:paraId="4A0CEC1F" w14:textId="57EEBB5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A3736AC" w14:textId="7C94D26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sz w:val="24"/>
                <w:rFonts w:ascii="Times New Roman" w:eastAsia="PMingLiU" w:hAnsi="Times New Roman"/>
              </w:rPr>
            </w:pPr>
            <w:r>
              <w:rPr>
                <w:sz w:val="24"/>
                <w:rFonts w:ascii="Times New Roman" w:hAnsi="Times New Roman"/>
              </w:rPr>
              <w:t xml:space="preserve">0750</w:t>
            </w:r>
          </w:p>
        </w:tc>
        <w:tc>
          <w:tcPr>
            <w:tcW w:w="7371" w:type="dxa"/>
            <w:shd w:val="clear" w:color="auto" w:fill="FFFFFF"/>
          </w:tcPr>
          <w:p w14:paraId="2368297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1.5.3.</w:t>
            </w:r>
            <w:r>
              <w:rPr>
                <w:b/>
                <w:sz w:val="24"/>
                <w:rFonts w:ascii="Times New Roman" w:hAnsi="Times New Roman"/>
              </w:rPr>
              <w:t xml:space="preserve"> </w:t>
            </w:r>
            <w:r>
              <w:rPr>
                <w:b/>
                <w:sz w:val="24"/>
                <w:rFonts w:ascii="Times New Roman" w:hAnsi="Times New Roman"/>
              </w:rPr>
              <w:t xml:space="preserve">Activos de nivel 2A</w:t>
            </w:r>
          </w:p>
          <w:p w14:paraId="3DCF1C45" w14:textId="17078E1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activos de nivel 2A (tomados en préstamo).</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sz w:val="24"/>
                <w:rFonts w:ascii="Times New Roman" w:eastAsia="PMingLiU" w:hAnsi="Times New Roman"/>
              </w:rPr>
            </w:pPr>
            <w:r>
              <w:rPr>
                <w:sz w:val="24"/>
                <w:rFonts w:ascii="Times New Roman" w:hAnsi="Times New Roman"/>
              </w:rPr>
              <w:t xml:space="preserve">0760</w:t>
            </w:r>
          </w:p>
        </w:tc>
        <w:tc>
          <w:tcPr>
            <w:tcW w:w="7371" w:type="dxa"/>
            <w:shd w:val="clear" w:color="auto" w:fill="FFFFFF"/>
          </w:tcPr>
          <w:p w14:paraId="2CE1D18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D7B01FA" w14:textId="46276B2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1.5.3., las entidades de crédito comunicarán:</w:t>
            </w:r>
          </w:p>
          <w:p w14:paraId="36AF9450" w14:textId="768D33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E076133" w14:textId="17E1C2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sz w:val="24"/>
                <w:rFonts w:ascii="Times New Roman" w:eastAsia="PMingLiU" w:hAnsi="Times New Roman"/>
              </w:rPr>
            </w:pPr>
            <w:r>
              <w:rPr>
                <w:sz w:val="24"/>
                <w:rFonts w:ascii="Times New Roman" w:hAnsi="Times New Roman"/>
              </w:rPr>
              <w:t xml:space="preserve">0770</w:t>
            </w:r>
          </w:p>
        </w:tc>
        <w:tc>
          <w:tcPr>
            <w:tcW w:w="7371" w:type="dxa"/>
            <w:shd w:val="clear" w:color="auto" w:fill="FFFFFF"/>
          </w:tcPr>
          <w:p w14:paraId="054BE224" w14:textId="4AFF99A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6A072209" w14:textId="709F8D2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bonos de titulización de activos de nivel 2B (residenciales o automóviles, nivel de calidad crediticia 1) (tomados en préstamo).</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sz w:val="24"/>
                <w:rFonts w:ascii="Times New Roman" w:eastAsia="PMingLiU" w:hAnsi="Times New Roman"/>
              </w:rPr>
            </w:pPr>
            <w:r>
              <w:rPr>
                <w:sz w:val="24"/>
                <w:rFonts w:ascii="Times New Roman" w:hAnsi="Times New Roman"/>
              </w:rPr>
              <w:t xml:space="preserve">0780</w:t>
            </w:r>
          </w:p>
        </w:tc>
        <w:tc>
          <w:tcPr>
            <w:tcW w:w="7371" w:type="dxa"/>
            <w:shd w:val="clear" w:color="auto" w:fill="FFFFFF"/>
          </w:tcPr>
          <w:p w14:paraId="3E6B7CC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B009339" w14:textId="1B1D8C9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1.5.4., las entidades de crédito comunicarán:</w:t>
            </w:r>
          </w:p>
          <w:p w14:paraId="2BAE0C0D" w14:textId="6D11506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AB87285" w14:textId="33F79AC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sz w:val="24"/>
                <w:rFonts w:ascii="Times New Roman" w:eastAsia="PMingLiU" w:hAnsi="Times New Roman"/>
              </w:rPr>
            </w:pPr>
            <w:r>
              <w:rPr>
                <w:sz w:val="24"/>
                <w:rFonts w:ascii="Times New Roman" w:hAnsi="Times New Roman"/>
              </w:rPr>
              <w:t xml:space="preserve">0790</w:t>
            </w:r>
          </w:p>
        </w:tc>
        <w:tc>
          <w:tcPr>
            <w:tcW w:w="7371" w:type="dxa"/>
            <w:shd w:val="clear" w:color="auto" w:fill="FFFFFF"/>
          </w:tcPr>
          <w:p w14:paraId="621D5047" w14:textId="3CFA0E1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4FFB473C" w14:textId="33DCC8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bonos garantizados de calidad elevada de nivel 2B (tomados en préstamo).</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sz w:val="24"/>
                <w:rFonts w:ascii="Times New Roman" w:eastAsia="PMingLiU" w:hAnsi="Times New Roman"/>
              </w:rPr>
            </w:pPr>
            <w:r>
              <w:rPr>
                <w:sz w:val="24"/>
                <w:rFonts w:ascii="Times New Roman" w:hAnsi="Times New Roman"/>
              </w:rPr>
              <w:t xml:space="preserve">0800</w:t>
            </w:r>
          </w:p>
        </w:tc>
        <w:tc>
          <w:tcPr>
            <w:tcW w:w="7371" w:type="dxa"/>
            <w:shd w:val="clear" w:color="auto" w:fill="FFFFFF"/>
          </w:tcPr>
          <w:p w14:paraId="1AA437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82A65A5" w14:textId="37F9F13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1.5.5., las entidades de crédito comunicarán:</w:t>
            </w:r>
          </w:p>
          <w:p w14:paraId="3A640D84" w14:textId="0AA6F7BD"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362CF9C4" w14:textId="427AC8B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sz w:val="24"/>
                <w:rFonts w:ascii="Times New Roman" w:eastAsia="PMingLiU" w:hAnsi="Times New Roman"/>
              </w:rPr>
            </w:pPr>
            <w:r>
              <w:rPr>
                <w:sz w:val="24"/>
                <w:rFonts w:ascii="Times New Roman" w:hAnsi="Times New Roman"/>
              </w:rPr>
              <w:t xml:space="preserve">0810</w:t>
            </w:r>
          </w:p>
        </w:tc>
        <w:tc>
          <w:tcPr>
            <w:tcW w:w="7371" w:type="dxa"/>
            <w:shd w:val="clear" w:color="auto" w:fill="FFFFFF"/>
          </w:tcPr>
          <w:p w14:paraId="13BD2E6D" w14:textId="7B7280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42093B36" w14:textId="2A6AFDE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bonos de titulización de activos de nivel 2B (comerciales o particulares, Estados miembros, nivel de calidad crediticia 1) (tomados en préstamo).</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sz w:val="24"/>
                <w:rFonts w:ascii="Times New Roman" w:eastAsia="PMingLiU" w:hAnsi="Times New Roman"/>
              </w:rPr>
            </w:pPr>
            <w:r>
              <w:rPr>
                <w:sz w:val="24"/>
                <w:rFonts w:ascii="Times New Roman" w:hAnsi="Times New Roman"/>
              </w:rPr>
              <w:t xml:space="preserve">0820</w:t>
            </w:r>
          </w:p>
        </w:tc>
        <w:tc>
          <w:tcPr>
            <w:tcW w:w="7371" w:type="dxa"/>
            <w:shd w:val="clear" w:color="auto" w:fill="FFFFFF"/>
          </w:tcPr>
          <w:p w14:paraId="0AB268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5AD8AD0" w14:textId="24B4C9F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1.5.6., las entidades de crédito comunicarán:</w:t>
            </w:r>
          </w:p>
          <w:p w14:paraId="7400442A" w14:textId="659BC95B"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C45564F" w14:textId="24888F9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sz w:val="24"/>
                <w:rFonts w:ascii="Times New Roman" w:eastAsia="PMingLiU" w:hAnsi="Times New Roman"/>
              </w:rPr>
            </w:pPr>
            <w:r>
              <w:rPr>
                <w:sz w:val="24"/>
                <w:rFonts w:ascii="Times New Roman" w:hAnsi="Times New Roman"/>
              </w:rPr>
              <w:t xml:space="preserve">0830</w:t>
            </w:r>
          </w:p>
        </w:tc>
        <w:tc>
          <w:tcPr>
            <w:tcW w:w="7371" w:type="dxa"/>
            <w:shd w:val="clear" w:color="auto" w:fill="FFFFFF"/>
          </w:tcPr>
          <w:p w14:paraId="6328814A" w14:textId="25FA2E9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1.5.7.</w:t>
            </w:r>
            <w:r>
              <w:rPr>
                <w:b/>
                <w:sz w:val="24"/>
                <w:rFonts w:ascii="Times New Roman" w:hAnsi="Times New Roman"/>
              </w:rPr>
              <w:t xml:space="preserve"> </w:t>
            </w:r>
            <w:r>
              <w:rPr>
                <w:b/>
                <w:sz w:val="24"/>
                <w:rFonts w:ascii="Times New Roman" w:hAnsi="Times New Roman"/>
              </w:rPr>
              <w:t xml:space="preserve">Otros de nivel 2B</w:t>
            </w:r>
          </w:p>
          <w:p w14:paraId="046D8263" w14:textId="6672CA3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otros activos de nivel 2B (tomados en préstamo).</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sz w:val="24"/>
                <w:rFonts w:ascii="Times New Roman" w:eastAsia="PMingLiU" w:hAnsi="Times New Roman"/>
              </w:rPr>
            </w:pPr>
            <w:r>
              <w:rPr>
                <w:sz w:val="24"/>
                <w:rFonts w:ascii="Times New Roman" w:hAnsi="Times New Roman"/>
              </w:rPr>
              <w:t xml:space="preserve">0840</w:t>
            </w:r>
          </w:p>
        </w:tc>
        <w:tc>
          <w:tcPr>
            <w:tcW w:w="7371" w:type="dxa"/>
            <w:shd w:val="clear" w:color="auto" w:fill="FFFFFF"/>
          </w:tcPr>
          <w:p w14:paraId="1A4F966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7434135" w14:textId="45809FB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1.5.7., las entidades de crédito comunicarán:</w:t>
            </w:r>
          </w:p>
          <w:p w14:paraId="678C2BEF" w14:textId="5CC3D9F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6C2438E" w14:textId="608EF2D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sz w:val="24"/>
                <w:rFonts w:ascii="Times New Roman" w:eastAsia="PMingLiU" w:hAnsi="Times New Roman"/>
              </w:rPr>
            </w:pPr>
            <w:r>
              <w:rPr>
                <w:sz w:val="24"/>
                <w:rFonts w:ascii="Times New Roman" w:hAnsi="Times New Roman"/>
              </w:rPr>
              <w:t xml:space="preserve">0850</w:t>
            </w:r>
          </w:p>
        </w:tc>
        <w:tc>
          <w:tcPr>
            <w:tcW w:w="7371" w:type="dxa"/>
            <w:shd w:val="clear" w:color="auto" w:fill="FFFFFF"/>
          </w:tcPr>
          <w:p w14:paraId="6987AFEC" w14:textId="6705F3F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1.5.8.</w:t>
            </w:r>
            <w:r>
              <w:rPr>
                <w:b/>
                <w:sz w:val="24"/>
                <w:rFonts w:ascii="Times New Roman" w:hAnsi="Times New Roman"/>
              </w:rPr>
              <w:t xml:space="preserve"> </w:t>
            </w:r>
            <w:r>
              <w:rPr>
                <w:b/>
                <w:sz w:val="24"/>
                <w:rFonts w:ascii="Times New Roman" w:hAnsi="Times New Roman"/>
              </w:rPr>
              <w:t xml:space="preserve">Activos no líquidos</w:t>
            </w:r>
          </w:p>
          <w:p w14:paraId="3D4712AB" w14:textId="02DCCB1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activos no líquidos (tomados en préstamo).</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sz w:val="24"/>
                <w:rFonts w:ascii="Times New Roman" w:eastAsia="PMingLiU" w:hAnsi="Times New Roman"/>
              </w:rPr>
            </w:pPr>
            <w:r>
              <w:rPr>
                <w:sz w:val="24"/>
                <w:rFonts w:ascii="Times New Roman" w:hAnsi="Times New Roman"/>
              </w:rPr>
              <w:t xml:space="preserve">0860</w:t>
            </w:r>
          </w:p>
        </w:tc>
        <w:tc>
          <w:tcPr>
            <w:tcW w:w="7371" w:type="dxa"/>
            <w:shd w:val="clear" w:color="auto" w:fill="auto"/>
          </w:tcPr>
          <w:p w14:paraId="34E584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A831078" w14:textId="6B677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1.5.8.,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sz w:val="24"/>
                <w:rFonts w:ascii="Times New Roman" w:eastAsia="PMingLiU" w:hAnsi="Times New Roman"/>
              </w:rPr>
            </w:pPr>
            <w:r>
              <w:rPr>
                <w:sz w:val="24"/>
                <w:rFonts w:ascii="Times New Roman" w:hAnsi="Times New Roman"/>
              </w:rPr>
              <w:t xml:space="preserve">0870</w:t>
            </w:r>
          </w:p>
        </w:tc>
        <w:tc>
          <w:tcPr>
            <w:tcW w:w="7371" w:type="dxa"/>
            <w:shd w:val="clear" w:color="auto" w:fill="auto"/>
          </w:tcPr>
          <w:p w14:paraId="5625838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Totales de las operaciones en las que se prestan bonos de titulización de activos de nivel 2B (comerciales o particulares, Estados miembros, nivel de calidad crediticia 1) y se toman en préstamo las garantías reales siguientes:</w:t>
            </w:r>
          </w:p>
          <w:p w14:paraId="0D6CCFCB" w14:textId="390A43BB"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2F92B247" w14:textId="6444145B"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las operaciones en las que se prestan bonos de titulización de activos de nivel 2B (comerciales o particulares, Estados miembros, nivel de calidad crediticia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sz w:val="24"/>
                <w:rFonts w:ascii="Times New Roman" w:eastAsia="PMingLiU" w:hAnsi="Times New Roman"/>
              </w:rPr>
            </w:pPr>
            <w:r>
              <w:rPr>
                <w:sz w:val="24"/>
                <w:rFonts w:ascii="Times New Roman" w:hAnsi="Times New Roman"/>
              </w:rPr>
              <w:t xml:space="preserve">0880</w:t>
            </w:r>
          </w:p>
        </w:tc>
        <w:tc>
          <w:tcPr>
            <w:tcW w:w="7371" w:type="dxa"/>
            <w:shd w:val="clear" w:color="auto" w:fill="FFFFFF"/>
          </w:tcPr>
          <w:p w14:paraId="29AAF84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735D5199" w14:textId="500588D2"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activos de nivel 1, excepto bonos garantizados de calidad sumamente elevada (tomados en préstamo).</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sz w:val="24"/>
                <w:rFonts w:ascii="Times New Roman" w:eastAsia="PMingLiU" w:hAnsi="Times New Roman"/>
              </w:rPr>
            </w:pPr>
            <w:r>
              <w:rPr>
                <w:sz w:val="24"/>
                <w:rFonts w:ascii="Times New Roman" w:hAnsi="Times New Roman"/>
              </w:rPr>
              <w:t xml:space="preserve">0890</w:t>
            </w:r>
          </w:p>
        </w:tc>
        <w:tc>
          <w:tcPr>
            <w:tcW w:w="7371" w:type="dxa"/>
            <w:shd w:val="clear" w:color="auto" w:fill="FFFFFF"/>
          </w:tcPr>
          <w:p w14:paraId="4F09D6C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01B2767" w14:textId="418D04C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1.6.1., las entidades de crédito comunicarán:</w:t>
            </w:r>
          </w:p>
          <w:p w14:paraId="648D0C95" w14:textId="7F5ECD0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3A94C5FF" w14:textId="72EBB51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sz w:val="24"/>
                <w:rFonts w:ascii="Times New Roman" w:eastAsia="PMingLiU" w:hAnsi="Times New Roman"/>
              </w:rPr>
            </w:pPr>
            <w:r>
              <w:rPr>
                <w:sz w:val="24"/>
                <w:rFonts w:ascii="Times New Roman" w:hAnsi="Times New Roman"/>
              </w:rPr>
              <w:t xml:space="preserve">0900</w:t>
            </w:r>
          </w:p>
        </w:tc>
        <w:tc>
          <w:tcPr>
            <w:tcW w:w="7371" w:type="dxa"/>
            <w:shd w:val="clear" w:color="auto" w:fill="FFFFFF"/>
          </w:tcPr>
          <w:p w14:paraId="3B78C91A" w14:textId="578E4A6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42D02A09" w14:textId="09113F4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bonos garantizados de calidad sumamente elevada de nivel 1 (tomados en préstamo).</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sz w:val="24"/>
                <w:rFonts w:ascii="Times New Roman" w:eastAsia="PMingLiU" w:hAnsi="Times New Roman"/>
              </w:rPr>
            </w:pPr>
            <w:r>
              <w:rPr>
                <w:sz w:val="24"/>
                <w:rFonts w:ascii="Times New Roman" w:hAnsi="Times New Roman"/>
              </w:rPr>
              <w:t xml:space="preserve">0910</w:t>
            </w:r>
          </w:p>
        </w:tc>
        <w:tc>
          <w:tcPr>
            <w:tcW w:w="7371" w:type="dxa"/>
            <w:shd w:val="clear" w:color="auto" w:fill="FFFFFF"/>
          </w:tcPr>
          <w:p w14:paraId="2B1401F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15C11E5" w14:textId="432C5FE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1.6.2., las entidades de crédito comunicarán:</w:t>
            </w:r>
          </w:p>
          <w:p w14:paraId="54CC9902" w14:textId="75B5684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CC47FBB" w14:textId="4B6E2B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sz w:val="24"/>
                <w:rFonts w:ascii="Times New Roman" w:eastAsia="PMingLiU" w:hAnsi="Times New Roman"/>
              </w:rPr>
            </w:pPr>
            <w:r>
              <w:rPr>
                <w:sz w:val="24"/>
                <w:rFonts w:ascii="Times New Roman" w:hAnsi="Times New Roman"/>
              </w:rPr>
              <w:t xml:space="preserve">0920</w:t>
            </w:r>
          </w:p>
        </w:tc>
        <w:tc>
          <w:tcPr>
            <w:tcW w:w="7371" w:type="dxa"/>
            <w:shd w:val="clear" w:color="auto" w:fill="FFFFFF"/>
          </w:tcPr>
          <w:p w14:paraId="461BFF34" w14:textId="5C8136E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1.6.3.</w:t>
            </w:r>
            <w:r>
              <w:rPr>
                <w:b/>
                <w:sz w:val="24"/>
                <w:rFonts w:ascii="Times New Roman" w:hAnsi="Times New Roman"/>
              </w:rPr>
              <w:t xml:space="preserve"> </w:t>
            </w:r>
            <w:r>
              <w:rPr>
                <w:b/>
                <w:sz w:val="24"/>
                <w:rFonts w:ascii="Times New Roman" w:hAnsi="Times New Roman"/>
              </w:rPr>
              <w:t xml:space="preserve">Activos de nivel 2A</w:t>
            </w:r>
          </w:p>
          <w:p w14:paraId="786FD76C" w14:textId="6C9F30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activos de nivel 2A (tomados en préstamo).</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sz w:val="24"/>
                <w:rFonts w:ascii="Times New Roman" w:eastAsia="PMingLiU" w:hAnsi="Times New Roman"/>
              </w:rPr>
            </w:pPr>
            <w:r>
              <w:rPr>
                <w:sz w:val="24"/>
                <w:rFonts w:ascii="Times New Roman" w:hAnsi="Times New Roman"/>
              </w:rPr>
              <w:t xml:space="preserve">0930</w:t>
            </w:r>
          </w:p>
        </w:tc>
        <w:tc>
          <w:tcPr>
            <w:tcW w:w="7371" w:type="dxa"/>
            <w:shd w:val="clear" w:color="auto" w:fill="FFFFFF"/>
          </w:tcPr>
          <w:p w14:paraId="255DA9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E2B5454" w14:textId="32180B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1.6.3., las entidades de crédito comunicarán:</w:t>
            </w:r>
          </w:p>
          <w:p w14:paraId="63FE0D6C" w14:textId="5F7BA7D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D22151D" w14:textId="25E1FED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sz w:val="24"/>
                <w:rFonts w:ascii="Times New Roman" w:eastAsia="PMingLiU" w:hAnsi="Times New Roman"/>
              </w:rPr>
            </w:pPr>
            <w:r>
              <w:rPr>
                <w:sz w:val="24"/>
                <w:rFonts w:ascii="Times New Roman" w:hAnsi="Times New Roman"/>
              </w:rPr>
              <w:t xml:space="preserve">0940</w:t>
            </w:r>
          </w:p>
        </w:tc>
        <w:tc>
          <w:tcPr>
            <w:tcW w:w="7371" w:type="dxa"/>
            <w:shd w:val="clear" w:color="auto" w:fill="FFFFFF"/>
          </w:tcPr>
          <w:p w14:paraId="01CD5F22" w14:textId="69FAC9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7F222CF2" w14:textId="1B6729E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bonos de titulización de activos de nivel 2B (residenciales o automóviles, nivel de calidad crediticia 1) (tomados en préstamo).</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sz w:val="24"/>
                <w:rFonts w:ascii="Times New Roman" w:eastAsia="PMingLiU" w:hAnsi="Times New Roman"/>
              </w:rPr>
            </w:pPr>
            <w:r>
              <w:rPr>
                <w:sz w:val="24"/>
                <w:rFonts w:ascii="Times New Roman" w:hAnsi="Times New Roman"/>
              </w:rPr>
              <w:t xml:space="preserve">0950</w:t>
            </w:r>
          </w:p>
        </w:tc>
        <w:tc>
          <w:tcPr>
            <w:tcW w:w="7371" w:type="dxa"/>
            <w:shd w:val="clear" w:color="auto" w:fill="FFFFFF"/>
          </w:tcPr>
          <w:p w14:paraId="6778033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4CB6154" w14:textId="0D46ED6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1.6.4., las entidades de crédito comunicarán:</w:t>
            </w:r>
          </w:p>
          <w:p w14:paraId="180A713E" w14:textId="5FBF972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BB6C128" w14:textId="54158B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sz w:val="24"/>
                <w:rFonts w:ascii="Times New Roman" w:eastAsia="PMingLiU" w:hAnsi="Times New Roman"/>
              </w:rPr>
            </w:pPr>
            <w:r>
              <w:rPr>
                <w:sz w:val="24"/>
                <w:rFonts w:ascii="Times New Roman" w:hAnsi="Times New Roman"/>
              </w:rPr>
              <w:t xml:space="preserve">0960</w:t>
            </w:r>
          </w:p>
        </w:tc>
        <w:tc>
          <w:tcPr>
            <w:tcW w:w="7371" w:type="dxa"/>
            <w:shd w:val="clear" w:color="auto" w:fill="FFFFFF"/>
          </w:tcPr>
          <w:p w14:paraId="350480C7" w14:textId="5991D40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4262232E" w14:textId="1E90738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bonos garantizados de calidad elevada de nivel 2B (tomados en préstamo).</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sz w:val="24"/>
                <w:rFonts w:ascii="Times New Roman" w:eastAsia="PMingLiU" w:hAnsi="Times New Roman"/>
              </w:rPr>
            </w:pPr>
            <w:r>
              <w:rPr>
                <w:sz w:val="24"/>
                <w:rFonts w:ascii="Times New Roman" w:hAnsi="Times New Roman"/>
              </w:rPr>
              <w:t xml:space="preserve">0970</w:t>
            </w:r>
          </w:p>
        </w:tc>
        <w:tc>
          <w:tcPr>
            <w:tcW w:w="7371" w:type="dxa"/>
            <w:shd w:val="clear" w:color="auto" w:fill="FFFFFF"/>
          </w:tcPr>
          <w:p w14:paraId="33A9869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9BC2680" w14:textId="26ACE4B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1.6.5., las entidades de crédito comunicarán:</w:t>
            </w:r>
          </w:p>
          <w:p w14:paraId="725AA3BC" w14:textId="51CF6F8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63551751" w14:textId="1DF5DA6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sz w:val="24"/>
                <w:rFonts w:ascii="Times New Roman" w:eastAsia="PMingLiU" w:hAnsi="Times New Roman"/>
              </w:rPr>
            </w:pPr>
            <w:r>
              <w:rPr>
                <w:sz w:val="24"/>
                <w:rFonts w:ascii="Times New Roman" w:hAnsi="Times New Roman"/>
              </w:rPr>
              <w:t xml:space="preserve">0980</w:t>
            </w:r>
          </w:p>
        </w:tc>
        <w:tc>
          <w:tcPr>
            <w:tcW w:w="7371" w:type="dxa"/>
            <w:shd w:val="clear" w:color="auto" w:fill="FFFFFF"/>
          </w:tcPr>
          <w:p w14:paraId="60021913" w14:textId="7BC90E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5C7CF200" w14:textId="519C54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bonos de titulización de activos de nivel 2B (comerciales o particulares, Estados miembros, nivel de calidad crediticia 1) (tomados en préstamo).</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sz w:val="24"/>
                <w:rFonts w:ascii="Times New Roman" w:eastAsia="PMingLiU" w:hAnsi="Times New Roman"/>
              </w:rPr>
            </w:pPr>
            <w:r>
              <w:rPr>
                <w:sz w:val="24"/>
                <w:rFonts w:ascii="Times New Roman" w:hAnsi="Times New Roman"/>
              </w:rPr>
              <w:t xml:space="preserve">0990</w:t>
            </w:r>
          </w:p>
        </w:tc>
        <w:tc>
          <w:tcPr>
            <w:tcW w:w="7371" w:type="dxa"/>
            <w:shd w:val="clear" w:color="auto" w:fill="FFFFFF"/>
          </w:tcPr>
          <w:p w14:paraId="1F8504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BB2A0C4" w14:textId="7559937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1.6.6., las entidades de crédito comunicarán:</w:t>
            </w:r>
          </w:p>
          <w:p w14:paraId="21231FBD" w14:textId="087BF3A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7DA0145" w14:textId="163E63C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sz w:val="24"/>
                <w:rFonts w:ascii="Times New Roman" w:eastAsia="PMingLiU" w:hAnsi="Times New Roman"/>
              </w:rPr>
            </w:pPr>
            <w:r>
              <w:rPr>
                <w:sz w:val="24"/>
                <w:rFonts w:ascii="Times New Roman" w:hAnsi="Times New Roman"/>
              </w:rPr>
              <w:t xml:space="preserve">1000</w:t>
            </w:r>
          </w:p>
        </w:tc>
        <w:tc>
          <w:tcPr>
            <w:tcW w:w="7371" w:type="dxa"/>
            <w:shd w:val="clear" w:color="auto" w:fill="FFFFFF"/>
          </w:tcPr>
          <w:p w14:paraId="0B3E9194" w14:textId="728749B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1.6.7.</w:t>
            </w:r>
            <w:r>
              <w:rPr>
                <w:b/>
                <w:sz w:val="24"/>
                <w:rFonts w:ascii="Times New Roman" w:hAnsi="Times New Roman"/>
              </w:rPr>
              <w:t xml:space="preserve"> </w:t>
            </w:r>
            <w:r>
              <w:rPr>
                <w:b/>
                <w:sz w:val="24"/>
                <w:rFonts w:ascii="Times New Roman" w:hAnsi="Times New Roman"/>
              </w:rPr>
              <w:t xml:space="preserve">Otros de nivel 2B</w:t>
            </w:r>
          </w:p>
          <w:p w14:paraId="56EA827D" w14:textId="1DCA3F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otros activos de nivel 2B (tomados en préstamo).</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sz w:val="24"/>
                <w:rFonts w:ascii="Times New Roman" w:eastAsia="PMingLiU" w:hAnsi="Times New Roman"/>
              </w:rPr>
            </w:pPr>
            <w:r>
              <w:rPr>
                <w:sz w:val="24"/>
                <w:rFonts w:ascii="Times New Roman" w:hAnsi="Times New Roman"/>
              </w:rPr>
              <w:t xml:space="preserve">1010</w:t>
            </w:r>
          </w:p>
        </w:tc>
        <w:tc>
          <w:tcPr>
            <w:tcW w:w="7371" w:type="dxa"/>
            <w:shd w:val="clear" w:color="auto" w:fill="FFFFFF"/>
          </w:tcPr>
          <w:p w14:paraId="0D6C60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EE17E96" w14:textId="72F64DE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1.6.7., las entidades de crédito comunicarán:</w:t>
            </w:r>
          </w:p>
          <w:p w14:paraId="10F77ADD" w14:textId="6E16C29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6BCAFEC" w14:textId="7A3540C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sz w:val="24"/>
                <w:rFonts w:ascii="Times New Roman" w:eastAsia="PMingLiU" w:hAnsi="Times New Roman"/>
              </w:rPr>
            </w:pPr>
            <w:r>
              <w:rPr>
                <w:sz w:val="24"/>
                <w:rFonts w:ascii="Times New Roman" w:hAnsi="Times New Roman"/>
              </w:rPr>
              <w:t xml:space="preserve">1020</w:t>
            </w:r>
          </w:p>
        </w:tc>
        <w:tc>
          <w:tcPr>
            <w:tcW w:w="7371" w:type="dxa"/>
            <w:shd w:val="clear" w:color="auto" w:fill="FFFFFF"/>
          </w:tcPr>
          <w:p w14:paraId="07E02C4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1.6.8.</w:t>
            </w:r>
            <w:r>
              <w:rPr>
                <w:b/>
                <w:sz w:val="24"/>
                <w:rFonts w:ascii="Times New Roman" w:hAnsi="Times New Roman"/>
              </w:rPr>
              <w:t xml:space="preserve"> </w:t>
            </w:r>
            <w:r>
              <w:rPr>
                <w:b/>
                <w:sz w:val="24"/>
                <w:rFonts w:ascii="Times New Roman" w:hAnsi="Times New Roman"/>
              </w:rPr>
              <w:t xml:space="preserve">Activos no líquidos</w:t>
            </w:r>
          </w:p>
          <w:p w14:paraId="0FF5DE67" w14:textId="522131F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activos no líquidos (tomados en préstamo).</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sz w:val="24"/>
                <w:rFonts w:ascii="Times New Roman" w:eastAsia="PMingLiU" w:hAnsi="Times New Roman"/>
              </w:rPr>
            </w:pPr>
            <w:r>
              <w:rPr>
                <w:sz w:val="24"/>
                <w:rFonts w:ascii="Times New Roman" w:hAnsi="Times New Roman"/>
              </w:rPr>
              <w:t xml:space="preserve">1030</w:t>
            </w:r>
          </w:p>
        </w:tc>
        <w:tc>
          <w:tcPr>
            <w:tcW w:w="7371" w:type="dxa"/>
            <w:shd w:val="clear" w:color="auto" w:fill="auto"/>
          </w:tcPr>
          <w:p w14:paraId="4F2AB0E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FEF2515" w14:textId="5E87DF7F"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1.6.8.,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sz w:val="24"/>
                <w:rFonts w:ascii="Times New Roman" w:eastAsia="PMingLiU" w:hAnsi="Times New Roman"/>
              </w:rPr>
            </w:pPr>
            <w:r>
              <w:rPr>
                <w:sz w:val="24"/>
                <w:rFonts w:ascii="Times New Roman" w:hAnsi="Times New Roman"/>
              </w:rPr>
              <w:t xml:space="preserve">1040</w:t>
            </w:r>
          </w:p>
        </w:tc>
        <w:tc>
          <w:tcPr>
            <w:tcW w:w="7371" w:type="dxa"/>
            <w:shd w:val="clear" w:color="auto" w:fill="auto"/>
          </w:tcPr>
          <w:p w14:paraId="48A9CF10" w14:textId="1D95FF8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Totales de las operaciones en las que se prestan otros activos de nivel 2B y se toman en préstamo las garantías reales siguientes:</w:t>
            </w:r>
          </w:p>
          <w:p w14:paraId="0D44B875" w14:textId="1E77AEB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62CA5E30" w14:textId="0692EC4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las operaciones en las que se prestan otros activos de nivel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sz w:val="24"/>
                <w:rFonts w:ascii="Times New Roman" w:eastAsia="PMingLiU" w:hAnsi="Times New Roman"/>
              </w:rPr>
            </w:pPr>
            <w:r>
              <w:rPr>
                <w:sz w:val="24"/>
                <w:rFonts w:ascii="Times New Roman" w:hAnsi="Times New Roman"/>
              </w:rPr>
              <w:t xml:space="preserve">1050</w:t>
            </w:r>
          </w:p>
        </w:tc>
        <w:tc>
          <w:tcPr>
            <w:tcW w:w="7371" w:type="dxa"/>
            <w:shd w:val="clear" w:color="auto" w:fill="FFFFFF"/>
          </w:tcPr>
          <w:p w14:paraId="7FBD902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572A4819" w14:textId="4D7EA593"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activos de nivel 1, excepto bonos garantizados de calidad sumamente elevada (tomados en préstamo).</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sz w:val="24"/>
                <w:rFonts w:ascii="Times New Roman" w:eastAsia="PMingLiU" w:hAnsi="Times New Roman"/>
              </w:rPr>
            </w:pPr>
            <w:r>
              <w:rPr>
                <w:sz w:val="24"/>
                <w:rFonts w:ascii="Times New Roman" w:hAnsi="Times New Roman"/>
              </w:rPr>
              <w:t xml:space="preserve">1060</w:t>
            </w:r>
          </w:p>
        </w:tc>
        <w:tc>
          <w:tcPr>
            <w:tcW w:w="7371" w:type="dxa"/>
            <w:shd w:val="clear" w:color="auto" w:fill="FFFFFF"/>
          </w:tcPr>
          <w:p w14:paraId="63CA996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00C6826" w14:textId="0EA2CD1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1.7.1., las entidades de crédito comunicarán:</w:t>
            </w:r>
          </w:p>
          <w:p w14:paraId="4E5F97B7" w14:textId="16A20F1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359BF000" w14:textId="622ADB1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sz w:val="24"/>
                <w:rFonts w:ascii="Times New Roman" w:eastAsia="PMingLiU" w:hAnsi="Times New Roman"/>
              </w:rPr>
            </w:pPr>
            <w:r>
              <w:rPr>
                <w:sz w:val="24"/>
                <w:rFonts w:ascii="Times New Roman" w:hAnsi="Times New Roman"/>
              </w:rPr>
              <w:t xml:space="preserve">1070</w:t>
            </w:r>
          </w:p>
        </w:tc>
        <w:tc>
          <w:tcPr>
            <w:tcW w:w="7371" w:type="dxa"/>
            <w:shd w:val="clear" w:color="auto" w:fill="FFFFFF"/>
          </w:tcPr>
          <w:p w14:paraId="50CA637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60524733" w14:textId="033ED8D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bonos garantizados de calidad sumamente elevada de nivel 1 (tomados en préstamo).</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sz w:val="24"/>
                <w:rFonts w:ascii="Times New Roman" w:eastAsia="PMingLiU" w:hAnsi="Times New Roman"/>
              </w:rPr>
            </w:pPr>
            <w:r>
              <w:rPr>
                <w:sz w:val="24"/>
                <w:rFonts w:ascii="Times New Roman" w:hAnsi="Times New Roman"/>
              </w:rPr>
              <w:t xml:space="preserve">1080</w:t>
            </w:r>
          </w:p>
        </w:tc>
        <w:tc>
          <w:tcPr>
            <w:tcW w:w="7371" w:type="dxa"/>
            <w:shd w:val="clear" w:color="auto" w:fill="FFFFFF"/>
          </w:tcPr>
          <w:p w14:paraId="2EF8D48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6E98DB4" w14:textId="1D1217D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1.7.2., las entidades de crédito comunicarán:</w:t>
            </w:r>
          </w:p>
          <w:p w14:paraId="30A855FA" w14:textId="5A2A25A5"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6E3387A" w14:textId="1DF309C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sz w:val="24"/>
                <w:rFonts w:ascii="Times New Roman" w:eastAsia="PMingLiU" w:hAnsi="Times New Roman"/>
              </w:rPr>
            </w:pPr>
            <w:r>
              <w:rPr>
                <w:sz w:val="24"/>
                <w:rFonts w:ascii="Times New Roman" w:hAnsi="Times New Roman"/>
              </w:rPr>
              <w:t xml:space="preserve">1090</w:t>
            </w:r>
          </w:p>
        </w:tc>
        <w:tc>
          <w:tcPr>
            <w:tcW w:w="7371" w:type="dxa"/>
            <w:shd w:val="clear" w:color="auto" w:fill="FFFFFF"/>
          </w:tcPr>
          <w:p w14:paraId="1424FC1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1.7.3.</w:t>
            </w:r>
            <w:r>
              <w:rPr>
                <w:b/>
                <w:sz w:val="24"/>
                <w:rFonts w:ascii="Times New Roman" w:hAnsi="Times New Roman"/>
              </w:rPr>
              <w:t xml:space="preserve"> </w:t>
            </w:r>
            <w:r>
              <w:rPr>
                <w:b/>
                <w:sz w:val="24"/>
                <w:rFonts w:ascii="Times New Roman" w:hAnsi="Times New Roman"/>
              </w:rPr>
              <w:t xml:space="preserve">Activos de nivel 2A</w:t>
            </w:r>
          </w:p>
          <w:p w14:paraId="1ADAC91C" w14:textId="19D0AC9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activos de nivel 2A (tomados en préstamo).</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sz w:val="24"/>
                <w:rFonts w:ascii="Times New Roman" w:eastAsia="PMingLiU" w:hAnsi="Times New Roman"/>
              </w:rPr>
            </w:pPr>
            <w:r>
              <w:rPr>
                <w:sz w:val="24"/>
                <w:rFonts w:ascii="Times New Roman" w:hAnsi="Times New Roman"/>
              </w:rPr>
              <w:t xml:space="preserve">1100</w:t>
            </w:r>
          </w:p>
        </w:tc>
        <w:tc>
          <w:tcPr>
            <w:tcW w:w="7371" w:type="dxa"/>
            <w:shd w:val="clear" w:color="auto" w:fill="FFFFFF"/>
          </w:tcPr>
          <w:p w14:paraId="09363B3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44508AF" w14:textId="07FE979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1.7.3., las entidades de crédito comunicarán:</w:t>
            </w:r>
          </w:p>
          <w:p w14:paraId="21C65F8E" w14:textId="75799117"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B4DC054" w14:textId="53C00B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sz w:val="24"/>
                <w:rFonts w:ascii="Times New Roman" w:eastAsia="PMingLiU" w:hAnsi="Times New Roman"/>
              </w:rPr>
            </w:pPr>
            <w:r>
              <w:rPr>
                <w:sz w:val="24"/>
                <w:rFonts w:ascii="Times New Roman" w:hAnsi="Times New Roman"/>
              </w:rPr>
              <w:t xml:space="preserve">1110</w:t>
            </w:r>
          </w:p>
        </w:tc>
        <w:tc>
          <w:tcPr>
            <w:tcW w:w="7371" w:type="dxa"/>
            <w:shd w:val="clear" w:color="auto" w:fill="FFFFFF"/>
          </w:tcPr>
          <w:p w14:paraId="40D6A9E0" w14:textId="098DC5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59C49869" w14:textId="3B005F7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bonos de titulización de activos de nivel 2B (residenciales o automóviles, nivel de calidad crediticia 1) (tomados en préstamo).</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sz w:val="24"/>
                <w:rFonts w:ascii="Times New Roman" w:eastAsia="PMingLiU" w:hAnsi="Times New Roman"/>
              </w:rPr>
            </w:pPr>
            <w:r>
              <w:rPr>
                <w:sz w:val="24"/>
                <w:rFonts w:ascii="Times New Roman" w:hAnsi="Times New Roman"/>
              </w:rPr>
              <w:t xml:space="preserve">1120</w:t>
            </w:r>
          </w:p>
        </w:tc>
        <w:tc>
          <w:tcPr>
            <w:tcW w:w="7371" w:type="dxa"/>
            <w:shd w:val="clear" w:color="auto" w:fill="FFFFFF"/>
          </w:tcPr>
          <w:p w14:paraId="24C2894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E581645" w14:textId="559E6D3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1.7.4., las entidades de crédito comunicarán:</w:t>
            </w:r>
          </w:p>
          <w:p w14:paraId="51996227" w14:textId="185A4B11"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6DA5A12" w14:textId="5AFE9C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sz w:val="24"/>
                <w:rFonts w:ascii="Times New Roman" w:eastAsia="PMingLiU" w:hAnsi="Times New Roman"/>
              </w:rPr>
            </w:pPr>
            <w:r>
              <w:rPr>
                <w:sz w:val="24"/>
                <w:rFonts w:ascii="Times New Roman" w:hAnsi="Times New Roman"/>
              </w:rPr>
              <w:t xml:space="preserve">1130</w:t>
            </w:r>
          </w:p>
        </w:tc>
        <w:tc>
          <w:tcPr>
            <w:tcW w:w="7371" w:type="dxa"/>
            <w:shd w:val="clear" w:color="auto" w:fill="FFFFFF"/>
          </w:tcPr>
          <w:p w14:paraId="5D382177" w14:textId="74D6EA1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45DCE658" w14:textId="5C2BBE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bonos garantizados de calidad elevada de nivel 2B (tomados en préstamo).</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sz w:val="24"/>
                <w:rFonts w:ascii="Times New Roman" w:eastAsia="PMingLiU" w:hAnsi="Times New Roman"/>
              </w:rPr>
            </w:pPr>
            <w:r>
              <w:rPr>
                <w:sz w:val="24"/>
                <w:rFonts w:ascii="Times New Roman" w:hAnsi="Times New Roman"/>
              </w:rPr>
              <w:t xml:space="preserve">1140</w:t>
            </w:r>
          </w:p>
        </w:tc>
        <w:tc>
          <w:tcPr>
            <w:tcW w:w="7371" w:type="dxa"/>
            <w:shd w:val="clear" w:color="auto" w:fill="FFFFFF"/>
          </w:tcPr>
          <w:p w14:paraId="58EC493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C6A94E5" w14:textId="41EB004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1.7.5., las entidades de crédito comunicarán:</w:t>
            </w:r>
          </w:p>
          <w:p w14:paraId="06A93271" w14:textId="1545A70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DE126A5" w14:textId="2C26B99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sz w:val="24"/>
                <w:rFonts w:ascii="Times New Roman" w:eastAsia="PMingLiU" w:hAnsi="Times New Roman"/>
              </w:rPr>
            </w:pPr>
            <w:r>
              <w:rPr>
                <w:sz w:val="24"/>
                <w:rFonts w:ascii="Times New Roman" w:hAnsi="Times New Roman"/>
              </w:rPr>
              <w:t xml:space="preserve">1150</w:t>
            </w:r>
          </w:p>
        </w:tc>
        <w:tc>
          <w:tcPr>
            <w:tcW w:w="7371" w:type="dxa"/>
            <w:shd w:val="clear" w:color="auto" w:fill="FFFFFF"/>
          </w:tcPr>
          <w:p w14:paraId="1972A07E" w14:textId="64AA0F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20996C40" w14:textId="65A614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bonos de titulización de activos de nivel 2B (comerciales o particulares, Estados miembros, nivel de calidad crediticia 1) (tomados en préstamo).</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sz w:val="24"/>
                <w:rFonts w:ascii="Times New Roman" w:eastAsia="PMingLiU" w:hAnsi="Times New Roman"/>
              </w:rPr>
            </w:pPr>
            <w:r>
              <w:rPr>
                <w:sz w:val="24"/>
                <w:rFonts w:ascii="Times New Roman" w:hAnsi="Times New Roman"/>
              </w:rPr>
              <w:t xml:space="preserve">1160</w:t>
            </w:r>
          </w:p>
        </w:tc>
        <w:tc>
          <w:tcPr>
            <w:tcW w:w="7371" w:type="dxa"/>
            <w:shd w:val="clear" w:color="auto" w:fill="FFFFFF"/>
          </w:tcPr>
          <w:p w14:paraId="4778E3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392A30A" w14:textId="2F5C076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1.7.6., las entidades de crédito comunicarán:</w:t>
            </w:r>
          </w:p>
          <w:p w14:paraId="7F57745D" w14:textId="789585C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D8F8DF8" w14:textId="1B39674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sz w:val="24"/>
                <w:rFonts w:ascii="Times New Roman" w:eastAsia="PMingLiU" w:hAnsi="Times New Roman"/>
              </w:rPr>
            </w:pPr>
            <w:r>
              <w:rPr>
                <w:sz w:val="24"/>
                <w:rFonts w:ascii="Times New Roman" w:hAnsi="Times New Roman"/>
              </w:rPr>
              <w:t xml:space="preserve">1170</w:t>
            </w:r>
          </w:p>
        </w:tc>
        <w:tc>
          <w:tcPr>
            <w:tcW w:w="7371" w:type="dxa"/>
            <w:shd w:val="clear" w:color="auto" w:fill="FFFFFF"/>
          </w:tcPr>
          <w:p w14:paraId="20D4EAA1" w14:textId="043BD5C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1.7.7.</w:t>
            </w:r>
            <w:r>
              <w:rPr>
                <w:b/>
                <w:sz w:val="24"/>
                <w:rFonts w:ascii="Times New Roman" w:hAnsi="Times New Roman"/>
              </w:rPr>
              <w:t xml:space="preserve"> </w:t>
            </w:r>
            <w:r>
              <w:rPr>
                <w:b/>
                <w:sz w:val="24"/>
                <w:rFonts w:ascii="Times New Roman" w:hAnsi="Times New Roman"/>
              </w:rPr>
              <w:t xml:space="preserve">Otros de nivel 2B</w:t>
            </w:r>
          </w:p>
          <w:p w14:paraId="7F7897E1" w14:textId="112B91A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otros de nivel 2B (tomados en préstamo).</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sz w:val="24"/>
                <w:rFonts w:ascii="Times New Roman" w:eastAsia="PMingLiU" w:hAnsi="Times New Roman"/>
              </w:rPr>
            </w:pPr>
            <w:r>
              <w:rPr>
                <w:sz w:val="24"/>
                <w:rFonts w:ascii="Times New Roman" w:hAnsi="Times New Roman"/>
              </w:rPr>
              <w:t xml:space="preserve">1180</w:t>
            </w:r>
          </w:p>
        </w:tc>
        <w:tc>
          <w:tcPr>
            <w:tcW w:w="7371" w:type="dxa"/>
            <w:shd w:val="clear" w:color="auto" w:fill="FFFFFF"/>
          </w:tcPr>
          <w:p w14:paraId="264BC9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A4A34E3" w14:textId="4F7E63A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1.7.7., las entidades de crédito comunicarán:</w:t>
            </w:r>
          </w:p>
          <w:p w14:paraId="6BF8B6A1" w14:textId="3EC267F8"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8B861AC" w14:textId="431B6E8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sz w:val="24"/>
                <w:rFonts w:ascii="Times New Roman" w:eastAsia="PMingLiU" w:hAnsi="Times New Roman"/>
              </w:rPr>
            </w:pPr>
            <w:r>
              <w:rPr>
                <w:sz w:val="24"/>
                <w:rFonts w:ascii="Times New Roman" w:hAnsi="Times New Roman"/>
              </w:rPr>
              <w:t xml:space="preserve">1190</w:t>
            </w:r>
          </w:p>
        </w:tc>
        <w:tc>
          <w:tcPr>
            <w:tcW w:w="7371" w:type="dxa"/>
            <w:shd w:val="clear" w:color="auto" w:fill="FFFFFF"/>
          </w:tcPr>
          <w:p w14:paraId="34A680DC" w14:textId="0E6D392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1.7.8.</w:t>
            </w:r>
            <w:r>
              <w:rPr>
                <w:b/>
                <w:sz w:val="24"/>
                <w:rFonts w:ascii="Times New Roman" w:hAnsi="Times New Roman"/>
              </w:rPr>
              <w:t xml:space="preserve"> </w:t>
            </w:r>
            <w:r>
              <w:rPr>
                <w:b/>
                <w:sz w:val="24"/>
                <w:rFonts w:ascii="Times New Roman" w:hAnsi="Times New Roman"/>
              </w:rPr>
              <w:t xml:space="preserve">Activos no líquidos</w:t>
            </w:r>
          </w:p>
          <w:p w14:paraId="06EAC73D" w14:textId="26E08D4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activos no líquidos (tomados en préstamo).</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sz w:val="24"/>
                <w:rFonts w:ascii="Times New Roman" w:eastAsia="PMingLiU" w:hAnsi="Times New Roman"/>
              </w:rPr>
            </w:pPr>
            <w:r>
              <w:rPr>
                <w:sz w:val="24"/>
                <w:rFonts w:ascii="Times New Roman" w:hAnsi="Times New Roman"/>
              </w:rPr>
              <w:t xml:space="preserve">1200</w:t>
            </w:r>
          </w:p>
        </w:tc>
        <w:tc>
          <w:tcPr>
            <w:tcW w:w="7371" w:type="dxa"/>
            <w:shd w:val="clear" w:color="auto" w:fill="auto"/>
          </w:tcPr>
          <w:p w14:paraId="06967EA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47211B0" w14:textId="0F97D3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1.7.8.,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sz w:val="24"/>
                <w:rFonts w:ascii="Times New Roman" w:eastAsia="PMingLiU" w:hAnsi="Times New Roman"/>
              </w:rPr>
            </w:pPr>
            <w:r>
              <w:rPr>
                <w:sz w:val="24"/>
                <w:rFonts w:ascii="Times New Roman" w:hAnsi="Times New Roman"/>
              </w:rPr>
              <w:t xml:space="preserve">1210</w:t>
            </w:r>
          </w:p>
        </w:tc>
        <w:tc>
          <w:tcPr>
            <w:tcW w:w="7371" w:type="dxa"/>
            <w:shd w:val="clear" w:color="auto" w:fill="auto"/>
          </w:tcPr>
          <w:p w14:paraId="652143F0" w14:textId="4EABDDBC"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Totales de las operaciones en las que se prestan activos no líquidos y se toman en préstamo las garantías reales siguientes:</w:t>
            </w:r>
          </w:p>
          <w:p w14:paraId="48382986" w14:textId="4E55273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3246BFCB" w14:textId="199DA76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las operaciones en las que se prestan activos no líquidos.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sz w:val="24"/>
                <w:rFonts w:ascii="Times New Roman" w:eastAsia="PMingLiU" w:hAnsi="Times New Roman"/>
              </w:rPr>
            </w:pPr>
            <w:r>
              <w:rPr>
                <w:sz w:val="24"/>
                <w:rFonts w:ascii="Times New Roman" w:hAnsi="Times New Roman"/>
              </w:rPr>
              <w:t xml:space="preserve">1220</w:t>
            </w:r>
          </w:p>
        </w:tc>
        <w:tc>
          <w:tcPr>
            <w:tcW w:w="7371" w:type="dxa"/>
            <w:shd w:val="clear" w:color="auto" w:fill="FFFFFF"/>
          </w:tcPr>
          <w:p w14:paraId="5716A40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65D2CCC8" w14:textId="379B6900"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activos de nivel 1, excepto bonos garantizados de calidad sumamente elevada (tomados en préstamo).</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sz w:val="24"/>
                <w:rFonts w:ascii="Times New Roman" w:eastAsia="PMingLiU" w:hAnsi="Times New Roman"/>
              </w:rPr>
            </w:pPr>
            <w:r>
              <w:rPr>
                <w:sz w:val="24"/>
                <w:rFonts w:ascii="Times New Roman" w:hAnsi="Times New Roman"/>
              </w:rPr>
              <w:t xml:space="preserve">1230</w:t>
            </w:r>
          </w:p>
        </w:tc>
        <w:tc>
          <w:tcPr>
            <w:tcW w:w="7371" w:type="dxa"/>
            <w:shd w:val="clear" w:color="auto" w:fill="FFFFFF"/>
          </w:tcPr>
          <w:p w14:paraId="783E0BB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91D89AB" w14:textId="6017EAD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1.8.1., las entidades de crédito comunicarán el componente de las garantías reales tomadas en préstamo que cumplan los requisitos operativos con arreglo al artículo 8 del Reglamento Delegado (UE)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sz w:val="24"/>
                <w:rFonts w:ascii="Times New Roman" w:eastAsia="PMingLiU" w:hAnsi="Times New Roman"/>
              </w:rPr>
            </w:pPr>
            <w:r>
              <w:rPr>
                <w:sz w:val="24"/>
                <w:rFonts w:ascii="Times New Roman" w:hAnsi="Times New Roman"/>
              </w:rPr>
              <w:t xml:space="preserve">1240</w:t>
            </w:r>
          </w:p>
        </w:tc>
        <w:tc>
          <w:tcPr>
            <w:tcW w:w="7371" w:type="dxa"/>
            <w:shd w:val="clear" w:color="auto" w:fill="FFFFFF"/>
          </w:tcPr>
          <w:p w14:paraId="12C8F832" w14:textId="1098D24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196CF5B1" w14:textId="245A87A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Operaciones en las que la entidad ha permutado activos no líquidos (prestados) por bonos garantizados de calidad sumamente elevada de nivel 1 (tomados en préstamo).</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sz w:val="24"/>
                <w:rFonts w:ascii="Times New Roman" w:eastAsia="PMingLiU" w:hAnsi="Times New Roman"/>
              </w:rPr>
            </w:pPr>
            <w:r>
              <w:rPr>
                <w:sz w:val="24"/>
                <w:rFonts w:ascii="Times New Roman" w:hAnsi="Times New Roman"/>
              </w:rPr>
              <w:t xml:space="preserve">1250</w:t>
            </w:r>
          </w:p>
        </w:tc>
        <w:tc>
          <w:tcPr>
            <w:tcW w:w="7371" w:type="dxa"/>
            <w:shd w:val="clear" w:color="auto" w:fill="FFFFFF"/>
          </w:tcPr>
          <w:p w14:paraId="6A5D2D4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4429190" w14:textId="0D19AA9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1.8.2., las entidades de crédito comunicarán el componente de las garantías reales tomadas en préstamo que cumplan los requisitos operativos con arreglo al artículo 8 del Reglamento Delegado (UE)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sz w:val="24"/>
                <w:rFonts w:ascii="Times New Roman" w:eastAsia="PMingLiU" w:hAnsi="Times New Roman"/>
              </w:rPr>
            </w:pPr>
            <w:r>
              <w:rPr>
                <w:sz w:val="24"/>
                <w:rFonts w:ascii="Times New Roman" w:hAnsi="Times New Roman"/>
              </w:rPr>
              <w:t xml:space="preserve">1260</w:t>
            </w:r>
          </w:p>
        </w:tc>
        <w:tc>
          <w:tcPr>
            <w:tcW w:w="7371" w:type="dxa"/>
            <w:shd w:val="clear" w:color="auto" w:fill="FFFFFF"/>
          </w:tcPr>
          <w:p w14:paraId="440EF8F7" w14:textId="40133DB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1.8.3.</w:t>
            </w:r>
            <w:r>
              <w:rPr>
                <w:b/>
                <w:sz w:val="24"/>
                <w:rFonts w:ascii="Times New Roman" w:hAnsi="Times New Roman"/>
              </w:rPr>
              <w:t xml:space="preserve"> </w:t>
            </w:r>
            <w:r>
              <w:rPr>
                <w:b/>
                <w:sz w:val="24"/>
                <w:rFonts w:ascii="Times New Roman" w:hAnsi="Times New Roman"/>
              </w:rPr>
              <w:t xml:space="preserve">Activos de nivel 2A</w:t>
            </w:r>
          </w:p>
          <w:p w14:paraId="6A50B7E7" w14:textId="6848320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activos de nivel 2A (tomados en préstamo).</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sz w:val="24"/>
                <w:rFonts w:ascii="Times New Roman" w:eastAsia="PMingLiU" w:hAnsi="Times New Roman"/>
              </w:rPr>
            </w:pPr>
            <w:r>
              <w:rPr>
                <w:sz w:val="24"/>
                <w:rFonts w:ascii="Times New Roman" w:hAnsi="Times New Roman"/>
              </w:rPr>
              <w:t xml:space="preserve">1270</w:t>
            </w:r>
          </w:p>
        </w:tc>
        <w:tc>
          <w:tcPr>
            <w:tcW w:w="7371" w:type="dxa"/>
            <w:shd w:val="clear" w:color="auto" w:fill="FFFFFF"/>
          </w:tcPr>
          <w:p w14:paraId="308069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EC204B6" w14:textId="31AB5E6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1.8.3., las entidades de crédito comunicarán el componente de las garantías reales tomadas en préstamo que cumplan los requisitos operativos con arreglo al artículo 8 del Reglamento Delegado (UE)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sz w:val="24"/>
                <w:rFonts w:ascii="Times New Roman" w:eastAsia="PMingLiU" w:hAnsi="Times New Roman"/>
              </w:rPr>
            </w:pPr>
            <w:r>
              <w:rPr>
                <w:sz w:val="24"/>
                <w:rFonts w:ascii="Times New Roman" w:hAnsi="Times New Roman"/>
              </w:rPr>
              <w:t xml:space="preserve">1280</w:t>
            </w:r>
          </w:p>
        </w:tc>
        <w:tc>
          <w:tcPr>
            <w:tcW w:w="7371" w:type="dxa"/>
            <w:shd w:val="clear" w:color="auto" w:fill="FFFFFF"/>
          </w:tcPr>
          <w:p w14:paraId="254A5A0B" w14:textId="34B313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6371E636" w14:textId="666428B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bonos de titulización de activos de nivel 2B (residenciales o automóviles, nivel de calidad crediticia 1) (tomados en préstamo).</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sz w:val="24"/>
                <w:rFonts w:ascii="Times New Roman" w:eastAsia="PMingLiU" w:hAnsi="Times New Roman"/>
              </w:rPr>
            </w:pPr>
            <w:r>
              <w:rPr>
                <w:sz w:val="24"/>
                <w:rFonts w:ascii="Times New Roman" w:hAnsi="Times New Roman"/>
              </w:rPr>
              <w:t xml:space="preserve">1290</w:t>
            </w:r>
          </w:p>
        </w:tc>
        <w:tc>
          <w:tcPr>
            <w:tcW w:w="7371" w:type="dxa"/>
            <w:shd w:val="clear" w:color="auto" w:fill="FFFFFF"/>
          </w:tcPr>
          <w:p w14:paraId="08E91EE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97085E5" w14:textId="6EEC0171"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1.8.4., las entidades de crédito comunicarán el componente de las garantías reales tomadas en préstamo que cumplan los requisitos operativos con arreglo al artículo 8 del Reglamento Delegado (UE)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sz w:val="24"/>
                <w:rFonts w:ascii="Times New Roman" w:eastAsia="PMingLiU" w:hAnsi="Times New Roman"/>
              </w:rPr>
            </w:pPr>
            <w:r>
              <w:rPr>
                <w:sz w:val="24"/>
                <w:rFonts w:ascii="Times New Roman" w:hAnsi="Times New Roman"/>
              </w:rPr>
              <w:t xml:space="preserve">1300</w:t>
            </w:r>
          </w:p>
        </w:tc>
        <w:tc>
          <w:tcPr>
            <w:tcW w:w="7371" w:type="dxa"/>
            <w:shd w:val="clear" w:color="auto" w:fill="FFFFFF"/>
          </w:tcPr>
          <w:p w14:paraId="7CD2DE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3EDEEF99" w14:textId="2B569D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bonos garantizados de calidad elevada de nivel 2B (tomados en préstamo).</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sz w:val="24"/>
                <w:rFonts w:ascii="Times New Roman" w:eastAsia="PMingLiU" w:hAnsi="Times New Roman"/>
              </w:rPr>
            </w:pPr>
            <w:r>
              <w:rPr>
                <w:sz w:val="24"/>
                <w:rFonts w:ascii="Times New Roman" w:hAnsi="Times New Roman"/>
              </w:rPr>
              <w:t xml:space="preserve">1310</w:t>
            </w:r>
          </w:p>
        </w:tc>
        <w:tc>
          <w:tcPr>
            <w:tcW w:w="7371" w:type="dxa"/>
            <w:shd w:val="clear" w:color="auto" w:fill="FFFFFF"/>
          </w:tcPr>
          <w:p w14:paraId="41270C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768C8A8" w14:textId="6F003E7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1.8.5., las entidades de crédito comunicarán el componente de las garantías reales tomadas en préstamo que cumplan los requisitos operativos con arreglo al artículo 8 del Reglamento Delegado (UE)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sz w:val="24"/>
                <w:rFonts w:ascii="Times New Roman" w:eastAsia="PMingLiU" w:hAnsi="Times New Roman"/>
              </w:rPr>
            </w:pPr>
            <w:r>
              <w:rPr>
                <w:sz w:val="24"/>
                <w:rFonts w:ascii="Times New Roman" w:hAnsi="Times New Roman"/>
              </w:rPr>
              <w:t xml:space="preserve">1320</w:t>
            </w:r>
          </w:p>
        </w:tc>
        <w:tc>
          <w:tcPr>
            <w:tcW w:w="7371" w:type="dxa"/>
            <w:shd w:val="clear" w:color="auto" w:fill="FFFFFF"/>
          </w:tcPr>
          <w:p w14:paraId="1BF27F6F" w14:textId="34ED496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09D95F4E" w14:textId="582AB0E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bonos de titulización de activos de nivel 2B (comerciales o particulares, Estados miembros, nivel de calidad crediticia 1) (tomados en préstamo).</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sz w:val="24"/>
                <w:rFonts w:ascii="Times New Roman" w:eastAsia="PMingLiU" w:hAnsi="Times New Roman"/>
              </w:rPr>
            </w:pPr>
            <w:r>
              <w:rPr>
                <w:sz w:val="24"/>
                <w:rFonts w:ascii="Times New Roman" w:hAnsi="Times New Roman"/>
              </w:rPr>
              <w:t xml:space="preserve">1330</w:t>
            </w:r>
          </w:p>
        </w:tc>
        <w:tc>
          <w:tcPr>
            <w:tcW w:w="7371" w:type="dxa"/>
            <w:shd w:val="clear" w:color="auto" w:fill="FFFFFF"/>
          </w:tcPr>
          <w:p w14:paraId="4182EB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752BB72" w14:textId="1C422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1.8.6., las entidades de crédito comunicarán el componente de las garantías reales tomadas en préstamo que cumplan los requisitos operativos con arreglo al artículo 8 del Reglamento Delegado (UE)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sz w:val="24"/>
                <w:rFonts w:ascii="Times New Roman" w:eastAsia="PMingLiU" w:hAnsi="Times New Roman"/>
              </w:rPr>
            </w:pPr>
            <w:r>
              <w:rPr>
                <w:sz w:val="24"/>
                <w:rFonts w:ascii="Times New Roman" w:hAnsi="Times New Roman"/>
              </w:rPr>
              <w:t xml:space="preserve">1340</w:t>
            </w:r>
          </w:p>
        </w:tc>
        <w:tc>
          <w:tcPr>
            <w:tcW w:w="7371" w:type="dxa"/>
            <w:shd w:val="clear" w:color="auto" w:fill="FFFFFF"/>
          </w:tcPr>
          <w:p w14:paraId="54F1945D" w14:textId="78D1182E"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1.8.7.</w:t>
            </w:r>
            <w:r>
              <w:rPr>
                <w:b/>
                <w:sz w:val="24"/>
                <w:rFonts w:ascii="Times New Roman" w:hAnsi="Times New Roman"/>
              </w:rPr>
              <w:t xml:space="preserve"> </w:t>
            </w:r>
            <w:r>
              <w:rPr>
                <w:b/>
                <w:sz w:val="24"/>
                <w:rFonts w:ascii="Times New Roman" w:hAnsi="Times New Roman"/>
              </w:rPr>
              <w:t xml:space="preserve">Otros de nivel 2B</w:t>
            </w:r>
          </w:p>
          <w:p w14:paraId="64A17090" w14:textId="077BF65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otros activos de nivel 2B (tomados en préstamo).</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sz w:val="24"/>
                <w:rFonts w:ascii="Times New Roman" w:eastAsia="PMingLiU" w:hAnsi="Times New Roman"/>
              </w:rPr>
            </w:pPr>
            <w:r>
              <w:rPr>
                <w:sz w:val="24"/>
                <w:rFonts w:ascii="Times New Roman" w:hAnsi="Times New Roman"/>
              </w:rPr>
              <w:t xml:space="preserve">1350</w:t>
            </w:r>
          </w:p>
        </w:tc>
        <w:tc>
          <w:tcPr>
            <w:tcW w:w="7371" w:type="dxa"/>
            <w:shd w:val="clear" w:color="auto" w:fill="FFFFFF"/>
          </w:tcPr>
          <w:p w14:paraId="557BBFB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97F8ED1" w14:textId="31C4256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1.8.7., las entidades de crédito comunicarán el componente de las garantías reales tomadas en préstamo que cumplan los requisitos operativos con arreglo al artículo 8 del Reglamento Delegado (UE)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sz w:val="24"/>
                <w:rFonts w:ascii="Times New Roman" w:eastAsia="PMingLiU" w:hAnsi="Times New Roman"/>
              </w:rPr>
            </w:pPr>
            <w:r>
              <w:rPr>
                <w:sz w:val="24"/>
                <w:rFonts w:ascii="Times New Roman" w:hAnsi="Times New Roman"/>
              </w:rPr>
              <w:t xml:space="preserve">1360</w:t>
            </w:r>
          </w:p>
        </w:tc>
        <w:tc>
          <w:tcPr>
            <w:tcW w:w="7371" w:type="dxa"/>
            <w:shd w:val="clear" w:color="auto" w:fill="FFFFFF"/>
          </w:tcPr>
          <w:p w14:paraId="13689DE8" w14:textId="39A51B0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1.8.8.</w:t>
            </w:r>
            <w:r>
              <w:rPr>
                <w:b/>
                <w:sz w:val="24"/>
                <w:rFonts w:ascii="Times New Roman" w:hAnsi="Times New Roman"/>
              </w:rPr>
              <w:t xml:space="preserve"> </w:t>
            </w:r>
            <w:r>
              <w:rPr>
                <w:b/>
                <w:sz w:val="24"/>
                <w:rFonts w:ascii="Times New Roman" w:hAnsi="Times New Roman"/>
              </w:rPr>
              <w:t xml:space="preserve">Activos no líquidos</w:t>
            </w:r>
          </w:p>
          <w:p w14:paraId="238B9F3C" w14:textId="6F0DECF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activos no líquidos (tomados en préstamo).</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1370</w:t>
            </w:r>
          </w:p>
        </w:tc>
        <w:tc>
          <w:tcPr>
            <w:tcW w:w="7371" w:type="dxa"/>
            <w:shd w:val="clear" w:color="auto" w:fill="auto"/>
          </w:tcPr>
          <w:p w14:paraId="41118F0D" w14:textId="0448A62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TOTAL DE PERMUTAS DE GARANTÍAS REALES (la contraparte no es un banco central)</w:t>
            </w:r>
          </w:p>
          <w:p w14:paraId="59A9C10F" w14:textId="4CDB84D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19CCBD78" w14:textId="185C4803"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1380</w:t>
            </w:r>
          </w:p>
        </w:tc>
        <w:tc>
          <w:tcPr>
            <w:tcW w:w="7371" w:type="dxa"/>
            <w:shd w:val="clear" w:color="auto" w:fill="auto"/>
          </w:tcPr>
          <w:p w14:paraId="3C7AC06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Totales de las operaciones en las que se prestan activos de nivel 1 (excepto bonos garantizados de calidad sumamente elevada) y se toman en préstamo las garantías reales siguientes:</w:t>
            </w:r>
          </w:p>
          <w:p w14:paraId="4C33D6C1" w14:textId="1C83C3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04E7D14E" w14:textId="5D82D2D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cada columna pertinente, los valores totales de las permutas de garantías reales de operaciones en las que se presten activos de nivel 1 (excepto bonos garantizados de calidad sumamente elevada).</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1390</w:t>
            </w:r>
          </w:p>
        </w:tc>
        <w:tc>
          <w:tcPr>
            <w:tcW w:w="7371" w:type="dxa"/>
          </w:tcPr>
          <w:p w14:paraId="30A861A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22FB3D58" w14:textId="4927A4C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activos de nivel 1, excepto bonos garantizados de calidad sumamente elevada (tomados en préstamo).</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1400</w:t>
            </w:r>
          </w:p>
        </w:tc>
        <w:tc>
          <w:tcPr>
            <w:tcW w:w="7371" w:type="dxa"/>
          </w:tcPr>
          <w:p w14:paraId="45B4C224" w14:textId="77777777" w:rsidR="00F71050" w:rsidRPr="000B6B22" w:rsidRDefault="00F71050" w:rsidP="009D4EFF">
            <w:pPr>
              <w:numPr>
                <w:ilvl w:val="3"/>
                <w:numId w:val="44"/>
              </w:numPr>
              <w:spacing w:before="0"/>
              <w:ind w:left="-84" w:hanging="600"/>
              <w:rPr>
                <w:b/>
                <w:bCs/>
                <w:sz w:val="24"/>
                <w:rFonts w:ascii="Times New Roman" w:eastAsia="PMingLiU" w:hAnsi="Times New Roman"/>
              </w:rPr>
            </w:pPr>
            <w:r>
              <w:rPr>
                <w:b/>
                <w:sz w:val="24"/>
                <w:rFonts w:ascii="Times New Roman" w:hAnsi="Times New Roman"/>
              </w:rPr>
              <w:t xml:space="preserve">De las cuales: las garantías reales permutadas cumplen los requisitos operativos</w:t>
            </w:r>
          </w:p>
          <w:p w14:paraId="1DCEEC18" w14:textId="10E8BE5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2.1.1., las entidades de crédito comunicarán:</w:t>
            </w:r>
          </w:p>
          <w:p w14:paraId="26440473" w14:textId="6CD60E5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3036CA71" w14:textId="4BDB8A0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1410</w:t>
            </w:r>
          </w:p>
        </w:tc>
        <w:tc>
          <w:tcPr>
            <w:tcW w:w="7371" w:type="dxa"/>
          </w:tcPr>
          <w:p w14:paraId="6DFC815A" w14:textId="404A96F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62EC1564" w14:textId="349E3D5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bonos garantizados de calidad sumamente elevada de nivel 1 (tomados en préstamo).</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1420</w:t>
            </w:r>
          </w:p>
        </w:tc>
        <w:tc>
          <w:tcPr>
            <w:tcW w:w="7371" w:type="dxa"/>
          </w:tcPr>
          <w:p w14:paraId="741A2A7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D4E660F" w14:textId="35A4A28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2.1.2., las entidades de crédito comunicarán:</w:t>
            </w:r>
          </w:p>
          <w:p w14:paraId="3782BD75" w14:textId="07FBE00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4AE4E5A" w14:textId="64CEFF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1430</w:t>
            </w:r>
          </w:p>
        </w:tc>
        <w:tc>
          <w:tcPr>
            <w:tcW w:w="7371" w:type="dxa"/>
          </w:tcPr>
          <w:p w14:paraId="54882135" w14:textId="74280FF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2.1.3.</w:t>
            </w:r>
            <w:r>
              <w:rPr>
                <w:b/>
                <w:sz w:val="24"/>
                <w:rFonts w:ascii="Times New Roman" w:hAnsi="Times New Roman"/>
              </w:rPr>
              <w:t xml:space="preserve"> </w:t>
            </w:r>
            <w:r>
              <w:rPr>
                <w:b/>
                <w:sz w:val="24"/>
                <w:rFonts w:ascii="Times New Roman" w:hAnsi="Times New Roman"/>
              </w:rPr>
              <w:t xml:space="preserve">Activos de nivel 2A</w:t>
            </w:r>
          </w:p>
          <w:p w14:paraId="05D9B413" w14:textId="5EF8B04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activos de nivel 2A (tomados en préstamo).</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1440</w:t>
            </w:r>
          </w:p>
        </w:tc>
        <w:tc>
          <w:tcPr>
            <w:tcW w:w="7371" w:type="dxa"/>
          </w:tcPr>
          <w:p w14:paraId="1B1C62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AA25096" w14:textId="00AB6FC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2.1.3., las entidades de crédito comunicarán:</w:t>
            </w:r>
          </w:p>
          <w:p w14:paraId="4CE2E637" w14:textId="059014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E45A5B3" w14:textId="036F318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1450</w:t>
            </w:r>
          </w:p>
        </w:tc>
        <w:tc>
          <w:tcPr>
            <w:tcW w:w="7371" w:type="dxa"/>
          </w:tcPr>
          <w:p w14:paraId="51FDFF2F" w14:textId="5BCB65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0CB28505" w14:textId="3DFA88B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bonos de titulización de activos de nivel 2B (residenciales o automóviles, nivel de calidad crediticia 1) (tomados en préstamo).</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1460</w:t>
            </w:r>
          </w:p>
        </w:tc>
        <w:tc>
          <w:tcPr>
            <w:tcW w:w="7371" w:type="dxa"/>
          </w:tcPr>
          <w:p w14:paraId="3C6DC87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DC29F3B" w14:textId="4F5B74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2.1.4., las entidades de crédito comunicarán:</w:t>
            </w:r>
          </w:p>
          <w:p w14:paraId="1E637373" w14:textId="409B9BA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A5FBEBD" w14:textId="0295F50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1470</w:t>
            </w:r>
          </w:p>
        </w:tc>
        <w:tc>
          <w:tcPr>
            <w:tcW w:w="7371" w:type="dxa"/>
          </w:tcPr>
          <w:p w14:paraId="2B9A3333" w14:textId="4DE6757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192E2489" w14:textId="00C8EA8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bonos garantizados de calidad elevada de nivel 2B (tomados en préstamo).</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1480</w:t>
            </w:r>
          </w:p>
        </w:tc>
        <w:tc>
          <w:tcPr>
            <w:tcW w:w="7371" w:type="dxa"/>
          </w:tcPr>
          <w:p w14:paraId="4A8027B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9ED501C" w14:textId="36D9C9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2.1.5., las entidades de crédito comunicarán:</w:t>
            </w:r>
          </w:p>
          <w:p w14:paraId="6525CAE2" w14:textId="5C0AB3C1"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514D6B2" w14:textId="219EE30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1490</w:t>
            </w:r>
          </w:p>
        </w:tc>
        <w:tc>
          <w:tcPr>
            <w:tcW w:w="7371" w:type="dxa"/>
          </w:tcPr>
          <w:p w14:paraId="15CAFE7C" w14:textId="677978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1737CF4B" w14:textId="387248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bonos de titulización de activos de nivel 2B (comerciales o particulares, Estados miembros, nivel de calidad crediticia 1) (tomados en préstamo).</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1500</w:t>
            </w:r>
          </w:p>
        </w:tc>
        <w:tc>
          <w:tcPr>
            <w:tcW w:w="7371" w:type="dxa"/>
          </w:tcPr>
          <w:p w14:paraId="3FB68C5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A0B71A1" w14:textId="1347FBC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2.1.6., las entidades de crédito comunicarán:</w:t>
            </w:r>
          </w:p>
          <w:p w14:paraId="6CCA281F" w14:textId="4B91FC4B"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CC653EA" w14:textId="3A88B9A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1510</w:t>
            </w:r>
          </w:p>
        </w:tc>
        <w:tc>
          <w:tcPr>
            <w:tcW w:w="7371" w:type="dxa"/>
          </w:tcPr>
          <w:p w14:paraId="5D68516D" w14:textId="2A468DB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2.1.7.</w:t>
            </w:r>
            <w:r>
              <w:rPr>
                <w:b/>
                <w:sz w:val="24"/>
                <w:rFonts w:ascii="Times New Roman" w:hAnsi="Times New Roman"/>
              </w:rPr>
              <w:t xml:space="preserve"> </w:t>
            </w:r>
            <w:r>
              <w:rPr>
                <w:b/>
                <w:sz w:val="24"/>
                <w:rFonts w:ascii="Times New Roman" w:hAnsi="Times New Roman"/>
              </w:rPr>
              <w:t xml:space="preserve">Otros de nivel 2B</w:t>
            </w:r>
          </w:p>
          <w:p w14:paraId="16714351" w14:textId="0E1DE81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otros de nivel 2B (tomados en préstamo).</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1520</w:t>
            </w:r>
          </w:p>
        </w:tc>
        <w:tc>
          <w:tcPr>
            <w:tcW w:w="7371" w:type="dxa"/>
          </w:tcPr>
          <w:p w14:paraId="4E911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2ECB90B" w14:textId="7C3766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2.1.7., las entidades de crédito comunicarán:</w:t>
            </w:r>
          </w:p>
          <w:p w14:paraId="2FB2AC33" w14:textId="2C5C87C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CFB9485" w14:textId="74D2A31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1530</w:t>
            </w:r>
          </w:p>
        </w:tc>
        <w:tc>
          <w:tcPr>
            <w:tcW w:w="7371" w:type="dxa"/>
          </w:tcPr>
          <w:p w14:paraId="0A696F7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2.1.8.</w:t>
            </w:r>
            <w:r>
              <w:rPr>
                <w:b/>
                <w:sz w:val="24"/>
                <w:rFonts w:ascii="Times New Roman" w:hAnsi="Times New Roman"/>
              </w:rPr>
              <w:t xml:space="preserve"> </w:t>
            </w:r>
            <w:r>
              <w:rPr>
                <w:b/>
                <w:sz w:val="24"/>
                <w:rFonts w:ascii="Times New Roman" w:hAnsi="Times New Roman"/>
              </w:rPr>
              <w:t xml:space="preserve">Activos no líquidos</w:t>
            </w:r>
          </w:p>
          <w:p w14:paraId="7D04ADDE" w14:textId="2733FA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1, excepto bonos garantizados de calidad sumamente elevada (prestados), por activos no líquidos (tomados en préstamo).</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sz w:val="24"/>
                <w:rFonts w:ascii="Times New Roman" w:eastAsia="PMingLiU" w:hAnsi="Times New Roman"/>
              </w:rPr>
            </w:pPr>
            <w:r>
              <w:rPr>
                <w:sz w:val="24"/>
                <w:rFonts w:ascii="Times New Roman" w:hAnsi="Times New Roman"/>
              </w:rPr>
              <w:t xml:space="preserve">1540</w:t>
            </w:r>
          </w:p>
        </w:tc>
        <w:tc>
          <w:tcPr>
            <w:tcW w:w="7371" w:type="dxa"/>
            <w:shd w:val="clear" w:color="auto" w:fill="auto"/>
          </w:tcPr>
          <w:p w14:paraId="1A3E3C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F390D3E" w14:textId="1017CDA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2.1.8.,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sz w:val="24"/>
                <w:rFonts w:ascii="Times New Roman" w:eastAsia="PMingLiU" w:hAnsi="Times New Roman"/>
              </w:rPr>
            </w:pPr>
            <w:r>
              <w:rPr>
                <w:sz w:val="24"/>
                <w:rFonts w:ascii="Times New Roman" w:hAnsi="Times New Roman"/>
              </w:rPr>
              <w:t xml:space="preserve">1550</w:t>
            </w:r>
          </w:p>
        </w:tc>
        <w:tc>
          <w:tcPr>
            <w:tcW w:w="7371" w:type="dxa"/>
            <w:shd w:val="clear" w:color="auto" w:fill="auto"/>
          </w:tcPr>
          <w:p w14:paraId="0E69DD3D" w14:textId="7C391E4F"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Totales de las operaciones en las que se prestan bonos garantizados de calidad sumamente elevada de nivel 1 y se toman en préstamo las garantías reales siguientes:</w:t>
            </w:r>
          </w:p>
          <w:p w14:paraId="0F483C3B" w14:textId="364CC81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3DA72D20" w14:textId="41E00AF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en operaciones en las que se prestan bonos garantizados de calidad sumamente elevada de nivel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sz w:val="24"/>
                <w:rFonts w:ascii="Times New Roman" w:eastAsia="PMingLiU" w:hAnsi="Times New Roman"/>
              </w:rPr>
            </w:pPr>
            <w:r>
              <w:rPr>
                <w:sz w:val="24"/>
                <w:rFonts w:ascii="Times New Roman" w:hAnsi="Times New Roman"/>
              </w:rPr>
              <w:t xml:space="preserve">1560</w:t>
            </w:r>
          </w:p>
        </w:tc>
        <w:tc>
          <w:tcPr>
            <w:tcW w:w="7371" w:type="dxa"/>
          </w:tcPr>
          <w:p w14:paraId="2F73D18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3E9044A0" w14:textId="68F8D24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activos de nivel 1, excepto bonos garantizados de calidad sumamente elevada (tomados en préstamo).</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sz w:val="24"/>
                <w:rFonts w:ascii="Times New Roman" w:eastAsia="PMingLiU" w:hAnsi="Times New Roman"/>
              </w:rPr>
            </w:pPr>
            <w:r>
              <w:rPr>
                <w:sz w:val="24"/>
                <w:rFonts w:ascii="Times New Roman" w:hAnsi="Times New Roman"/>
              </w:rPr>
              <w:t xml:space="preserve">1570</w:t>
            </w:r>
          </w:p>
        </w:tc>
        <w:tc>
          <w:tcPr>
            <w:tcW w:w="7371" w:type="dxa"/>
          </w:tcPr>
          <w:p w14:paraId="7FA96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E71C48A" w14:textId="09AE35C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2.2.1., las entidades de crédito comunicarán:</w:t>
            </w:r>
          </w:p>
          <w:p w14:paraId="5009AFF2" w14:textId="2CA76BEC"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3F1BB3C" w14:textId="2DE401D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sz w:val="24"/>
                <w:rFonts w:ascii="Times New Roman" w:eastAsia="PMingLiU" w:hAnsi="Times New Roman"/>
              </w:rPr>
            </w:pPr>
            <w:r>
              <w:rPr>
                <w:sz w:val="24"/>
                <w:rFonts w:ascii="Times New Roman" w:hAnsi="Times New Roman"/>
              </w:rPr>
              <w:t xml:space="preserve">1580</w:t>
            </w:r>
          </w:p>
        </w:tc>
        <w:tc>
          <w:tcPr>
            <w:tcW w:w="7371" w:type="dxa"/>
          </w:tcPr>
          <w:p w14:paraId="0673256A" w14:textId="1F269AE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6106FC3C" w14:textId="5ADABC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bonos garantizados de calidad sumamente elevada de nivel 1 (tomados en préstamo).</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sz w:val="24"/>
                <w:rFonts w:ascii="Times New Roman" w:eastAsia="PMingLiU" w:hAnsi="Times New Roman"/>
              </w:rPr>
            </w:pPr>
            <w:r>
              <w:rPr>
                <w:sz w:val="24"/>
                <w:rFonts w:ascii="Times New Roman" w:hAnsi="Times New Roman"/>
              </w:rPr>
              <w:t xml:space="preserve">1590</w:t>
            </w:r>
          </w:p>
        </w:tc>
        <w:tc>
          <w:tcPr>
            <w:tcW w:w="7371" w:type="dxa"/>
          </w:tcPr>
          <w:p w14:paraId="3435D45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DA3FF32" w14:textId="0DE6681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2.2.2., las entidades de crédito comunicarán:</w:t>
            </w:r>
          </w:p>
          <w:p w14:paraId="68AB7F65" w14:textId="1476D8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89070E8" w14:textId="2E5C6A0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sz w:val="24"/>
                <w:rFonts w:ascii="Times New Roman" w:eastAsia="PMingLiU" w:hAnsi="Times New Roman"/>
              </w:rPr>
            </w:pPr>
            <w:r>
              <w:rPr>
                <w:sz w:val="24"/>
                <w:rFonts w:ascii="Times New Roman" w:hAnsi="Times New Roman"/>
              </w:rPr>
              <w:t xml:space="preserve">1600</w:t>
            </w:r>
          </w:p>
        </w:tc>
        <w:tc>
          <w:tcPr>
            <w:tcW w:w="7371" w:type="dxa"/>
          </w:tcPr>
          <w:p w14:paraId="0B127A2C" w14:textId="2A5BC1D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2.2.3.</w:t>
            </w:r>
            <w:r>
              <w:rPr>
                <w:b/>
                <w:sz w:val="24"/>
                <w:rFonts w:ascii="Times New Roman" w:hAnsi="Times New Roman"/>
              </w:rPr>
              <w:t xml:space="preserve"> </w:t>
            </w:r>
            <w:r>
              <w:rPr>
                <w:b/>
                <w:sz w:val="24"/>
                <w:rFonts w:ascii="Times New Roman" w:hAnsi="Times New Roman"/>
              </w:rPr>
              <w:t xml:space="preserve">Activos de nivel 2A</w:t>
            </w:r>
          </w:p>
          <w:p w14:paraId="2A9FC07D" w14:textId="071F58E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activos de nivel 2A (tomados en préstamo).</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sz w:val="24"/>
                <w:rFonts w:ascii="Times New Roman" w:eastAsia="PMingLiU" w:hAnsi="Times New Roman"/>
              </w:rPr>
            </w:pPr>
            <w:r>
              <w:rPr>
                <w:sz w:val="24"/>
                <w:rFonts w:ascii="Times New Roman" w:hAnsi="Times New Roman"/>
              </w:rPr>
              <w:t xml:space="preserve">1610</w:t>
            </w:r>
          </w:p>
        </w:tc>
        <w:tc>
          <w:tcPr>
            <w:tcW w:w="7371" w:type="dxa"/>
          </w:tcPr>
          <w:p w14:paraId="45DF39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5A6CAB4" w14:textId="58A162C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2.2.3., las entidades de crédito comunicarán:</w:t>
            </w:r>
          </w:p>
          <w:p w14:paraId="4A6BF050" w14:textId="4256C76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2BD5405" w14:textId="162D92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sz w:val="24"/>
                <w:rFonts w:ascii="Times New Roman" w:eastAsia="PMingLiU" w:hAnsi="Times New Roman"/>
              </w:rPr>
            </w:pPr>
            <w:r>
              <w:rPr>
                <w:sz w:val="24"/>
                <w:rFonts w:ascii="Times New Roman" w:hAnsi="Times New Roman"/>
              </w:rPr>
              <w:t xml:space="preserve">1620</w:t>
            </w:r>
          </w:p>
        </w:tc>
        <w:tc>
          <w:tcPr>
            <w:tcW w:w="7371" w:type="dxa"/>
          </w:tcPr>
          <w:p w14:paraId="7E4853EF" w14:textId="6D62427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32B503BE" w14:textId="239D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bonos de titulización de activos de nivel 2B (residenciales o automóviles, nivel de calidad crediticia 1) (tomados en préstamo).</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sz w:val="24"/>
                <w:rFonts w:ascii="Times New Roman" w:eastAsia="PMingLiU" w:hAnsi="Times New Roman"/>
              </w:rPr>
            </w:pPr>
            <w:r>
              <w:rPr>
                <w:sz w:val="24"/>
                <w:rFonts w:ascii="Times New Roman" w:hAnsi="Times New Roman"/>
              </w:rPr>
              <w:t xml:space="preserve">1630</w:t>
            </w:r>
          </w:p>
        </w:tc>
        <w:tc>
          <w:tcPr>
            <w:tcW w:w="7371" w:type="dxa"/>
          </w:tcPr>
          <w:p w14:paraId="05866F3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F9423C6" w14:textId="6396EE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2.2.4., las entidades de crédito comunicarán:</w:t>
            </w:r>
          </w:p>
          <w:p w14:paraId="02226C74" w14:textId="714BC7A2"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67D1161" w14:textId="0336862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sz w:val="24"/>
                <w:rFonts w:ascii="Times New Roman" w:eastAsia="PMingLiU" w:hAnsi="Times New Roman"/>
              </w:rPr>
            </w:pPr>
            <w:r>
              <w:rPr>
                <w:sz w:val="24"/>
                <w:rFonts w:ascii="Times New Roman" w:hAnsi="Times New Roman"/>
              </w:rPr>
              <w:t xml:space="preserve">1640</w:t>
            </w:r>
          </w:p>
        </w:tc>
        <w:tc>
          <w:tcPr>
            <w:tcW w:w="7371" w:type="dxa"/>
          </w:tcPr>
          <w:p w14:paraId="04BA035E" w14:textId="5DC4E9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34F92BCC" w14:textId="057D4CA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bonos garantizados de calidad elevada de nivel 2B (tomados en préstamo).</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sz w:val="24"/>
                <w:rFonts w:ascii="Times New Roman" w:eastAsia="PMingLiU" w:hAnsi="Times New Roman"/>
              </w:rPr>
            </w:pPr>
            <w:r>
              <w:rPr>
                <w:sz w:val="24"/>
                <w:rFonts w:ascii="Times New Roman" w:hAnsi="Times New Roman"/>
              </w:rPr>
              <w:t xml:space="preserve">1650</w:t>
            </w:r>
          </w:p>
        </w:tc>
        <w:tc>
          <w:tcPr>
            <w:tcW w:w="7371" w:type="dxa"/>
          </w:tcPr>
          <w:p w14:paraId="6D47E5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EAB806B" w14:textId="32F1E2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2.2.5., las entidades de crédito comunicarán:</w:t>
            </w:r>
          </w:p>
          <w:p w14:paraId="2153C68A" w14:textId="0494E247"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2C509ACC" w14:textId="5EB9814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sz w:val="24"/>
                <w:rFonts w:ascii="Times New Roman" w:eastAsia="PMingLiU" w:hAnsi="Times New Roman"/>
              </w:rPr>
            </w:pPr>
            <w:r>
              <w:rPr>
                <w:sz w:val="24"/>
                <w:rFonts w:ascii="Times New Roman" w:hAnsi="Times New Roman"/>
              </w:rPr>
              <w:t xml:space="preserve">1660</w:t>
            </w:r>
          </w:p>
        </w:tc>
        <w:tc>
          <w:tcPr>
            <w:tcW w:w="7371" w:type="dxa"/>
          </w:tcPr>
          <w:p w14:paraId="2E7434A6" w14:textId="0DA25A1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1CB114E8" w14:textId="69F4655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bonos de titulización de activos de nivel 2B (comerciales o particulares, Estados miembros, nivel de calidad crediticia 1) (tomados en préstamo).</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sz w:val="24"/>
                <w:rFonts w:ascii="Times New Roman" w:eastAsia="PMingLiU" w:hAnsi="Times New Roman"/>
              </w:rPr>
            </w:pPr>
            <w:r>
              <w:rPr>
                <w:sz w:val="24"/>
                <w:rFonts w:ascii="Times New Roman" w:hAnsi="Times New Roman"/>
              </w:rPr>
              <w:t xml:space="preserve">1670</w:t>
            </w:r>
          </w:p>
        </w:tc>
        <w:tc>
          <w:tcPr>
            <w:tcW w:w="7371" w:type="dxa"/>
          </w:tcPr>
          <w:p w14:paraId="7F0668D7" w14:textId="4858211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C5E61EB" w14:textId="5FE093F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2.2.6., las entidades de crédito comunicarán:</w:t>
            </w:r>
          </w:p>
          <w:p w14:paraId="7F2A51E9" w14:textId="459A6BD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A38D589" w14:textId="5028C90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sz w:val="24"/>
                <w:rFonts w:ascii="Times New Roman" w:eastAsia="PMingLiU" w:hAnsi="Times New Roman"/>
              </w:rPr>
            </w:pPr>
            <w:r>
              <w:rPr>
                <w:sz w:val="24"/>
                <w:rFonts w:ascii="Times New Roman" w:hAnsi="Times New Roman"/>
              </w:rPr>
              <w:t xml:space="preserve">1680</w:t>
            </w:r>
          </w:p>
        </w:tc>
        <w:tc>
          <w:tcPr>
            <w:tcW w:w="7371" w:type="dxa"/>
          </w:tcPr>
          <w:p w14:paraId="3B33D447" w14:textId="47B550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2.2.7.</w:t>
            </w:r>
            <w:r>
              <w:rPr>
                <w:b/>
                <w:sz w:val="24"/>
                <w:rFonts w:ascii="Times New Roman" w:hAnsi="Times New Roman"/>
              </w:rPr>
              <w:t xml:space="preserve"> </w:t>
            </w:r>
            <w:r>
              <w:rPr>
                <w:b/>
                <w:sz w:val="24"/>
                <w:rFonts w:ascii="Times New Roman" w:hAnsi="Times New Roman"/>
              </w:rPr>
              <w:t xml:space="preserve">Otros de nivel 2B</w:t>
            </w:r>
          </w:p>
          <w:p w14:paraId="5ADB50BD" w14:textId="325F891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otros activos de nivel 2B (tomados en préstamo).</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sz w:val="24"/>
                <w:rFonts w:ascii="Times New Roman" w:eastAsia="PMingLiU" w:hAnsi="Times New Roman"/>
              </w:rPr>
            </w:pPr>
            <w:r>
              <w:rPr>
                <w:sz w:val="24"/>
                <w:rFonts w:ascii="Times New Roman" w:hAnsi="Times New Roman"/>
              </w:rPr>
              <w:t xml:space="preserve">1690</w:t>
            </w:r>
          </w:p>
        </w:tc>
        <w:tc>
          <w:tcPr>
            <w:tcW w:w="7371" w:type="dxa"/>
          </w:tcPr>
          <w:p w14:paraId="533872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95ECBDA" w14:textId="161BA6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2.2.7., las entidades de crédito comunicarán:</w:t>
            </w:r>
          </w:p>
          <w:p w14:paraId="15E75E5F" w14:textId="3DCD7B38"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90B7682" w14:textId="0EFCED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sz w:val="24"/>
                <w:rFonts w:ascii="Times New Roman" w:eastAsia="PMingLiU" w:hAnsi="Times New Roman"/>
              </w:rPr>
            </w:pPr>
            <w:r>
              <w:rPr>
                <w:sz w:val="24"/>
                <w:rFonts w:ascii="Times New Roman" w:hAnsi="Times New Roman"/>
              </w:rPr>
              <w:t xml:space="preserve">1700</w:t>
            </w:r>
          </w:p>
        </w:tc>
        <w:tc>
          <w:tcPr>
            <w:tcW w:w="7371" w:type="dxa"/>
          </w:tcPr>
          <w:p w14:paraId="593E64D4" w14:textId="1829B57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2.2.8.</w:t>
            </w:r>
            <w:r>
              <w:rPr>
                <w:b/>
                <w:sz w:val="24"/>
                <w:rFonts w:ascii="Times New Roman" w:hAnsi="Times New Roman"/>
              </w:rPr>
              <w:t xml:space="preserve"> </w:t>
            </w:r>
            <w:r>
              <w:rPr>
                <w:b/>
                <w:sz w:val="24"/>
                <w:rFonts w:ascii="Times New Roman" w:hAnsi="Times New Roman"/>
              </w:rPr>
              <w:t xml:space="preserve">Activos no líquidos</w:t>
            </w:r>
          </w:p>
          <w:p w14:paraId="5A67CD8B" w14:textId="72C035E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sumamente elevada de nivel 1 (prestados) por activos no líquidos (tomados en préstamo).</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sz w:val="24"/>
                <w:rFonts w:ascii="Times New Roman" w:eastAsia="PMingLiU" w:hAnsi="Times New Roman"/>
              </w:rPr>
            </w:pPr>
            <w:r>
              <w:rPr>
                <w:sz w:val="24"/>
                <w:rFonts w:ascii="Times New Roman" w:hAnsi="Times New Roman"/>
              </w:rPr>
              <w:t xml:space="preserve">1710</w:t>
            </w:r>
          </w:p>
        </w:tc>
        <w:tc>
          <w:tcPr>
            <w:tcW w:w="7371" w:type="dxa"/>
            <w:shd w:val="clear" w:color="auto" w:fill="auto"/>
          </w:tcPr>
          <w:p w14:paraId="54ACCDE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8BC2C88" w14:textId="52E189C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2.2.8.,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sz w:val="24"/>
                <w:rFonts w:ascii="Times New Roman" w:eastAsia="PMingLiU" w:hAnsi="Times New Roman"/>
              </w:rPr>
            </w:pPr>
            <w:r>
              <w:rPr>
                <w:sz w:val="24"/>
                <w:rFonts w:ascii="Times New Roman" w:hAnsi="Times New Roman"/>
              </w:rPr>
              <w:t xml:space="preserve">1720</w:t>
            </w:r>
          </w:p>
        </w:tc>
        <w:tc>
          <w:tcPr>
            <w:tcW w:w="7371" w:type="dxa"/>
            <w:shd w:val="clear" w:color="auto" w:fill="auto"/>
          </w:tcPr>
          <w:p w14:paraId="343AE0F0" w14:textId="31709368"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Totales de las operaciones en las que se prestan activos de nivel 2A y se toman en préstamo las garantías reales siguientes:</w:t>
            </w:r>
          </w:p>
          <w:p w14:paraId="52FF7B82" w14:textId="46D3C20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52D52F30" w14:textId="1D98B2C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en operaciones en las que se prestan activos de nivel 2A.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sz w:val="24"/>
                <w:rFonts w:ascii="Times New Roman" w:eastAsia="PMingLiU" w:hAnsi="Times New Roman"/>
              </w:rPr>
            </w:pPr>
            <w:r>
              <w:rPr>
                <w:sz w:val="24"/>
                <w:rFonts w:ascii="Times New Roman" w:hAnsi="Times New Roman"/>
              </w:rPr>
              <w:t xml:space="preserve">1730</w:t>
            </w:r>
          </w:p>
        </w:tc>
        <w:tc>
          <w:tcPr>
            <w:tcW w:w="7371" w:type="dxa"/>
          </w:tcPr>
          <w:p w14:paraId="09CDEE7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5491674D" w14:textId="060F7CF3"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Operaciones en las que la entidad ha permutado activos de nivel 2A (prestados) por activos de nivel 1, excepto bonos garantizados de calidad sumamente elevada (tomados en préstamo).</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sz w:val="24"/>
                <w:rFonts w:ascii="Times New Roman" w:eastAsia="PMingLiU" w:hAnsi="Times New Roman"/>
              </w:rPr>
            </w:pPr>
            <w:r>
              <w:rPr>
                <w:sz w:val="24"/>
                <w:rFonts w:ascii="Times New Roman" w:hAnsi="Times New Roman"/>
              </w:rPr>
              <w:t xml:space="preserve">1740</w:t>
            </w:r>
          </w:p>
        </w:tc>
        <w:tc>
          <w:tcPr>
            <w:tcW w:w="7371" w:type="dxa"/>
          </w:tcPr>
          <w:p w14:paraId="7B89786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68D7175" w14:textId="1B39250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2.3.1., las entidades de crédito comunicarán:</w:t>
            </w:r>
          </w:p>
          <w:p w14:paraId="04CBFB71" w14:textId="7A4E8AE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DA9EB3A" w14:textId="3234C3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sz w:val="24"/>
                <w:rFonts w:ascii="Times New Roman" w:eastAsia="PMingLiU" w:hAnsi="Times New Roman"/>
              </w:rPr>
            </w:pPr>
            <w:r>
              <w:rPr>
                <w:sz w:val="24"/>
                <w:rFonts w:ascii="Times New Roman" w:hAnsi="Times New Roman"/>
              </w:rPr>
              <w:t xml:space="preserve">1750</w:t>
            </w:r>
          </w:p>
        </w:tc>
        <w:tc>
          <w:tcPr>
            <w:tcW w:w="7371" w:type="dxa"/>
          </w:tcPr>
          <w:p w14:paraId="2FCAA245" w14:textId="2D3517B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5EDFD570" w14:textId="7981B55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bonos garantizados de calidad sumamente elevada de nivel 1 (tomados en préstamo).</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sz w:val="24"/>
                <w:rFonts w:ascii="Times New Roman" w:eastAsia="PMingLiU" w:hAnsi="Times New Roman"/>
              </w:rPr>
            </w:pPr>
            <w:r>
              <w:rPr>
                <w:sz w:val="24"/>
                <w:rFonts w:ascii="Times New Roman" w:hAnsi="Times New Roman"/>
              </w:rPr>
              <w:t xml:space="preserve">1760</w:t>
            </w:r>
          </w:p>
        </w:tc>
        <w:tc>
          <w:tcPr>
            <w:tcW w:w="7371" w:type="dxa"/>
            <w:shd w:val="clear" w:color="auto" w:fill="FFFFFF"/>
          </w:tcPr>
          <w:p w14:paraId="2640BD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67D75AF" w14:textId="5423D5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2.3.2., las entidades de crédito comunicarán:</w:t>
            </w:r>
          </w:p>
          <w:p w14:paraId="4F934B90" w14:textId="001742C6"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257B28C" w14:textId="176949D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sz w:val="24"/>
                <w:rFonts w:ascii="Times New Roman" w:eastAsia="PMingLiU" w:hAnsi="Times New Roman"/>
              </w:rPr>
            </w:pPr>
            <w:r>
              <w:rPr>
                <w:sz w:val="24"/>
                <w:rFonts w:ascii="Times New Roman" w:hAnsi="Times New Roman"/>
              </w:rPr>
              <w:t xml:space="preserve">1770</w:t>
            </w:r>
          </w:p>
        </w:tc>
        <w:tc>
          <w:tcPr>
            <w:tcW w:w="7371" w:type="dxa"/>
            <w:shd w:val="clear" w:color="auto" w:fill="FFFFFF"/>
          </w:tcPr>
          <w:p w14:paraId="1649D453" w14:textId="3D41D75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2.3.3.</w:t>
            </w:r>
            <w:r>
              <w:rPr>
                <w:b/>
                <w:sz w:val="24"/>
                <w:rFonts w:ascii="Times New Roman" w:hAnsi="Times New Roman"/>
              </w:rPr>
              <w:t xml:space="preserve"> </w:t>
            </w:r>
            <w:r>
              <w:rPr>
                <w:b/>
                <w:sz w:val="24"/>
                <w:rFonts w:ascii="Times New Roman" w:hAnsi="Times New Roman"/>
              </w:rPr>
              <w:t xml:space="preserve">Activos de nivel 2A</w:t>
            </w:r>
          </w:p>
          <w:p w14:paraId="5DE286EA" w14:textId="7DD7F0D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activos de nivel 2A (tomados en préstamo).</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sz w:val="24"/>
                <w:rFonts w:ascii="Times New Roman" w:eastAsia="PMingLiU" w:hAnsi="Times New Roman"/>
              </w:rPr>
            </w:pPr>
            <w:r>
              <w:rPr>
                <w:sz w:val="24"/>
                <w:rFonts w:ascii="Times New Roman" w:hAnsi="Times New Roman"/>
              </w:rPr>
              <w:t xml:space="preserve">1780</w:t>
            </w:r>
          </w:p>
        </w:tc>
        <w:tc>
          <w:tcPr>
            <w:tcW w:w="7371" w:type="dxa"/>
            <w:shd w:val="clear" w:color="auto" w:fill="auto"/>
          </w:tcPr>
          <w:p w14:paraId="1FEA23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0554B76" w14:textId="6040527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2.3.3., las entidades de crédito comunicarán:</w:t>
            </w:r>
          </w:p>
          <w:p w14:paraId="0EAF11F4" w14:textId="1EA83C3B"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3B6EA8F" w14:textId="371B623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sz w:val="24"/>
                <w:rFonts w:ascii="Times New Roman" w:eastAsia="PMingLiU" w:hAnsi="Times New Roman"/>
              </w:rPr>
            </w:pPr>
            <w:r>
              <w:rPr>
                <w:sz w:val="24"/>
                <w:rFonts w:ascii="Times New Roman" w:hAnsi="Times New Roman"/>
              </w:rPr>
              <w:t xml:space="preserve">1790</w:t>
            </w:r>
          </w:p>
        </w:tc>
        <w:tc>
          <w:tcPr>
            <w:tcW w:w="7371" w:type="dxa"/>
            <w:shd w:val="clear" w:color="auto" w:fill="auto"/>
          </w:tcPr>
          <w:p w14:paraId="3A4F713A" w14:textId="309406C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63DE0535" w14:textId="45AA44C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bonos de titulización de activos de nivel 2B (residenciales o automóviles, nivel de calidad crediticia 1) (tomados en préstamo).</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sz w:val="24"/>
                <w:rFonts w:ascii="Times New Roman" w:eastAsia="PMingLiU" w:hAnsi="Times New Roman"/>
              </w:rPr>
            </w:pPr>
            <w:r>
              <w:rPr>
                <w:sz w:val="24"/>
                <w:rFonts w:ascii="Times New Roman" w:hAnsi="Times New Roman"/>
              </w:rPr>
              <w:t xml:space="preserve">1800</w:t>
            </w:r>
          </w:p>
        </w:tc>
        <w:tc>
          <w:tcPr>
            <w:tcW w:w="7371" w:type="dxa"/>
            <w:shd w:val="clear" w:color="auto" w:fill="auto"/>
          </w:tcPr>
          <w:p w14:paraId="51EBDA9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6F31BC2" w14:textId="301D0AA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2.3.4., las entidades de crédito comunicarán:</w:t>
            </w:r>
          </w:p>
          <w:p w14:paraId="40ECAC01" w14:textId="652DFD95"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63F8FB71" w14:textId="30662C5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sz w:val="24"/>
                <w:rFonts w:ascii="Times New Roman" w:eastAsia="PMingLiU" w:hAnsi="Times New Roman"/>
              </w:rPr>
            </w:pPr>
            <w:r>
              <w:rPr>
                <w:sz w:val="24"/>
                <w:rFonts w:ascii="Times New Roman" w:hAnsi="Times New Roman"/>
              </w:rPr>
              <w:t xml:space="preserve">1810</w:t>
            </w:r>
          </w:p>
        </w:tc>
        <w:tc>
          <w:tcPr>
            <w:tcW w:w="7371" w:type="dxa"/>
            <w:shd w:val="clear" w:color="auto" w:fill="auto"/>
          </w:tcPr>
          <w:p w14:paraId="006DF8E2" w14:textId="5ABF34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746214A8" w14:textId="447AB83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bonos garantizados de calidad elevada de nivel 2B (tomados en préstamo).</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sz w:val="24"/>
                <w:rFonts w:ascii="Times New Roman" w:eastAsia="PMingLiU" w:hAnsi="Times New Roman"/>
              </w:rPr>
            </w:pPr>
            <w:r>
              <w:rPr>
                <w:sz w:val="24"/>
                <w:rFonts w:ascii="Times New Roman" w:hAnsi="Times New Roman"/>
              </w:rPr>
              <w:t xml:space="preserve">1820</w:t>
            </w:r>
          </w:p>
        </w:tc>
        <w:tc>
          <w:tcPr>
            <w:tcW w:w="7371" w:type="dxa"/>
            <w:shd w:val="clear" w:color="auto" w:fill="FFFFFF"/>
          </w:tcPr>
          <w:p w14:paraId="6A3DBDA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41EDC8F" w14:textId="32FA9B6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2.3.5., las entidades de crédito comunicarán:</w:t>
            </w:r>
          </w:p>
          <w:p w14:paraId="27D506DA" w14:textId="5328B4C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110DCEF" w14:textId="5BAD1C6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sz w:val="24"/>
                <w:rFonts w:ascii="Times New Roman" w:eastAsia="PMingLiU" w:hAnsi="Times New Roman"/>
              </w:rPr>
            </w:pPr>
            <w:r>
              <w:rPr>
                <w:sz w:val="24"/>
                <w:rFonts w:ascii="Times New Roman" w:hAnsi="Times New Roman"/>
              </w:rPr>
              <w:t xml:space="preserve">1830</w:t>
            </w:r>
          </w:p>
        </w:tc>
        <w:tc>
          <w:tcPr>
            <w:tcW w:w="7371" w:type="dxa"/>
            <w:shd w:val="clear" w:color="auto" w:fill="FFFFFF"/>
          </w:tcPr>
          <w:p w14:paraId="360A194A" w14:textId="1B266B0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0A0E39AF" w14:textId="105BB22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bonos de titulización de activos de nivel 2B (comerciales o particulares, Estados miembros, nivel de calidad crediticia 1) (tomados en préstamo).</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sz w:val="24"/>
                <w:rFonts w:ascii="Times New Roman" w:eastAsia="PMingLiU" w:hAnsi="Times New Roman"/>
              </w:rPr>
            </w:pPr>
            <w:r>
              <w:rPr>
                <w:sz w:val="24"/>
                <w:rFonts w:ascii="Times New Roman" w:hAnsi="Times New Roman"/>
              </w:rPr>
              <w:t xml:space="preserve">1840</w:t>
            </w:r>
          </w:p>
        </w:tc>
        <w:tc>
          <w:tcPr>
            <w:tcW w:w="7371" w:type="dxa"/>
            <w:shd w:val="clear" w:color="auto" w:fill="FFFFFF"/>
          </w:tcPr>
          <w:p w14:paraId="0CBDB70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22C3847" w14:textId="28CEF57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2.3.6., las entidades de crédito comunicarán:</w:t>
            </w:r>
          </w:p>
          <w:p w14:paraId="2CEA6BF6" w14:textId="26AB81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6AEC8B0" w14:textId="1C95648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sz w:val="24"/>
                <w:rFonts w:ascii="Times New Roman" w:eastAsia="PMingLiU" w:hAnsi="Times New Roman"/>
              </w:rPr>
            </w:pPr>
            <w:r>
              <w:rPr>
                <w:sz w:val="24"/>
                <w:rFonts w:ascii="Times New Roman" w:hAnsi="Times New Roman"/>
              </w:rPr>
              <w:t xml:space="preserve">1850</w:t>
            </w:r>
          </w:p>
        </w:tc>
        <w:tc>
          <w:tcPr>
            <w:tcW w:w="7371" w:type="dxa"/>
            <w:shd w:val="clear" w:color="auto" w:fill="FFFFFF"/>
          </w:tcPr>
          <w:p w14:paraId="00D041B0" w14:textId="2A3E36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2.3.7.</w:t>
            </w:r>
            <w:r>
              <w:rPr>
                <w:b/>
                <w:sz w:val="24"/>
                <w:rFonts w:ascii="Times New Roman" w:hAnsi="Times New Roman"/>
              </w:rPr>
              <w:t xml:space="preserve"> </w:t>
            </w:r>
            <w:r>
              <w:rPr>
                <w:b/>
                <w:sz w:val="24"/>
                <w:rFonts w:ascii="Times New Roman" w:hAnsi="Times New Roman"/>
              </w:rPr>
              <w:t xml:space="preserve">Otros de nivel 2B</w:t>
            </w:r>
          </w:p>
          <w:p w14:paraId="2916535F" w14:textId="6D6BDB3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otros activos de nivel 2B (tomados en préstamo).</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sz w:val="24"/>
                <w:rFonts w:ascii="Times New Roman" w:eastAsia="PMingLiU" w:hAnsi="Times New Roman"/>
              </w:rPr>
            </w:pPr>
            <w:r>
              <w:rPr>
                <w:sz w:val="24"/>
                <w:rFonts w:ascii="Times New Roman" w:hAnsi="Times New Roman"/>
              </w:rPr>
              <w:t xml:space="preserve">1860</w:t>
            </w:r>
          </w:p>
        </w:tc>
        <w:tc>
          <w:tcPr>
            <w:tcW w:w="7371" w:type="dxa"/>
            <w:shd w:val="clear" w:color="auto" w:fill="FFFFFF"/>
          </w:tcPr>
          <w:p w14:paraId="3A95A27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80728CB" w14:textId="5DC6E0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2.3.7., las entidades de crédito comunicarán:</w:t>
            </w:r>
          </w:p>
          <w:p w14:paraId="4FE47758" w14:textId="31A9BA29"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E4AE0DA" w14:textId="5757938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sz w:val="24"/>
                <w:rFonts w:ascii="Times New Roman" w:eastAsia="PMingLiU" w:hAnsi="Times New Roman"/>
              </w:rPr>
            </w:pPr>
            <w:r>
              <w:rPr>
                <w:sz w:val="24"/>
                <w:rFonts w:ascii="Times New Roman" w:hAnsi="Times New Roman"/>
              </w:rPr>
              <w:t xml:space="preserve">1870</w:t>
            </w:r>
          </w:p>
        </w:tc>
        <w:tc>
          <w:tcPr>
            <w:tcW w:w="7371" w:type="dxa"/>
            <w:shd w:val="clear" w:color="auto" w:fill="FFFFFF"/>
          </w:tcPr>
          <w:p w14:paraId="68BAA86F" w14:textId="55C2A92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2.3.8.</w:t>
            </w:r>
            <w:r>
              <w:rPr>
                <w:b/>
                <w:sz w:val="24"/>
                <w:rFonts w:ascii="Times New Roman" w:hAnsi="Times New Roman"/>
              </w:rPr>
              <w:t xml:space="preserve"> </w:t>
            </w:r>
            <w:r>
              <w:rPr>
                <w:b/>
                <w:sz w:val="24"/>
                <w:rFonts w:ascii="Times New Roman" w:hAnsi="Times New Roman"/>
              </w:rPr>
              <w:t xml:space="preserve">Activos no líquidos</w:t>
            </w:r>
          </w:p>
          <w:p w14:paraId="3AEB95B3" w14:textId="08F186C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de nivel 2A (prestados) por activos no líquidos (tomados en préstamo).</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sz w:val="24"/>
                <w:rFonts w:ascii="Times New Roman" w:eastAsia="PMingLiU" w:hAnsi="Times New Roman"/>
              </w:rPr>
            </w:pPr>
            <w:r>
              <w:rPr>
                <w:sz w:val="24"/>
                <w:rFonts w:ascii="Times New Roman" w:hAnsi="Times New Roman"/>
              </w:rPr>
              <w:t xml:space="preserve">1880</w:t>
            </w:r>
          </w:p>
        </w:tc>
        <w:tc>
          <w:tcPr>
            <w:tcW w:w="7371" w:type="dxa"/>
            <w:shd w:val="clear" w:color="auto" w:fill="auto"/>
          </w:tcPr>
          <w:p w14:paraId="5F169AC7" w14:textId="34CC3CD6"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F73FA0B" w14:textId="1A46AE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2.3.8.,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sz w:val="24"/>
                <w:rFonts w:ascii="Times New Roman" w:eastAsia="PMingLiU" w:hAnsi="Times New Roman"/>
              </w:rPr>
            </w:pPr>
            <w:r>
              <w:rPr>
                <w:sz w:val="24"/>
                <w:rFonts w:ascii="Times New Roman" w:hAnsi="Times New Roman"/>
              </w:rPr>
              <w:t xml:space="preserve">1890</w:t>
            </w:r>
          </w:p>
        </w:tc>
        <w:tc>
          <w:tcPr>
            <w:tcW w:w="7371" w:type="dxa"/>
            <w:shd w:val="clear" w:color="auto" w:fill="auto"/>
          </w:tcPr>
          <w:p w14:paraId="7439575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Totales de las operaciones en las que se prestan bonos de titulización de activos de nivel 2B (residenciales o automóviles, nivel de calidad crediticia 1) y se toman en préstamo las garantías reales siguientes:</w:t>
            </w:r>
          </w:p>
          <w:p w14:paraId="3F35C45D" w14:textId="24A4B05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7EB19CFF" w14:textId="5904A12D"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las operaciones en las que se prestan bonos de titulización de activos de nivel 2B (residenciales o automóviles, nivel de calidad crediticia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sz w:val="24"/>
                <w:rFonts w:ascii="Times New Roman" w:eastAsia="PMingLiU" w:hAnsi="Times New Roman"/>
              </w:rPr>
            </w:pPr>
            <w:r>
              <w:rPr>
                <w:sz w:val="24"/>
                <w:rFonts w:ascii="Times New Roman" w:hAnsi="Times New Roman"/>
              </w:rPr>
              <w:t xml:space="preserve">1900</w:t>
            </w:r>
          </w:p>
        </w:tc>
        <w:tc>
          <w:tcPr>
            <w:tcW w:w="7371" w:type="dxa"/>
            <w:shd w:val="clear" w:color="auto" w:fill="FFFFFF"/>
          </w:tcPr>
          <w:p w14:paraId="08A66A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04C4A363" w14:textId="4BFBF92C"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activos de nivel 1, excepto bonos garantizados de calidad sumamente elevada (tomados en préstamo).</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sz w:val="24"/>
                <w:rFonts w:ascii="Times New Roman" w:eastAsia="PMingLiU" w:hAnsi="Times New Roman"/>
              </w:rPr>
            </w:pPr>
            <w:r>
              <w:rPr>
                <w:sz w:val="24"/>
                <w:rFonts w:ascii="Times New Roman" w:hAnsi="Times New Roman"/>
              </w:rPr>
              <w:t xml:space="preserve">1910</w:t>
            </w:r>
          </w:p>
        </w:tc>
        <w:tc>
          <w:tcPr>
            <w:tcW w:w="7371" w:type="dxa"/>
            <w:shd w:val="clear" w:color="auto" w:fill="FFFFFF"/>
          </w:tcPr>
          <w:p w14:paraId="219F90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A0837F1" w14:textId="2B60476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2.4.1., las entidades de crédito comunicarán:</w:t>
            </w:r>
          </w:p>
          <w:p w14:paraId="3C501CF8" w14:textId="1C92F34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E03629D" w14:textId="4C8B28D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sz w:val="24"/>
                <w:rFonts w:ascii="Times New Roman" w:eastAsia="PMingLiU" w:hAnsi="Times New Roman"/>
              </w:rPr>
            </w:pPr>
            <w:r>
              <w:rPr>
                <w:sz w:val="24"/>
                <w:rFonts w:ascii="Times New Roman" w:hAnsi="Times New Roman"/>
              </w:rPr>
              <w:t xml:space="preserve">1920</w:t>
            </w:r>
          </w:p>
        </w:tc>
        <w:tc>
          <w:tcPr>
            <w:tcW w:w="7371" w:type="dxa"/>
            <w:shd w:val="clear" w:color="auto" w:fill="FFFFFF"/>
          </w:tcPr>
          <w:p w14:paraId="71E9C158" w14:textId="11AB396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5A4C1C43" w14:textId="674D4D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bonos garantizados de calidad sumamente elevada de nivel 1 (tomados en préstamo).</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sz w:val="24"/>
                <w:rFonts w:ascii="Times New Roman" w:eastAsia="PMingLiU" w:hAnsi="Times New Roman"/>
              </w:rPr>
            </w:pPr>
            <w:r>
              <w:rPr>
                <w:sz w:val="24"/>
                <w:rFonts w:ascii="Times New Roman" w:hAnsi="Times New Roman"/>
              </w:rPr>
              <w:t xml:space="preserve">1930</w:t>
            </w:r>
          </w:p>
        </w:tc>
        <w:tc>
          <w:tcPr>
            <w:tcW w:w="7371" w:type="dxa"/>
            <w:shd w:val="clear" w:color="auto" w:fill="FFFFFF"/>
          </w:tcPr>
          <w:p w14:paraId="217164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C911C2B" w14:textId="7A6C0C4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2.4.2., las entidades de crédito comunicarán:</w:t>
            </w:r>
          </w:p>
          <w:p w14:paraId="41C6D899" w14:textId="1B97FCE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638289C8" w14:textId="30CD7C5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sz w:val="24"/>
                <w:rFonts w:ascii="Times New Roman" w:eastAsia="PMingLiU" w:hAnsi="Times New Roman"/>
              </w:rPr>
            </w:pPr>
            <w:r>
              <w:rPr>
                <w:sz w:val="24"/>
                <w:rFonts w:ascii="Times New Roman" w:hAnsi="Times New Roman"/>
              </w:rPr>
              <w:t xml:space="preserve">1940</w:t>
            </w:r>
          </w:p>
        </w:tc>
        <w:tc>
          <w:tcPr>
            <w:tcW w:w="7371" w:type="dxa"/>
            <w:shd w:val="clear" w:color="auto" w:fill="FFFFFF"/>
          </w:tcPr>
          <w:p w14:paraId="0FF2C718" w14:textId="5628C4D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2.4.3.</w:t>
            </w:r>
            <w:r>
              <w:rPr>
                <w:b/>
                <w:sz w:val="24"/>
                <w:rFonts w:ascii="Times New Roman" w:hAnsi="Times New Roman"/>
              </w:rPr>
              <w:t xml:space="preserve"> </w:t>
            </w:r>
            <w:r>
              <w:rPr>
                <w:b/>
                <w:sz w:val="24"/>
                <w:rFonts w:ascii="Times New Roman" w:hAnsi="Times New Roman"/>
              </w:rPr>
              <w:t xml:space="preserve">Activos de nivel 2A</w:t>
            </w:r>
          </w:p>
          <w:p w14:paraId="171627BC" w14:textId="265EBFF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activos de nivel 2A (tomados en préstamo).</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sz w:val="24"/>
                <w:rFonts w:ascii="Times New Roman" w:eastAsia="PMingLiU" w:hAnsi="Times New Roman"/>
              </w:rPr>
            </w:pPr>
            <w:r>
              <w:rPr>
                <w:sz w:val="24"/>
                <w:rFonts w:ascii="Times New Roman" w:hAnsi="Times New Roman"/>
              </w:rPr>
              <w:t xml:space="preserve">1950</w:t>
            </w:r>
          </w:p>
        </w:tc>
        <w:tc>
          <w:tcPr>
            <w:tcW w:w="7371" w:type="dxa"/>
            <w:shd w:val="clear" w:color="auto" w:fill="FFFFFF"/>
          </w:tcPr>
          <w:p w14:paraId="6211E12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DA5BE79" w14:textId="1BF83A6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2.4.3., las entidades de crédito comunicarán:</w:t>
            </w:r>
          </w:p>
          <w:p w14:paraId="382A5D59" w14:textId="1CE483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7137C25" w14:textId="059718F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sz w:val="24"/>
                <w:rFonts w:ascii="Times New Roman" w:eastAsia="PMingLiU" w:hAnsi="Times New Roman"/>
              </w:rPr>
            </w:pPr>
            <w:r>
              <w:rPr>
                <w:sz w:val="24"/>
                <w:rFonts w:ascii="Times New Roman" w:hAnsi="Times New Roman"/>
              </w:rPr>
              <w:t xml:space="preserve">1960</w:t>
            </w:r>
          </w:p>
        </w:tc>
        <w:tc>
          <w:tcPr>
            <w:tcW w:w="7371" w:type="dxa"/>
            <w:shd w:val="clear" w:color="auto" w:fill="FFFFFF"/>
          </w:tcPr>
          <w:p w14:paraId="57825C12" w14:textId="10A6127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561FEF4A" w14:textId="2DB54E3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bonos de titulización de activos de nivel 2B (residenciales o automóviles, nivel de calidad crediticia 1) (tomados en préstamo).</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sz w:val="24"/>
                <w:rFonts w:ascii="Times New Roman" w:eastAsia="PMingLiU" w:hAnsi="Times New Roman"/>
              </w:rPr>
            </w:pPr>
            <w:r>
              <w:rPr>
                <w:sz w:val="24"/>
                <w:rFonts w:ascii="Times New Roman" w:hAnsi="Times New Roman"/>
              </w:rPr>
              <w:t xml:space="preserve">1970</w:t>
            </w:r>
          </w:p>
        </w:tc>
        <w:tc>
          <w:tcPr>
            <w:tcW w:w="7371" w:type="dxa"/>
            <w:shd w:val="clear" w:color="auto" w:fill="FFFFFF"/>
          </w:tcPr>
          <w:p w14:paraId="4EF7AB3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05B6636" w14:textId="1F8779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2.4.4., las entidades de crédito comunicarán:</w:t>
            </w:r>
          </w:p>
          <w:p w14:paraId="37D0915A" w14:textId="2B4B9503"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7CFC141" w14:textId="0DA0523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sz w:val="24"/>
                <w:rFonts w:ascii="Times New Roman" w:eastAsia="PMingLiU" w:hAnsi="Times New Roman"/>
              </w:rPr>
            </w:pPr>
            <w:r>
              <w:rPr>
                <w:sz w:val="24"/>
                <w:rFonts w:ascii="Times New Roman" w:hAnsi="Times New Roman"/>
              </w:rPr>
              <w:t xml:space="preserve">1980</w:t>
            </w:r>
          </w:p>
        </w:tc>
        <w:tc>
          <w:tcPr>
            <w:tcW w:w="7371" w:type="dxa"/>
            <w:shd w:val="clear" w:color="auto" w:fill="FFFFFF"/>
          </w:tcPr>
          <w:p w14:paraId="60A8DCFF" w14:textId="5A7E84F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48DAEEA4" w14:textId="6F0F66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bonos garantizados de calidad elevada de nivel 2B (tomados en préstamo).</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sz w:val="24"/>
                <w:rFonts w:ascii="Times New Roman" w:eastAsia="PMingLiU" w:hAnsi="Times New Roman"/>
              </w:rPr>
            </w:pPr>
            <w:r>
              <w:rPr>
                <w:sz w:val="24"/>
                <w:rFonts w:ascii="Times New Roman" w:hAnsi="Times New Roman"/>
              </w:rPr>
              <w:t xml:space="preserve">1990</w:t>
            </w:r>
          </w:p>
        </w:tc>
        <w:tc>
          <w:tcPr>
            <w:tcW w:w="7371" w:type="dxa"/>
            <w:shd w:val="clear" w:color="auto" w:fill="FFFFFF"/>
          </w:tcPr>
          <w:p w14:paraId="37B196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906F223" w14:textId="223664A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2.4.5., las entidades de crédito comunicarán:</w:t>
            </w:r>
          </w:p>
          <w:p w14:paraId="0AC4BF18" w14:textId="3CD1897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32672EF" w14:textId="4D93CF0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sz w:val="24"/>
                <w:rFonts w:ascii="Times New Roman" w:eastAsia="PMingLiU" w:hAnsi="Times New Roman"/>
              </w:rPr>
            </w:pPr>
            <w:r>
              <w:rPr>
                <w:sz w:val="24"/>
                <w:rFonts w:ascii="Times New Roman" w:hAnsi="Times New Roman"/>
              </w:rPr>
              <w:t xml:space="preserve">2000</w:t>
            </w:r>
          </w:p>
        </w:tc>
        <w:tc>
          <w:tcPr>
            <w:tcW w:w="7371" w:type="dxa"/>
            <w:shd w:val="clear" w:color="auto" w:fill="FFFFFF"/>
          </w:tcPr>
          <w:p w14:paraId="4BEC03C9" w14:textId="3A7A4B3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7336100C" w14:textId="3376E61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bonos de titulización de activos de nivel 2B (comerciales o particulares, Estados miembros, nivel de calidad crediticia 1) (tomados en préstamo).</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sz w:val="24"/>
                <w:rFonts w:ascii="Times New Roman" w:eastAsia="PMingLiU" w:hAnsi="Times New Roman"/>
              </w:rPr>
            </w:pPr>
            <w:r>
              <w:rPr>
                <w:sz w:val="24"/>
                <w:rFonts w:ascii="Times New Roman" w:hAnsi="Times New Roman"/>
              </w:rPr>
              <w:t xml:space="preserve">2010</w:t>
            </w:r>
          </w:p>
        </w:tc>
        <w:tc>
          <w:tcPr>
            <w:tcW w:w="7371" w:type="dxa"/>
            <w:shd w:val="clear" w:color="auto" w:fill="FFFFFF"/>
          </w:tcPr>
          <w:p w14:paraId="6AB41FE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DFD4CD3" w14:textId="7366A15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2.4.6., las entidades de crédito comunicarán:</w:t>
            </w:r>
          </w:p>
          <w:p w14:paraId="1672A7AC" w14:textId="4348F597"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BC54ACD" w14:textId="610275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sz w:val="24"/>
                <w:rFonts w:ascii="Times New Roman" w:eastAsia="PMingLiU" w:hAnsi="Times New Roman"/>
              </w:rPr>
            </w:pPr>
            <w:r>
              <w:rPr>
                <w:sz w:val="24"/>
                <w:rFonts w:ascii="Times New Roman" w:hAnsi="Times New Roman"/>
              </w:rPr>
              <w:t xml:space="preserve">2020</w:t>
            </w:r>
          </w:p>
        </w:tc>
        <w:tc>
          <w:tcPr>
            <w:tcW w:w="7371" w:type="dxa"/>
            <w:shd w:val="clear" w:color="auto" w:fill="FFFFFF"/>
          </w:tcPr>
          <w:p w14:paraId="40AA265C" w14:textId="366A37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2.4.7.</w:t>
            </w:r>
            <w:r>
              <w:rPr>
                <w:b/>
                <w:sz w:val="24"/>
                <w:rFonts w:ascii="Times New Roman" w:hAnsi="Times New Roman"/>
              </w:rPr>
              <w:t xml:space="preserve"> </w:t>
            </w:r>
            <w:r>
              <w:rPr>
                <w:b/>
                <w:sz w:val="24"/>
                <w:rFonts w:ascii="Times New Roman" w:hAnsi="Times New Roman"/>
              </w:rPr>
              <w:t xml:space="preserve">Otros de nivel 2B</w:t>
            </w:r>
          </w:p>
          <w:p w14:paraId="271757F1" w14:textId="6FB9A5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otros activos de nivel 2B (tomados en préstamo).</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sz w:val="24"/>
                <w:rFonts w:ascii="Times New Roman" w:eastAsia="PMingLiU" w:hAnsi="Times New Roman"/>
              </w:rPr>
            </w:pPr>
            <w:r>
              <w:rPr>
                <w:sz w:val="24"/>
                <w:rFonts w:ascii="Times New Roman" w:hAnsi="Times New Roman"/>
              </w:rPr>
              <w:t xml:space="preserve">2030</w:t>
            </w:r>
          </w:p>
        </w:tc>
        <w:tc>
          <w:tcPr>
            <w:tcW w:w="7371" w:type="dxa"/>
            <w:shd w:val="clear" w:color="auto" w:fill="FFFFFF"/>
          </w:tcPr>
          <w:p w14:paraId="5AFFC8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D284EC0" w14:textId="401C9B8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2.4.7., las entidades de crédito comunicarán:</w:t>
            </w:r>
          </w:p>
          <w:p w14:paraId="3161D925" w14:textId="2486485B"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639E8EB" w14:textId="4E92902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sz w:val="24"/>
                <w:rFonts w:ascii="Times New Roman" w:eastAsia="PMingLiU" w:hAnsi="Times New Roman"/>
              </w:rPr>
            </w:pPr>
            <w:r>
              <w:rPr>
                <w:sz w:val="24"/>
                <w:rFonts w:ascii="Times New Roman" w:hAnsi="Times New Roman"/>
              </w:rPr>
              <w:t xml:space="preserve">2040</w:t>
            </w:r>
          </w:p>
        </w:tc>
        <w:tc>
          <w:tcPr>
            <w:tcW w:w="7371" w:type="dxa"/>
            <w:shd w:val="clear" w:color="auto" w:fill="FFFFFF"/>
          </w:tcPr>
          <w:p w14:paraId="3AEAD380"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2.4.8.</w:t>
            </w:r>
            <w:r>
              <w:rPr>
                <w:b/>
                <w:sz w:val="24"/>
                <w:rFonts w:ascii="Times New Roman" w:hAnsi="Times New Roman"/>
              </w:rPr>
              <w:t xml:space="preserve"> </w:t>
            </w:r>
            <w:r>
              <w:rPr>
                <w:b/>
                <w:sz w:val="24"/>
                <w:rFonts w:ascii="Times New Roman" w:hAnsi="Times New Roman"/>
              </w:rPr>
              <w:t xml:space="preserve">Activos no líquidos</w:t>
            </w:r>
          </w:p>
          <w:p w14:paraId="1EA8D864" w14:textId="7E1F3FB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(residenciales o automóviles, nivel de calidad crediticia 1) (prestados) por activos no líquidos (tomados en préstamo).</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sz w:val="24"/>
                <w:rFonts w:ascii="Times New Roman" w:eastAsia="PMingLiU" w:hAnsi="Times New Roman"/>
              </w:rPr>
            </w:pPr>
            <w:r>
              <w:rPr>
                <w:sz w:val="24"/>
                <w:rFonts w:ascii="Times New Roman" w:hAnsi="Times New Roman"/>
              </w:rPr>
              <w:t xml:space="preserve">2050</w:t>
            </w:r>
          </w:p>
        </w:tc>
        <w:tc>
          <w:tcPr>
            <w:tcW w:w="7371" w:type="dxa"/>
            <w:shd w:val="clear" w:color="auto" w:fill="auto"/>
          </w:tcPr>
          <w:p w14:paraId="0460C09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724E261" w14:textId="0FDD5BE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2.4.8.,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sz w:val="24"/>
                <w:rFonts w:ascii="Times New Roman" w:eastAsia="PMingLiU" w:hAnsi="Times New Roman"/>
              </w:rPr>
            </w:pPr>
            <w:r>
              <w:rPr>
                <w:sz w:val="24"/>
                <w:rFonts w:ascii="Times New Roman" w:hAnsi="Times New Roman"/>
              </w:rPr>
              <w:t xml:space="preserve">2060</w:t>
            </w:r>
          </w:p>
        </w:tc>
        <w:tc>
          <w:tcPr>
            <w:tcW w:w="7371" w:type="dxa"/>
            <w:shd w:val="clear" w:color="auto" w:fill="auto"/>
          </w:tcPr>
          <w:p w14:paraId="1C89DCF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Totales de las operaciones en las que se prestan bonos garantizados de calidad elevada de nivel 2B y se toman en préstamo las garantías reales siguientes:</w:t>
            </w:r>
          </w:p>
          <w:p w14:paraId="1111CE48" w14:textId="6FE800B8"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2F09CB7B" w14:textId="2130E2D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operaciones en las que se presten bonos garantizados de calidad elevada de nivel 2B.</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sz w:val="24"/>
                <w:rFonts w:ascii="Times New Roman" w:eastAsia="PMingLiU" w:hAnsi="Times New Roman"/>
              </w:rPr>
            </w:pPr>
            <w:r>
              <w:rPr>
                <w:sz w:val="24"/>
                <w:rFonts w:ascii="Times New Roman" w:hAnsi="Times New Roman"/>
              </w:rPr>
              <w:t xml:space="preserve">2070</w:t>
            </w:r>
          </w:p>
        </w:tc>
        <w:tc>
          <w:tcPr>
            <w:tcW w:w="7371" w:type="dxa"/>
            <w:shd w:val="clear" w:color="auto" w:fill="FFFFFF"/>
          </w:tcPr>
          <w:p w14:paraId="3DBA94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35950260" w14:textId="7FDBD61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activos de nivel 1, excepto bonos garantizados de calidad sumamente elevada (tomados en préstamo).</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sz w:val="24"/>
                <w:rFonts w:ascii="Times New Roman" w:eastAsia="PMingLiU" w:hAnsi="Times New Roman"/>
              </w:rPr>
            </w:pPr>
            <w:r>
              <w:rPr>
                <w:sz w:val="24"/>
                <w:rFonts w:ascii="Times New Roman" w:hAnsi="Times New Roman"/>
              </w:rPr>
              <w:t xml:space="preserve">2080</w:t>
            </w:r>
          </w:p>
        </w:tc>
        <w:tc>
          <w:tcPr>
            <w:tcW w:w="7371" w:type="dxa"/>
            <w:shd w:val="clear" w:color="auto" w:fill="FFFFFF"/>
          </w:tcPr>
          <w:p w14:paraId="44A0D5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55DF0EB8" w14:textId="2FB100E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2.5.1., las entidades de crédito comunicarán:</w:t>
            </w:r>
          </w:p>
          <w:p w14:paraId="0880B545" w14:textId="347C81F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C71BC3F" w14:textId="27920D9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sz w:val="24"/>
                <w:rFonts w:ascii="Times New Roman" w:eastAsia="PMingLiU" w:hAnsi="Times New Roman"/>
              </w:rPr>
            </w:pPr>
            <w:r>
              <w:rPr>
                <w:sz w:val="24"/>
                <w:rFonts w:ascii="Times New Roman" w:hAnsi="Times New Roman"/>
              </w:rPr>
              <w:t xml:space="preserve">2090</w:t>
            </w:r>
          </w:p>
        </w:tc>
        <w:tc>
          <w:tcPr>
            <w:tcW w:w="7371" w:type="dxa"/>
            <w:shd w:val="clear" w:color="auto" w:fill="FFFFFF"/>
          </w:tcPr>
          <w:p w14:paraId="471A813C" w14:textId="291F0F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51786080" w14:textId="1CD38C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bonos garantizados de calidad sumamente elevada de nivel 1 (tomados en préstamo).</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sz w:val="24"/>
                <w:rFonts w:ascii="Times New Roman" w:eastAsia="PMingLiU" w:hAnsi="Times New Roman"/>
              </w:rPr>
            </w:pPr>
            <w:r>
              <w:rPr>
                <w:sz w:val="24"/>
                <w:rFonts w:ascii="Times New Roman" w:hAnsi="Times New Roman"/>
              </w:rPr>
              <w:t xml:space="preserve">2100</w:t>
            </w:r>
          </w:p>
        </w:tc>
        <w:tc>
          <w:tcPr>
            <w:tcW w:w="7371" w:type="dxa"/>
            <w:shd w:val="clear" w:color="auto" w:fill="FFFFFF"/>
          </w:tcPr>
          <w:p w14:paraId="1F30B5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05439C64" w14:textId="7AB8D6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2.5.2., las entidades de crédito comunicarán:</w:t>
            </w:r>
          </w:p>
          <w:p w14:paraId="7FC66765" w14:textId="20186F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4A1DA41" w14:textId="646EBB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sz w:val="24"/>
                <w:rFonts w:ascii="Times New Roman" w:eastAsia="PMingLiU" w:hAnsi="Times New Roman"/>
              </w:rPr>
            </w:pPr>
            <w:r>
              <w:rPr>
                <w:sz w:val="24"/>
                <w:rFonts w:ascii="Times New Roman" w:hAnsi="Times New Roman"/>
              </w:rPr>
              <w:t xml:space="preserve">2110</w:t>
            </w:r>
          </w:p>
        </w:tc>
        <w:tc>
          <w:tcPr>
            <w:tcW w:w="7371" w:type="dxa"/>
            <w:shd w:val="clear" w:color="auto" w:fill="FFFFFF"/>
          </w:tcPr>
          <w:p w14:paraId="3B2B6333" w14:textId="072CB9D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2.5.3.</w:t>
            </w:r>
            <w:r>
              <w:rPr>
                <w:b/>
                <w:sz w:val="24"/>
                <w:rFonts w:ascii="Times New Roman" w:hAnsi="Times New Roman"/>
              </w:rPr>
              <w:t xml:space="preserve"> </w:t>
            </w:r>
            <w:r>
              <w:rPr>
                <w:b/>
                <w:sz w:val="24"/>
                <w:rFonts w:ascii="Times New Roman" w:hAnsi="Times New Roman"/>
              </w:rPr>
              <w:t xml:space="preserve">Activos de nivel 2A</w:t>
            </w:r>
          </w:p>
          <w:p w14:paraId="5435022B" w14:textId="2921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activos de nivel 2A (tomados en préstamo).</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sz w:val="24"/>
                <w:rFonts w:ascii="Times New Roman" w:eastAsia="PMingLiU" w:hAnsi="Times New Roman"/>
              </w:rPr>
            </w:pPr>
            <w:r>
              <w:rPr>
                <w:sz w:val="24"/>
                <w:rFonts w:ascii="Times New Roman" w:hAnsi="Times New Roman"/>
              </w:rPr>
              <w:t xml:space="preserve">2120</w:t>
            </w:r>
          </w:p>
        </w:tc>
        <w:tc>
          <w:tcPr>
            <w:tcW w:w="7371" w:type="dxa"/>
            <w:shd w:val="clear" w:color="auto" w:fill="FFFFFF"/>
          </w:tcPr>
          <w:p w14:paraId="20610E1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76E6B30" w14:textId="781972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2.5.3., las entidades de crédito comunicarán:</w:t>
            </w:r>
          </w:p>
          <w:p w14:paraId="7C2DE664" w14:textId="035A11CA"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771A1D4" w14:textId="31692E4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sz w:val="24"/>
                <w:rFonts w:ascii="Times New Roman" w:eastAsia="PMingLiU" w:hAnsi="Times New Roman"/>
              </w:rPr>
            </w:pPr>
            <w:r>
              <w:rPr>
                <w:sz w:val="24"/>
                <w:rFonts w:ascii="Times New Roman" w:hAnsi="Times New Roman"/>
              </w:rPr>
              <w:t xml:space="preserve">2130</w:t>
            </w:r>
          </w:p>
        </w:tc>
        <w:tc>
          <w:tcPr>
            <w:tcW w:w="7371" w:type="dxa"/>
            <w:shd w:val="clear" w:color="auto" w:fill="FFFFFF"/>
          </w:tcPr>
          <w:p w14:paraId="69022F52" w14:textId="2B202C1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50EAD8C0" w14:textId="6885EF9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bonos de titulización de activos de nivel 2B (residenciales o automóviles, nivel de calidad crediticia 1) (tomados en préstamo).</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sz w:val="24"/>
                <w:rFonts w:ascii="Times New Roman" w:eastAsia="PMingLiU" w:hAnsi="Times New Roman"/>
              </w:rPr>
            </w:pPr>
            <w:r>
              <w:rPr>
                <w:sz w:val="24"/>
                <w:rFonts w:ascii="Times New Roman" w:hAnsi="Times New Roman"/>
              </w:rPr>
              <w:t xml:space="preserve">2140</w:t>
            </w:r>
          </w:p>
        </w:tc>
        <w:tc>
          <w:tcPr>
            <w:tcW w:w="7371" w:type="dxa"/>
            <w:shd w:val="clear" w:color="auto" w:fill="FFFFFF"/>
          </w:tcPr>
          <w:p w14:paraId="2D11F4E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99B9AB2" w14:textId="7545F4A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2.5.4., las entidades de crédito comunicarán:</w:t>
            </w:r>
          </w:p>
          <w:p w14:paraId="57212B56" w14:textId="17C6D7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3D65A0C" w14:textId="423A8C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sz w:val="24"/>
                <w:rFonts w:ascii="Times New Roman" w:eastAsia="PMingLiU" w:hAnsi="Times New Roman"/>
              </w:rPr>
            </w:pPr>
            <w:r>
              <w:rPr>
                <w:sz w:val="24"/>
                <w:rFonts w:ascii="Times New Roman" w:hAnsi="Times New Roman"/>
              </w:rPr>
              <w:t xml:space="preserve">2150</w:t>
            </w:r>
          </w:p>
        </w:tc>
        <w:tc>
          <w:tcPr>
            <w:tcW w:w="7371" w:type="dxa"/>
            <w:shd w:val="clear" w:color="auto" w:fill="FFFFFF"/>
          </w:tcPr>
          <w:p w14:paraId="37EBFF9A" w14:textId="5B20939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2F92B09A" w14:textId="752686B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bonos garantizados de calidad elevada de nivel 2B (tomados en préstamo).</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sz w:val="24"/>
                <w:rFonts w:ascii="Times New Roman" w:eastAsia="PMingLiU" w:hAnsi="Times New Roman"/>
              </w:rPr>
            </w:pPr>
            <w:r>
              <w:rPr>
                <w:sz w:val="24"/>
                <w:rFonts w:ascii="Times New Roman" w:hAnsi="Times New Roman"/>
              </w:rPr>
              <w:t xml:space="preserve">2160</w:t>
            </w:r>
          </w:p>
        </w:tc>
        <w:tc>
          <w:tcPr>
            <w:tcW w:w="7371" w:type="dxa"/>
            <w:shd w:val="clear" w:color="auto" w:fill="FFFFFF"/>
          </w:tcPr>
          <w:p w14:paraId="58B3514C" w14:textId="334ACBA8"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9354255" w14:textId="620C457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2.5.5., las entidades de crédito comunicarán:</w:t>
            </w:r>
          </w:p>
          <w:p w14:paraId="6CCF3728" w14:textId="0BD2F99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33C8ED39" w14:textId="37BD271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sz w:val="24"/>
                <w:rFonts w:ascii="Times New Roman" w:eastAsia="PMingLiU" w:hAnsi="Times New Roman"/>
              </w:rPr>
            </w:pPr>
            <w:r>
              <w:rPr>
                <w:sz w:val="24"/>
                <w:rFonts w:ascii="Times New Roman" w:hAnsi="Times New Roman"/>
              </w:rPr>
              <w:t xml:space="preserve">2170</w:t>
            </w:r>
          </w:p>
        </w:tc>
        <w:tc>
          <w:tcPr>
            <w:tcW w:w="7371" w:type="dxa"/>
            <w:shd w:val="clear" w:color="auto" w:fill="FFFFFF"/>
          </w:tcPr>
          <w:p w14:paraId="67A12A0B" w14:textId="6E924B8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47668E70" w14:textId="3AD94B4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bonos de titulización de activos de nivel 2B (comerciales o particulares, Estados miembros, nivel de calidad crediticia 1) (tomados en préstamo).</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sz w:val="24"/>
                <w:rFonts w:ascii="Times New Roman" w:eastAsia="PMingLiU" w:hAnsi="Times New Roman"/>
              </w:rPr>
            </w:pPr>
            <w:r>
              <w:rPr>
                <w:sz w:val="24"/>
                <w:rFonts w:ascii="Times New Roman" w:hAnsi="Times New Roman"/>
              </w:rPr>
              <w:t xml:space="preserve">2180</w:t>
            </w:r>
          </w:p>
        </w:tc>
        <w:tc>
          <w:tcPr>
            <w:tcW w:w="7371" w:type="dxa"/>
            <w:shd w:val="clear" w:color="auto" w:fill="FFFFFF"/>
          </w:tcPr>
          <w:p w14:paraId="72BA98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FE4E238" w14:textId="3D297E4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2.5.6., las entidades de crédito comunicarán:</w:t>
            </w:r>
          </w:p>
          <w:p w14:paraId="5AAECA58" w14:textId="7BDED01F"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4EB5AA8" w14:textId="2DE31D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sz w:val="24"/>
                <w:rFonts w:ascii="Times New Roman" w:eastAsia="PMingLiU" w:hAnsi="Times New Roman"/>
              </w:rPr>
            </w:pPr>
            <w:r>
              <w:rPr>
                <w:sz w:val="24"/>
                <w:rFonts w:ascii="Times New Roman" w:hAnsi="Times New Roman"/>
              </w:rPr>
              <w:t xml:space="preserve">2190</w:t>
            </w:r>
          </w:p>
        </w:tc>
        <w:tc>
          <w:tcPr>
            <w:tcW w:w="7371" w:type="dxa"/>
            <w:shd w:val="clear" w:color="auto" w:fill="FFFFFF"/>
          </w:tcPr>
          <w:p w14:paraId="2B136C4F" w14:textId="7CDDD2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2.5.7.</w:t>
            </w:r>
            <w:r>
              <w:rPr>
                <w:b/>
                <w:sz w:val="24"/>
                <w:rFonts w:ascii="Times New Roman" w:hAnsi="Times New Roman"/>
              </w:rPr>
              <w:t xml:space="preserve"> </w:t>
            </w:r>
            <w:r>
              <w:rPr>
                <w:b/>
                <w:sz w:val="24"/>
                <w:rFonts w:ascii="Times New Roman" w:hAnsi="Times New Roman"/>
              </w:rPr>
              <w:t xml:space="preserve">Otros de nivel 2B</w:t>
            </w:r>
          </w:p>
          <w:p w14:paraId="56192B23" w14:textId="1D8F86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otros activos de nivel 2B (tomados en préstamo).</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sz w:val="24"/>
                <w:rFonts w:ascii="Times New Roman" w:eastAsia="PMingLiU" w:hAnsi="Times New Roman"/>
              </w:rPr>
            </w:pPr>
            <w:r>
              <w:rPr>
                <w:sz w:val="24"/>
                <w:rFonts w:ascii="Times New Roman" w:hAnsi="Times New Roman"/>
              </w:rPr>
              <w:t xml:space="preserve">2200</w:t>
            </w:r>
          </w:p>
        </w:tc>
        <w:tc>
          <w:tcPr>
            <w:tcW w:w="7371" w:type="dxa"/>
            <w:shd w:val="clear" w:color="auto" w:fill="FFFFFF"/>
          </w:tcPr>
          <w:p w14:paraId="071B08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F9F8931" w14:textId="7160383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2.5.7., las entidades de crédito comunicarán:</w:t>
            </w:r>
          </w:p>
          <w:p w14:paraId="3FA96E0F" w14:textId="262FE3C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136DF2D" w14:textId="16417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sz w:val="24"/>
                <w:rFonts w:ascii="Times New Roman" w:eastAsia="PMingLiU" w:hAnsi="Times New Roman"/>
              </w:rPr>
            </w:pPr>
            <w:r>
              <w:rPr>
                <w:sz w:val="24"/>
                <w:rFonts w:ascii="Times New Roman" w:hAnsi="Times New Roman"/>
              </w:rPr>
              <w:t xml:space="preserve">2210</w:t>
            </w:r>
          </w:p>
        </w:tc>
        <w:tc>
          <w:tcPr>
            <w:tcW w:w="7371" w:type="dxa"/>
            <w:shd w:val="clear" w:color="auto" w:fill="FFFFFF"/>
          </w:tcPr>
          <w:p w14:paraId="16F12323" w14:textId="6940816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2.5.8.</w:t>
            </w:r>
            <w:r>
              <w:rPr>
                <w:b/>
                <w:sz w:val="24"/>
                <w:rFonts w:ascii="Times New Roman" w:hAnsi="Times New Roman"/>
              </w:rPr>
              <w:t xml:space="preserve"> </w:t>
            </w:r>
            <w:r>
              <w:rPr>
                <w:b/>
                <w:sz w:val="24"/>
                <w:rFonts w:ascii="Times New Roman" w:hAnsi="Times New Roman"/>
              </w:rPr>
              <w:t xml:space="preserve">Activos no líquidos</w:t>
            </w:r>
          </w:p>
          <w:p w14:paraId="425D06B7" w14:textId="432DD71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garantizados de calidad elevada de nivel 2B (prestados) por activos no líquidos (tomados en préstamo).</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sz w:val="24"/>
                <w:rFonts w:ascii="Times New Roman" w:eastAsia="PMingLiU" w:hAnsi="Times New Roman"/>
              </w:rPr>
            </w:pPr>
            <w:r>
              <w:rPr>
                <w:sz w:val="24"/>
                <w:rFonts w:ascii="Times New Roman" w:hAnsi="Times New Roman"/>
              </w:rPr>
              <w:t xml:space="preserve">2220</w:t>
            </w:r>
          </w:p>
        </w:tc>
        <w:tc>
          <w:tcPr>
            <w:tcW w:w="7371" w:type="dxa"/>
            <w:shd w:val="clear" w:color="auto" w:fill="auto"/>
          </w:tcPr>
          <w:p w14:paraId="13B0A0D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381B4E3" w14:textId="50A19A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2.5.8.,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sz w:val="24"/>
                <w:rFonts w:ascii="Times New Roman" w:eastAsia="PMingLiU" w:hAnsi="Times New Roman"/>
              </w:rPr>
            </w:pPr>
            <w:r>
              <w:rPr>
                <w:sz w:val="24"/>
                <w:rFonts w:ascii="Times New Roman" w:hAnsi="Times New Roman"/>
              </w:rPr>
              <w:t xml:space="preserve">2230</w:t>
            </w:r>
          </w:p>
        </w:tc>
        <w:tc>
          <w:tcPr>
            <w:tcW w:w="7371" w:type="dxa"/>
            <w:shd w:val="clear" w:color="auto" w:fill="auto"/>
          </w:tcPr>
          <w:p w14:paraId="3420C0FD" w14:textId="62B4A21E"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Totales de las operaciones en las que se prestan bonos de titulización de activos de nivel 2B (comerciales o particulares, Estados miembros, nivel de calidad crediticia 1) y se toman en préstamo las garantías reales siguientes:</w:t>
            </w:r>
          </w:p>
          <w:p w14:paraId="601A6466" w14:textId="46BC3E2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2E6A5C14" w14:textId="56DFCBA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las operaciones en las que se prestan bonos de titulización de activos de nivel 2B (comerciales o particulares, Estados miembros, nivel de calidad crediticia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sz w:val="24"/>
                <w:rFonts w:ascii="Times New Roman" w:eastAsia="PMingLiU" w:hAnsi="Times New Roman"/>
              </w:rPr>
            </w:pPr>
            <w:r>
              <w:rPr>
                <w:sz w:val="24"/>
                <w:rFonts w:ascii="Times New Roman" w:hAnsi="Times New Roman"/>
              </w:rPr>
              <w:t xml:space="preserve">2240</w:t>
            </w:r>
          </w:p>
        </w:tc>
        <w:tc>
          <w:tcPr>
            <w:tcW w:w="7371" w:type="dxa"/>
            <w:shd w:val="clear" w:color="auto" w:fill="FFFFFF"/>
          </w:tcPr>
          <w:p w14:paraId="10DB0D3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228C51B2" w14:textId="7603A61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activos de nivel 1, excepto bonos garantizados de calidad sumamente elevada (tomados en préstamo).</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sz w:val="24"/>
                <w:rFonts w:ascii="Times New Roman" w:eastAsia="PMingLiU" w:hAnsi="Times New Roman"/>
              </w:rPr>
            </w:pPr>
            <w:r>
              <w:rPr>
                <w:sz w:val="24"/>
                <w:rFonts w:ascii="Times New Roman" w:hAnsi="Times New Roman"/>
              </w:rPr>
              <w:t xml:space="preserve">2250</w:t>
            </w:r>
          </w:p>
        </w:tc>
        <w:tc>
          <w:tcPr>
            <w:tcW w:w="7371" w:type="dxa"/>
            <w:shd w:val="clear" w:color="auto" w:fill="FFFFFF"/>
          </w:tcPr>
          <w:p w14:paraId="19BD951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547C86D" w14:textId="7E4C0F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2.6.1., las entidades de crédito comunicarán:</w:t>
            </w:r>
          </w:p>
          <w:p w14:paraId="772B6D2D" w14:textId="050773C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FCF1387" w14:textId="09F0A4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sz w:val="24"/>
                <w:rFonts w:ascii="Times New Roman" w:eastAsia="PMingLiU" w:hAnsi="Times New Roman"/>
              </w:rPr>
            </w:pPr>
            <w:r>
              <w:rPr>
                <w:sz w:val="24"/>
                <w:rFonts w:ascii="Times New Roman" w:hAnsi="Times New Roman"/>
              </w:rPr>
              <w:t xml:space="preserve">2260</w:t>
            </w:r>
          </w:p>
        </w:tc>
        <w:tc>
          <w:tcPr>
            <w:tcW w:w="7371" w:type="dxa"/>
            <w:shd w:val="clear" w:color="auto" w:fill="FFFFFF"/>
          </w:tcPr>
          <w:p w14:paraId="7FF880C3" w14:textId="6FDD15F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2E524E80" w14:textId="181C5B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bonos garantizados de calidad sumamente elevada de nivel 1 (tomados en préstamo).</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sz w:val="24"/>
                <w:rFonts w:ascii="Times New Roman" w:eastAsia="PMingLiU" w:hAnsi="Times New Roman"/>
              </w:rPr>
            </w:pPr>
            <w:r>
              <w:rPr>
                <w:sz w:val="24"/>
                <w:rFonts w:ascii="Times New Roman" w:hAnsi="Times New Roman"/>
              </w:rPr>
              <w:t xml:space="preserve">2270</w:t>
            </w:r>
          </w:p>
        </w:tc>
        <w:tc>
          <w:tcPr>
            <w:tcW w:w="7371" w:type="dxa"/>
            <w:shd w:val="clear" w:color="auto" w:fill="FFFFFF"/>
          </w:tcPr>
          <w:p w14:paraId="0F62E82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A8DBB85" w14:textId="12F6E8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2.6.2., las entidades de crédito comunicarán:</w:t>
            </w:r>
          </w:p>
          <w:p w14:paraId="3A604D76" w14:textId="2551979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DDF3A31" w14:textId="46318C7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sz w:val="24"/>
                <w:rFonts w:ascii="Times New Roman" w:eastAsia="PMingLiU" w:hAnsi="Times New Roman"/>
              </w:rPr>
            </w:pPr>
            <w:r>
              <w:rPr>
                <w:sz w:val="24"/>
                <w:rFonts w:ascii="Times New Roman" w:hAnsi="Times New Roman"/>
              </w:rPr>
              <w:t xml:space="preserve">2280</w:t>
            </w:r>
          </w:p>
        </w:tc>
        <w:tc>
          <w:tcPr>
            <w:tcW w:w="7371" w:type="dxa"/>
            <w:shd w:val="clear" w:color="auto" w:fill="FFFFFF"/>
          </w:tcPr>
          <w:p w14:paraId="34E977E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2.6.3.</w:t>
            </w:r>
            <w:r>
              <w:rPr>
                <w:b/>
                <w:sz w:val="24"/>
                <w:rFonts w:ascii="Times New Roman" w:hAnsi="Times New Roman"/>
              </w:rPr>
              <w:t xml:space="preserve"> </w:t>
            </w:r>
            <w:r>
              <w:rPr>
                <w:b/>
                <w:sz w:val="24"/>
                <w:rFonts w:ascii="Times New Roman" w:hAnsi="Times New Roman"/>
              </w:rPr>
              <w:t xml:space="preserve">Activos de nivel 2A</w:t>
            </w:r>
          </w:p>
          <w:p w14:paraId="65173466" w14:textId="2BB39D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activos de nivel 2A (tomados en préstamo).</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sz w:val="24"/>
                <w:rFonts w:ascii="Times New Roman" w:eastAsia="PMingLiU" w:hAnsi="Times New Roman"/>
              </w:rPr>
            </w:pPr>
            <w:r>
              <w:rPr>
                <w:sz w:val="24"/>
                <w:rFonts w:ascii="Times New Roman" w:hAnsi="Times New Roman"/>
              </w:rPr>
              <w:t xml:space="preserve">2290</w:t>
            </w:r>
          </w:p>
        </w:tc>
        <w:tc>
          <w:tcPr>
            <w:tcW w:w="7371" w:type="dxa"/>
            <w:shd w:val="clear" w:color="auto" w:fill="FFFFFF"/>
          </w:tcPr>
          <w:p w14:paraId="388F49E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34D1F991" w14:textId="24B5FC4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2.6.3., las entidades de crédito comunicarán:</w:t>
            </w:r>
          </w:p>
          <w:p w14:paraId="5A8E1ED3" w14:textId="749CDDC0"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0116890" w14:textId="40F40F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sz w:val="24"/>
                <w:rFonts w:ascii="Times New Roman" w:eastAsia="PMingLiU" w:hAnsi="Times New Roman"/>
              </w:rPr>
            </w:pPr>
            <w:r>
              <w:rPr>
                <w:sz w:val="24"/>
                <w:rFonts w:ascii="Times New Roman" w:hAnsi="Times New Roman"/>
              </w:rPr>
              <w:t xml:space="preserve">2300</w:t>
            </w:r>
          </w:p>
        </w:tc>
        <w:tc>
          <w:tcPr>
            <w:tcW w:w="7371" w:type="dxa"/>
            <w:shd w:val="clear" w:color="auto" w:fill="FFFFFF"/>
          </w:tcPr>
          <w:p w14:paraId="60F2EAC0" w14:textId="6DFFB7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32DC2994" w14:textId="0633C9A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w:t>
            </w:r>
            <w:r>
              <w:rPr>
                <w:sz w:val="24"/>
                <w:rFonts w:ascii="Times New Roman" w:hAnsi="Times New Roman"/>
              </w:rPr>
              <w:t xml:space="preserve"> bonos de titulización de activos de nivel 2B (comerciales o particulares, Estados miembros, nivel de calidad crediticia 1) (prestados) por bonos de titulización de activos de nivel 2B (residenciales o automóviles, nivel de calidad crediticia 1) (tomados en préstamo).</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sz w:val="24"/>
                <w:rFonts w:ascii="Times New Roman" w:eastAsia="PMingLiU" w:hAnsi="Times New Roman"/>
              </w:rPr>
            </w:pPr>
            <w:r>
              <w:rPr>
                <w:sz w:val="24"/>
                <w:rFonts w:ascii="Times New Roman" w:hAnsi="Times New Roman"/>
              </w:rPr>
              <w:t xml:space="preserve">2310</w:t>
            </w:r>
          </w:p>
        </w:tc>
        <w:tc>
          <w:tcPr>
            <w:tcW w:w="7371" w:type="dxa"/>
            <w:shd w:val="clear" w:color="auto" w:fill="FFFFFF"/>
          </w:tcPr>
          <w:p w14:paraId="5486AEF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C201A42" w14:textId="0BCC717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2.6.4., las entidades de crédito comunicarán:</w:t>
            </w:r>
          </w:p>
          <w:p w14:paraId="0D2EA147" w14:textId="3D2A0C51"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1790FC5" w14:textId="112765B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sz w:val="24"/>
                <w:rFonts w:ascii="Times New Roman" w:eastAsia="PMingLiU" w:hAnsi="Times New Roman"/>
              </w:rPr>
            </w:pPr>
            <w:r>
              <w:rPr>
                <w:sz w:val="24"/>
                <w:rFonts w:ascii="Times New Roman" w:hAnsi="Times New Roman"/>
              </w:rPr>
              <w:t xml:space="preserve">2320</w:t>
            </w:r>
          </w:p>
        </w:tc>
        <w:tc>
          <w:tcPr>
            <w:tcW w:w="7371" w:type="dxa"/>
            <w:shd w:val="clear" w:color="auto" w:fill="FFFFFF"/>
          </w:tcPr>
          <w:p w14:paraId="16CCAFEE" w14:textId="2F7581E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3F2B30D7" w14:textId="50371B9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bonos garantizados de calidad elevada de nivel 2B (tomados en préstamo).</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sz w:val="24"/>
                <w:rFonts w:ascii="Times New Roman" w:eastAsia="PMingLiU" w:hAnsi="Times New Roman"/>
              </w:rPr>
            </w:pPr>
            <w:r>
              <w:rPr>
                <w:sz w:val="24"/>
                <w:rFonts w:ascii="Times New Roman" w:hAnsi="Times New Roman"/>
              </w:rPr>
              <w:t xml:space="preserve">2330</w:t>
            </w:r>
          </w:p>
        </w:tc>
        <w:tc>
          <w:tcPr>
            <w:tcW w:w="7371" w:type="dxa"/>
            <w:shd w:val="clear" w:color="auto" w:fill="FFFFFF"/>
          </w:tcPr>
          <w:p w14:paraId="7792BB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1F0CCFC" w14:textId="7F20C25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2.6.5., las entidades de crédito comunicarán:</w:t>
            </w:r>
          </w:p>
          <w:p w14:paraId="6FD8ACCC" w14:textId="6D2A3277"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0A136E83" w14:textId="06DEEB6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sz w:val="24"/>
                <w:rFonts w:ascii="Times New Roman" w:eastAsia="PMingLiU" w:hAnsi="Times New Roman"/>
              </w:rPr>
            </w:pPr>
            <w:r>
              <w:rPr>
                <w:sz w:val="24"/>
                <w:rFonts w:ascii="Times New Roman" w:hAnsi="Times New Roman"/>
              </w:rPr>
              <w:t xml:space="preserve">2340</w:t>
            </w:r>
          </w:p>
        </w:tc>
        <w:tc>
          <w:tcPr>
            <w:tcW w:w="7371" w:type="dxa"/>
            <w:shd w:val="clear" w:color="auto" w:fill="FFFFFF"/>
          </w:tcPr>
          <w:p w14:paraId="41678A49" w14:textId="30FA99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3E49BBAD" w14:textId="18E09D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w:t>
            </w:r>
            <w:r>
              <w:rPr>
                <w:sz w:val="24"/>
                <w:rFonts w:ascii="Times New Roman" w:hAnsi="Times New Roman"/>
              </w:rPr>
              <w:t xml:space="preserve"> bonos de titulización de activos de nivel 2B (comerciales o particulares, Estados miembros, nivel de calidad crediticia 1) (prestados) por bonos de titulización de activos de nivel 2B (comerciales o particulares, Estados miembros, nivel de calidad crediticia 1) (tomados en préstamo).</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sz w:val="24"/>
                <w:rFonts w:ascii="Times New Roman" w:eastAsia="PMingLiU" w:hAnsi="Times New Roman"/>
              </w:rPr>
            </w:pPr>
            <w:r>
              <w:rPr>
                <w:sz w:val="24"/>
                <w:rFonts w:ascii="Times New Roman" w:hAnsi="Times New Roman"/>
              </w:rPr>
              <w:t xml:space="preserve">2350</w:t>
            </w:r>
          </w:p>
        </w:tc>
        <w:tc>
          <w:tcPr>
            <w:tcW w:w="7371" w:type="dxa"/>
            <w:shd w:val="clear" w:color="auto" w:fill="FFFFFF"/>
          </w:tcPr>
          <w:p w14:paraId="4A10A4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5DF28B9" w14:textId="7BFC4A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2.6.6., las entidades de crédito comunicarán:</w:t>
            </w:r>
          </w:p>
          <w:p w14:paraId="27981C47" w14:textId="18C7E1C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33673F47" w14:textId="472E2AB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sz w:val="24"/>
                <w:rFonts w:ascii="Times New Roman" w:eastAsia="PMingLiU" w:hAnsi="Times New Roman"/>
              </w:rPr>
            </w:pPr>
            <w:r>
              <w:rPr>
                <w:sz w:val="24"/>
                <w:rFonts w:ascii="Times New Roman" w:hAnsi="Times New Roman"/>
              </w:rPr>
              <w:t xml:space="preserve">2360</w:t>
            </w:r>
          </w:p>
        </w:tc>
        <w:tc>
          <w:tcPr>
            <w:tcW w:w="7371" w:type="dxa"/>
            <w:shd w:val="clear" w:color="auto" w:fill="FFFFFF"/>
          </w:tcPr>
          <w:p w14:paraId="68D2C166" w14:textId="512AC0D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2.6.7.</w:t>
            </w:r>
            <w:r>
              <w:rPr>
                <w:b/>
                <w:sz w:val="24"/>
                <w:rFonts w:ascii="Times New Roman" w:hAnsi="Times New Roman"/>
              </w:rPr>
              <w:t xml:space="preserve"> </w:t>
            </w:r>
            <w:r>
              <w:rPr>
                <w:b/>
                <w:sz w:val="24"/>
                <w:rFonts w:ascii="Times New Roman" w:hAnsi="Times New Roman"/>
              </w:rPr>
              <w:t xml:space="preserve">Otros de nivel 2B</w:t>
            </w:r>
          </w:p>
          <w:p w14:paraId="08F0C8C5" w14:textId="3D82653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otros activos de nivel 2B (tomados en préstamo).</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sz w:val="24"/>
                <w:rFonts w:ascii="Times New Roman" w:eastAsia="PMingLiU" w:hAnsi="Times New Roman"/>
              </w:rPr>
            </w:pPr>
            <w:r>
              <w:rPr>
                <w:sz w:val="24"/>
                <w:rFonts w:ascii="Times New Roman" w:hAnsi="Times New Roman"/>
              </w:rPr>
              <w:t xml:space="preserve">2370</w:t>
            </w:r>
          </w:p>
        </w:tc>
        <w:tc>
          <w:tcPr>
            <w:tcW w:w="7371" w:type="dxa"/>
            <w:shd w:val="clear" w:color="auto" w:fill="FFFFFF"/>
          </w:tcPr>
          <w:p w14:paraId="1BF34F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B1454CB" w14:textId="4E71B2F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2.6.7., las entidades de crédito comunicarán:</w:t>
            </w:r>
          </w:p>
          <w:p w14:paraId="3B0CE375" w14:textId="7AEA97B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3636AD33" w14:textId="14CB7BB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sz w:val="24"/>
                <w:rFonts w:ascii="Times New Roman" w:eastAsia="PMingLiU" w:hAnsi="Times New Roman"/>
              </w:rPr>
            </w:pPr>
            <w:r>
              <w:rPr>
                <w:sz w:val="24"/>
                <w:rFonts w:ascii="Times New Roman" w:hAnsi="Times New Roman"/>
              </w:rPr>
              <w:t xml:space="preserve">2380</w:t>
            </w:r>
          </w:p>
        </w:tc>
        <w:tc>
          <w:tcPr>
            <w:tcW w:w="7371" w:type="dxa"/>
            <w:shd w:val="clear" w:color="auto" w:fill="FFFFFF"/>
          </w:tcPr>
          <w:p w14:paraId="4CAD2FEC" w14:textId="5D54BC9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2.6.8.</w:t>
            </w:r>
            <w:r>
              <w:rPr>
                <w:b/>
                <w:sz w:val="24"/>
                <w:rFonts w:ascii="Times New Roman" w:hAnsi="Times New Roman"/>
              </w:rPr>
              <w:t xml:space="preserve"> </w:t>
            </w:r>
            <w:r>
              <w:rPr>
                <w:b/>
                <w:sz w:val="24"/>
                <w:rFonts w:ascii="Times New Roman" w:hAnsi="Times New Roman"/>
              </w:rPr>
              <w:t xml:space="preserve">Activos no líquidos</w:t>
            </w:r>
          </w:p>
          <w:p w14:paraId="439205AE" w14:textId="368B30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bonos de titulización de activos de nivel 2B (comerciales o particulares, Estados miembros, nivel de calidad crediticia 1) (prestados) por activos no líquidos (tomados en préstamo).</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sz w:val="24"/>
                <w:rFonts w:ascii="Times New Roman" w:eastAsia="PMingLiU" w:hAnsi="Times New Roman"/>
              </w:rPr>
            </w:pPr>
            <w:r>
              <w:rPr>
                <w:sz w:val="24"/>
                <w:rFonts w:ascii="Times New Roman" w:hAnsi="Times New Roman"/>
              </w:rPr>
              <w:t xml:space="preserve">2390</w:t>
            </w:r>
          </w:p>
        </w:tc>
        <w:tc>
          <w:tcPr>
            <w:tcW w:w="7371" w:type="dxa"/>
            <w:shd w:val="clear" w:color="auto" w:fill="auto"/>
          </w:tcPr>
          <w:p w14:paraId="3A41597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F1844D8" w14:textId="14D567DC"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2.6.8.,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sz w:val="24"/>
                <w:rFonts w:ascii="Times New Roman" w:eastAsia="PMingLiU" w:hAnsi="Times New Roman"/>
              </w:rPr>
            </w:pPr>
            <w:r>
              <w:rPr>
                <w:sz w:val="24"/>
                <w:rFonts w:ascii="Times New Roman" w:hAnsi="Times New Roman"/>
              </w:rPr>
              <w:t xml:space="preserve">2400</w:t>
            </w:r>
          </w:p>
        </w:tc>
        <w:tc>
          <w:tcPr>
            <w:tcW w:w="7371" w:type="dxa"/>
            <w:shd w:val="clear" w:color="auto" w:fill="auto"/>
          </w:tcPr>
          <w:p w14:paraId="06B472BC" w14:textId="59FE0E7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Totales de las operaciones en las que se prestan otros activos de nivel 2B y se toman en préstamo las garantías reales siguientes:</w:t>
            </w:r>
          </w:p>
          <w:p w14:paraId="53A24FD7" w14:textId="027D66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6352BCE4" w14:textId="7A1C261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las operaciones en las que se prestan otros activos de nivel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sz w:val="24"/>
                <w:rFonts w:ascii="Times New Roman" w:eastAsia="PMingLiU" w:hAnsi="Times New Roman"/>
              </w:rPr>
            </w:pPr>
            <w:r>
              <w:rPr>
                <w:sz w:val="24"/>
                <w:rFonts w:ascii="Times New Roman" w:hAnsi="Times New Roman"/>
              </w:rPr>
              <w:t xml:space="preserve">2410</w:t>
            </w:r>
          </w:p>
        </w:tc>
        <w:tc>
          <w:tcPr>
            <w:tcW w:w="7371" w:type="dxa"/>
            <w:shd w:val="clear" w:color="auto" w:fill="FFFFFF"/>
          </w:tcPr>
          <w:p w14:paraId="400BE9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38DB5977" w14:textId="6E785DA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activos de nivel 1, excepto bonos garantizados de calidad sumamente elevada (tomados en préstamo).</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sz w:val="24"/>
                <w:rFonts w:ascii="Times New Roman" w:eastAsia="PMingLiU" w:hAnsi="Times New Roman"/>
              </w:rPr>
            </w:pPr>
            <w:r>
              <w:rPr>
                <w:sz w:val="24"/>
                <w:rFonts w:ascii="Times New Roman" w:hAnsi="Times New Roman"/>
              </w:rPr>
              <w:t xml:space="preserve">2420</w:t>
            </w:r>
          </w:p>
        </w:tc>
        <w:tc>
          <w:tcPr>
            <w:tcW w:w="7371" w:type="dxa"/>
            <w:shd w:val="clear" w:color="auto" w:fill="FFFFFF"/>
          </w:tcPr>
          <w:p w14:paraId="56FA0C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BA258D9" w14:textId="14B2D0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2.7.1., las entidades de crédito comunicarán:</w:t>
            </w:r>
          </w:p>
          <w:p w14:paraId="45FE4019" w14:textId="1AAD8445"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1A49C06" w14:textId="0DB8125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sz w:val="24"/>
                <w:rFonts w:ascii="Times New Roman" w:eastAsia="PMingLiU" w:hAnsi="Times New Roman"/>
              </w:rPr>
            </w:pPr>
            <w:r>
              <w:rPr>
                <w:sz w:val="24"/>
                <w:rFonts w:ascii="Times New Roman" w:hAnsi="Times New Roman"/>
              </w:rPr>
              <w:t xml:space="preserve">2430</w:t>
            </w:r>
          </w:p>
        </w:tc>
        <w:tc>
          <w:tcPr>
            <w:tcW w:w="7371" w:type="dxa"/>
            <w:shd w:val="clear" w:color="auto" w:fill="FFFFFF"/>
          </w:tcPr>
          <w:p w14:paraId="056A1743" w14:textId="69A3CA0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0F39B64C" w14:textId="10E581D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bonos garantizados de calidad sumamente elevada de nivel 1 (tomados en préstamo).</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sz w:val="24"/>
                <w:rFonts w:ascii="Times New Roman" w:eastAsia="PMingLiU" w:hAnsi="Times New Roman"/>
              </w:rPr>
            </w:pPr>
            <w:r>
              <w:rPr>
                <w:sz w:val="24"/>
                <w:rFonts w:ascii="Times New Roman" w:hAnsi="Times New Roman"/>
              </w:rPr>
              <w:t xml:space="preserve">2440</w:t>
            </w:r>
          </w:p>
        </w:tc>
        <w:tc>
          <w:tcPr>
            <w:tcW w:w="7371" w:type="dxa"/>
            <w:shd w:val="clear" w:color="auto" w:fill="FFFFFF"/>
          </w:tcPr>
          <w:p w14:paraId="3CC2267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884678C" w14:textId="4FB324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2.7.2., las entidades de crédito comunicarán:</w:t>
            </w:r>
          </w:p>
          <w:p w14:paraId="25C11E00" w14:textId="268FAEFE"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706FD14D" w14:textId="7138FC9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sz w:val="24"/>
                <w:rFonts w:ascii="Times New Roman" w:eastAsia="PMingLiU" w:hAnsi="Times New Roman"/>
              </w:rPr>
            </w:pPr>
            <w:r>
              <w:rPr>
                <w:sz w:val="24"/>
                <w:rFonts w:ascii="Times New Roman" w:hAnsi="Times New Roman"/>
              </w:rPr>
              <w:t xml:space="preserve">2450</w:t>
            </w:r>
          </w:p>
        </w:tc>
        <w:tc>
          <w:tcPr>
            <w:tcW w:w="7371" w:type="dxa"/>
            <w:shd w:val="clear" w:color="auto" w:fill="FFFFFF"/>
          </w:tcPr>
          <w:p w14:paraId="3931076B" w14:textId="323F478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2.7.3.</w:t>
            </w:r>
            <w:r>
              <w:rPr>
                <w:b/>
                <w:sz w:val="24"/>
                <w:rFonts w:ascii="Times New Roman" w:hAnsi="Times New Roman"/>
              </w:rPr>
              <w:t xml:space="preserve"> </w:t>
            </w:r>
            <w:r>
              <w:rPr>
                <w:b/>
                <w:sz w:val="24"/>
                <w:rFonts w:ascii="Times New Roman" w:hAnsi="Times New Roman"/>
              </w:rPr>
              <w:t xml:space="preserve">Activos de nivel 2A</w:t>
            </w:r>
          </w:p>
          <w:p w14:paraId="0D5DB903" w14:textId="65FC040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activos de nivel 2A (tomados en préstamo).</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sz w:val="24"/>
                <w:rFonts w:ascii="Times New Roman" w:eastAsia="PMingLiU" w:hAnsi="Times New Roman"/>
              </w:rPr>
            </w:pPr>
            <w:r>
              <w:rPr>
                <w:sz w:val="24"/>
                <w:rFonts w:ascii="Times New Roman" w:hAnsi="Times New Roman"/>
              </w:rPr>
              <w:t xml:space="preserve">2460</w:t>
            </w:r>
          </w:p>
        </w:tc>
        <w:tc>
          <w:tcPr>
            <w:tcW w:w="7371" w:type="dxa"/>
            <w:shd w:val="clear" w:color="auto" w:fill="FFFFFF"/>
          </w:tcPr>
          <w:p w14:paraId="4C02768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2F74441" w14:textId="10346C7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2.7.3., las entidades de crédito comunicarán:</w:t>
            </w:r>
          </w:p>
          <w:p w14:paraId="74E28EB0" w14:textId="46321A3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9C24722" w14:textId="0B23F1D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sz w:val="24"/>
                <w:rFonts w:ascii="Times New Roman" w:eastAsia="PMingLiU" w:hAnsi="Times New Roman"/>
              </w:rPr>
            </w:pPr>
            <w:r>
              <w:rPr>
                <w:sz w:val="24"/>
                <w:rFonts w:ascii="Times New Roman" w:hAnsi="Times New Roman"/>
              </w:rPr>
              <w:t xml:space="preserve">2470</w:t>
            </w:r>
          </w:p>
        </w:tc>
        <w:tc>
          <w:tcPr>
            <w:tcW w:w="7371" w:type="dxa"/>
            <w:shd w:val="clear" w:color="auto" w:fill="FFFFFF"/>
          </w:tcPr>
          <w:p w14:paraId="58511943" w14:textId="7D02953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37A8BC83" w14:textId="691A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bonos de titulización de activos de nivel 2B (residenciales o automóviles, nivel de calidad crediticia 1) (tomados en préstamo).</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sz w:val="24"/>
                <w:rFonts w:ascii="Times New Roman" w:eastAsia="PMingLiU" w:hAnsi="Times New Roman"/>
              </w:rPr>
            </w:pPr>
            <w:r>
              <w:rPr>
                <w:sz w:val="24"/>
                <w:rFonts w:ascii="Times New Roman" w:hAnsi="Times New Roman"/>
              </w:rPr>
              <w:t xml:space="preserve">2480</w:t>
            </w:r>
          </w:p>
        </w:tc>
        <w:tc>
          <w:tcPr>
            <w:tcW w:w="7371" w:type="dxa"/>
            <w:shd w:val="clear" w:color="auto" w:fill="FFFFFF"/>
          </w:tcPr>
          <w:p w14:paraId="2A43FE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95E7E55" w14:textId="3DB510B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2.7.4., las entidades de crédito comunicarán:</w:t>
            </w:r>
          </w:p>
          <w:p w14:paraId="55FC2AF5" w14:textId="664E280C"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5E257C44" w14:textId="5F6334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sz w:val="24"/>
                <w:rFonts w:ascii="Times New Roman" w:eastAsia="PMingLiU" w:hAnsi="Times New Roman"/>
              </w:rPr>
            </w:pPr>
            <w:r>
              <w:rPr>
                <w:sz w:val="24"/>
                <w:rFonts w:ascii="Times New Roman" w:hAnsi="Times New Roman"/>
              </w:rPr>
              <w:t xml:space="preserve">2490</w:t>
            </w:r>
          </w:p>
        </w:tc>
        <w:tc>
          <w:tcPr>
            <w:tcW w:w="7371" w:type="dxa"/>
            <w:shd w:val="clear" w:color="auto" w:fill="FFFFFF"/>
          </w:tcPr>
          <w:p w14:paraId="29742683" w14:textId="7BEA40F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6D6BFE24" w14:textId="462D3C3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bonos garantizados de calidad elevada de nivel 2B (tomados en préstamo).</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sz w:val="24"/>
                <w:rFonts w:ascii="Times New Roman" w:eastAsia="PMingLiU" w:hAnsi="Times New Roman"/>
              </w:rPr>
            </w:pPr>
            <w:r>
              <w:rPr>
                <w:sz w:val="24"/>
                <w:rFonts w:ascii="Times New Roman" w:hAnsi="Times New Roman"/>
              </w:rPr>
              <w:t xml:space="preserve">2500</w:t>
            </w:r>
          </w:p>
        </w:tc>
        <w:tc>
          <w:tcPr>
            <w:tcW w:w="7371" w:type="dxa"/>
            <w:shd w:val="clear" w:color="auto" w:fill="FFFFFF"/>
          </w:tcPr>
          <w:p w14:paraId="7EC6A3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E5CE725" w14:textId="506CBC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2.7.5., las entidades de crédito comunicarán:</w:t>
            </w:r>
          </w:p>
          <w:p w14:paraId="7115B946" w14:textId="7685EB14"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AD037BC" w14:textId="0A9848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sz w:val="24"/>
                <w:rFonts w:ascii="Times New Roman" w:eastAsia="PMingLiU" w:hAnsi="Times New Roman"/>
              </w:rPr>
            </w:pPr>
            <w:r>
              <w:rPr>
                <w:sz w:val="24"/>
                <w:rFonts w:ascii="Times New Roman" w:hAnsi="Times New Roman"/>
              </w:rPr>
              <w:t xml:space="preserve">2510</w:t>
            </w:r>
          </w:p>
        </w:tc>
        <w:tc>
          <w:tcPr>
            <w:tcW w:w="7371" w:type="dxa"/>
            <w:shd w:val="clear" w:color="auto" w:fill="FFFFFF"/>
          </w:tcPr>
          <w:p w14:paraId="4F18187E" w14:textId="0F2878E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75A03042" w14:textId="521DA8F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bonos de titulización de activos de nivel 2B (comerciales o particulares, Estados miembros, nivel de calidad crediticia 1) (tomados en préstamo).</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sz w:val="24"/>
                <w:rFonts w:ascii="Times New Roman" w:eastAsia="PMingLiU" w:hAnsi="Times New Roman"/>
              </w:rPr>
            </w:pPr>
            <w:r>
              <w:rPr>
                <w:sz w:val="24"/>
                <w:rFonts w:ascii="Times New Roman" w:hAnsi="Times New Roman"/>
              </w:rPr>
              <w:t xml:space="preserve">2520</w:t>
            </w:r>
          </w:p>
        </w:tc>
        <w:tc>
          <w:tcPr>
            <w:tcW w:w="7371" w:type="dxa"/>
            <w:shd w:val="clear" w:color="auto" w:fill="FFFFFF"/>
          </w:tcPr>
          <w:p w14:paraId="6E5E0D8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43B1F16" w14:textId="3A4A9C9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2.7.6., las entidades de crédito comunicarán:</w:t>
            </w:r>
          </w:p>
          <w:p w14:paraId="1EA5D3D8" w14:textId="56E6E64A"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163AE024" w14:textId="731D7C5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sz w:val="24"/>
                <w:rFonts w:ascii="Times New Roman" w:eastAsia="PMingLiU" w:hAnsi="Times New Roman"/>
              </w:rPr>
            </w:pPr>
            <w:r>
              <w:rPr>
                <w:sz w:val="24"/>
                <w:rFonts w:ascii="Times New Roman" w:hAnsi="Times New Roman"/>
              </w:rPr>
              <w:t xml:space="preserve">2530</w:t>
            </w:r>
          </w:p>
        </w:tc>
        <w:tc>
          <w:tcPr>
            <w:tcW w:w="7371" w:type="dxa"/>
            <w:shd w:val="clear" w:color="auto" w:fill="FFFFFF"/>
          </w:tcPr>
          <w:p w14:paraId="05EC1351" w14:textId="4D37550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2.7.7.</w:t>
            </w:r>
            <w:r>
              <w:rPr>
                <w:b/>
                <w:sz w:val="24"/>
                <w:rFonts w:ascii="Times New Roman" w:hAnsi="Times New Roman"/>
              </w:rPr>
              <w:t xml:space="preserve"> </w:t>
            </w:r>
            <w:r>
              <w:rPr>
                <w:b/>
                <w:sz w:val="24"/>
                <w:rFonts w:ascii="Times New Roman" w:hAnsi="Times New Roman"/>
              </w:rPr>
              <w:t xml:space="preserve">Otros de nivel 2B</w:t>
            </w:r>
          </w:p>
          <w:p w14:paraId="41DC4743" w14:textId="55B7F67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otros de nivel 2B (tomados en préstamo).</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sz w:val="24"/>
                <w:rFonts w:ascii="Times New Roman" w:eastAsia="PMingLiU" w:hAnsi="Times New Roman"/>
              </w:rPr>
            </w:pPr>
            <w:r>
              <w:rPr>
                <w:sz w:val="24"/>
                <w:rFonts w:ascii="Times New Roman" w:hAnsi="Times New Roman"/>
              </w:rPr>
              <w:t xml:space="preserve">2540</w:t>
            </w:r>
          </w:p>
        </w:tc>
        <w:tc>
          <w:tcPr>
            <w:tcW w:w="7371" w:type="dxa"/>
            <w:shd w:val="clear" w:color="auto" w:fill="FFFFFF"/>
          </w:tcPr>
          <w:p w14:paraId="722504B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E7F8E0C" w14:textId="0D771AB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De las operaciones incluidas en la partida 2.7.7., las entidades de crédito comunicarán:</w:t>
            </w:r>
          </w:p>
          <w:p w14:paraId="11F4FDFE" w14:textId="2D4865A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prestadas que, de no ser utilizadas como garantías reales para esas operaciones, podrían ser consideradas activos líquidos con arreglo al artículo 8 del Reglamento Delegado (UE) 2015/61;</w:t>
            </w:r>
            <w:r>
              <w:rPr>
                <w:sz w:val="24"/>
                <w:rFonts w:ascii="Times New Roman" w:hAnsi="Times New Roman"/>
              </w:rPr>
              <w:t xml:space="preserve"> </w:t>
            </w:r>
            <w:r>
              <w:rPr>
                <w:sz w:val="24"/>
                <w:rFonts w:ascii="Times New Roman" w:hAnsi="Times New Roman"/>
              </w:rPr>
              <w:t xml:space="preserve">y</w:t>
            </w:r>
          </w:p>
          <w:p w14:paraId="434AF56B" w14:textId="4D71621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el componente de las garantías reales tomadas en préstamo que cumplen los requisitos operativos con arreglo al artículo 8 del Reglamento Delegado (UE)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sz w:val="24"/>
                <w:rFonts w:ascii="Times New Roman" w:eastAsia="PMingLiU" w:hAnsi="Times New Roman"/>
              </w:rPr>
            </w:pPr>
            <w:r>
              <w:rPr>
                <w:sz w:val="24"/>
                <w:rFonts w:ascii="Times New Roman" w:hAnsi="Times New Roman"/>
              </w:rPr>
              <w:t xml:space="preserve">2550</w:t>
            </w:r>
          </w:p>
        </w:tc>
        <w:tc>
          <w:tcPr>
            <w:tcW w:w="7371" w:type="dxa"/>
            <w:shd w:val="clear" w:color="auto" w:fill="FFFFFF"/>
          </w:tcPr>
          <w:p w14:paraId="777298D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2.7.8.</w:t>
            </w:r>
            <w:r>
              <w:rPr>
                <w:b/>
                <w:sz w:val="24"/>
                <w:rFonts w:ascii="Times New Roman" w:hAnsi="Times New Roman"/>
              </w:rPr>
              <w:t xml:space="preserve"> </w:t>
            </w:r>
            <w:r>
              <w:rPr>
                <w:b/>
                <w:sz w:val="24"/>
                <w:rFonts w:ascii="Times New Roman" w:hAnsi="Times New Roman"/>
              </w:rPr>
              <w:t xml:space="preserve">Activos no líquidos</w:t>
            </w:r>
          </w:p>
          <w:p w14:paraId="6C0ED521" w14:textId="1661558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otros activos de nivel 2B (prestados) por activos no líquidos (tomados en préstamo).</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sz w:val="24"/>
                <w:rFonts w:ascii="Times New Roman" w:eastAsia="PMingLiU" w:hAnsi="Times New Roman"/>
              </w:rPr>
            </w:pPr>
            <w:r>
              <w:rPr>
                <w:sz w:val="24"/>
                <w:rFonts w:ascii="Times New Roman" w:hAnsi="Times New Roman"/>
              </w:rPr>
              <w:t xml:space="preserve">2560</w:t>
            </w:r>
          </w:p>
        </w:tc>
        <w:tc>
          <w:tcPr>
            <w:tcW w:w="7371" w:type="dxa"/>
            <w:shd w:val="clear" w:color="auto" w:fill="auto"/>
          </w:tcPr>
          <w:p w14:paraId="73A120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2.7.8.1.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45D08480" w14:textId="2F1BD7A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2.7.8.,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sz w:val="24"/>
                <w:rFonts w:ascii="Times New Roman" w:eastAsia="PMingLiU" w:hAnsi="Times New Roman"/>
              </w:rPr>
            </w:pPr>
            <w:r>
              <w:rPr>
                <w:sz w:val="24"/>
                <w:rFonts w:ascii="Times New Roman" w:hAnsi="Times New Roman"/>
              </w:rPr>
              <w:t xml:space="preserve">2570</w:t>
            </w:r>
          </w:p>
        </w:tc>
        <w:tc>
          <w:tcPr>
            <w:tcW w:w="7371" w:type="dxa"/>
            <w:shd w:val="clear" w:color="auto" w:fill="auto"/>
          </w:tcPr>
          <w:p w14:paraId="7BA84D22" w14:textId="5A2C8B1D"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Totales de las operaciones en las que se prestan activos no líquidos y se toman en préstamo las garantías reales siguientes:</w:t>
            </w:r>
          </w:p>
          <w:p w14:paraId="68540829" w14:textId="79E1BDE2" w:rsidR="00F71050" w:rsidRPr="00D638D6" w:rsidRDefault="00F71050" w:rsidP="009D4EFF">
            <w:pPr>
              <w:spacing w:before="0"/>
              <w:ind w:left="-84"/>
              <w:rPr>
                <w:bCs/>
                <w:sz w:val="24"/>
                <w:rFonts w:ascii="Times New Roman" w:eastAsia="PMingLiU" w:hAnsi="Times New Roman"/>
              </w:rPr>
            </w:pPr>
            <w:r>
              <w:rPr>
                <w:sz w:val="24"/>
                <w:rFonts w:ascii="Times New Roman" w:hAnsi="Times New Roman"/>
              </w:rPr>
              <w:t xml:space="preserve">Artículo 28, apartado 4, y artículo 32, apartado 3, del Reglamento Delegado (UE) 2015/61</w:t>
            </w:r>
          </w:p>
          <w:p w14:paraId="30E1A93D" w14:textId="4E8BC510"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Las entidades de crédito comunicarán aquí, para las columnas pertinentes, los valores totales de las permutas de garantías reales de las operaciones en las que se prestan activos no líquidos.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sz w:val="24"/>
                <w:rFonts w:ascii="Times New Roman" w:eastAsia="PMingLiU" w:hAnsi="Times New Roman"/>
              </w:rPr>
            </w:pPr>
            <w:r>
              <w:rPr>
                <w:sz w:val="24"/>
                <w:rFonts w:ascii="Times New Roman" w:hAnsi="Times New Roman"/>
              </w:rPr>
              <w:t xml:space="preserve">2580</w:t>
            </w:r>
          </w:p>
        </w:tc>
        <w:tc>
          <w:tcPr>
            <w:tcW w:w="7371" w:type="dxa"/>
            <w:shd w:val="clear" w:color="auto" w:fill="FFFFFF"/>
          </w:tcPr>
          <w:p w14:paraId="0C0AEA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w:t>
            </w:r>
            <w:r>
              <w:rPr>
                <w:b/>
                <w:sz w:val="24"/>
                <w:rFonts w:ascii="Times New Roman" w:hAnsi="Times New Roman"/>
              </w:rPr>
              <w:t xml:space="preserve"> </w:t>
            </w:r>
            <w:r>
              <w:rPr>
                <w:b/>
                <w:sz w:val="24"/>
                <w:rFonts w:ascii="Times New Roman" w:hAnsi="Times New Roman"/>
              </w:rPr>
              <w:t xml:space="preserve">Activos de nivel 1 (excepto bonos garantizados de calidad sumamente elevada)</w:t>
            </w:r>
          </w:p>
          <w:p w14:paraId="6472EB9E" w14:textId="0D26A697"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activos de nivel 1, excepto bonos garantizados de calidad sumamente elevada (tomados en préstamo).</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sz w:val="24"/>
                <w:rFonts w:ascii="Times New Roman" w:eastAsia="PMingLiU" w:hAnsi="Times New Roman"/>
              </w:rPr>
            </w:pPr>
            <w:r>
              <w:rPr>
                <w:sz w:val="24"/>
                <w:rFonts w:ascii="Times New Roman" w:hAnsi="Times New Roman"/>
              </w:rPr>
              <w:t xml:space="preserve">2590</w:t>
            </w:r>
          </w:p>
        </w:tc>
        <w:tc>
          <w:tcPr>
            <w:tcW w:w="7371" w:type="dxa"/>
            <w:shd w:val="clear" w:color="auto" w:fill="FFFFFF"/>
          </w:tcPr>
          <w:p w14:paraId="6E0B250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02E83BE" w14:textId="1ED1A07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2.8.1., las entidades de crédito comunicarán el componente de las garantías reales tomadas en préstamo que cumplan los requisitos operativos con arreglo al artículo 8 del Reglamento Delegado (UE)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sz w:val="24"/>
                <w:rFonts w:ascii="Times New Roman" w:eastAsia="PMingLiU" w:hAnsi="Times New Roman"/>
              </w:rPr>
            </w:pPr>
            <w:r>
              <w:rPr>
                <w:sz w:val="24"/>
                <w:rFonts w:ascii="Times New Roman" w:hAnsi="Times New Roman"/>
              </w:rPr>
              <w:t xml:space="preserve">2600</w:t>
            </w:r>
          </w:p>
        </w:tc>
        <w:tc>
          <w:tcPr>
            <w:tcW w:w="7371" w:type="dxa"/>
            <w:shd w:val="clear" w:color="auto" w:fill="FFFFFF"/>
          </w:tcPr>
          <w:p w14:paraId="61084C66" w14:textId="6B058BC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2.8.2.</w:t>
            </w:r>
            <w:r>
              <w:rPr>
                <w:b/>
                <w:sz w:val="24"/>
                <w:rFonts w:ascii="Times New Roman" w:hAnsi="Times New Roman"/>
              </w:rPr>
              <w:t xml:space="preserve"> </w:t>
            </w:r>
            <w:r>
              <w:rPr>
                <w:b/>
                <w:sz w:val="24"/>
                <w:rFonts w:ascii="Times New Roman" w:hAnsi="Times New Roman"/>
              </w:rPr>
              <w:t xml:space="preserve">Bonos garantizados de calidad sumamente elevada de nivel 1</w:t>
            </w:r>
          </w:p>
          <w:p w14:paraId="27E1C889" w14:textId="2CB2FA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Operaciones en las que la entidad ha permutado activos no líquidos (prestados) por bonos garantizados de calidad sumamente elevada de nivel 1 (tomados en préstamo).</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sz w:val="24"/>
                <w:rFonts w:ascii="Times New Roman" w:eastAsia="PMingLiU" w:hAnsi="Times New Roman"/>
              </w:rPr>
            </w:pPr>
            <w:r>
              <w:rPr>
                <w:sz w:val="24"/>
                <w:rFonts w:ascii="Times New Roman" w:hAnsi="Times New Roman"/>
              </w:rPr>
              <w:t xml:space="preserve">2610</w:t>
            </w:r>
          </w:p>
        </w:tc>
        <w:tc>
          <w:tcPr>
            <w:tcW w:w="7371" w:type="dxa"/>
            <w:shd w:val="clear" w:color="auto" w:fill="FFFFFF"/>
          </w:tcPr>
          <w:p w14:paraId="641B319E" w14:textId="693500DE"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2.8.2.1.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212A5FF8" w14:textId="316F210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2.8.2., las entidades de crédito comunicarán el componente de las garantías reales tomadas en préstamo que cumplan los requisitos operativos con arreglo al artículo 8 del Reglamento Delegado (UE)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sz w:val="24"/>
                <w:rFonts w:ascii="Times New Roman" w:eastAsia="PMingLiU" w:hAnsi="Times New Roman"/>
              </w:rPr>
            </w:pPr>
            <w:r>
              <w:rPr>
                <w:sz w:val="24"/>
                <w:rFonts w:ascii="Times New Roman" w:hAnsi="Times New Roman"/>
              </w:rPr>
              <w:t xml:space="preserve">2620</w:t>
            </w:r>
          </w:p>
        </w:tc>
        <w:tc>
          <w:tcPr>
            <w:tcW w:w="7371" w:type="dxa"/>
            <w:shd w:val="clear" w:color="auto" w:fill="FFFFFF"/>
          </w:tcPr>
          <w:p w14:paraId="5DF359A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2.8.3.</w:t>
            </w:r>
            <w:r>
              <w:rPr>
                <w:b/>
                <w:sz w:val="24"/>
                <w:rFonts w:ascii="Times New Roman" w:hAnsi="Times New Roman"/>
              </w:rPr>
              <w:t xml:space="preserve"> </w:t>
            </w:r>
            <w:r>
              <w:rPr>
                <w:b/>
                <w:sz w:val="24"/>
                <w:rFonts w:ascii="Times New Roman" w:hAnsi="Times New Roman"/>
              </w:rPr>
              <w:t xml:space="preserve">Activos de nivel 2A</w:t>
            </w:r>
          </w:p>
          <w:p w14:paraId="470A9884" w14:textId="0532D6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activos de nivel 2A (tomados en préstamo).</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sz w:val="24"/>
                <w:rFonts w:ascii="Times New Roman" w:eastAsia="PMingLiU" w:hAnsi="Times New Roman"/>
              </w:rPr>
            </w:pPr>
            <w:r>
              <w:rPr>
                <w:sz w:val="24"/>
                <w:rFonts w:ascii="Times New Roman" w:hAnsi="Times New Roman"/>
              </w:rPr>
              <w:t xml:space="preserve">2630</w:t>
            </w:r>
          </w:p>
        </w:tc>
        <w:tc>
          <w:tcPr>
            <w:tcW w:w="7371" w:type="dxa"/>
            <w:shd w:val="clear" w:color="auto" w:fill="FFFFFF"/>
          </w:tcPr>
          <w:p w14:paraId="0CB567C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2.8.3.1.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4F31C14" w14:textId="0A5422F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2.8.3., las entidades de crédito comunicarán el componente de las garantías reales tomadas en préstamo que cumplan los requisitos operativos con arreglo al artículo 8 del Reglamento Delegado (UE)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sz w:val="24"/>
                <w:rFonts w:ascii="Times New Roman" w:eastAsia="PMingLiU" w:hAnsi="Times New Roman"/>
              </w:rPr>
            </w:pPr>
            <w:r>
              <w:rPr>
                <w:sz w:val="24"/>
                <w:rFonts w:ascii="Times New Roman" w:hAnsi="Times New Roman"/>
              </w:rPr>
              <w:t xml:space="preserve">2640</w:t>
            </w:r>
          </w:p>
        </w:tc>
        <w:tc>
          <w:tcPr>
            <w:tcW w:w="7371" w:type="dxa"/>
            <w:shd w:val="clear" w:color="auto" w:fill="FFFFFF"/>
          </w:tcPr>
          <w:p w14:paraId="428B7D33" w14:textId="58CD184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2.8.4.</w:t>
            </w:r>
            <w:r>
              <w:rPr>
                <w:b/>
                <w:sz w:val="24"/>
                <w:rFonts w:ascii="Times New Roman" w:hAnsi="Times New Roman"/>
              </w:rPr>
              <w:t xml:space="preserve"> </w:t>
            </w:r>
            <w:r>
              <w:rPr>
                <w:b/>
                <w:sz w:val="24"/>
                <w:rFonts w:ascii="Times New Roman" w:hAnsi="Times New Roman"/>
              </w:rPr>
              <w:t xml:space="preserve">Bonos de titulización de activos de nivel 2B (residenciales o automóviles, nivel de calidad crediticia 1)</w:t>
            </w:r>
          </w:p>
          <w:p w14:paraId="7BCF3EA4" w14:textId="142517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bonos de titulización de activos de nivel 2B (residenciales o automóviles, nivel de calidad crediticia 1) (tomados en préstamo).</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sz w:val="24"/>
                <w:rFonts w:ascii="Times New Roman" w:eastAsia="PMingLiU" w:hAnsi="Times New Roman"/>
              </w:rPr>
            </w:pPr>
            <w:r>
              <w:rPr>
                <w:sz w:val="24"/>
                <w:rFonts w:ascii="Times New Roman" w:hAnsi="Times New Roman"/>
              </w:rPr>
              <w:t xml:space="preserve">2650</w:t>
            </w:r>
          </w:p>
        </w:tc>
        <w:tc>
          <w:tcPr>
            <w:tcW w:w="7371" w:type="dxa"/>
            <w:shd w:val="clear" w:color="auto" w:fill="FFFFFF"/>
          </w:tcPr>
          <w:p w14:paraId="2D28F5A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2.8.4.1.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7C9E74D" w14:textId="6E0B380B"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2.8.4., las entidades de crédito comunicarán el componente de las garantías reales tomadas en préstamo que cumplan los requisitos operativos con arreglo al artículo 8 del Reglamento Delegado (UE)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sz w:val="24"/>
                <w:rFonts w:ascii="Times New Roman" w:eastAsia="PMingLiU" w:hAnsi="Times New Roman"/>
              </w:rPr>
            </w:pPr>
            <w:r>
              <w:rPr>
                <w:sz w:val="24"/>
                <w:rFonts w:ascii="Times New Roman" w:hAnsi="Times New Roman"/>
              </w:rPr>
              <w:t xml:space="preserve">2660</w:t>
            </w:r>
          </w:p>
        </w:tc>
        <w:tc>
          <w:tcPr>
            <w:tcW w:w="7371" w:type="dxa"/>
            <w:shd w:val="clear" w:color="auto" w:fill="FFFFFF"/>
          </w:tcPr>
          <w:p w14:paraId="0A9A3DF7" w14:textId="3F71EE2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2.8.5.</w:t>
            </w:r>
            <w:r>
              <w:rPr>
                <w:b/>
                <w:sz w:val="24"/>
                <w:rFonts w:ascii="Times New Roman" w:hAnsi="Times New Roman"/>
              </w:rPr>
              <w:t xml:space="preserve"> </w:t>
            </w:r>
            <w:r>
              <w:rPr>
                <w:b/>
                <w:sz w:val="24"/>
                <w:rFonts w:ascii="Times New Roman" w:hAnsi="Times New Roman"/>
              </w:rPr>
              <w:t xml:space="preserve">Bonos garantizados de calidad elevada de nivel 2B</w:t>
            </w:r>
          </w:p>
          <w:p w14:paraId="11BC0B14" w14:textId="473425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bonos garantizados de calidad elevada de nivel 2B (tomados en préstamo).</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sz w:val="24"/>
                <w:rFonts w:ascii="Times New Roman" w:eastAsia="PMingLiU" w:hAnsi="Times New Roman"/>
              </w:rPr>
            </w:pPr>
            <w:r>
              <w:rPr>
                <w:sz w:val="24"/>
                <w:rFonts w:ascii="Times New Roman" w:hAnsi="Times New Roman"/>
              </w:rPr>
              <w:t xml:space="preserve">2670</w:t>
            </w:r>
          </w:p>
        </w:tc>
        <w:tc>
          <w:tcPr>
            <w:tcW w:w="7371" w:type="dxa"/>
            <w:shd w:val="clear" w:color="auto" w:fill="FFFFFF"/>
          </w:tcPr>
          <w:p w14:paraId="37C2ACC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2.8.5.1.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11F6AECE" w14:textId="3683691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2.8.5., las entidades de crédito comunicarán el componente de las garantías reales tomadas en préstamo que cumplan los requisitos operativos con arreglo al artículo 8 del Reglamento Delegado (UE)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sz w:val="24"/>
                <w:rFonts w:ascii="Times New Roman" w:eastAsia="PMingLiU" w:hAnsi="Times New Roman"/>
              </w:rPr>
            </w:pPr>
            <w:r>
              <w:rPr>
                <w:sz w:val="24"/>
                <w:rFonts w:ascii="Times New Roman" w:hAnsi="Times New Roman"/>
              </w:rPr>
              <w:t xml:space="preserve">2680</w:t>
            </w:r>
          </w:p>
        </w:tc>
        <w:tc>
          <w:tcPr>
            <w:tcW w:w="7371" w:type="dxa"/>
            <w:shd w:val="clear" w:color="auto" w:fill="FFFFFF"/>
          </w:tcPr>
          <w:p w14:paraId="56E1C405" w14:textId="6A63A29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2.8.6.</w:t>
            </w:r>
            <w:r>
              <w:rPr>
                <w:b/>
                <w:sz w:val="24"/>
                <w:rFonts w:ascii="Times New Roman" w:hAnsi="Times New Roman"/>
              </w:rPr>
              <w:t xml:space="preserve"> </w:t>
            </w:r>
            <w:r>
              <w:rPr>
                <w:b/>
                <w:sz w:val="24"/>
                <w:rFonts w:ascii="Times New Roman" w:hAnsi="Times New Roman"/>
              </w:rPr>
              <w:t xml:space="preserve">Bonos de titulización de activos de nivel 2B (comerciales o particulares, Estados miembros, nivel de calidad crediticia 1)</w:t>
            </w:r>
          </w:p>
          <w:p w14:paraId="16DFDF65" w14:textId="160AED1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bonos de titulización de activos de nivel 2B (comerciales o particulares, Estados miembros, nivel de calidad crediticia 1) (tomados en préstamo).</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sz w:val="24"/>
                <w:rFonts w:ascii="Times New Roman" w:eastAsia="PMingLiU" w:hAnsi="Times New Roman"/>
              </w:rPr>
            </w:pPr>
            <w:r>
              <w:rPr>
                <w:sz w:val="24"/>
                <w:rFonts w:ascii="Times New Roman" w:hAnsi="Times New Roman"/>
              </w:rPr>
              <w:t xml:space="preserve">2690</w:t>
            </w:r>
          </w:p>
        </w:tc>
        <w:tc>
          <w:tcPr>
            <w:tcW w:w="7371" w:type="dxa"/>
            <w:shd w:val="clear" w:color="auto" w:fill="FFFFFF"/>
          </w:tcPr>
          <w:p w14:paraId="4951F6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2.8.6.1.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6557E1BB" w14:textId="3C35F733"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2.8.6., las entidades de crédito comunicarán el componente de las garantías reales tomadas en préstamo que cumplan los requisitos operativos con arreglo al artículo 8 del Reglamento Delegado (UE)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sz w:val="24"/>
                <w:rFonts w:ascii="Times New Roman" w:eastAsia="PMingLiU" w:hAnsi="Times New Roman"/>
              </w:rPr>
            </w:pPr>
            <w:r>
              <w:rPr>
                <w:sz w:val="24"/>
                <w:rFonts w:ascii="Times New Roman" w:hAnsi="Times New Roman"/>
              </w:rPr>
              <w:t xml:space="preserve">2700</w:t>
            </w:r>
          </w:p>
        </w:tc>
        <w:tc>
          <w:tcPr>
            <w:tcW w:w="7371" w:type="dxa"/>
            <w:shd w:val="clear" w:color="auto" w:fill="FFFFFF"/>
          </w:tcPr>
          <w:p w14:paraId="4A7AFC05" w14:textId="7D593E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2.8.7.</w:t>
            </w:r>
            <w:r>
              <w:rPr>
                <w:b/>
                <w:sz w:val="24"/>
                <w:rFonts w:ascii="Times New Roman" w:hAnsi="Times New Roman"/>
              </w:rPr>
              <w:t xml:space="preserve"> </w:t>
            </w:r>
            <w:r>
              <w:rPr>
                <w:b/>
                <w:sz w:val="24"/>
                <w:rFonts w:ascii="Times New Roman" w:hAnsi="Times New Roman"/>
              </w:rPr>
              <w:t xml:space="preserve">Otros de nivel 2B</w:t>
            </w:r>
          </w:p>
          <w:p w14:paraId="3EB8EC15" w14:textId="58E65BF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otros activos de nivel 2B (tomados en préstamo).</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sz w:val="24"/>
                <w:rFonts w:ascii="Times New Roman" w:eastAsia="PMingLiU" w:hAnsi="Times New Roman"/>
              </w:rPr>
            </w:pPr>
            <w:r>
              <w:rPr>
                <w:sz w:val="24"/>
                <w:rFonts w:ascii="Times New Roman" w:hAnsi="Times New Roman"/>
              </w:rPr>
              <w:t xml:space="preserve">2710</w:t>
            </w:r>
          </w:p>
        </w:tc>
        <w:tc>
          <w:tcPr>
            <w:tcW w:w="7371" w:type="dxa"/>
            <w:shd w:val="clear" w:color="auto" w:fill="FFFFFF"/>
          </w:tcPr>
          <w:p w14:paraId="1B5106F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2.8.7.1.</w:t>
            </w:r>
            <w:r>
              <w:rPr>
                <w:b/>
                <w:sz w:val="24"/>
                <w:rFonts w:ascii="Times New Roman" w:hAnsi="Times New Roman"/>
              </w:rPr>
              <w:t xml:space="preserve"> </w:t>
            </w:r>
            <w:r>
              <w:rPr>
                <w:b/>
                <w:sz w:val="24"/>
                <w:rFonts w:ascii="Times New Roman" w:hAnsi="Times New Roman"/>
              </w:rPr>
              <w:t xml:space="preserve">De las cuales: las garantías reales permutadas cumplen los requisitos operativos</w:t>
            </w:r>
          </w:p>
          <w:p w14:paraId="7EF48BD8" w14:textId="1863E8B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De las operaciones incluidas en la partida 2.8.7., las entidades de crédito comunicarán el componente de las garantías reales tomadas en préstamo que cumplan los requisitos operativos con arreglo al artículo 8 del Reglamento Delegado (UE)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sz w:val="24"/>
                <w:rFonts w:ascii="Times New Roman" w:eastAsia="PMingLiU" w:hAnsi="Times New Roman"/>
              </w:rPr>
            </w:pPr>
            <w:r>
              <w:rPr>
                <w:sz w:val="24"/>
                <w:rFonts w:ascii="Times New Roman" w:hAnsi="Times New Roman"/>
              </w:rPr>
              <w:t xml:space="preserve">2720</w:t>
            </w:r>
          </w:p>
        </w:tc>
        <w:tc>
          <w:tcPr>
            <w:tcW w:w="7371" w:type="dxa"/>
            <w:shd w:val="clear" w:color="auto" w:fill="FFFFFF"/>
          </w:tcPr>
          <w:p w14:paraId="620A245B" w14:textId="4BE31B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2.8.8.</w:t>
            </w:r>
            <w:r>
              <w:rPr>
                <w:b/>
                <w:sz w:val="24"/>
                <w:rFonts w:ascii="Times New Roman" w:hAnsi="Times New Roman"/>
              </w:rPr>
              <w:t xml:space="preserve"> </w:t>
            </w:r>
            <w:r>
              <w:rPr>
                <w:b/>
                <w:sz w:val="24"/>
                <w:rFonts w:ascii="Times New Roman" w:hAnsi="Times New Roman"/>
              </w:rPr>
              <w:t xml:space="preserve">Activos no líquidos</w:t>
            </w:r>
          </w:p>
          <w:p w14:paraId="36E5A087" w14:textId="475E24C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Operaciones en las que la entidad ha permutado activos no líquidos (prestados) por activos no líquidos (tomados en préstamo).</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PRO MEMORIA</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sz w:val="24"/>
                <w:rFonts w:ascii="Times New Roman" w:eastAsia="PMingLiU" w:hAnsi="Times New Roman"/>
              </w:rPr>
            </w:pPr>
            <w:r>
              <w:rPr>
                <w:sz w:val="24"/>
                <w:rFonts w:ascii="Times New Roman" w:hAnsi="Times New Roman"/>
              </w:rPr>
              <w:t xml:space="preserve">2730</w:t>
            </w:r>
          </w:p>
        </w:tc>
        <w:tc>
          <w:tcPr>
            <w:tcW w:w="7371" w:type="dxa"/>
            <w:shd w:val="clear" w:color="auto" w:fill="FFFFFF"/>
          </w:tcPr>
          <w:p w14:paraId="441A0E96" w14:textId="01B51C9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Total de permutas de garantías reales (todas las contrapartes) en las que se han utilizado garantías reales tomadas en préstamo para cubrir posiciones cortas</w:t>
            </w:r>
          </w:p>
          <w:p w14:paraId="5BEA4AC9" w14:textId="1C15A4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Las entidades comunicarán aquí el total de permutas de garantías reales (todas las contrapartes) consignadas en las filas anteriores en las que se han utilizado garantías reales tomadas en préstamo para cubrir posiciones cortas, cuando se haya aplicado un índice de salida del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sz w:val="24"/>
                <w:rFonts w:ascii="Times New Roman" w:eastAsia="PMingLiU" w:hAnsi="Times New Roman"/>
              </w:rPr>
            </w:pPr>
            <w:r>
              <w:rPr>
                <w:sz w:val="24"/>
                <w:rFonts w:ascii="Times New Roman" w:hAnsi="Times New Roman"/>
              </w:rPr>
              <w:t xml:space="preserve">2740</w:t>
            </w:r>
          </w:p>
        </w:tc>
        <w:tc>
          <w:tcPr>
            <w:tcW w:w="7371" w:type="dxa"/>
            <w:shd w:val="clear" w:color="auto" w:fill="FFFFFF"/>
          </w:tcPr>
          <w:p w14:paraId="4E968F51" w14:textId="054E8A4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Total de permutas de garantías reales con contrapartes pertenecientes al grupo</w:t>
            </w:r>
          </w:p>
          <w:p w14:paraId="35E9ADB8" w14:textId="311AB8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Las entidades comunicarán aquí el total de permutas de garantías reales consignadas en las filas anteriores realizadas con contrapartes pertenecientes al grupo.</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Permutas de garantías reales exentas de la aplicación del artículo 17, apartados 2 y 3</w:t>
            </w:r>
          </w:p>
          <w:p w14:paraId="7FD4C78A" w14:textId="0340402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que estén exentas de la aplicación del artículo 17, apartados 2 y 3, del Reglamento Delegado (UE) 2015/61 en virtud de su artículo 17, apartado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bCs/>
                <w:sz w:val="24"/>
                <w:rFonts w:ascii="Times New Roman" w:eastAsia="PMingLiU" w:hAnsi="Times New Roman"/>
              </w:rPr>
            </w:pPr>
            <w:r>
              <w:rPr>
                <w:sz w:val="24"/>
                <w:rFonts w:ascii="Times New Roman" w:hAnsi="Times New Roman"/>
              </w:rPr>
              <w:t xml:space="preserve">2750</w:t>
            </w:r>
          </w:p>
        </w:tc>
        <w:tc>
          <w:tcPr>
            <w:tcW w:w="7371" w:type="dxa"/>
            <w:shd w:val="clear" w:color="auto" w:fill="FFFFFF"/>
          </w:tcPr>
          <w:p w14:paraId="2254F76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5.1. De las cuales:</w:t>
            </w:r>
            <w:r>
              <w:rPr>
                <w:b/>
                <w:sz w:val="24"/>
                <w:rFonts w:ascii="Times New Roman" w:hAnsi="Times New Roman"/>
              </w:rPr>
              <w:t xml:space="preserve"> </w:t>
            </w:r>
            <w:r>
              <w:rPr>
                <w:b/>
                <w:sz w:val="24"/>
                <w:rFonts w:ascii="Times New Roman" w:hAnsi="Times New Roman"/>
              </w:rPr>
              <w:t xml:space="preserve">las garantías reales tomadas en préstamo son activos de nivel 1, excepto bonos garantizados de calidad sumamente elevada</w:t>
            </w:r>
          </w:p>
          <w:p w14:paraId="13EFDA8D" w14:textId="52EA08A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las garantías reales tomadas en préstamo sean garantías reales de nivel 1, excepto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bCs/>
                <w:sz w:val="24"/>
                <w:rFonts w:ascii="Times New Roman" w:eastAsia="PMingLiU" w:hAnsi="Times New Roman"/>
              </w:rPr>
            </w:pPr>
            <w:r>
              <w:rPr>
                <w:sz w:val="24"/>
                <w:rFonts w:ascii="Times New Roman" w:hAnsi="Times New Roman"/>
              </w:rPr>
              <w:t xml:space="preserve">2760</w:t>
            </w:r>
          </w:p>
        </w:tc>
        <w:tc>
          <w:tcPr>
            <w:tcW w:w="7371" w:type="dxa"/>
            <w:shd w:val="clear" w:color="auto" w:fill="FFFFFF"/>
          </w:tcPr>
          <w:p w14:paraId="262F8F46" w14:textId="775A215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5.2. De las cuales:</w:t>
            </w:r>
            <w:r>
              <w:rPr>
                <w:b/>
                <w:sz w:val="24"/>
                <w:rFonts w:ascii="Times New Roman" w:hAnsi="Times New Roman"/>
              </w:rPr>
              <w:t xml:space="preserve"> </w:t>
            </w:r>
            <w:r>
              <w:rPr>
                <w:b/>
                <w:sz w:val="24"/>
                <w:rFonts w:ascii="Times New Roman" w:hAnsi="Times New Roman"/>
              </w:rPr>
              <w:t xml:space="preserve">las garantías reales tomadas en préstamo son bonos garantizados de calidad sumamente elevada de nivel 1</w:t>
            </w:r>
          </w:p>
          <w:p w14:paraId="2EA5F5EF" w14:textId="57BE0C6D"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las garantías reales tomadas en préstamo sean garantías reales de nivel 1 consistentes en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bCs/>
                <w:sz w:val="24"/>
                <w:rFonts w:ascii="Times New Roman" w:eastAsia="PMingLiU" w:hAnsi="Times New Roman"/>
              </w:rPr>
            </w:pPr>
            <w:r>
              <w:rPr>
                <w:sz w:val="24"/>
                <w:rFonts w:ascii="Times New Roman" w:hAnsi="Times New Roman"/>
              </w:rPr>
              <w:t xml:space="preserve">2770</w:t>
            </w:r>
          </w:p>
        </w:tc>
        <w:tc>
          <w:tcPr>
            <w:tcW w:w="7371" w:type="dxa"/>
            <w:shd w:val="clear" w:color="auto" w:fill="FFFFFF"/>
          </w:tcPr>
          <w:p w14:paraId="205E1822" w14:textId="30EF9B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5.3. De las cuales:</w:t>
            </w:r>
            <w:r>
              <w:rPr>
                <w:b/>
                <w:sz w:val="24"/>
                <w:rFonts w:ascii="Times New Roman" w:hAnsi="Times New Roman"/>
              </w:rPr>
              <w:t xml:space="preserve"> </w:t>
            </w:r>
            <w:r>
              <w:rPr>
                <w:b/>
                <w:sz w:val="24"/>
                <w:rFonts w:ascii="Times New Roman" w:hAnsi="Times New Roman"/>
              </w:rPr>
              <w:t xml:space="preserve">las garantías reales tomadas en préstamo son activos de nivel 2A</w:t>
            </w:r>
          </w:p>
          <w:p w14:paraId="6365F3BF" w14:textId="73267DF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las garantías reales tomadas en préstamo sean garantías reales de nivel 2A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bCs/>
                <w:sz w:val="24"/>
                <w:rFonts w:ascii="Times New Roman" w:eastAsia="PMingLiU" w:hAnsi="Times New Roman"/>
              </w:rPr>
            </w:pPr>
            <w:r>
              <w:rPr>
                <w:sz w:val="24"/>
                <w:rFonts w:ascii="Times New Roman" w:hAnsi="Times New Roman"/>
              </w:rPr>
              <w:t xml:space="preserve">2780</w:t>
            </w:r>
          </w:p>
        </w:tc>
        <w:tc>
          <w:tcPr>
            <w:tcW w:w="7371" w:type="dxa"/>
            <w:shd w:val="clear" w:color="auto" w:fill="FFFFFF"/>
          </w:tcPr>
          <w:p w14:paraId="2442C65C" w14:textId="26BA68A2"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5.4. De las cuales:</w:t>
            </w:r>
            <w:r>
              <w:rPr>
                <w:b/>
                <w:sz w:val="24"/>
                <w:rFonts w:ascii="Times New Roman" w:hAnsi="Times New Roman"/>
              </w:rPr>
              <w:t xml:space="preserve"> </w:t>
            </w:r>
            <w:r>
              <w:rPr>
                <w:b/>
                <w:sz w:val="24"/>
                <w:rFonts w:ascii="Times New Roman" w:hAnsi="Times New Roman"/>
              </w:rPr>
              <w:t xml:space="preserve">las garantías reales tomadas en préstamo son activos de nivel 2B</w:t>
            </w:r>
          </w:p>
          <w:p w14:paraId="61280758" w14:textId="584CDF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las garantías reales tomadas en préstamo sean garantías reales de nivel 2B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bCs/>
                <w:sz w:val="24"/>
                <w:rFonts w:ascii="Times New Roman" w:eastAsia="PMingLiU" w:hAnsi="Times New Roman"/>
              </w:rPr>
            </w:pPr>
            <w:r>
              <w:rPr>
                <w:sz w:val="24"/>
                <w:rFonts w:ascii="Times New Roman" w:hAnsi="Times New Roman"/>
              </w:rPr>
              <w:t xml:space="preserve">2790</w:t>
            </w:r>
          </w:p>
        </w:tc>
        <w:tc>
          <w:tcPr>
            <w:tcW w:w="7371" w:type="dxa"/>
            <w:shd w:val="clear" w:color="auto" w:fill="FFFFFF"/>
          </w:tcPr>
          <w:p w14:paraId="584FAB20" w14:textId="18346F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5.5. De las cuales:</w:t>
            </w:r>
            <w:r>
              <w:rPr>
                <w:b/>
                <w:sz w:val="24"/>
                <w:rFonts w:ascii="Times New Roman" w:hAnsi="Times New Roman"/>
              </w:rPr>
              <w:t xml:space="preserve"> </w:t>
            </w:r>
            <w:r>
              <w:rPr>
                <w:b/>
                <w:sz w:val="24"/>
                <w:rFonts w:ascii="Times New Roman" w:hAnsi="Times New Roman"/>
              </w:rPr>
              <w:t xml:space="preserve">las garantías reales prestadas son activos de nivel 1, excepto bonos garantizados de calidad sumamente elevada</w:t>
            </w:r>
          </w:p>
          <w:p w14:paraId="4F8C2FF7" w14:textId="1ABBE7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las garantías reales prestadas sean garantías reales de nivel 1, excepto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bCs/>
                <w:sz w:val="24"/>
                <w:rFonts w:ascii="Times New Roman" w:eastAsia="PMingLiU" w:hAnsi="Times New Roman"/>
              </w:rPr>
            </w:pPr>
            <w:r>
              <w:rPr>
                <w:sz w:val="24"/>
                <w:rFonts w:ascii="Times New Roman" w:hAnsi="Times New Roman"/>
              </w:rPr>
              <w:t xml:space="preserve">2800</w:t>
            </w:r>
          </w:p>
        </w:tc>
        <w:tc>
          <w:tcPr>
            <w:tcW w:w="7371" w:type="dxa"/>
            <w:shd w:val="clear" w:color="auto" w:fill="FFFFFF"/>
          </w:tcPr>
          <w:p w14:paraId="266E001D" w14:textId="2E9C1DC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5.6. De las cuales:</w:t>
            </w:r>
            <w:r>
              <w:rPr>
                <w:b/>
                <w:sz w:val="24"/>
                <w:rFonts w:ascii="Times New Roman" w:hAnsi="Times New Roman"/>
              </w:rPr>
              <w:t xml:space="preserve"> </w:t>
            </w:r>
            <w:r>
              <w:rPr>
                <w:b/>
                <w:sz w:val="24"/>
                <w:rFonts w:ascii="Times New Roman" w:hAnsi="Times New Roman"/>
              </w:rPr>
              <w:t xml:space="preserve">las garantías reales prestadas son bonos garantizados de calidad sumamente elevada de nivel 1</w:t>
            </w:r>
          </w:p>
          <w:p w14:paraId="5CAF0661" w14:textId="646418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las garantías reales prestadas sean garantías reales de nivel 1 consistentes en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bCs/>
                <w:sz w:val="24"/>
                <w:rFonts w:ascii="Times New Roman" w:eastAsia="PMingLiU" w:hAnsi="Times New Roman"/>
              </w:rPr>
            </w:pPr>
            <w:r>
              <w:rPr>
                <w:sz w:val="24"/>
                <w:rFonts w:ascii="Times New Roman" w:hAnsi="Times New Roman"/>
              </w:rPr>
              <w:t xml:space="preserve">2810</w:t>
            </w:r>
          </w:p>
        </w:tc>
        <w:tc>
          <w:tcPr>
            <w:tcW w:w="7371" w:type="dxa"/>
            <w:shd w:val="clear" w:color="auto" w:fill="FFFFFF"/>
          </w:tcPr>
          <w:p w14:paraId="303B98C6" w14:textId="362E17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5.7. De las cuales:</w:t>
            </w:r>
            <w:r>
              <w:rPr>
                <w:b/>
                <w:sz w:val="24"/>
                <w:rFonts w:ascii="Times New Roman" w:hAnsi="Times New Roman"/>
              </w:rPr>
              <w:t xml:space="preserve"> </w:t>
            </w:r>
            <w:r>
              <w:rPr>
                <w:b/>
                <w:sz w:val="24"/>
                <w:rFonts w:ascii="Times New Roman" w:hAnsi="Times New Roman"/>
              </w:rPr>
              <w:t xml:space="preserve">las garantías reales prestadas son activos de nivel 2A</w:t>
            </w:r>
          </w:p>
          <w:p w14:paraId="0B7D63DD" w14:textId="06B6339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las garantías reales prestadas sean garantías reales de nivel 2A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bCs/>
                <w:sz w:val="24"/>
                <w:rFonts w:ascii="Times New Roman" w:eastAsia="PMingLiU" w:hAnsi="Times New Roman"/>
              </w:rPr>
            </w:pPr>
            <w:r>
              <w:rPr>
                <w:sz w:val="24"/>
                <w:rFonts w:ascii="Times New Roman" w:hAnsi="Times New Roman"/>
              </w:rPr>
              <w:t xml:space="preserve">2820</w:t>
            </w:r>
          </w:p>
        </w:tc>
        <w:tc>
          <w:tcPr>
            <w:tcW w:w="7371" w:type="dxa"/>
            <w:shd w:val="clear" w:color="auto" w:fill="FFFFFF"/>
          </w:tcPr>
          <w:p w14:paraId="29406BF2" w14:textId="213A38A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5.8. De las cuales:</w:t>
            </w:r>
            <w:r>
              <w:rPr>
                <w:b/>
                <w:sz w:val="24"/>
                <w:rFonts w:ascii="Times New Roman" w:hAnsi="Times New Roman"/>
              </w:rPr>
              <w:t xml:space="preserve"> </w:t>
            </w:r>
            <w:r>
              <w:rPr>
                <w:b/>
                <w:sz w:val="24"/>
                <w:rFonts w:ascii="Times New Roman" w:hAnsi="Times New Roman"/>
              </w:rPr>
              <w:t xml:space="preserve">las garantías reales prestadas son activos de nivel 2B</w:t>
            </w:r>
          </w:p>
          <w:p w14:paraId="0AB1EE84" w14:textId="6ECBDE46"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Las entidades de crédito comunicarán aquí la parte de las operaciones de permuta de garantías reales con un vencimiento residual no superior a 30 días en las que la contraparte sea un banco central y las garantías reales prestadas sean garantías reales de nivel 2B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b/>
          <w:sz w:val="24"/>
          <w:rFonts w:ascii="Times New Roman" w:hAnsi="Times New Roman"/>
        </w:rPr>
      </w:pPr>
      <w:r>
        <w:br w:type="page"/>
      </w:r>
    </w:p>
    <w:p w14:paraId="3576CE63" w14:textId="42AF7C09" w:rsidR="00881B4D" w:rsidRPr="000B6B22" w:rsidRDefault="009D4EFF" w:rsidP="009D4EFF">
      <w:pPr>
        <w:spacing w:before="0"/>
        <w:rPr>
          <w:b/>
          <w:sz w:val="24"/>
          <w:rFonts w:ascii="Times New Roman" w:hAnsi="Times New Roman"/>
        </w:rPr>
      </w:pPr>
      <w:r>
        <w:rPr>
          <w:b/>
          <w:sz w:val="24"/>
          <w:rFonts w:ascii="Times New Roman" w:hAnsi="Times New Roman"/>
        </w:rPr>
        <w:t xml:space="preserve">PARTE 5:</w:t>
      </w:r>
      <w:r>
        <w:rPr>
          <w:b/>
          <w:sz w:val="24"/>
          <w:rFonts w:ascii="Times New Roman" w:hAnsi="Times New Roman"/>
        </w:rPr>
        <w:t xml:space="preserve"> </w:t>
      </w:r>
      <w:r>
        <w:rPr>
          <w:b/>
          <w:sz w:val="24"/>
          <w:rFonts w:ascii="Times New Roman" w:hAnsi="Times New Roman"/>
        </w:rPr>
        <w:t xml:space="preserve">CÁLCULOS</w:t>
      </w:r>
    </w:p>
    <w:p w14:paraId="29D88EDF" w14:textId="1E1B0AC2"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Cálculos</w:t>
      </w:r>
    </w:p>
    <w:p w14:paraId="73EDD1DB" w14:textId="0E787A8A"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Observaciones generales</w:t>
      </w:r>
    </w:p>
    <w:p w14:paraId="0598BE64" w14:textId="3F01AD3D" w:rsidR="00881B4D" w:rsidRPr="000B6B22" w:rsidRDefault="00881B4D">
      <w:pPr>
        <w:pStyle w:val="InstructionsText2"/>
        <w:numPr>
          <w:ilvl w:val="0"/>
          <w:numId w:val="115"/>
        </w:numPr>
        <w:spacing w:after="120"/>
        <w:rPr>
          <w:sz w:val="24"/>
          <w:szCs w:val="24"/>
          <w:rFonts w:cs="Times New Roman"/>
        </w:rPr>
      </w:pPr>
      <w:r>
        <w:rPr>
          <w:sz w:val="24"/>
        </w:rPr>
        <w:t xml:space="preserve">Se trata de una plantilla resumen que contiene información sobre los cálculos con vistas a dar cuenta del requisito de cobertura de la liquidez que se especifica en el Reglamento Delegado (UE) 2015/61.</w:t>
      </w:r>
      <w:r>
        <w:rPr>
          <w:sz w:val="24"/>
        </w:rPr>
        <w:t xml:space="preserve"> </w:t>
      </w:r>
      <w:r>
        <w:rPr>
          <w:sz w:val="24"/>
        </w:rPr>
        <w:t xml:space="preserve">Las partidas que no deben ser cumplimentadas por las entidades están sombreadas en gris.</w:t>
      </w:r>
    </w:p>
    <w:p w14:paraId="4FCCB14F" w14:textId="3E5FE456"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Observaciones específicas</w:t>
      </w:r>
    </w:p>
    <w:p w14:paraId="7ABAF944" w14:textId="45E30863" w:rsidR="00881B4D" w:rsidRPr="000B6B22" w:rsidRDefault="00881B4D">
      <w:pPr>
        <w:pStyle w:val="InstructionsText2"/>
        <w:spacing w:after="120"/>
        <w:rPr>
          <w:sz w:val="24"/>
          <w:szCs w:val="24"/>
          <w:rFonts w:cs="Times New Roman"/>
        </w:rPr>
      </w:pPr>
      <w:r>
        <w:rPr>
          <w:sz w:val="24"/>
        </w:rPr>
        <w:t xml:space="preserve">Las referencias de las celdas siguen el siguiente formato:</w:t>
      </w:r>
      <w:r>
        <w:rPr>
          <w:sz w:val="24"/>
        </w:rPr>
        <w:t xml:space="preserve"> </w:t>
      </w:r>
      <w:r>
        <w:rPr>
          <w:sz w:val="24"/>
        </w:rPr>
        <w:t xml:space="preserve">plantilla;</w:t>
      </w:r>
      <w:r>
        <w:rPr>
          <w:sz w:val="24"/>
        </w:rPr>
        <w:t xml:space="preserve"> </w:t>
      </w:r>
      <w:r>
        <w:rPr>
          <w:sz w:val="24"/>
        </w:rPr>
        <w:t xml:space="preserve">fila;</w:t>
      </w:r>
      <w:r>
        <w:rPr>
          <w:sz w:val="24"/>
        </w:rPr>
        <w:t xml:space="preserve"> </w:t>
      </w:r>
      <w:r>
        <w:rPr>
          <w:sz w:val="24"/>
        </w:rPr>
        <w:t xml:space="preserve">columna.</w:t>
      </w:r>
      <w:r>
        <w:rPr>
          <w:sz w:val="24"/>
        </w:rPr>
        <w:t xml:space="preserve"> </w:t>
      </w:r>
      <w:r>
        <w:rPr>
          <w:sz w:val="24"/>
        </w:rPr>
        <w:t xml:space="preserve">Por ejemplo, {C 72.00;</w:t>
      </w:r>
      <w:r>
        <w:rPr>
          <w:sz w:val="24"/>
        </w:rPr>
        <w:t xml:space="preserve"> </w:t>
      </w:r>
      <w:r>
        <w:rPr>
          <w:sz w:val="24"/>
        </w:rPr>
        <w:t xml:space="preserve">r0130;</w:t>
      </w:r>
      <w:r>
        <w:rPr>
          <w:sz w:val="24"/>
        </w:rPr>
        <w:t xml:space="preserve"> </w:t>
      </w:r>
      <w:r>
        <w:rPr>
          <w:sz w:val="24"/>
        </w:rPr>
        <w:t xml:space="preserve">c0040} remite a la plantilla sobre activos líquidos;</w:t>
      </w:r>
      <w:r>
        <w:rPr>
          <w:sz w:val="24"/>
        </w:rPr>
        <w:t xml:space="preserve"> </w:t>
      </w:r>
      <w:r>
        <w:rPr>
          <w:sz w:val="24"/>
        </w:rPr>
        <w:t xml:space="preserve">fila 0130;</w:t>
      </w:r>
      <w:r>
        <w:rPr>
          <w:sz w:val="24"/>
        </w:rPr>
        <w:t xml:space="preserve"> </w:t>
      </w:r>
      <w:r>
        <w:rPr>
          <w:sz w:val="24"/>
        </w:rPr>
        <w:t xml:space="preserve">columna 0040.</w:t>
      </w:r>
    </w:p>
    <w:p w14:paraId="491C11F3" w14:textId="519C85E8" w:rsidR="006D2EB6" w:rsidRPr="000B6B22" w:rsidRDefault="0062009E" w:rsidP="009D4EFF">
      <w:pPr>
        <w:keepNext/>
        <w:spacing w:before="0"/>
        <w:ind w:left="357" w:hanging="357"/>
        <w:outlineLvl w:val="1"/>
        <w:rPr>
          <w:sz w:val="24"/>
          <w:rFonts w:ascii="Times New Roman"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Subplantilla de cálculos – Instrucciones relativas a filas concretas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b/>
                <w:bCs/>
                <w:sz w:val="24"/>
                <w:rFonts w:ascii="Times New Roman" w:hAnsi="Times New Roman"/>
              </w:rPr>
            </w:pPr>
            <w:r>
              <w:rPr>
                <w:b/>
                <w:sz w:val="24"/>
                <w:rFonts w:ascii="Times New Roman" w:hAnsi="Times New Roman"/>
              </w:rPr>
              <w:t xml:space="preserve">Fila</w:t>
            </w:r>
          </w:p>
        </w:tc>
        <w:tc>
          <w:tcPr>
            <w:tcW w:w="7379" w:type="dxa"/>
            <w:gridSpan w:val="2"/>
            <w:shd w:val="clear" w:color="auto" w:fill="E6E6E6"/>
            <w:vAlign w:val="center"/>
          </w:tcPr>
          <w:p w14:paraId="69B92817"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Referencias jurídicas e instrucciones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CÁLCULOS</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Numerador, denominador, ratio</w:t>
            </w:r>
          </w:p>
          <w:p w14:paraId="0F24CAD3" w14:textId="26C4FC6A" w:rsidR="00881B4D" w:rsidRPr="000B6B22" w:rsidRDefault="00881B4D" w:rsidP="009D4EFF">
            <w:pPr>
              <w:spacing w:before="0"/>
              <w:ind w:left="33"/>
              <w:rPr>
                <w:sz w:val="24"/>
                <w:rFonts w:ascii="Times New Roman" w:hAnsi="Times New Roman"/>
              </w:rPr>
            </w:pPr>
            <w:r>
              <w:rPr>
                <w:sz w:val="24"/>
                <w:rFonts w:ascii="Times New Roman" w:hAnsi="Times New Roman"/>
              </w:rPr>
              <w:t xml:space="preserve">Artículo 4 del Reglamento Delegado (UE) 2015/61</w:t>
            </w:r>
          </w:p>
          <w:p w14:paraId="1185A838" w14:textId="77777777" w:rsidR="00881B4D" w:rsidRPr="000B6B22" w:rsidRDefault="00881B4D" w:rsidP="009D4EFF">
            <w:pPr>
              <w:spacing w:before="0"/>
              <w:ind w:left="33"/>
              <w:rPr>
                <w:sz w:val="24"/>
                <w:rFonts w:ascii="Times New Roman" w:hAnsi="Times New Roman"/>
              </w:rPr>
            </w:pPr>
            <w:r>
              <w:rPr>
                <w:sz w:val="24"/>
                <w:rFonts w:ascii="Times New Roman" w:hAnsi="Times New Roman"/>
              </w:rPr>
              <w:t xml:space="preserve">Numerador, denominador y resultado de la ratio de cobertura de liquidez</w:t>
            </w:r>
          </w:p>
          <w:p w14:paraId="4F931C39" w14:textId="31C587FF" w:rsidR="00881B4D" w:rsidRPr="000B6B22" w:rsidRDefault="00881B4D" w:rsidP="009D4EFF">
            <w:pPr>
              <w:spacing w:before="0"/>
              <w:ind w:left="33"/>
              <w:rPr>
                <w:sz w:val="24"/>
                <w:rFonts w:ascii="Times New Roman" w:hAnsi="Times New Roman"/>
              </w:rPr>
            </w:pPr>
            <w:r>
              <w:rPr>
                <w:sz w:val="24"/>
                <w:rFonts w:ascii="Times New Roman" w:hAnsi="Times New Roman"/>
              </w:rPr>
              <w:t xml:space="preserve">Introdúzcanse todos los datos que se indican a continuación en la columna 0010 de la correspondiente fila.</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gridSpan w:val="2"/>
          </w:tcPr>
          <w:p w14:paraId="48AFE0F8" w14:textId="77777777"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w:t>
            </w:r>
            <w:r>
              <w:rPr>
                <w:sz w:val="24"/>
                <w:rFonts w:ascii="Times New Roman" w:hAnsi="Times New Roman"/>
              </w:rPr>
              <w:t xml:space="preserve"> </w:t>
            </w:r>
            <w:r>
              <w:rPr>
                <w:sz w:val="24"/>
                <w:b/>
                <w:rFonts w:ascii="Times New Roman" w:hAnsi="Times New Roman"/>
              </w:rPr>
              <w:t xml:space="preserve">Colchón de liquidez</w:t>
            </w:r>
          </w:p>
          <w:p w14:paraId="4741BC57" w14:textId="747587BE"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 cifra de </w:t>
            </w:r>
            <w:r>
              <w:rPr>
                <w:sz w:val="24"/>
                <w:rFonts w:ascii="Times New Roman" w:hAnsi="Times New Roman"/>
              </w:rPr>
              <w:t xml:space="preserve">{C 76.00;</w:t>
            </w:r>
            <w:r>
              <w:rPr>
                <w:sz w:val="24"/>
                <w:rFonts w:ascii="Times New Roman" w:hAnsi="Times New Roman"/>
              </w:rPr>
              <w:t xml:space="preserve"> </w:t>
            </w:r>
            <w:r>
              <w:rPr>
                <w:sz w:val="24"/>
                <w:rFonts w:ascii="Times New Roman" w:hAnsi="Times New Roman"/>
              </w:rPr>
              <w:t xml:space="preserve">r0290;</w:t>
            </w:r>
            <w:r>
              <w:rPr>
                <w:sz w:val="24"/>
                <w:rFonts w:ascii="Times New Roman" w:hAnsi="Times New Roman"/>
              </w:rPr>
              <w:t xml:space="preserve"> </w:t>
            </w:r>
            <w:r>
              <w:rPr>
                <w:sz w:val="24"/>
                <w:rFonts w:ascii="Times New Roman" w:hAnsi="Times New Roman"/>
              </w:rPr>
              <w:t xml:space="preserve">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gridSpan w:val="2"/>
          </w:tcPr>
          <w:p w14:paraId="538B4DE0" w14:textId="5BE58AD1"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Salida neta de liquidez</w:t>
            </w:r>
          </w:p>
          <w:p w14:paraId="45707C99" w14:textId="212576A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 cifra de {C 76.00;</w:t>
            </w:r>
            <w:r>
              <w:rPr>
                <w:sz w:val="24"/>
                <w:rFonts w:ascii="Times New Roman" w:hAnsi="Times New Roman"/>
              </w:rPr>
              <w:t xml:space="preserve"> </w:t>
            </w:r>
            <w:r>
              <w:rPr>
                <w:sz w:val="24"/>
                <w:rFonts w:ascii="Times New Roman" w:hAnsi="Times New Roman"/>
              </w:rPr>
              <w:t xml:space="preserve">r0370;</w:t>
            </w:r>
            <w:r>
              <w:rPr>
                <w:sz w:val="24"/>
                <w:rFonts w:ascii="Times New Roman" w:hAnsi="Times New Roman"/>
              </w:rPr>
              <w:t xml:space="preserve"> </w:t>
            </w:r>
            <w:r>
              <w:rPr>
                <w:sz w:val="24"/>
                <w:rFonts w:ascii="Times New Roman" w:hAnsi="Times New Roman"/>
              </w:rPr>
              <w:t xml:space="preserve">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sz w:val="24"/>
                <w:rFonts w:ascii="Times New Roman" w:hAnsi="Times New Roman"/>
              </w:rPr>
            </w:pPr>
            <w:r>
              <w:rPr>
                <w:sz w:val="24"/>
                <w:rFonts w:ascii="Times New Roman" w:hAnsi="Times New Roman"/>
              </w:rPr>
              <w:t xml:space="preserve">0030</w:t>
            </w:r>
          </w:p>
        </w:tc>
        <w:tc>
          <w:tcPr>
            <w:tcW w:w="7379" w:type="dxa"/>
            <w:gridSpan w:val="2"/>
          </w:tcPr>
          <w:p w14:paraId="35410DAB" w14:textId="35461C78"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Ratio de cobertura de liquidez</w:t>
            </w:r>
          </w:p>
          <w:p w14:paraId="37665DB2" w14:textId="0125CDD7"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 ratio de cobertura de liquidez calculada según se especifica en el artículo 4, apartado 1, del Reglamento Delegado (UE) 2015/61.</w:t>
            </w:r>
          </w:p>
          <w:p w14:paraId="4A93231B" w14:textId="22566269" w:rsidR="00881B4D" w:rsidRPr="000B6B22" w:rsidRDefault="00881B4D" w:rsidP="009D4EFF">
            <w:pPr>
              <w:autoSpaceDE w:val="0"/>
              <w:autoSpaceDN w:val="0"/>
              <w:adjustRightInd w:val="0"/>
              <w:spacing w:before="0"/>
              <w:ind w:left="-40"/>
              <w:rPr>
                <w:sz w:val="24"/>
                <w:rFonts w:ascii="Times New Roman" w:hAnsi="Times New Roman"/>
              </w:rPr>
            </w:pPr>
            <w:r>
              <w:rPr>
                <w:sz w:val="24"/>
                <w:rFonts w:ascii="Times New Roman" w:hAnsi="Times New Roman"/>
              </w:rPr>
              <w:t xml:space="preserve">La ratio de cobertura de liquidez será igual a la ratio entre el colchón de liquidez de una entidad de crédito y sus salidas netas de liquidez durante un período de tensión de 30 días naturales, y se expresará en porcentaje.</w:t>
            </w:r>
          </w:p>
          <w:p w14:paraId="3D48621E" w14:textId="670A1D8D" w:rsidR="00881B4D" w:rsidRPr="000B6B22" w:rsidRDefault="00881B4D" w:rsidP="009D4EFF">
            <w:pPr>
              <w:spacing w:before="0"/>
              <w:ind w:left="-40"/>
              <w:rPr>
                <w:b/>
                <w:bCs/>
                <w:sz w:val="24"/>
                <w:rFonts w:ascii="Times New Roman" w:hAnsi="Times New Roman"/>
              </w:rPr>
            </w:pPr>
            <w:r>
              <w:rPr>
                <w:sz w:val="24"/>
                <w:rFonts w:ascii="Times New Roman" w:hAnsi="Times New Roman"/>
              </w:rPr>
              <w:t xml:space="preserve">Si </w:t>
            </w:r>
            <w:r>
              <w:rPr>
                <w:sz w:val="24"/>
                <w:rFonts w:ascii="Times New Roman" w:hAnsi="Times New Roman"/>
              </w:rPr>
              <w:t xml:space="preserve">{C 76.00;</w:t>
            </w:r>
            <w:r>
              <w:rPr>
                <w:sz w:val="24"/>
                <w:rFonts w:ascii="Times New Roman" w:hAnsi="Times New Roman"/>
              </w:rPr>
              <w:t xml:space="preserve"> </w:t>
            </w:r>
            <w:r>
              <w:rPr>
                <w:sz w:val="24"/>
                <w:rFonts w:ascii="Times New Roman" w:hAnsi="Times New Roman"/>
              </w:rPr>
              <w:t xml:space="preserve">r0020;</w:t>
            </w:r>
            <w:r>
              <w:rPr>
                <w:sz w:val="24"/>
                <w:rFonts w:ascii="Times New Roman" w:hAnsi="Times New Roman"/>
              </w:rPr>
              <w:t xml:space="preserve"> </w:t>
            </w:r>
            <w:r>
              <w:rPr>
                <w:sz w:val="24"/>
                <w:rFonts w:ascii="Times New Roman" w:hAnsi="Times New Roman"/>
              </w:rPr>
              <w:t xml:space="preserve">c0010</w:t>
            </w:r>
            <w:r>
              <w:rPr>
                <w:sz w:val="24"/>
                <w:rFonts w:ascii="Times New Roman" w:hAnsi="Times New Roman"/>
              </w:rPr>
              <w:t xml:space="preserve">} es igual a cero (dando lugar a una ratio igual a infinito), consígnese el valor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Cálculos del numerador</w:t>
            </w:r>
          </w:p>
          <w:p w14:paraId="088085AF" w14:textId="0A1C938A" w:rsidR="00881B4D" w:rsidRPr="000B6B22" w:rsidRDefault="00881B4D">
            <w:pPr>
              <w:spacing w:before="0"/>
              <w:ind w:left="56"/>
              <w:rPr>
                <w:sz w:val="24"/>
                <w:rFonts w:ascii="Times New Roman" w:hAnsi="Times New Roman"/>
              </w:rPr>
            </w:pPr>
            <w:r>
              <w:rPr>
                <w:sz w:val="24"/>
                <w:rFonts w:ascii="Times New Roman" w:hAnsi="Times New Roman"/>
              </w:rPr>
              <w:t xml:space="preserve">Artículo 17 y anexo I del Reglamento Delegado (UE) 2015/61.</w:t>
            </w:r>
          </w:p>
          <w:p w14:paraId="45952F84" w14:textId="77777777" w:rsidR="00881B4D" w:rsidRPr="000B6B22" w:rsidRDefault="00881B4D" w:rsidP="009D4EFF">
            <w:pPr>
              <w:spacing w:before="0"/>
              <w:ind w:left="56"/>
              <w:rPr>
                <w:sz w:val="24"/>
                <w:rFonts w:ascii="Times New Roman" w:hAnsi="Times New Roman"/>
              </w:rPr>
            </w:pPr>
            <w:r>
              <w:rPr>
                <w:sz w:val="24"/>
                <w:rFonts w:ascii="Times New Roman" w:hAnsi="Times New Roman"/>
              </w:rPr>
              <w:t xml:space="preserve">Fórmula para el cálculo del colchón de liquidez</w:t>
            </w:r>
          </w:p>
          <w:p w14:paraId="22289F4B" w14:textId="0554C0BF" w:rsidR="00881B4D" w:rsidRPr="000B6B22" w:rsidRDefault="00881B4D">
            <w:pPr>
              <w:spacing w:before="0"/>
              <w:ind w:left="56"/>
              <w:rPr>
                <w:sz w:val="24"/>
                <w:rFonts w:ascii="Times New Roman" w:hAnsi="Times New Roman"/>
              </w:rPr>
            </w:pPr>
            <w:r>
              <w:rPr>
                <w:sz w:val="24"/>
                <w:rFonts w:ascii="Times New Roman" w:hAnsi="Times New Roman"/>
              </w:rPr>
              <w:t xml:space="preserve">Introdúzcanse todos los datos que se indican a continuación en la columna 0010 de la correspondiente fila.</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gridSpan w:val="2"/>
          </w:tcPr>
          <w:p w14:paraId="0CD8098E" w14:textId="1F7307E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Colchón de liquidez de nivel 1 excepto bonos garantizados de calidad sumamente elevada (valor conforme al artículo 9):</w:t>
            </w:r>
            <w:r>
              <w:rPr>
                <w:b/>
                <w:sz w:val="24"/>
                <w:rFonts w:ascii="Times New Roman" w:hAnsi="Times New Roman"/>
              </w:rPr>
              <w:t xml:space="preserve"> </w:t>
            </w:r>
            <w:r>
              <w:rPr>
                <w:b/>
                <w:sz w:val="24"/>
                <w:rFonts w:ascii="Times New Roman" w:hAnsi="Times New Roman"/>
              </w:rPr>
              <w:t xml:space="preserve">sin ajustar</w:t>
            </w:r>
          </w:p>
          <w:p w14:paraId="4C637DB1" w14:textId="7BD6215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 cifra de {C 72.00;</w:t>
            </w:r>
            <w:r>
              <w:rPr>
                <w:sz w:val="24"/>
                <w:rFonts w:ascii="Times New Roman" w:hAnsi="Times New Roman"/>
              </w:rPr>
              <w:t xml:space="preserve"> </w:t>
            </w:r>
            <w:r>
              <w:rPr>
                <w:sz w:val="24"/>
                <w:rFonts w:ascii="Times New Roman" w:hAnsi="Times New Roman"/>
              </w:rPr>
              <w:t xml:space="preserve">r0030;</w:t>
            </w:r>
            <w:r>
              <w:rPr>
                <w:sz w:val="24"/>
                <w:rFonts w:ascii="Times New Roman" w:hAnsi="Times New Roman"/>
              </w:rPr>
              <w:t xml:space="preserve"> </w:t>
            </w:r>
            <w:r>
              <w:rPr>
                <w:sz w:val="24"/>
                <w:rFonts w:ascii="Times New Roman" w:hAnsi="Times New Roman"/>
              </w:rPr>
              <w:t xml:space="preserve">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gridSpan w:val="2"/>
          </w:tcPr>
          <w:p w14:paraId="67E9D218" w14:textId="5442CC66" w:rsidR="00D226C2" w:rsidRPr="000B6B22" w:rsidRDefault="00881B4D" w:rsidP="009D4EFF">
            <w:pPr>
              <w:spacing w:before="0"/>
              <w:ind w:left="-40"/>
              <w:rPr>
                <w:bCs/>
                <w:sz w:val="24"/>
                <w:rFonts w:ascii="Times New Roman"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Salidas a 30 días de garantías reales de nivel 1 excepto bonos garantizados de calidad sumamente elevada</w:t>
            </w:r>
          </w:p>
          <w:p w14:paraId="152B6AB6" w14:textId="50EBAD0F"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las salidas de valores líquidos (excepto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sz w:val="24"/>
                <w:rFonts w:ascii="Times New Roman" w:hAnsi="Times New Roman"/>
              </w:rPr>
            </w:pPr>
            <w:r>
              <w:rPr>
                <w:sz w:val="24"/>
                <w:rFonts w:ascii="Times New Roman" w:hAnsi="Times New Roman"/>
              </w:rPr>
              <w:t xml:space="preserve">0060</w:t>
            </w:r>
          </w:p>
        </w:tc>
        <w:tc>
          <w:tcPr>
            <w:tcW w:w="7379" w:type="dxa"/>
            <w:gridSpan w:val="2"/>
          </w:tcPr>
          <w:p w14:paraId="3E9A42B6" w14:textId="7C5AEE2A"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6.</w:t>
            </w:r>
            <w:r>
              <w:rPr>
                <w:b/>
                <w:sz w:val="24"/>
                <w:rFonts w:ascii="Times New Roman" w:hAnsi="Times New Roman"/>
              </w:rPr>
              <w:t xml:space="preserve"> </w:t>
            </w:r>
            <w:r>
              <w:rPr>
                <w:b/>
                <w:sz w:val="24"/>
                <w:rFonts w:ascii="Times New Roman" w:hAnsi="Times New Roman"/>
              </w:rPr>
              <w:t xml:space="preserve">Entradas a 30 días de garantías reales de nivel 1 excepto bonos garantizados de calidad sumamente elevada</w:t>
            </w:r>
          </w:p>
          <w:p w14:paraId="3633924C" w14:textId="2432AB1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las entradas de valores líquidos (excepto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sz w:val="24"/>
                <w:rFonts w:ascii="Times New Roman" w:hAnsi="Times New Roman"/>
              </w:rPr>
            </w:pPr>
            <w:r>
              <w:rPr>
                <w:sz w:val="24"/>
                <w:rFonts w:ascii="Times New Roman" w:hAnsi="Times New Roman"/>
              </w:rPr>
              <w:t xml:space="preserve">0070</w:t>
            </w:r>
          </w:p>
        </w:tc>
        <w:tc>
          <w:tcPr>
            <w:tcW w:w="7379" w:type="dxa"/>
            <w:gridSpan w:val="2"/>
          </w:tcPr>
          <w:p w14:paraId="0656E897" w14:textId="46D96BC4" w:rsidR="00881B4D" w:rsidRPr="000B6B22" w:rsidRDefault="00881B4D" w:rsidP="009D4EFF">
            <w:pPr>
              <w:spacing w:before="0"/>
              <w:ind w:left="-40"/>
              <w:rPr>
                <w:sz w:val="24"/>
                <w:rFonts w:ascii="Times New Roman" w:hAnsi="Times New Roman"/>
              </w:rPr>
            </w:pPr>
            <w:r>
              <w:rPr>
                <w:sz w:val="24"/>
                <w:b/>
                <w:rFonts w:ascii="Times New Roman" w:hAnsi="Times New Roman"/>
              </w:rPr>
              <w:t xml:space="preserve">7.</w:t>
            </w:r>
            <w:r>
              <w:rPr>
                <w:sz w:val="24"/>
                <w:rFonts w:ascii="Times New Roman" w:hAnsi="Times New Roman"/>
              </w:rPr>
              <w:t xml:space="preserve"> </w:t>
            </w:r>
            <w:r>
              <w:rPr>
                <w:sz w:val="24"/>
                <w:b/>
                <w:rFonts w:ascii="Times New Roman" w:hAnsi="Times New Roman"/>
              </w:rPr>
              <w:t xml:space="preserve">Salidas de efectivo con garantía</w:t>
            </w:r>
          </w:p>
          <w:p w14:paraId="73AE5ABC" w14:textId="351C8BDD"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las salidas de efectivo (activo de nivel 1) al revertir cualquier operación de financiación garantizada u operación de préstamo garantizada que venza en los 30 días naturales siguientes a la fecha de referencia a menos que la operación quede exenta en virtud del artículo 17, apartado 4, del Reglamento Delegado (UE)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sz w:val="24"/>
                <w:rFonts w:ascii="Times New Roman" w:hAnsi="Times New Roman"/>
              </w:rPr>
            </w:pPr>
            <w:r>
              <w:rPr>
                <w:sz w:val="24"/>
                <w:rFonts w:ascii="Times New Roman" w:hAnsi="Times New Roman"/>
              </w:rPr>
              <w:t xml:space="preserve">0080</w:t>
            </w:r>
          </w:p>
        </w:tc>
        <w:tc>
          <w:tcPr>
            <w:tcW w:w="7379" w:type="dxa"/>
            <w:gridSpan w:val="2"/>
          </w:tcPr>
          <w:p w14:paraId="3B42B5AE" w14:textId="232E6059" w:rsidR="00D226C2" w:rsidRPr="000B6B22" w:rsidRDefault="00881B4D" w:rsidP="009D4EFF">
            <w:pPr>
              <w:spacing w:before="0"/>
              <w:ind w:left="-40"/>
              <w:rPr>
                <w:b/>
                <w:bCs/>
                <w:sz w:val="24"/>
                <w:rFonts w:ascii="Times New Roman" w:hAnsi="Times New Roman"/>
              </w:rPr>
            </w:pPr>
            <w:r>
              <w:rPr>
                <w:b/>
                <w:sz w:val="24"/>
                <w:rFonts w:ascii="Times New Roman" w:hAnsi="Times New Roman"/>
              </w:rPr>
              <w:t xml:space="preserve">8.</w:t>
            </w:r>
            <w:r>
              <w:rPr>
                <w:b/>
                <w:sz w:val="24"/>
                <w:rFonts w:ascii="Times New Roman" w:hAnsi="Times New Roman"/>
              </w:rPr>
              <w:t xml:space="preserve"> </w:t>
            </w:r>
            <w:r>
              <w:rPr>
                <w:b/>
                <w:sz w:val="24"/>
                <w:rFonts w:ascii="Times New Roman" w:hAnsi="Times New Roman"/>
              </w:rPr>
              <w:t xml:space="preserve">Entradas de efectivo con garantía</w:t>
            </w:r>
          </w:p>
          <w:p w14:paraId="20E63A44" w14:textId="17E75196"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Las entidades consignarán las entradas de efectivo (activo de nivel 1) al revertir cualquier operación de financiación garantizada u operación de préstamo garantizada que venza en los 30 días naturales siguientes a la fecha de referencia a menos que la operación quede exenta en virtud del artículo 17, apartado 4, del Reglamento Delegado (UE)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sz w:val="24"/>
                <w:rFonts w:ascii="Times New Roman" w:hAnsi="Times New Roman"/>
              </w:rPr>
            </w:pPr>
            <w:r>
              <w:rPr>
                <w:sz w:val="24"/>
                <w:rFonts w:ascii="Times New Roman" w:hAnsi="Times New Roman"/>
              </w:rPr>
              <w:t xml:space="preserve">0091</w:t>
            </w:r>
          </w:p>
        </w:tc>
        <w:tc>
          <w:tcPr>
            <w:tcW w:w="7379" w:type="dxa"/>
            <w:gridSpan w:val="2"/>
          </w:tcPr>
          <w:p w14:paraId="64F68969" w14:textId="2D0D109E" w:rsidR="00881B4D" w:rsidRPr="000B6B22" w:rsidRDefault="00881B4D" w:rsidP="009D4EFF">
            <w:pPr>
              <w:spacing w:before="0"/>
              <w:ind w:left="-40"/>
              <w:rPr>
                <w:b/>
                <w:sz w:val="24"/>
                <w:rFonts w:ascii="Times New Roman" w:hAnsi="Times New Roman"/>
              </w:rPr>
            </w:pPr>
            <w:r>
              <w:rPr>
                <w:b/>
                <w:sz w:val="24"/>
                <w:rFonts w:ascii="Times New Roman" w:hAnsi="Times New Roman"/>
              </w:rPr>
              <w:t xml:space="preserve">9.</w:t>
            </w:r>
            <w:r>
              <w:rPr>
                <w:b/>
                <w:sz w:val="24"/>
                <w:rFonts w:ascii="Times New Roman" w:hAnsi="Times New Roman"/>
              </w:rPr>
              <w:t xml:space="preserve"> </w:t>
            </w:r>
            <w:r>
              <w:rPr>
                <w:b/>
                <w:sz w:val="24"/>
                <w:rFonts w:ascii="Times New Roman" w:hAnsi="Times New Roman"/>
              </w:rPr>
              <w:t xml:space="preserve">«Importe ajustado» de activos de nivel 1, excepto bonos garantizados de calidad sumamente elevada</w:t>
            </w:r>
          </w:p>
          <w:p w14:paraId="33C237B3" w14:textId="2031AFA7" w:rsidR="00881B4D" w:rsidRPr="000B6B22" w:rsidRDefault="00881B4D" w:rsidP="009D4EFF">
            <w:pPr>
              <w:spacing w:before="0"/>
              <w:ind w:left="-40"/>
              <w:rPr>
                <w:sz w:val="24"/>
                <w:rFonts w:ascii="Times New Roman" w:hAnsi="Times New Roman"/>
              </w:rPr>
            </w:pPr>
            <w:r>
              <w:rPr>
                <w:sz w:val="24"/>
                <w:rFonts w:ascii="Times New Roman" w:hAnsi="Times New Roman"/>
              </w:rPr>
              <w:t xml:space="preserve">Esto se corresponde con el anexo I, punto 3, letra a).</w:t>
            </w:r>
          </w:p>
          <w:p w14:paraId="6BC77ADA" w14:textId="17227B6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Las entidades consignarán el importe ajustado de los activos de nivel 1 no consistentes en bonos garantizados antes de aplicar el límite máximo.</w:t>
            </w:r>
          </w:p>
          <w:p w14:paraId="2A929D27" w14:textId="1E95CD03"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El importe ajustado tendrá en cuenta la reversión de las operaciones de financiación garantizadas, de préstamo garantizadas o de permuta de garantías reales que venzan en los 30 días naturales siguientes a la fecha de referencia a menos que la operación quede exenta en virtud del artículo 17, apartado 4, del Reglamento Delegado (UE)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sz w:val="24"/>
                <w:rFonts w:ascii="Times New Roman" w:hAnsi="Times New Roman"/>
              </w:rPr>
            </w:pPr>
            <w:r>
              <w:rPr>
                <w:sz w:val="24"/>
                <w:rFonts w:ascii="Times New Roman" w:hAnsi="Times New Roman"/>
              </w:rPr>
              <w:t xml:space="preserve">0100</w:t>
            </w:r>
          </w:p>
        </w:tc>
        <w:tc>
          <w:tcPr>
            <w:tcW w:w="7379" w:type="dxa"/>
            <w:gridSpan w:val="2"/>
          </w:tcPr>
          <w:p w14:paraId="01BEA4DB" w14:textId="57EB2E7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10.</w:t>
            </w:r>
            <w:r>
              <w:rPr>
                <w:b/>
                <w:sz w:val="24"/>
                <w:rFonts w:ascii="Times New Roman" w:hAnsi="Times New Roman"/>
              </w:rPr>
              <w:t xml:space="preserve"> </w:t>
            </w:r>
            <w:r>
              <w:rPr>
                <w:b/>
                <w:sz w:val="24"/>
                <w:rFonts w:ascii="Times New Roman" w:hAnsi="Times New Roman"/>
              </w:rPr>
              <w:t xml:space="preserve">Valor de los bonos garantizados de calidad sumamente elevada de nivel 1 conforme al artículo 9:</w:t>
            </w:r>
            <w:r>
              <w:rPr>
                <w:b/>
                <w:sz w:val="24"/>
                <w:rFonts w:ascii="Times New Roman" w:hAnsi="Times New Roman"/>
              </w:rPr>
              <w:t xml:space="preserve"> </w:t>
            </w:r>
            <w:r>
              <w:rPr>
                <w:b/>
                <w:sz w:val="24"/>
                <w:rFonts w:ascii="Times New Roman" w:hAnsi="Times New Roman"/>
              </w:rPr>
              <w:t xml:space="preserve">sin ajustar</w:t>
            </w:r>
          </w:p>
          <w:p w14:paraId="0D645005" w14:textId="34611A8A"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Las entidades consignarán la cifra de {C 72.00;</w:t>
            </w:r>
            <w:r>
              <w:rPr>
                <w:sz w:val="24"/>
                <w:rFonts w:ascii="Times New Roman" w:hAnsi="Times New Roman"/>
              </w:rPr>
              <w:t xml:space="preserve"> </w:t>
            </w:r>
            <w:r>
              <w:rPr>
                <w:sz w:val="24"/>
                <w:rFonts w:ascii="Times New Roman" w:hAnsi="Times New Roman"/>
              </w:rPr>
              <w:t xml:space="preserve">r0180;</w:t>
            </w:r>
            <w:r>
              <w:rPr>
                <w:sz w:val="24"/>
                <w:rFonts w:ascii="Times New Roman" w:hAnsi="Times New Roman"/>
              </w:rPr>
              <w:t xml:space="preserve"> </w:t>
            </w:r>
            <w:r>
              <w:rPr>
                <w:sz w:val="24"/>
                <w:rFonts w:ascii="Times New Roman" w:hAnsi="Times New Roman"/>
              </w:rPr>
              <w:t xml:space="preserve">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sz w:val="24"/>
                <w:rFonts w:ascii="Times New Roman" w:hAnsi="Times New Roman"/>
              </w:rPr>
            </w:pPr>
            <w:r>
              <w:rPr>
                <w:sz w:val="24"/>
                <w:rFonts w:ascii="Times New Roman" w:hAnsi="Times New Roman"/>
              </w:rPr>
              <w:t xml:space="preserve">0110</w:t>
            </w:r>
          </w:p>
        </w:tc>
        <w:tc>
          <w:tcPr>
            <w:tcW w:w="7379" w:type="dxa"/>
            <w:gridSpan w:val="2"/>
          </w:tcPr>
          <w:p w14:paraId="5DAD24AA"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Salidas a 30 días de garantías reales consistentes en bonos garantizados de calidad sumamente elevada de nivel 1</w:t>
            </w:r>
          </w:p>
          <w:p w14:paraId="653F3280" w14:textId="2746D237"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Las entidades consignarán las salidas de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sz w:val="24"/>
                <w:rFonts w:ascii="Times New Roman" w:hAnsi="Times New Roman"/>
              </w:rPr>
            </w:pPr>
            <w:r>
              <w:rPr>
                <w:sz w:val="24"/>
                <w:rFonts w:ascii="Times New Roman" w:hAnsi="Times New Roman"/>
              </w:rPr>
              <w:t xml:space="preserve">0120</w:t>
            </w:r>
          </w:p>
        </w:tc>
        <w:tc>
          <w:tcPr>
            <w:tcW w:w="7379" w:type="dxa"/>
            <w:gridSpan w:val="2"/>
            <w:shd w:val="clear" w:color="auto" w:fill="FFFFFF"/>
          </w:tcPr>
          <w:p w14:paraId="71F69891"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Entradas a 30 días de garantías reales consistentes en bonos garantizados de calidad sumamente elevada de nivel 1</w:t>
            </w:r>
          </w:p>
          <w:p w14:paraId="0F90CFAA" w14:textId="62FB5E39"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Las entidades consignarán las entradas de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sz w:val="24"/>
                <w:rFonts w:ascii="Times New Roman" w:hAnsi="Times New Roman"/>
              </w:rPr>
            </w:pPr>
            <w:r>
              <w:rPr>
                <w:sz w:val="24"/>
                <w:rFonts w:ascii="Times New Roman" w:hAnsi="Times New Roman"/>
              </w:rPr>
              <w:t xml:space="preserve">0131</w:t>
            </w:r>
          </w:p>
        </w:tc>
        <w:tc>
          <w:tcPr>
            <w:tcW w:w="7379" w:type="dxa"/>
            <w:gridSpan w:val="2"/>
            <w:shd w:val="clear" w:color="auto" w:fill="FFFFFF"/>
          </w:tcPr>
          <w:p w14:paraId="4EA28517" w14:textId="7F4E2A8F"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13.</w:t>
            </w:r>
            <w:r>
              <w:rPr>
                <w:sz w:val="24"/>
                <w:rFonts w:ascii="Times New Roman" w:hAnsi="Times New Roman"/>
              </w:rPr>
              <w:t xml:space="preserve"> </w:t>
            </w:r>
            <w:r>
              <w:rPr>
                <w:sz w:val="24"/>
                <w:b/>
                <w:rFonts w:ascii="Times New Roman" w:hAnsi="Times New Roman"/>
              </w:rPr>
              <w:t xml:space="preserve">«Importe ajustado» de bonos garantizados de calidad sumamente elevada de nivel 1</w:t>
            </w:r>
          </w:p>
          <w:p w14:paraId="506F54B2" w14:textId="1D2D2BB8" w:rsidR="00881B4D" w:rsidRPr="000B6B22" w:rsidRDefault="00881B4D" w:rsidP="009D4EFF">
            <w:pPr>
              <w:spacing w:before="0"/>
              <w:ind w:left="-40"/>
              <w:rPr>
                <w:sz w:val="24"/>
                <w:rFonts w:ascii="Times New Roman" w:hAnsi="Times New Roman"/>
              </w:rPr>
            </w:pPr>
            <w:r>
              <w:rPr>
                <w:sz w:val="24"/>
                <w:rFonts w:ascii="Times New Roman" w:hAnsi="Times New Roman"/>
              </w:rPr>
              <w:t xml:space="preserve">Esto se corresponde con el anexo I, punto 3, letra b).</w:t>
            </w:r>
          </w:p>
          <w:p w14:paraId="5DF76410" w14:textId="605A8D2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Las entidades consignarán el importe ajustado de los activos de nivel 1 consistentes en bonos garantizados antes de aplicar el límite máximo.</w:t>
            </w:r>
          </w:p>
          <w:p w14:paraId="79450738" w14:textId="03492AF9"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El importe ajustado tendrá en cuenta la reversión de las operaciones de financiación garantizadas, de préstamo garantizadas o de permuta de garantías reales que venzan en los 30 días naturales siguientes a la fecha de referencia a menos que la operación quede exenta en virtud del artículo 17, apartado 4, del Reglamento Delegado (UE)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sz w:val="24"/>
                <w:rFonts w:ascii="Times New Roman" w:hAnsi="Times New Roman"/>
              </w:rPr>
            </w:pPr>
            <w:r>
              <w:rPr>
                <w:sz w:val="24"/>
                <w:rFonts w:ascii="Times New Roman" w:hAnsi="Times New Roman"/>
              </w:rPr>
              <w:t xml:space="preserve">0160</w:t>
            </w:r>
          </w:p>
        </w:tc>
        <w:tc>
          <w:tcPr>
            <w:tcW w:w="7379" w:type="dxa"/>
            <w:gridSpan w:val="2"/>
            <w:shd w:val="clear" w:color="auto" w:fill="FFFFFF"/>
          </w:tcPr>
          <w:p w14:paraId="27B4A998" w14:textId="410999A6"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Valor de los activos de nivel 2A conforme al artículo 9:</w:t>
            </w:r>
            <w:r>
              <w:rPr>
                <w:b/>
                <w:sz w:val="24"/>
                <w:rFonts w:ascii="Times New Roman" w:hAnsi="Times New Roman"/>
              </w:rPr>
              <w:t xml:space="preserve"> </w:t>
            </w:r>
            <w:r>
              <w:rPr>
                <w:b/>
                <w:sz w:val="24"/>
                <w:rFonts w:ascii="Times New Roman" w:hAnsi="Times New Roman"/>
              </w:rPr>
              <w:t xml:space="preserve">sin ajustar</w:t>
            </w:r>
          </w:p>
          <w:p w14:paraId="0C585D14" w14:textId="577B30E9"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 cifra de {C 72.00;</w:t>
            </w:r>
            <w:r>
              <w:rPr>
                <w:sz w:val="24"/>
                <w:rFonts w:ascii="Times New Roman" w:hAnsi="Times New Roman"/>
              </w:rPr>
              <w:t xml:space="preserve"> </w:t>
            </w:r>
            <w:r>
              <w:rPr>
                <w:sz w:val="24"/>
                <w:rFonts w:ascii="Times New Roman" w:hAnsi="Times New Roman"/>
              </w:rPr>
              <w:t xml:space="preserve">r0230;</w:t>
            </w:r>
            <w:r>
              <w:rPr>
                <w:sz w:val="24"/>
                <w:rFonts w:ascii="Times New Roman" w:hAnsi="Times New Roman"/>
              </w:rPr>
              <w:t xml:space="preserve"> </w:t>
            </w:r>
            <w:r>
              <w:rPr>
                <w:sz w:val="24"/>
                <w:rFonts w:ascii="Times New Roman" w:hAnsi="Times New Roman"/>
              </w:rPr>
              <w:t xml:space="preserve">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sz w:val="24"/>
                <w:rFonts w:ascii="Times New Roman" w:hAnsi="Times New Roman"/>
              </w:rPr>
            </w:pPr>
            <w:r>
              <w:rPr>
                <w:sz w:val="24"/>
                <w:rFonts w:ascii="Times New Roman" w:hAnsi="Times New Roman"/>
              </w:rPr>
              <w:t xml:space="preserve">0170</w:t>
            </w:r>
          </w:p>
        </w:tc>
        <w:tc>
          <w:tcPr>
            <w:tcW w:w="7379" w:type="dxa"/>
            <w:gridSpan w:val="2"/>
            <w:shd w:val="clear" w:color="auto" w:fill="FFFFFF"/>
          </w:tcPr>
          <w:p w14:paraId="21AA9DAB" w14:textId="2C104558"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Salidas a 30 días de garantías reales de nivel 2A</w:t>
            </w:r>
          </w:p>
          <w:p w14:paraId="338A655D" w14:textId="65B45FA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las salidas de valores líquidos de nivel 2A al revertir cualquier operación de financiación garantizada, operación de préstamo garantizada u operación de permuta de garantías reales que venza en los 30 días naturales siguientes a la fecha de cálculo a menos que la operación quede exenta en virtud del artículo 17, apartado 4, del Reglamento Delegado (UE)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sz w:val="24"/>
                <w:rFonts w:ascii="Times New Roman" w:hAnsi="Times New Roman"/>
              </w:rPr>
            </w:pPr>
            <w:r>
              <w:rPr>
                <w:sz w:val="24"/>
                <w:rFonts w:ascii="Times New Roman" w:hAnsi="Times New Roman"/>
              </w:rPr>
              <w:t xml:space="preserve">0180</w:t>
            </w:r>
          </w:p>
        </w:tc>
        <w:tc>
          <w:tcPr>
            <w:tcW w:w="7379" w:type="dxa"/>
            <w:gridSpan w:val="2"/>
            <w:shd w:val="clear" w:color="auto" w:fill="FFFFFF"/>
          </w:tcPr>
          <w:p w14:paraId="277D9E3D" w14:textId="53C59FA5"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Entradas a 30 días de garantías reales de nivel 2A</w:t>
            </w:r>
          </w:p>
          <w:p w14:paraId="0DB91B6A" w14:textId="65B5CB1B"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las entradas de valores líquidos de nivel 2A al revertir cualquier operación de financiación garantizada, operación de préstamo garantizada u operación de permuta de garantías reales que venza en los 30 días naturales siguientes a la fecha de cálculo a menos que la operación quede exenta en virtud del artículo 17, apartado 4, del Reglamento Delegado (UE)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sz w:val="24"/>
                <w:rFonts w:ascii="Times New Roman" w:hAnsi="Times New Roman"/>
              </w:rPr>
            </w:pPr>
            <w:r>
              <w:rPr>
                <w:sz w:val="24"/>
                <w:rFonts w:ascii="Times New Roman" w:hAnsi="Times New Roman"/>
              </w:rPr>
              <w:t xml:space="preserve">0191</w:t>
            </w:r>
          </w:p>
        </w:tc>
        <w:tc>
          <w:tcPr>
            <w:tcW w:w="7379" w:type="dxa"/>
            <w:gridSpan w:val="2"/>
            <w:shd w:val="clear" w:color="auto" w:fill="FFFFFF"/>
          </w:tcPr>
          <w:p w14:paraId="6CA2526C" w14:textId="5CE5FB05"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«Importe ajustado» de activos de nivel 2A</w:t>
            </w:r>
          </w:p>
          <w:p w14:paraId="1675147B" w14:textId="4929F258"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Esto se corresponde con el anexo I, punto 3, párrafo c).</w:t>
            </w:r>
          </w:p>
          <w:p w14:paraId="3B6A903C" w14:textId="7D465EE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Las entidades consignarán el importe ajustado de los activos de nivel 2A antes de aplicar el límite máximo.</w:t>
            </w:r>
          </w:p>
          <w:p w14:paraId="71C2F7DA" w14:textId="12DBC028"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El importe ajustado tendrá en cuenta la reversión de las operaciones de financiación garantizadas, de préstamo garantizadas o de permuta de garantías reales que venzan en los 30 días naturales siguientes a la fecha de cálculo a menos que la operación quede exenta en virtud del artículo 17, apartado 4, del Reglamento Delegado (UE)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sz w:val="24"/>
                <w:rFonts w:ascii="Times New Roman" w:hAnsi="Times New Roman"/>
              </w:rPr>
            </w:pPr>
            <w:r>
              <w:rPr>
                <w:sz w:val="24"/>
                <w:rFonts w:ascii="Times New Roman" w:hAnsi="Times New Roman"/>
              </w:rPr>
              <w:t xml:space="preserve">0220</w:t>
            </w:r>
          </w:p>
        </w:tc>
        <w:tc>
          <w:tcPr>
            <w:tcW w:w="7379" w:type="dxa"/>
            <w:gridSpan w:val="2"/>
            <w:shd w:val="clear" w:color="auto" w:fill="FFFFFF"/>
          </w:tcPr>
          <w:p w14:paraId="0C1AD2A9" w14:textId="7CA3EFA1"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Valor de los activos de nivel 2B conforme al artículo 9:</w:t>
            </w:r>
            <w:r>
              <w:rPr>
                <w:b/>
                <w:sz w:val="24"/>
                <w:rFonts w:ascii="Times New Roman" w:hAnsi="Times New Roman"/>
              </w:rPr>
              <w:t xml:space="preserve"> </w:t>
            </w:r>
            <w:r>
              <w:rPr>
                <w:b/>
                <w:sz w:val="24"/>
                <w:rFonts w:ascii="Times New Roman" w:hAnsi="Times New Roman"/>
              </w:rPr>
              <w:t xml:space="preserve">sin ajustar</w:t>
            </w:r>
          </w:p>
          <w:p w14:paraId="79F1E814" w14:textId="0314A253"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 cifra de {C 72.00;</w:t>
            </w:r>
            <w:r>
              <w:rPr>
                <w:sz w:val="24"/>
                <w:rFonts w:ascii="Times New Roman" w:hAnsi="Times New Roman"/>
              </w:rPr>
              <w:t xml:space="preserve"> </w:t>
            </w:r>
            <w:r>
              <w:rPr>
                <w:sz w:val="24"/>
                <w:rFonts w:ascii="Times New Roman" w:hAnsi="Times New Roman"/>
              </w:rPr>
              <w:t xml:space="preserve">r0310;</w:t>
            </w:r>
            <w:r>
              <w:rPr>
                <w:sz w:val="24"/>
                <w:rFonts w:ascii="Times New Roman" w:hAnsi="Times New Roman"/>
              </w:rPr>
              <w:t xml:space="preserve"> </w:t>
            </w:r>
            <w:r>
              <w:rPr>
                <w:sz w:val="24"/>
                <w:rFonts w:ascii="Times New Roman" w:hAnsi="Times New Roman"/>
              </w:rPr>
              <w:t xml:space="preserve">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sz w:val="24"/>
                <w:rFonts w:ascii="Times New Roman" w:hAnsi="Times New Roman"/>
              </w:rPr>
            </w:pPr>
            <w:r>
              <w:rPr>
                <w:sz w:val="24"/>
                <w:rFonts w:ascii="Times New Roman" w:hAnsi="Times New Roman"/>
              </w:rPr>
              <w:t xml:space="preserve">0230</w:t>
            </w:r>
          </w:p>
        </w:tc>
        <w:tc>
          <w:tcPr>
            <w:tcW w:w="7379" w:type="dxa"/>
            <w:gridSpan w:val="2"/>
            <w:shd w:val="clear" w:color="auto" w:fill="FFFFFF"/>
          </w:tcPr>
          <w:p w14:paraId="3D60821B" w14:textId="60F5EE29"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19.</w:t>
            </w:r>
            <w:r>
              <w:rPr>
                <w:sz w:val="24"/>
                <w:rFonts w:ascii="Times New Roman" w:hAnsi="Times New Roman"/>
              </w:rPr>
              <w:t xml:space="preserve"> </w:t>
            </w:r>
            <w:r>
              <w:rPr>
                <w:sz w:val="24"/>
                <w:b/>
                <w:rFonts w:ascii="Times New Roman" w:hAnsi="Times New Roman"/>
              </w:rPr>
              <w:t xml:space="preserve">Salidas a 30 días de garantías reales de nivel 2B</w:t>
            </w:r>
          </w:p>
          <w:p w14:paraId="357EDF3F" w14:textId="32ECBF2C"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las salidas de valores líquidos de nivel 2B al revertir cualquier operación de financiación garantizada, operación de préstamo garantizada u operación de permuta de garantías reales que venza en los 30 días naturales siguientes a la fecha de cálculo a menos que la operación quede exenta en virtud del artículo 17, apartado 4, del Reglamento Delegado (UE)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sz w:val="24"/>
                <w:rFonts w:ascii="Times New Roman" w:hAnsi="Times New Roman"/>
              </w:rPr>
            </w:pPr>
            <w:r>
              <w:rPr>
                <w:sz w:val="24"/>
                <w:rFonts w:ascii="Times New Roman" w:hAnsi="Times New Roman"/>
              </w:rPr>
              <w:t xml:space="preserve">0240</w:t>
            </w:r>
          </w:p>
        </w:tc>
        <w:tc>
          <w:tcPr>
            <w:tcW w:w="7379" w:type="dxa"/>
            <w:gridSpan w:val="2"/>
            <w:shd w:val="clear" w:color="auto" w:fill="FFFFFF"/>
          </w:tcPr>
          <w:p w14:paraId="5FFC8C1F" w14:textId="3F6ED1A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20.</w:t>
            </w:r>
            <w:r>
              <w:rPr>
                <w:b/>
                <w:sz w:val="24"/>
                <w:rFonts w:ascii="Times New Roman" w:hAnsi="Times New Roman"/>
              </w:rPr>
              <w:t xml:space="preserve"> </w:t>
            </w:r>
            <w:r>
              <w:rPr>
                <w:b/>
                <w:sz w:val="24"/>
                <w:rFonts w:ascii="Times New Roman" w:hAnsi="Times New Roman"/>
              </w:rPr>
              <w:t xml:space="preserve">Entradas a 30 días de garantías reales de nivel 2B</w:t>
            </w:r>
          </w:p>
          <w:p w14:paraId="4F36573E" w14:textId="47D90E22"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Las entidades consignarán las entradas de valores líquidos de nivel 2B al revertir cualquier operación de financiación garantizada, operación de préstamo garantizada u operación de permuta de garantías reales que venza en los 30 días naturales siguientes a la fecha de cálculo a menos que la operación quede exenta en virtud del artículo 17, apartado 4, del Reglamento Delegado (UE)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sz w:val="24"/>
                <w:rFonts w:ascii="Times New Roman" w:hAnsi="Times New Roman"/>
              </w:rPr>
            </w:pPr>
            <w:r>
              <w:rPr>
                <w:sz w:val="24"/>
                <w:rFonts w:ascii="Times New Roman" w:hAnsi="Times New Roman"/>
              </w:rPr>
              <w:t xml:space="preserve">0251</w:t>
            </w:r>
          </w:p>
        </w:tc>
        <w:tc>
          <w:tcPr>
            <w:tcW w:w="7379" w:type="dxa"/>
            <w:gridSpan w:val="2"/>
            <w:shd w:val="clear" w:color="auto" w:fill="FFFFFF"/>
          </w:tcPr>
          <w:p w14:paraId="1A37C299" w14:textId="6D00133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«Importe ajustado» de activos de nivel 2B</w:t>
            </w:r>
          </w:p>
          <w:p w14:paraId="3E44077E" w14:textId="36ED9E76" w:rsidR="00881B4D" w:rsidRPr="000B6B22" w:rsidRDefault="00881B4D" w:rsidP="009D4EFF">
            <w:pPr>
              <w:spacing w:before="0"/>
              <w:ind w:left="-40"/>
              <w:rPr>
                <w:sz w:val="24"/>
                <w:rFonts w:ascii="Times New Roman" w:hAnsi="Times New Roman"/>
              </w:rPr>
            </w:pPr>
            <w:r>
              <w:rPr>
                <w:sz w:val="24"/>
                <w:rFonts w:ascii="Times New Roman" w:hAnsi="Times New Roman"/>
              </w:rPr>
              <w:t xml:space="preserve">Esto se corresponde con el anexo I, punto 3, párrafo d).</w:t>
            </w:r>
          </w:p>
          <w:p w14:paraId="01A59F57" w14:textId="6ECB9A3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Las entidades consignarán el importe ajustado de los activos de nivel 2B antes de aplicar el límite máximo.</w:t>
            </w:r>
          </w:p>
          <w:p w14:paraId="771E2039" w14:textId="64BA41E4"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El importe ajustado tendrá en cuenta la reversión de las operaciones de financiación garantizadas, de préstamo garantizadas o de permuta de garantías reales que venzan en los 30 días naturales siguientes a la fecha de cálculo a menos que la operación quede exenta en virtud del artículo 17, apartado 4, del Reglamento Delegado (UE)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sz w:val="24"/>
                <w:rFonts w:ascii="Times New Roman" w:hAnsi="Times New Roman"/>
              </w:rPr>
            </w:pPr>
            <w:r>
              <w:rPr>
                <w:sz w:val="24"/>
                <w:rFonts w:ascii="Times New Roman" w:hAnsi="Times New Roman"/>
              </w:rPr>
              <w:t xml:space="preserve">0280</w:t>
            </w:r>
          </w:p>
        </w:tc>
        <w:tc>
          <w:tcPr>
            <w:tcW w:w="7379" w:type="dxa"/>
            <w:gridSpan w:val="2"/>
            <w:shd w:val="clear" w:color="auto" w:fill="FFFFFF"/>
          </w:tcPr>
          <w:p w14:paraId="6DFA355F" w14:textId="3B0574C0"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Importe excedentario de activos líquidos</w:t>
            </w:r>
          </w:p>
          <w:p w14:paraId="1BE025DD"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Anexo I, punto 4</w:t>
            </w:r>
          </w:p>
          <w:p w14:paraId="42B29289" w14:textId="587EB2F9"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Las entidades consignarán el «importe excedentario de activos líquidos».</w:t>
            </w:r>
            <w:r>
              <w:rPr>
                <w:sz w:val="24"/>
                <w:rFonts w:ascii="Times New Roman" w:hAnsi="Times New Roman"/>
              </w:rPr>
              <w:t xml:space="preserve"> </w:t>
            </w:r>
            <w:r>
              <w:rPr>
                <w:sz w:val="24"/>
                <w:rFonts w:ascii="Times New Roman" w:hAnsi="Times New Roman"/>
              </w:rPr>
              <w:t xml:space="preserve">Este importe será igual a:</w:t>
            </w:r>
          </w:p>
          <w:p w14:paraId="57AC6D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el importe ajustado de los activos de nivel 1 no consistentes en bonos garantizados;</w:t>
            </w:r>
            <w:r>
              <w:rPr>
                <w:sz w:val="24"/>
                <w:rFonts w:ascii="Times New Roman" w:hAnsi="Times New Roman"/>
              </w:rPr>
              <w:t xml:space="preserve"> </w:t>
            </w:r>
            <w:r>
              <w:rPr>
                <w:sz w:val="24"/>
                <w:rFonts w:ascii="Times New Roman" w:hAnsi="Times New Roman"/>
              </w:rPr>
              <w:t xml:space="preserve">más</w:t>
            </w:r>
          </w:p>
          <w:p w14:paraId="0CFC791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el importe ajustado de los bonos garantizados de nivel 1;</w:t>
            </w:r>
            <w:r>
              <w:rPr>
                <w:sz w:val="24"/>
                <w:rFonts w:ascii="Times New Roman" w:hAnsi="Times New Roman"/>
              </w:rPr>
              <w:t xml:space="preserve"> </w:t>
            </w:r>
            <w:r>
              <w:rPr>
                <w:sz w:val="24"/>
                <w:rFonts w:ascii="Times New Roman" w:hAnsi="Times New Roman"/>
              </w:rPr>
              <w:t xml:space="preserve">más</w:t>
            </w:r>
          </w:p>
          <w:p w14:paraId="4CBD0166"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el importe ajustado de los activos de nivel 2A;</w:t>
            </w:r>
            <w:r>
              <w:rPr>
                <w:sz w:val="24"/>
                <w:rFonts w:ascii="Times New Roman" w:hAnsi="Times New Roman"/>
              </w:rPr>
              <w:t xml:space="preserve"> </w:t>
            </w:r>
            <w:r>
              <w:rPr>
                <w:sz w:val="24"/>
                <w:rFonts w:ascii="Times New Roman" w:hAnsi="Times New Roman"/>
              </w:rPr>
              <w:t xml:space="preserve">más</w:t>
            </w:r>
          </w:p>
          <w:p w14:paraId="09EB94CD"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el importe ajustado de los activos de nivel 2B;</w:t>
            </w:r>
          </w:p>
          <w:p w14:paraId="2DB841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menos el menor de los siguientes importes:</w:t>
            </w:r>
          </w:p>
          <w:p w14:paraId="10C0702C"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la suma de a), b), c) y d);</w:t>
            </w:r>
          </w:p>
          <w:p w14:paraId="419C0BA5"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f) 100/30 multiplicado por a);</w:t>
            </w:r>
          </w:p>
          <w:p w14:paraId="1A77939B"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g) 100/60 multiplicado por la suma de a) y b);</w:t>
            </w:r>
          </w:p>
          <w:p w14:paraId="0D5300B5" w14:textId="0FA4F0EC"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h) 100/85 multiplicado por la suma de a), b) y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sz w:val="24"/>
                <w:rFonts w:ascii="Times New Roman" w:hAnsi="Times New Roman"/>
              </w:rPr>
            </w:pPr>
            <w:r>
              <w:rPr>
                <w:sz w:val="24"/>
                <w:rFonts w:ascii="Times New Roman" w:hAnsi="Times New Roman"/>
              </w:rPr>
              <w:t xml:space="preserve">0290</w:t>
            </w:r>
          </w:p>
        </w:tc>
        <w:tc>
          <w:tcPr>
            <w:tcW w:w="7379" w:type="dxa"/>
            <w:gridSpan w:val="2"/>
            <w:shd w:val="clear" w:color="auto" w:fill="FFFFFF"/>
          </w:tcPr>
          <w:p w14:paraId="562E9821" w14:textId="5B5CB653"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COLCHÓN DE LIQUIDEZ</w:t>
            </w:r>
          </w:p>
          <w:p w14:paraId="11B75DF8"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Anexo I, punto 2</w:t>
            </w:r>
          </w:p>
          <w:p w14:paraId="10B18991" w14:textId="45BB47E1"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Las entidades consignarán el colchón de liquidez, que será igual a:</w:t>
            </w:r>
          </w:p>
          <w:p w14:paraId="05F729F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el importe de los activos de nivel 1;</w:t>
            </w:r>
            <w:r>
              <w:rPr>
                <w:sz w:val="24"/>
                <w:rFonts w:ascii="Times New Roman" w:hAnsi="Times New Roman"/>
              </w:rPr>
              <w:t xml:space="preserve"> </w:t>
            </w:r>
            <w:r>
              <w:rPr>
                <w:sz w:val="24"/>
                <w:rFonts w:ascii="Times New Roman" w:hAnsi="Times New Roman"/>
              </w:rPr>
              <w:t xml:space="preserve">más</w:t>
            </w:r>
          </w:p>
          <w:p w14:paraId="7610A0BE"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el importe de los activos de nivel 2A;</w:t>
            </w:r>
            <w:r>
              <w:rPr>
                <w:sz w:val="24"/>
                <w:rFonts w:ascii="Times New Roman" w:hAnsi="Times New Roman"/>
              </w:rPr>
              <w:t xml:space="preserve"> </w:t>
            </w:r>
            <w:r>
              <w:rPr>
                <w:sz w:val="24"/>
                <w:rFonts w:ascii="Times New Roman" w:hAnsi="Times New Roman"/>
              </w:rPr>
              <w:t xml:space="preserve">más</w:t>
            </w:r>
          </w:p>
          <w:p w14:paraId="76F3A0F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el importe de los activos de nivel 2B;</w:t>
            </w:r>
          </w:p>
          <w:p w14:paraId="7B722A9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menos el menor de los siguientes importes:</w:t>
            </w:r>
          </w:p>
          <w:p w14:paraId="65D807F7"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la suma de a), b) y c);</w:t>
            </w:r>
            <w:r>
              <w:rPr>
                <w:sz w:val="24"/>
                <w:rFonts w:ascii="Times New Roman" w:hAnsi="Times New Roman"/>
              </w:rPr>
              <w:t xml:space="preserve"> </w:t>
            </w:r>
            <w:r>
              <w:rPr>
                <w:sz w:val="24"/>
                <w:rFonts w:ascii="Times New Roman" w:hAnsi="Times New Roman"/>
              </w:rPr>
              <w:t xml:space="preserve">o</w:t>
            </w:r>
          </w:p>
          <w:p w14:paraId="13B34E3A" w14:textId="3CC15AC8"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el «importe excedentario de activos líquidos».</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Cálculos del denominador</w:t>
            </w:r>
          </w:p>
          <w:p w14:paraId="38ABE3FC" w14:textId="60C46E8A" w:rsidR="00881B4D" w:rsidRPr="000B6B22" w:rsidRDefault="00754B43">
            <w:pPr>
              <w:spacing w:before="0"/>
              <w:ind w:left="56"/>
              <w:rPr>
                <w:sz w:val="24"/>
                <w:rFonts w:ascii="Times New Roman" w:hAnsi="Times New Roman"/>
              </w:rPr>
            </w:pPr>
            <w:r>
              <w:rPr>
                <w:sz w:val="24"/>
                <w:rFonts w:ascii="Times New Roman" w:hAnsi="Times New Roman"/>
              </w:rPr>
              <w:t xml:space="preserve">Anexo II del Reglamento Delegado (UE) 2015/61</w:t>
            </w:r>
          </w:p>
          <w:p w14:paraId="423C2CEE"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Fórmula para calcular las salidas netas de liquidez</w:t>
            </w:r>
          </w:p>
          <w:p w14:paraId="199482B3"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donde:</w:t>
            </w:r>
          </w:p>
          <w:p w14:paraId="7166D781"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NLO = Salida neta de liquidez</w:t>
            </w:r>
          </w:p>
          <w:p w14:paraId="11665ED6"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TO = Total salidas</w:t>
            </w:r>
          </w:p>
          <w:p w14:paraId="1F50EBAB"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TI = Total entradas</w:t>
            </w:r>
          </w:p>
          <w:p w14:paraId="7E6DD43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FEI = Entradas plenamente exentas</w:t>
            </w:r>
          </w:p>
          <w:p w14:paraId="56740F2F"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IHC = Entradas sujetas a un límite máximo del 90 % de las salidas</w:t>
            </w:r>
          </w:p>
          <w:p w14:paraId="3D7774F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IC = Entradas sujetas a un límite máximo del 75 % de las salidas</w:t>
            </w:r>
          </w:p>
          <w:p w14:paraId="4128A5E9" w14:textId="23DC3EAC" w:rsidR="00881B4D" w:rsidRPr="000B6B22" w:rsidRDefault="0095691D" w:rsidP="009D4EFF">
            <w:pPr>
              <w:spacing w:before="0"/>
              <w:rPr>
                <w:bCs/>
                <w:sz w:val="24"/>
                <w:rFonts w:ascii="Times New Roman" w:hAnsi="Times New Roman"/>
              </w:rPr>
            </w:pPr>
            <w:r>
              <w:rPr>
                <w:sz w:val="24"/>
                <w:rFonts w:ascii="Times New Roman" w:hAnsi="Times New Roman"/>
              </w:rPr>
              <w:t xml:space="preserve">Las entidades introducirán todos los datos que se indican a continuación en la columna 0010 de la correspondiente fila.</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sz w:val="24"/>
                <w:rFonts w:ascii="Times New Roman" w:hAnsi="Times New Roman"/>
              </w:rPr>
            </w:pPr>
            <w:r>
              <w:rPr>
                <w:sz w:val="24"/>
                <w:rFonts w:ascii="Times New Roman" w:hAnsi="Times New Roman"/>
              </w:rPr>
              <w:t xml:space="preserve">0300</w:t>
            </w:r>
          </w:p>
        </w:tc>
        <w:tc>
          <w:tcPr>
            <w:tcW w:w="7379" w:type="dxa"/>
            <w:gridSpan w:val="2"/>
            <w:shd w:val="clear" w:color="auto" w:fill="FFFFFF"/>
          </w:tcPr>
          <w:p w14:paraId="0AD4BE0D" w14:textId="0ECB806C" w:rsidR="00881B4D" w:rsidRPr="000B6B22" w:rsidRDefault="00881B4D" w:rsidP="009D4EFF">
            <w:pPr>
              <w:spacing w:before="0"/>
              <w:rPr>
                <w:b/>
                <w:bCs/>
                <w:sz w:val="24"/>
                <w:rFonts w:ascii="Times New Roman"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Total salidas</w:t>
            </w:r>
          </w:p>
          <w:p w14:paraId="1E8BAA54"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TO = importe según la hoja de Salidas</w:t>
            </w:r>
          </w:p>
          <w:p w14:paraId="23CD10A7" w14:textId="34DF4EFE" w:rsidR="00881B4D" w:rsidRPr="000B6B22" w:rsidRDefault="0095691D" w:rsidP="009D4EFF">
            <w:pPr>
              <w:spacing w:before="0"/>
              <w:rPr>
                <w:bCs/>
                <w:sz w:val="24"/>
                <w:rFonts w:ascii="Times New Roman" w:hAnsi="Times New Roman"/>
              </w:rPr>
            </w:pPr>
            <w:r>
              <w:rPr>
                <w:sz w:val="24"/>
                <w:rFonts w:ascii="Times New Roman" w:hAnsi="Times New Roman"/>
              </w:rPr>
              <w:t xml:space="preserve">Las entidades consignarán la cifra de {C 73.00;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sz w:val="24"/>
                <w:rFonts w:ascii="Times New Roman" w:hAnsi="Times New Roman"/>
              </w:rPr>
            </w:pPr>
            <w:r>
              <w:rPr>
                <w:sz w:val="24"/>
                <w:rFonts w:ascii="Times New Roman" w:hAnsi="Times New Roman"/>
              </w:rPr>
              <w:t xml:space="preserve">0310</w:t>
            </w:r>
          </w:p>
        </w:tc>
        <w:tc>
          <w:tcPr>
            <w:tcW w:w="7379" w:type="dxa"/>
            <w:gridSpan w:val="2"/>
            <w:shd w:val="clear" w:color="auto" w:fill="FFFFFF"/>
            <w:vAlign w:val="center"/>
          </w:tcPr>
          <w:p w14:paraId="22CD4B90" w14:textId="300A62C9" w:rsidR="00881B4D" w:rsidRPr="000B6B22" w:rsidRDefault="00881B4D" w:rsidP="009D4EFF">
            <w:pPr>
              <w:spacing w:before="0"/>
              <w:rPr>
                <w:b/>
                <w:bCs/>
                <w:sz w:val="24"/>
                <w:rFonts w:ascii="Times New Roman"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Entradas plenamente exentas</w:t>
            </w:r>
          </w:p>
          <w:p w14:paraId="38D8855E"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FEI = importe según la hoja de Entradas</w:t>
            </w:r>
          </w:p>
          <w:p w14:paraId="26D5A78E" w14:textId="1C81525B" w:rsidR="00881B4D" w:rsidRPr="000B6B22" w:rsidRDefault="0095691D" w:rsidP="009D4EFF">
            <w:pPr>
              <w:spacing w:before="0"/>
              <w:rPr>
                <w:bCs/>
                <w:sz w:val="24"/>
                <w:rFonts w:ascii="Times New Roman" w:hAnsi="Times New Roman"/>
              </w:rPr>
            </w:pPr>
            <w:r>
              <w:rPr>
                <w:sz w:val="24"/>
                <w:rFonts w:ascii="Times New Roman" w:hAnsi="Times New Roman"/>
              </w:rPr>
              <w:t xml:space="preserve">Las entidades consignarán la cifra de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sz w:val="24"/>
                <w:rFonts w:ascii="Times New Roman" w:hAnsi="Times New Roman"/>
              </w:rPr>
            </w:pPr>
            <w:r>
              <w:rPr>
                <w:sz w:val="24"/>
                <w:rFonts w:ascii="Times New Roman" w:hAnsi="Times New Roman"/>
              </w:rPr>
              <w:t xml:space="preserve">0320</w:t>
            </w:r>
          </w:p>
        </w:tc>
        <w:tc>
          <w:tcPr>
            <w:tcW w:w="7379" w:type="dxa"/>
            <w:gridSpan w:val="2"/>
            <w:shd w:val="clear" w:color="auto" w:fill="FFFFFF"/>
            <w:vAlign w:val="center"/>
          </w:tcPr>
          <w:p w14:paraId="08821ECB" w14:textId="197C91AA" w:rsidR="00881B4D" w:rsidRPr="000B6B22" w:rsidRDefault="00881B4D" w:rsidP="009D4EFF">
            <w:pPr>
              <w:spacing w:before="0"/>
              <w:rPr>
                <w:b/>
                <w:bCs/>
                <w:sz w:val="24"/>
                <w:rFonts w:ascii="Times New Roman"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Entradas sujetas al límite del 90 %</w:t>
            </w:r>
          </w:p>
          <w:p w14:paraId="0221BC71" w14:textId="28413D9C" w:rsidR="00881B4D" w:rsidRPr="000B6B22" w:rsidRDefault="00881B4D" w:rsidP="009D4EFF">
            <w:pPr>
              <w:spacing w:before="0"/>
              <w:rPr>
                <w:bCs/>
                <w:sz w:val="24"/>
                <w:rFonts w:ascii="Times New Roman" w:hAnsi="Times New Roman"/>
              </w:rPr>
            </w:pPr>
            <w:r>
              <w:rPr>
                <w:sz w:val="24"/>
                <w:rFonts w:ascii="Times New Roman" w:hAnsi="Times New Roman"/>
              </w:rPr>
              <w:t xml:space="preserve">IHC = importe según la hoja de Entradas</w:t>
            </w:r>
          </w:p>
          <w:p w14:paraId="32BDFF46" w14:textId="1BEBBB05" w:rsidR="00881B4D" w:rsidRPr="000B6B22" w:rsidRDefault="0095691D" w:rsidP="009D4EFF">
            <w:pPr>
              <w:spacing w:before="0"/>
              <w:rPr>
                <w:bCs/>
                <w:sz w:val="24"/>
                <w:rFonts w:ascii="Times New Roman" w:hAnsi="Times New Roman"/>
              </w:rPr>
            </w:pPr>
            <w:r>
              <w:rPr>
                <w:sz w:val="24"/>
                <w:rFonts w:ascii="Times New Roman" w:hAnsi="Times New Roman"/>
              </w:rPr>
              <w:t xml:space="preserve">Las entidades consignarán la cifra de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sz w:val="24"/>
                <w:rFonts w:ascii="Times New Roman" w:hAnsi="Times New Roman"/>
              </w:rPr>
            </w:pPr>
            <w:r>
              <w:rPr>
                <w:sz w:val="24"/>
                <w:rFonts w:ascii="Times New Roman" w:hAnsi="Times New Roman"/>
              </w:rPr>
              <w:t xml:space="preserve">0330</w:t>
            </w:r>
          </w:p>
        </w:tc>
        <w:tc>
          <w:tcPr>
            <w:tcW w:w="7379" w:type="dxa"/>
            <w:gridSpan w:val="2"/>
            <w:shd w:val="clear" w:color="auto" w:fill="FFFFFF"/>
            <w:vAlign w:val="center"/>
          </w:tcPr>
          <w:p w14:paraId="4E33646D" w14:textId="5AECD5A9" w:rsidR="00881B4D" w:rsidRPr="000B6B22" w:rsidRDefault="00881B4D" w:rsidP="009D4EFF">
            <w:pPr>
              <w:spacing w:before="0"/>
              <w:rPr>
                <w:b/>
                <w:bCs/>
                <w:sz w:val="24"/>
                <w:rFonts w:ascii="Times New Roman"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Entradas sujetas al límite del 75 %</w:t>
            </w:r>
          </w:p>
          <w:p w14:paraId="40126C80" w14:textId="3D7274F3" w:rsidR="00881B4D" w:rsidRPr="000B6B22" w:rsidRDefault="00881B4D" w:rsidP="009D4EFF">
            <w:pPr>
              <w:spacing w:before="0"/>
              <w:rPr>
                <w:bCs/>
                <w:sz w:val="24"/>
                <w:rFonts w:ascii="Times New Roman" w:hAnsi="Times New Roman"/>
              </w:rPr>
            </w:pPr>
            <w:r>
              <w:rPr>
                <w:sz w:val="24"/>
                <w:rFonts w:ascii="Times New Roman" w:hAnsi="Times New Roman"/>
              </w:rPr>
              <w:t xml:space="preserve">IC = importe según la hoja de Entradas</w:t>
            </w:r>
          </w:p>
          <w:p w14:paraId="35449694" w14:textId="16A7178A" w:rsidR="00881B4D" w:rsidRPr="000B6B22" w:rsidRDefault="0095691D" w:rsidP="009D4EFF">
            <w:pPr>
              <w:spacing w:before="0"/>
              <w:rPr>
                <w:bCs/>
                <w:sz w:val="24"/>
                <w:rFonts w:ascii="Times New Roman" w:hAnsi="Times New Roman"/>
              </w:rPr>
            </w:pPr>
            <w:r>
              <w:rPr>
                <w:sz w:val="24"/>
                <w:rFonts w:ascii="Times New Roman" w:hAnsi="Times New Roman"/>
              </w:rPr>
              <w:t xml:space="preserve">Las entidades consignarán la cifra de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sz w:val="24"/>
                <w:rFonts w:ascii="Times New Roman" w:hAnsi="Times New Roman"/>
              </w:rPr>
            </w:pPr>
            <w:r>
              <w:rPr>
                <w:sz w:val="24"/>
                <w:rFonts w:ascii="Times New Roman" w:hAnsi="Times New Roman"/>
              </w:rPr>
              <w:t xml:space="preserve">0340</w:t>
            </w:r>
          </w:p>
        </w:tc>
        <w:tc>
          <w:tcPr>
            <w:tcW w:w="7379" w:type="dxa"/>
            <w:gridSpan w:val="2"/>
            <w:shd w:val="clear" w:color="auto" w:fill="FFFFFF"/>
            <w:vAlign w:val="center"/>
          </w:tcPr>
          <w:p w14:paraId="1C1E08AE" w14:textId="233EC1B5" w:rsidR="00881B4D" w:rsidRPr="000B6B22" w:rsidRDefault="00881B4D" w:rsidP="009D4EFF">
            <w:pPr>
              <w:spacing w:before="0"/>
              <w:rPr>
                <w:sz w:val="24"/>
                <w:rFonts w:ascii="Times New Roman"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Reducción aplicable a las entradas totalmente exentas</w:t>
            </w:r>
          </w:p>
          <w:p w14:paraId="473FC23E" w14:textId="3999F58D" w:rsidR="00881B4D" w:rsidRPr="000B6B22" w:rsidRDefault="0095691D" w:rsidP="009D4EFF">
            <w:pPr>
              <w:spacing w:before="0"/>
              <w:rPr>
                <w:bCs/>
                <w:sz w:val="24"/>
                <w:rFonts w:ascii="Times New Roman" w:hAnsi="Times New Roman"/>
              </w:rPr>
            </w:pPr>
            <w:r>
              <w:rPr>
                <w:sz w:val="24"/>
                <w:rFonts w:ascii="Times New Roman" w:hAnsi="Times New Roman"/>
              </w:rPr>
              <w:t xml:space="preserve">Las entidades consignarán la siguiente parte del cálculo de NLO:</w:t>
            </w:r>
          </w:p>
          <w:p w14:paraId="7DE69A85" w14:textId="626DEFEC" w:rsidR="00881B4D" w:rsidRPr="000B6B22" w:rsidRDefault="00881B4D" w:rsidP="009D4EFF">
            <w:pPr>
              <w:spacing w:before="0"/>
              <w:rPr>
                <w:bCs/>
                <w:sz w:val="24"/>
                <w:rFonts w:ascii="Times New Roman" w:hAnsi="Times New Roman"/>
              </w:rPr>
            </w:pPr>
            <w:r>
              <w:rPr>
                <w:sz w:val="24"/>
                <w:rFonts w:ascii="Times New Roman" w:hAnsi="Times New Roman"/>
              </w:rPr>
              <w:t xml:space="preserve">=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sz w:val="24"/>
                <w:rFonts w:ascii="Times New Roman" w:hAnsi="Times New Roman"/>
              </w:rPr>
            </w:pPr>
            <w:r>
              <w:rPr>
                <w:sz w:val="24"/>
                <w:rFonts w:ascii="Times New Roman" w:hAnsi="Times New Roman"/>
              </w:rPr>
              <w:t xml:space="preserve">0350</w:t>
            </w:r>
          </w:p>
        </w:tc>
        <w:tc>
          <w:tcPr>
            <w:tcW w:w="7379" w:type="dxa"/>
            <w:gridSpan w:val="2"/>
            <w:shd w:val="clear" w:color="auto" w:fill="FFFFFF"/>
            <w:vAlign w:val="center"/>
          </w:tcPr>
          <w:p w14:paraId="300BD82D" w14:textId="18AD4C2D" w:rsidR="00881B4D" w:rsidRPr="000B6B22" w:rsidRDefault="00881B4D" w:rsidP="009D4EFF">
            <w:pPr>
              <w:spacing w:before="0"/>
              <w:rPr>
                <w:b/>
                <w:bCs/>
                <w:sz w:val="24"/>
                <w:rFonts w:ascii="Times New Roman" w:hAnsi="Times New Roman"/>
              </w:rPr>
            </w:pPr>
            <w:r>
              <w:rPr>
                <w:b/>
                <w:sz w:val="24"/>
                <w:rFonts w:ascii="Times New Roman" w:hAnsi="Times New Roman"/>
              </w:rPr>
              <w:t xml:space="preserve">29.</w:t>
            </w:r>
            <w:r>
              <w:rPr>
                <w:b/>
                <w:sz w:val="24"/>
                <w:rFonts w:ascii="Times New Roman" w:hAnsi="Times New Roman"/>
              </w:rPr>
              <w:t xml:space="preserve"> </w:t>
            </w:r>
            <w:r>
              <w:rPr>
                <w:b/>
                <w:sz w:val="24"/>
                <w:rFonts w:ascii="Times New Roman" w:hAnsi="Times New Roman"/>
              </w:rPr>
              <w:t xml:space="preserve">Reducción aplicable a las entradas sujetas al límite del 90 %</w:t>
            </w:r>
          </w:p>
          <w:p w14:paraId="789B1DB6" w14:textId="68A84326" w:rsidR="00881B4D" w:rsidRPr="000B6B22" w:rsidRDefault="0095691D" w:rsidP="009D4EFF">
            <w:pPr>
              <w:spacing w:before="0"/>
              <w:rPr>
                <w:bCs/>
                <w:sz w:val="24"/>
                <w:rFonts w:ascii="Times New Roman" w:hAnsi="Times New Roman"/>
              </w:rPr>
            </w:pPr>
            <w:r>
              <w:rPr>
                <w:sz w:val="24"/>
                <w:rFonts w:ascii="Times New Roman" w:hAnsi="Times New Roman"/>
              </w:rPr>
              <w:t xml:space="preserve">Las entidades consignarán la siguiente parte del cálculo de NLO:</w:t>
            </w:r>
          </w:p>
          <w:p w14:paraId="4B265BFC" w14:textId="1A24E711"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sz w:val="24"/>
                <w:rFonts w:ascii="Times New Roman" w:hAnsi="Times New Roman"/>
              </w:rPr>
            </w:pPr>
            <w:r>
              <w:rPr>
                <w:sz w:val="24"/>
                <w:rFonts w:ascii="Times New Roman" w:hAnsi="Times New Roman"/>
              </w:rPr>
              <w:t xml:space="preserve">0360</w:t>
            </w:r>
          </w:p>
        </w:tc>
        <w:tc>
          <w:tcPr>
            <w:tcW w:w="7379" w:type="dxa"/>
            <w:gridSpan w:val="2"/>
            <w:shd w:val="clear" w:color="auto" w:fill="FFFFFF"/>
            <w:vAlign w:val="center"/>
          </w:tcPr>
          <w:p w14:paraId="2AE1CA5D" w14:textId="4B501D42" w:rsidR="00881B4D" w:rsidRPr="000B6B22" w:rsidRDefault="00881B4D" w:rsidP="009D4EFF">
            <w:pPr>
              <w:spacing w:before="0"/>
              <w:rPr>
                <w:b/>
                <w:bCs/>
                <w:sz w:val="24"/>
                <w:rFonts w:ascii="Times New Roman" w:hAnsi="Times New Roman"/>
              </w:rPr>
            </w:pPr>
            <w:r>
              <w:rPr>
                <w:b/>
                <w:sz w:val="24"/>
                <w:rFonts w:ascii="Times New Roman" w:hAnsi="Times New Roman"/>
              </w:rPr>
              <w:t xml:space="preserve">30.</w:t>
            </w:r>
            <w:r>
              <w:rPr>
                <w:b/>
                <w:sz w:val="24"/>
                <w:rFonts w:ascii="Times New Roman" w:hAnsi="Times New Roman"/>
              </w:rPr>
              <w:t xml:space="preserve"> </w:t>
            </w:r>
            <w:r>
              <w:rPr>
                <w:b/>
                <w:sz w:val="24"/>
                <w:rFonts w:ascii="Times New Roman" w:hAnsi="Times New Roman"/>
              </w:rPr>
              <w:t xml:space="preserve">Reducción aplicable a las entradas sujetas al límite del 75 %</w:t>
            </w:r>
          </w:p>
          <w:p w14:paraId="7DC3F176" w14:textId="14C13DFC" w:rsidR="00881B4D" w:rsidRPr="000B6B22" w:rsidRDefault="0095691D" w:rsidP="009D4EFF">
            <w:pPr>
              <w:spacing w:before="0"/>
              <w:rPr>
                <w:bCs/>
                <w:sz w:val="24"/>
                <w:rFonts w:ascii="Times New Roman" w:hAnsi="Times New Roman"/>
              </w:rPr>
            </w:pPr>
            <w:r>
              <w:rPr>
                <w:sz w:val="24"/>
                <w:rFonts w:ascii="Times New Roman" w:hAnsi="Times New Roman"/>
              </w:rPr>
              <w:t xml:space="preserve">Las entidades consignarán la siguiente parte del cálculo de NLO:</w:t>
            </w:r>
          </w:p>
          <w:p w14:paraId="3A926940" w14:textId="5473B8F9"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sz w:val="24"/>
                <w:rFonts w:ascii="Times New Roman" w:hAnsi="Times New Roman"/>
              </w:rPr>
            </w:pPr>
            <w:r>
              <w:rPr>
                <w:sz w:val="24"/>
                <w:rFonts w:ascii="Times New Roman" w:hAnsi="Times New Roman"/>
              </w:rPr>
              <w:t xml:space="preserve">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b/>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SALIDA NETA DE LIQUIDEZ</w:t>
            </w:r>
          </w:p>
          <w:p w14:paraId="571E544F" w14:textId="768C0CC8" w:rsidR="00881B4D" w:rsidRPr="000B6B22" w:rsidRDefault="0095691D" w:rsidP="009D4EFF">
            <w:pPr>
              <w:spacing w:before="0"/>
              <w:rPr>
                <w:sz w:val="24"/>
                <w:rFonts w:ascii="Times New Roman" w:hAnsi="Times New Roman"/>
              </w:rPr>
            </w:pPr>
            <w:r>
              <w:rPr>
                <w:sz w:val="24"/>
                <w:rFonts w:ascii="Times New Roman" w:hAnsi="Times New Roman"/>
              </w:rPr>
              <w:t xml:space="preserve">Las entidades consignarán la salida neta de liquidez, que será igual al total de las salidas menos la reducción aplicable a las entradas totalmente exentas, menos la reducción aplicable a las entradas sujetas al límite máximo del 90 %, menos la reducción aplicable a las entradas sujetas al límite máximo del 75 %.</w:t>
            </w:r>
          </w:p>
          <w:p w14:paraId="09661336" w14:textId="75D35D2C" w:rsidR="00881B4D" w:rsidRPr="000B6B22" w:rsidRDefault="00881B4D" w:rsidP="009D4EFF">
            <w:pPr>
              <w:spacing w:before="0"/>
              <w:rPr>
                <w:b/>
                <w:bCs/>
                <w:sz w:val="24"/>
                <w:rFonts w:ascii="Times New Roman" w:hAnsi="Times New Roman"/>
              </w:rPr>
            </w:pPr>
            <w:r>
              <w:rPr>
                <w:sz w:val="24"/>
                <w:rFonts w:ascii="Times New Roman" w:hAnsi="Times New Roman"/>
              </w:rPr>
              <w:t xml:space="preserve">NLO = TO — MIN(FEI, TO) - MIN(IHC, 0,9*MAX(TO-FEI, 0)) - MIN(IC, 0,75*MAX(T0-FEI-IHC/0,9, 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Pilar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sz w:val="24"/>
                <w:rFonts w:ascii="Times New Roman" w:hAnsi="Times New Roman"/>
              </w:rPr>
            </w:pPr>
            <w:r>
              <w:rPr>
                <w:sz w:val="24"/>
                <w:rFonts w:ascii="Times New Roman" w:hAnsi="Times New Roman"/>
              </w:rPr>
              <w:t xml:space="preserve">0380</w:t>
            </w:r>
          </w:p>
        </w:tc>
        <w:tc>
          <w:tcPr>
            <w:tcW w:w="7379" w:type="dxa"/>
            <w:gridSpan w:val="2"/>
            <w:shd w:val="clear" w:color="auto" w:fill="FFFFFF"/>
            <w:vAlign w:val="center"/>
          </w:tcPr>
          <w:p w14:paraId="75CD4C94" w14:textId="3DFA6405" w:rsidR="00881B4D" w:rsidRPr="000B6B22" w:rsidRDefault="00881B4D" w:rsidP="009D4EFF">
            <w:pPr>
              <w:spacing w:before="0"/>
              <w:rPr>
                <w:b/>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REQUISITO DEL PILAR 2</w:t>
            </w:r>
          </w:p>
          <w:p w14:paraId="72D74222" w14:textId="48AA5F63" w:rsidR="00881B4D" w:rsidRPr="000B6B22" w:rsidRDefault="00881B4D">
            <w:pPr>
              <w:spacing w:before="0"/>
              <w:ind w:left="56"/>
              <w:rPr>
                <w:bCs/>
                <w:sz w:val="24"/>
                <w:rFonts w:ascii="Times New Roman" w:hAnsi="Times New Roman"/>
              </w:rPr>
            </w:pPr>
            <w:r>
              <w:rPr>
                <w:sz w:val="24"/>
                <w:rFonts w:ascii="Times New Roman" w:hAnsi="Times New Roman"/>
              </w:rPr>
              <w:t xml:space="preserve">Artículo 105 del RRC</w:t>
            </w:r>
          </w:p>
          <w:p w14:paraId="70A9354E" w14:textId="4B1A434A" w:rsidR="00881B4D" w:rsidRPr="000B6B22" w:rsidRDefault="0095691D">
            <w:pPr>
              <w:spacing w:before="0"/>
              <w:ind w:left="56"/>
              <w:rPr>
                <w:bCs/>
                <w:sz w:val="24"/>
                <w:rFonts w:ascii="Times New Roman" w:hAnsi="Times New Roman"/>
              </w:rPr>
            </w:pPr>
            <w:r>
              <w:rPr>
                <w:sz w:val="24"/>
                <w:rFonts w:ascii="Times New Roman" w:hAnsi="Times New Roman"/>
              </w:rPr>
              <w:t xml:space="preserve">Las entidades consignarán los requisitos del pilar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b/>
          <w:sz w:val="24"/>
          <w:rFonts w:ascii="Times New Roman" w:hAnsi="Times New Roman"/>
        </w:rPr>
      </w:pPr>
      <w:r>
        <w:rPr>
          <w:b/>
          <w:sz w:val="24"/>
          <w:rFonts w:ascii="Times New Roman" w:hAnsi="Times New Roman"/>
        </w:rPr>
        <w:t xml:space="preserve">PARTE 6:</w:t>
      </w:r>
      <w:r>
        <w:rPr>
          <w:b/>
          <w:sz w:val="24"/>
          <w:rFonts w:ascii="Times New Roman" w:hAnsi="Times New Roman"/>
        </w:rPr>
        <w:t xml:space="preserve"> </w:t>
      </w:r>
      <w:r>
        <w:rPr>
          <w:b/>
          <w:sz w:val="24"/>
          <w:rFonts w:ascii="Times New Roman" w:hAnsi="Times New Roman"/>
        </w:rPr>
        <w:t xml:space="preserve">PERÍMETRO DE CONSOLIDACIÓN</w:t>
      </w:r>
    </w:p>
    <w:p w14:paraId="46441974" w14:textId="23F76AC4"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Perímetro de consolidación</w:t>
      </w:r>
    </w:p>
    <w:p w14:paraId="37D472DC" w14:textId="101D0D89" w:rsidR="003626D1" w:rsidRPr="000B6B22" w:rsidRDefault="003626D1">
      <w:pPr>
        <w:keepNext/>
        <w:spacing w:before="0"/>
        <w:ind w:left="357" w:hanging="357"/>
        <w:outlineLvl w:val="1"/>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Observaciones generales</w:t>
      </w:r>
    </w:p>
    <w:p w14:paraId="2A1CB21B" w14:textId="2AEED944" w:rsidR="008312F1" w:rsidRPr="000B6B22" w:rsidRDefault="008312F1">
      <w:pPr>
        <w:pStyle w:val="InstructionsText2"/>
        <w:numPr>
          <w:ilvl w:val="0"/>
          <w:numId w:val="104"/>
        </w:numPr>
        <w:spacing w:after="120"/>
        <w:rPr>
          <w:sz w:val="24"/>
          <w:szCs w:val="24"/>
          <w:rFonts w:cs="Times New Roman"/>
        </w:rPr>
      </w:pPr>
      <w:r>
        <w:rPr>
          <w:sz w:val="24"/>
        </w:rPr>
        <w:t xml:space="preserve">Se trata de una plantilla que, a efectos únicamente de la ratio de cobertura de liquidez a nivel consolidado, identifica a los entes a los que hace referencia la información incluida en las plantillas C 72.00, C 73.00, C 74.00, C 75.01 y C 76.00.</w:t>
      </w:r>
      <w:r>
        <w:rPr>
          <w:sz w:val="24"/>
        </w:rPr>
        <w:t xml:space="preserve"> </w:t>
      </w:r>
      <w:r>
        <w:rPr>
          <w:sz w:val="24"/>
        </w:rPr>
        <w:t xml:space="preserve">Esta plantilla identifica a todos los entes que entran en el perímetro de consolidación de la ratio de cobertura de liquidez de conformidad con los artículos 8 y 10 y el artículo 11, apartados 3 y 5, del Reglamento (UE) n.º 575/2013, según proceda.</w:t>
      </w:r>
      <w:r>
        <w:rPr>
          <w:sz w:val="24"/>
        </w:rPr>
        <w:t xml:space="preserve"> </w:t>
      </w:r>
      <w:r>
        <w:rPr>
          <w:sz w:val="24"/>
        </w:rPr>
        <w:t xml:space="preserve">Esta plantilla tendrá tantas filas como entes incluya el perímetro de consolidación.</w:t>
      </w:r>
    </w:p>
    <w:p w14:paraId="52F0B902" w14:textId="2811DE45"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Instrucciones relativas a columnas específicas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b/>
                <w:sz w:val="24"/>
                <w:rFonts w:ascii="Times New Roman" w:hAnsi="Times New Roman"/>
              </w:rPr>
            </w:pPr>
            <w:r>
              <w:rPr>
                <w:b/>
                <w:sz w:val="24"/>
                <w:rFonts w:ascii="Times New Roman" w:hAnsi="Times New Roman"/>
              </w:rPr>
              <w:t xml:space="preserve">Columna</w:t>
            </w:r>
          </w:p>
        </w:tc>
        <w:tc>
          <w:tcPr>
            <w:tcW w:w="7379" w:type="dxa"/>
            <w:shd w:val="clear" w:color="auto" w:fill="E6E6E6"/>
            <w:vAlign w:val="center"/>
          </w:tcPr>
          <w:p w14:paraId="3FFE688A"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Referencias jurídicas e instrucciones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sz w:val="24"/>
                <w:rFonts w:ascii="Times New Roman" w:hAnsi="Times New Roman"/>
              </w:rPr>
            </w:pPr>
            <w:r>
              <w:rPr>
                <w:sz w:val="24"/>
                <w:rFonts w:ascii="Times New Roman" w:hAnsi="Times New Roman"/>
              </w:rPr>
              <w:t xml:space="preserve">0005</w:t>
            </w:r>
          </w:p>
        </w:tc>
        <w:tc>
          <w:tcPr>
            <w:tcW w:w="7379" w:type="dxa"/>
          </w:tcPr>
          <w:p w14:paraId="07AB6BBE"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Matriz o filial</w:t>
            </w:r>
          </w:p>
          <w:p w14:paraId="00BCA1F3" w14:textId="49943E0E" w:rsidR="008312F1" w:rsidRPr="000B6B22" w:rsidRDefault="008312F1" w:rsidP="009D4EFF">
            <w:pPr>
              <w:spacing w:before="0"/>
              <w:rPr>
                <w:bCs/>
                <w:sz w:val="24"/>
                <w:rFonts w:ascii="Times New Roman" w:hAnsi="Times New Roman"/>
              </w:rPr>
            </w:pPr>
            <w:r>
              <w:rPr>
                <w:sz w:val="24"/>
                <w:rFonts w:ascii="Times New Roman" w:hAnsi="Times New Roman"/>
              </w:rPr>
              <w:t xml:space="preserve">Se consignará «matriz» en el caso de que el ente incluido en la fila sea:</w:t>
            </w:r>
          </w:p>
          <w:p w14:paraId="3E1D5F0E" w14:textId="571D8690"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la entidad matriz de la UE, la sociedad financiera de cartera matriz de la UE o la sociedad financiera mixta de cartera matriz de la UE, según lo previsto en el artículo 11, apartado 3, del Reglamento (UE) n.º 575/2013;</w:t>
            </w:r>
          </w:p>
          <w:p w14:paraId="7CFC13EC" w14:textId="3E21C00F" w:rsidR="008312F1" w:rsidRPr="0095691D" w:rsidRDefault="008312F1">
            <w:pPr>
              <w:pStyle w:val="ListParagraph"/>
              <w:spacing w:before="0"/>
              <w:rPr>
                <w:bCs/>
                <w:sz w:val="24"/>
                <w:rFonts w:ascii="Times New Roman" w:hAnsi="Times New Roman"/>
              </w:rPr>
            </w:pPr>
            <w:r>
              <w:rPr>
                <w:sz w:val="24"/>
                <w:rFonts w:ascii="Times New Roman" w:hAnsi="Times New Roman"/>
              </w:rPr>
              <w:t xml:space="preserve">la entidad matriz o la entidad filial que deba cumplir la ratio de cobertura de liquidez en base consolidada o subconsolidada, respectivamente, en el contexto de un subgrupo único de liquidez de conformidad con el artículo 8 del Reglamento (UE) n.º 575/2013;</w:t>
            </w:r>
          </w:p>
          <w:p w14:paraId="105A95C5" w14:textId="1D848059"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la entidad pertinente que deba cumplir la ratio de cobertura de liquidez en base subconsolidada de conformidad con el artículo 11, apartado 5, del Reglamento (UE) n.º 575/2013;</w:t>
            </w:r>
          </w:p>
          <w:p w14:paraId="1ED0371F" w14:textId="7F3C8562"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la entidad central de la UE.</w:t>
            </w:r>
          </w:p>
          <w:p w14:paraId="4AFC6E87" w14:textId="250F088D" w:rsidR="008312F1" w:rsidRPr="000B6B22" w:rsidRDefault="008312F1" w:rsidP="009D4EFF">
            <w:pPr>
              <w:spacing w:before="0"/>
              <w:rPr>
                <w:b/>
                <w:bCs/>
                <w:sz w:val="24"/>
                <w:rFonts w:ascii="Times New Roman" w:hAnsi="Times New Roman"/>
              </w:rPr>
            </w:pPr>
            <w:r>
              <w:rPr>
                <w:sz w:val="24"/>
                <w:rFonts w:ascii="Times New Roman" w:hAnsi="Times New Roman"/>
              </w:rPr>
              <w:t xml:space="preserve">Se consignará «filial» en el resto de las filas.</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tcPr>
          <w:p w14:paraId="5DD69770" w14:textId="6CB82BE1" w:rsidR="008312F1" w:rsidRPr="000B6B22" w:rsidRDefault="008312F1" w:rsidP="009D4EFF">
            <w:pPr>
              <w:spacing w:before="0"/>
              <w:rPr>
                <w:b/>
                <w:bCs/>
                <w:sz w:val="24"/>
                <w:rFonts w:ascii="Times New Roman" w:hAnsi="Times New Roman"/>
              </w:rPr>
            </w:pPr>
            <w:r>
              <w:rPr>
                <w:b/>
                <w:sz w:val="24"/>
                <w:rFonts w:ascii="Times New Roman" w:hAnsi="Times New Roman"/>
              </w:rPr>
              <w:t xml:space="preserve">Nombre</w:t>
            </w:r>
          </w:p>
          <w:p w14:paraId="50A88925" w14:textId="4CC7E0D0" w:rsidR="008312F1" w:rsidRPr="000B6B22" w:rsidRDefault="008312F1" w:rsidP="009D4EFF">
            <w:pPr>
              <w:spacing w:before="0"/>
              <w:rPr>
                <w:bCs/>
                <w:sz w:val="24"/>
                <w:rFonts w:ascii="Times New Roman" w:hAnsi="Times New Roman"/>
              </w:rPr>
            </w:pPr>
            <w:r>
              <w:rPr>
                <w:sz w:val="24"/>
                <w:rFonts w:ascii="Times New Roman" w:hAnsi="Times New Roman"/>
              </w:rPr>
              <w:t xml:space="preserve">En la columna 0010 se consignará el nombre de cada ente incluido en el perímetro de consolidación.</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tcPr>
          <w:p w14:paraId="165EDA8D"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Código</w:t>
            </w:r>
          </w:p>
          <w:p w14:paraId="57BC6B98" w14:textId="2B08725E" w:rsidR="005844EF" w:rsidRPr="000B6B22" w:rsidRDefault="005844EF" w:rsidP="009D4EFF">
            <w:pPr>
              <w:spacing w:before="0"/>
              <w:rPr>
                <w:bCs/>
                <w:sz w:val="24"/>
                <w:rFonts w:ascii="Times New Roman" w:hAnsi="Times New Roman"/>
              </w:rPr>
            </w:pPr>
            <w:r>
              <w:rPr>
                <w:rStyle w:val="FormatvorlageInstructionsTabelleText"/>
                <w:sz w:val="24"/>
                <w:rFonts w:ascii="Times New Roman" w:hAnsi="Times New Roman"/>
              </w:rPr>
              <w:t xml:space="preserve">El código como parte de un identificador de fila debe ser único para cada entidad consignada.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En el caso de entidades y empresas de seguros, el código será el código LEI.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Para otros entes el código será el código LEI o, si no se dispone de él, un código nacional.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El código será único y se utilizará sistemáticamente en las plantillas y en el tiempo.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El código tendrá siempre un valor.</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sz w:val="24"/>
                <w:rFonts w:ascii="Times New Roman" w:hAnsi="Times New Roman"/>
              </w:rPr>
            </w:pPr>
            <w:r>
              <w:rPr>
                <w:sz w:val="24"/>
                <w:rFonts w:ascii="Times New Roman" w:hAnsi="Times New Roman"/>
              </w:rPr>
              <w:t xml:space="preserve">0021</w:t>
            </w:r>
          </w:p>
        </w:tc>
        <w:tc>
          <w:tcPr>
            <w:tcW w:w="7379" w:type="dxa"/>
          </w:tcPr>
          <w:p w14:paraId="6F84E3CD" w14:textId="02B7C4D5" w:rsidR="003E6559" w:rsidRPr="000B6B22" w:rsidRDefault="003E6559" w:rsidP="009D4EFF">
            <w:pPr>
              <w:spacing w:before="0"/>
              <w:rPr>
                <w:b/>
                <w:bCs/>
                <w:sz w:val="24"/>
                <w:rFonts w:ascii="Times New Roman" w:hAnsi="Times New Roman"/>
              </w:rPr>
            </w:pPr>
            <w:r>
              <w:rPr>
                <w:b/>
                <w:sz w:val="24"/>
                <w:rFonts w:ascii="Times New Roman" w:hAnsi="Times New Roman"/>
              </w:rPr>
              <w:t xml:space="preserve">Tipo de código</w:t>
            </w:r>
          </w:p>
          <w:p w14:paraId="752578EA" w14:textId="77777777" w:rsidR="007F35AD" w:rsidRPr="000B6B22" w:rsidRDefault="003E6559" w:rsidP="009D4EFF">
            <w:pPr>
              <w:spacing w:before="0"/>
              <w:rPr>
                <w:bCs/>
                <w:sz w:val="24"/>
                <w:rFonts w:ascii="Times New Roman" w:hAnsi="Times New Roman"/>
              </w:rPr>
            </w:pPr>
            <w:r>
              <w:rPr>
                <w:sz w:val="24"/>
                <w:rFonts w:ascii="Times New Roman" w:hAnsi="Times New Roman"/>
              </w:rPr>
              <w:t xml:space="preserve">Las entidades identificarán el tipo de código comunicado en la columna 0020 como «código LEI» o «código no LEI».</w:t>
            </w:r>
          </w:p>
          <w:p w14:paraId="1D680D22" w14:textId="5F06E1D7" w:rsidR="007F35AD" w:rsidRPr="000B6B22" w:rsidRDefault="007F35AD" w:rsidP="009D4EFF">
            <w:pPr>
              <w:spacing w:before="0"/>
              <w:rPr>
                <w:bCs/>
                <w:sz w:val="24"/>
                <w:rFonts w:ascii="Times New Roman" w:hAnsi="Times New Roman"/>
              </w:rPr>
            </w:pPr>
            <w:r>
              <w:rPr>
                <w:sz w:val="24"/>
                <w:rFonts w:ascii="Times New Roman" w:hAnsi="Times New Roman"/>
              </w:rPr>
              <w:t xml:space="preserve">Siempre se comunicará el tipo de código.</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sz w:val="24"/>
                <w:rFonts w:ascii="Times New Roman" w:hAnsi="Times New Roman"/>
              </w:rPr>
            </w:pPr>
            <w:r>
              <w:rPr>
                <w:sz w:val="24"/>
                <w:rFonts w:ascii="Times New Roman" w:hAnsi="Times New Roman"/>
              </w:rPr>
              <w:t xml:space="preserve">0022</w:t>
            </w:r>
          </w:p>
        </w:tc>
        <w:tc>
          <w:tcPr>
            <w:tcW w:w="7379" w:type="dxa"/>
          </w:tcPr>
          <w:p w14:paraId="5EC930F9" w14:textId="2612D35F" w:rsidR="003E6559" w:rsidRPr="000B6B22" w:rsidRDefault="003E6559" w:rsidP="009D4EFF">
            <w:pPr>
              <w:spacing w:before="0"/>
              <w:rPr>
                <w:bCs/>
                <w:sz w:val="24"/>
                <w:rFonts w:ascii="Times New Roman" w:hAnsi="Times New Roman"/>
              </w:rPr>
            </w:pPr>
            <w:r>
              <w:rPr>
                <w:b/>
                <w:sz w:val="24"/>
                <w:rFonts w:ascii="Times New Roman" w:hAnsi="Times New Roman"/>
              </w:rPr>
              <w:t xml:space="preserve">Código nacional</w:t>
            </w:r>
          </w:p>
          <w:p w14:paraId="15C04026" w14:textId="3B439AF6" w:rsidR="003E6559" w:rsidRPr="000B6B22" w:rsidRDefault="003E6559" w:rsidP="009D4EFF">
            <w:pPr>
              <w:spacing w:before="0"/>
              <w:rPr>
                <w:b/>
                <w:bCs/>
                <w:sz w:val="24"/>
                <w:rFonts w:ascii="Times New Roman" w:hAnsi="Times New Roman"/>
              </w:rPr>
            </w:pPr>
            <w:r>
              <w:rPr>
                <w:rStyle w:val="InstructionsTabelleberschrift"/>
                <w:b w:val="0"/>
                <w:sz w:val="24"/>
                <w:u w:val="none"/>
                <w:rFonts w:ascii="Times New Roman" w:hAnsi="Times New Roman"/>
              </w:rPr>
              <w:t xml:space="preserve">Las entidades podrán informar adicionalmente del código nacional cuando comuniquen el código LEI como identificador en la columna «Código».</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tcPr>
          <w:p w14:paraId="55110F08" w14:textId="2B9C92BB" w:rsidR="003E6559" w:rsidRPr="000B6B22" w:rsidRDefault="003E6559" w:rsidP="009D4EFF">
            <w:pPr>
              <w:spacing w:before="0"/>
              <w:rPr>
                <w:b/>
                <w:bCs/>
                <w:sz w:val="24"/>
                <w:rFonts w:ascii="Times New Roman" w:hAnsi="Times New Roman"/>
              </w:rPr>
            </w:pPr>
            <w:r>
              <w:rPr>
                <w:b/>
                <w:sz w:val="24"/>
                <w:rFonts w:ascii="Times New Roman" w:hAnsi="Times New Roman"/>
              </w:rPr>
              <w:t xml:space="preserve">Código del país</w:t>
            </w:r>
          </w:p>
          <w:p w14:paraId="1CBF434E" w14:textId="49C8714A" w:rsidR="003E6559" w:rsidRPr="000B6B22" w:rsidRDefault="003E6559" w:rsidP="009D4EFF">
            <w:pPr>
              <w:spacing w:before="0"/>
              <w:rPr>
                <w:b/>
                <w:bCs/>
                <w:sz w:val="24"/>
                <w:rFonts w:ascii="Times New Roman" w:hAnsi="Times New Roman"/>
              </w:rPr>
            </w:pPr>
            <w:r>
              <w:rPr>
                <w:sz w:val="24"/>
                <w:rFonts w:ascii="Times New Roman" w:hAnsi="Times New Roman"/>
              </w:rPr>
              <w:t xml:space="preserve">En la columna 0020 se consignará el código ISO 3166-1-alfa-2 del país de constitución de cada ente incluido en el perímetro de consolidación.</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tcPr>
          <w:p w14:paraId="7801E46D" w14:textId="29AEF4CF" w:rsidR="003E6559" w:rsidRPr="000B6B22" w:rsidRDefault="003E6559" w:rsidP="009D4EFF">
            <w:pPr>
              <w:spacing w:before="0"/>
              <w:rPr>
                <w:b/>
                <w:bCs/>
                <w:sz w:val="24"/>
                <w:rFonts w:ascii="Times New Roman" w:hAnsi="Times New Roman"/>
              </w:rPr>
            </w:pPr>
            <w:r>
              <w:rPr>
                <w:b/>
                <w:sz w:val="24"/>
                <w:rFonts w:ascii="Times New Roman" w:hAnsi="Times New Roman"/>
              </w:rPr>
              <w:t xml:space="preserve">Tipo de ente</w:t>
            </w:r>
          </w:p>
          <w:p w14:paraId="074A915E" w14:textId="37F26345" w:rsidR="003E6559" w:rsidRPr="000B6B22" w:rsidRDefault="003E6559" w:rsidP="009D4EFF">
            <w:pPr>
              <w:spacing w:before="0"/>
              <w:rPr>
                <w:bCs/>
                <w:sz w:val="24"/>
                <w:rFonts w:ascii="Times New Roman" w:hAnsi="Times New Roman"/>
              </w:rPr>
            </w:pPr>
            <w:r>
              <w:rPr>
                <w:sz w:val="24"/>
                <w:rFonts w:ascii="Times New Roman" w:hAnsi="Times New Roman"/>
              </w:rPr>
              <w:t xml:space="preserve">A los entes consignados en la columna 0010 se les asignará el tipo que corresponda a su forma jurídica, de acuerdo con la siguiente lista:</w:t>
            </w:r>
          </w:p>
          <w:p w14:paraId="52B764A4" w14:textId="32D73DAD" w:rsidR="003E6559" w:rsidRPr="000B6B22" w:rsidRDefault="003E6559" w:rsidP="009D4EFF">
            <w:pPr>
              <w:spacing w:before="0"/>
              <w:rPr>
                <w:bCs/>
                <w:sz w:val="24"/>
                <w:rFonts w:ascii="Times New Roman" w:hAnsi="Times New Roman"/>
              </w:rPr>
            </w:pPr>
            <w:r>
              <w:rPr>
                <w:sz w:val="24"/>
                <w:rFonts w:ascii="Times New Roman" w:hAnsi="Times New Roman"/>
              </w:rPr>
              <w:t xml:space="preserve">«Entidad de crédito»;</w:t>
            </w:r>
          </w:p>
          <w:p w14:paraId="609CC8D5" w14:textId="2A41B3D7" w:rsidR="003E6559" w:rsidRPr="000B6B22" w:rsidRDefault="003E6559" w:rsidP="009D4EFF">
            <w:pPr>
              <w:spacing w:before="0"/>
              <w:rPr>
                <w:bCs/>
                <w:sz w:val="24"/>
                <w:rFonts w:ascii="Times New Roman" w:hAnsi="Times New Roman"/>
              </w:rPr>
            </w:pPr>
            <w:r>
              <w:rPr>
                <w:sz w:val="24"/>
                <w:rFonts w:ascii="Times New Roman" w:hAnsi="Times New Roman"/>
              </w:rPr>
              <w:t xml:space="preserve">«Empresa de inversión»;</w:t>
            </w:r>
          </w:p>
          <w:p w14:paraId="79D18ABD" w14:textId="44715845" w:rsidR="003E6559" w:rsidRPr="000B6B22" w:rsidRDefault="003E6559" w:rsidP="009D4EFF">
            <w:pPr>
              <w:spacing w:before="0"/>
              <w:rPr>
                <w:b/>
                <w:bCs/>
                <w:sz w:val="24"/>
                <w:rFonts w:ascii="Times New Roman" w:hAnsi="Times New Roman"/>
              </w:rPr>
            </w:pPr>
            <w:r>
              <w:rPr>
                <w:sz w:val="24"/>
                <w:rFonts w:ascii="Times New Roman" w:hAnsi="Times New Roman"/>
              </w:rPr>
              <w:t xml:space="preserve">«Otros».</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sz w:val="24"/>
            <w:rFonts w:ascii="Times New Roman" w:hAnsi="Times New Roman"/>
          </w:rPr>
        </w:pPr>
        <w:r w:rsidRPr="000B6B22">
          <w:rPr>
            <w:sz w:val="24"/>
            <w:rFonts w:ascii="Times New Roman" w:hAnsi="Times New Roman"/>
          </w:rPr>
          <w:fldChar w:fldCharType="begin"/>
        </w:r>
        <w:r w:rsidRPr="000B6B22">
          <w:rPr>
            <w:sz w:val="24"/>
            <w:rFonts w:ascii="Times New Roman" w:hAnsi="Times New Roman"/>
          </w:rPr>
          <w:instrText xml:space="preserve"> PAGE   \* MERGEFORMAT </w:instrText>
        </w:r>
        <w:r w:rsidRPr="000B6B22">
          <w:rPr>
            <w:sz w:val="24"/>
            <w:rFonts w:ascii="Times New Roman" w:hAnsi="Times New Roman"/>
          </w:rPr>
          <w:fldChar w:fldCharType="separate"/>
        </w:r>
        <w:r w:rsidR="00D638D6">
          <w:rPr>
            <w:sz w:val="24"/>
            <w:rFonts w:ascii="Times New Roman" w:hAnsi="Times New Roman"/>
          </w:rPr>
          <w:t>137</w:t>
        </w:r>
        <w:r w:rsidRPr="000B6B22">
          <w:rPr>
            <w:sz w:val="24"/>
            <w:rFonts w:ascii="Times New Roman" w:hAnsi="Times New Roman"/>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color w:val="444444"/>
          <w:rFonts w:ascii="Times New Roman" w:hAnsi="Times New Roman"/>
        </w:rPr>
        <w:t xml:space="preserve">Reglamento Delegado (UE) 2015/61 de la Comisión, de 10 de octubre de 2014, por el que se completa el Reglamento (UE) n.º 575/2013 del Parlamento Europeo y del Consejo en lo que atañe al requisito de cobertura de liquidez aplicable a las entidades de crédito (DO L 11 de 17.1.2015, p.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Las operaciones de permuta de garantías reales también se deben comunicar en la plantilla C 75.01 del Anexo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dirty" w:grammar="dirty"/>
  <w:defaultTabStop w:val="720"/>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s-ES"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s-ES"/>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s-E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s-ES"/>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s-ES"/>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es-E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566D23AA-CB2F-49E3-B8C6-EAF7C5A1F530}"/>
</file>

<file path=customXml/itemProps3.xml><?xml version="1.0" encoding="utf-8"?>
<ds:datastoreItem xmlns:ds="http://schemas.openxmlformats.org/officeDocument/2006/customXml" ds:itemID="{F6E246A8-FFB2-450E-97F5-8B562A247009}"/>
</file>

<file path=customXml/itemProps4.xml><?xml version="1.0" encoding="utf-8"?>
<ds:datastoreItem xmlns:ds="http://schemas.openxmlformats.org/officeDocument/2006/customXml" ds:itemID="{B9AD44E6-C3F5-4AA1-BE80-8D564792766F}"/>
</file>

<file path=docProps/app.xml><?xml version="1.0" encoding="utf-8"?>
<Properties xmlns="http://schemas.openxmlformats.org/officeDocument/2006/extended-properties" xmlns:vt="http://schemas.openxmlformats.org/officeDocument/2006/docPropsVTypes">
  <Template>Normal.dotm</Template>
  <TotalTime>6</TotalTime>
  <Pages>137</Pages>
  <Words>50470</Words>
  <Characters>275569</Characters>
  <Application>Microsoft Office Word</Application>
  <DocSecurity>0</DocSecurity>
  <Lines>7654</Lines>
  <Paragraphs>4289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2020-12-02T17:08:00Z</dcterms:created>
  <dcterms:modified xsi:type="dcterms:W3CDTF">2020-12-02T17:13:00Z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