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RO</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ANEXA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„ANEXA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rPr>
          <w:rFonts w:ascii="Times New Roman" w:hAnsi="Times New Roman"/>
          <w:sz w:val="24"/>
          <w:u w:val="none"/>
        </w:rPr>
        <w:tab/>
      </w:r>
      <w:r>
        <w:rPr>
          <w:rFonts w:ascii="Times New Roman" w:hAnsi="Times New Roman"/>
          <w:sz w:val="24"/>
        </w:rPr>
        <w:t>Evaluare prudentă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Evaluarea prudentă: active și datorii evaluate la valoarea justă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rPr>
          <w:rFonts w:ascii="Times New Roman" w:hAnsi="Times New Roman"/>
          <w:sz w:val="24"/>
          <w:u w:val="none"/>
        </w:rPr>
        <w:tab/>
      </w:r>
      <w:r>
        <w:rPr>
          <w:rFonts w:ascii="Times New Roman" w:hAnsi="Times New Roman"/>
          <w:sz w:val="24"/>
        </w:rPr>
        <w:t>Observații generale</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176</w:t>
      </w:r>
      <w:r w:rsidRPr="005B57EC">
        <w:fldChar w:fldCharType="end"/>
      </w:r>
      <w:r>
        <w:t>. Acest formular se completează de către toate instituțiile, indiferent dacă au adoptat sau nu abordarea simplificată pentru determinarea ajustărilor suplimentare ale evaluării (AVA). Acest formular se concentrează pe valoarea absolută a activelor și datoriilor evaluate la valoarea justă utilizată pentru a determina dacă s-au îndeplinit sau nu condițiile prevăzute la articolul 4 din Regulamentul delegat (UE) 2016/101 al Comisiei</w:t>
      </w:r>
      <w:r w:rsidRPr="002A677E">
        <w:rPr>
          <w:rStyle w:val="FootnoteReference"/>
        </w:rPr>
        <w:footnoteReference w:id="1"/>
      </w:r>
      <w:r>
        <w:t xml:space="preserve"> pentru utilizarea abordării simplificate în vederea stabilirii AVA.</w:t>
      </w:r>
    </w:p>
    <w:p w14:paraId="6DB5E29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177</w:t>
      </w:r>
      <w:r w:rsidRPr="005B57EC">
        <w:fldChar w:fldCharType="end"/>
      </w:r>
      <w:r>
        <w:t>. În ceea ce privește instituțiile care utilizează abordarea simplificată, acest formular prezintă totalul AVA de dedus din fondurile proprii în temeiul articolelor 34 și 105 din Regulamentul (UE) nr. 575/2013, astfel cum se prevede la articolul 5 din Regulamentul delegat (UE) 2016/101, care se raportează în consecință pe rândul 0290 din formularul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rPr>
          <w:rFonts w:ascii="Times New Roman" w:hAnsi="Times New Roman"/>
          <w:sz w:val="24"/>
          <w:u w:val="none"/>
        </w:rPr>
        <w:tab/>
      </w:r>
      <w:r>
        <w:rPr>
          <w:rFonts w:ascii="Times New Roman" w:hAnsi="Times New Roman"/>
          <w:sz w:val="24"/>
        </w:rPr>
        <w:t>Instrucțiuni privind anumite poziții</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Coloane</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conform situațiilor financiare întocmite conform cadrului contabil aplicabil, astfel cum se menționează la articolul 4 alineatul (1) din Regulamentul delegat (UE) 2016/101, înainte de efectuarea oricărei deduceri în conformitate cu articolul 4 alineatul (2) din Regulamentul delegat (UE)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 xml:space="preserve">Valoarea absolută a activelor și datoriilor evaluate la valoarea justă, astfel cum a fost raportată la 010, corespunzătoare pozițiilor deținute în portofoliul de tranzacționare.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 EXCLUSE DIN CAUZA IMPACTULUI PARȚIAL ASUPRA FONDURILOR PROPRII DE NIVEL 1 DE BAZĂ</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excluse în conformitate cu articolul 4 alineatul (2) din Regulamentul delegat (UE)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Perfect corespondente</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Activele și datoriile de semn opus perfect corespondente evaluate la valoarea justă excluse în conformitate cu articolul 4 alineatul (2) din Regulamentul delegat (UE)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Contabilitatea de acoperire împotriva riscurilor</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Pentru pozițiile care fac obiectul contabilității de acoperire împotriva riscurilor în temeiul cadrului contabil aplicabil, valoarea absolută a activelor și datoriilor evaluate la valoarea justă excluse proporțional cu impactul variației evaluării relevante asupra fondurilor proprii de nivel 1 de bază în conformitate cu articolul 4 alineatul (2) din Regulamentul delegat (UE)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Filtre PRUDENȚIALE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excluse în conformitate cu articolul 4 alineatul (2) din Regulamentul delegat (UE) 2016/101 ca urmare a aplicării tranzitorii a filtrelor prudențiale menționate la articolele 467 și 468 din Regulamentul (UE) nr.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Altele</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Orice alte poziții excluse în conformitate cu articolul 4 alineatul (2) din Regulamentul delegat (UE) 2016/101 ca urmare a ajustărilor la valoarea contabilă care au doar un efect proporțional asupra fondurilor proprii de nivel 1 de bază.</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Pe acest rând se înscriu informații doar în cazuri rare, atunci când elementele excluse în conformitate cu articolul 4 alineatul (2) din Regulamentul delegat (UE) 2016/101 nu pot fi încadrate în coloana 0030, 0040 sau 0050 din acest formular.</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Observații în cazul rubricii „altele”</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Se prezintă principalele motive pentru excluderea pozițiilor raportate în coloana 0060.</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 incluse în pragul prevăzut la ARTICOLUL 4 ALINEATUL (1)</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Valoarea absolută a activelor și datoriilor evaluate la valoarea justă incluse efectiv în calculul pragului, în conformitate cu articolul 4 alineatul (1) din Regulamentul delegat (UE)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astfel cum a fost raportată în coloana 0080, corespunzătoare pozițiilor deținute în portofoliul de tranzacționare.</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Rânduri</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Definițiile acestor categorii sunt conforme cu cele ale rândurilor corespunzătoare din formularele FINREP 1.1 și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TOTAL ACTIVE ȘI DATORII EVALUATE LA VALOAREA JUSTĂ</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Totalul activelor și datoriilor evaluate la valoarea justă raportat pe rândurile 0020-0210.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TOTAL ACTIVE EVALUATE LA VALOAREA JUSTĂ</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Totalul activelor evaluate la valoarea justă raportat pe rândurile 0030-0140.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din celulele relevante ale rândurilor 0030-0130 se raportează în conformitate cu formularul FINREP F 01.01 din anexele III și IV la prezentul regulament de punere în aplicare, în funcție de standardele aplicabile ale instituției:</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 astfel cum au fost aprobate de Uniune în aplicarea Regulamentului (CE) nr. 1606/2002 al Parlamentului European și al Consiliului („IFRS UE”)</w:t>
            </w:r>
            <w:r w:rsidRPr="002A677E">
              <w:rPr>
                <w:rStyle w:val="FootnoteReference"/>
                <w:rFonts w:ascii="Times New Roman" w:hAnsi="Times New Roman"/>
                <w:szCs w:val="20"/>
                <w:vertAlign w:val="superscript"/>
              </w:rPr>
              <w:footnoteReference w:id="2"/>
            </w:r>
            <w:r>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standardele naționale de contabilitate compatibile cu IFRS UE „GAAP naționale compatibile cu IFRS”) sau</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GAAP naționale bazate pe Directiva 86/635/CEE a Consiliului (FINREP „GAAP naționale bazate pe Directiva 86/635/CEE a Consiliului”).</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ACTIVE FINANCIARE DEȚINUTE ÎN VEDEREA TRANZACȚIONĂRII</w:t>
            </w:r>
          </w:p>
          <w:p w14:paraId="0134A5CF" w14:textId="35B4B172"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w:t>
            </w:r>
            <w:r w:rsidR="00B3457F">
              <w:rPr>
                <w:rFonts w:ascii="Times New Roman" w:hAnsi="Times New Roman"/>
                <w:sz w:val="24"/>
              </w:rPr>
              <w:t xml:space="preserve"> </w:t>
            </w:r>
            <w:r>
              <w:rPr>
                <w:rFonts w:ascii="Times New Roman" w:hAnsi="Times New Roman"/>
                <w:sz w:val="24"/>
              </w:rPr>
              <w:t>Apendicele A.</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0050 din formularul F 01.01 din anexele III și IV la prezentul regulament de punere în aplicare.</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ACTIVE FINANCIARE DESTINATE TRANZACȚIONĂRII</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Articolele 32 și 33 din Directiva 86/635/CEE a Consiliului; partea 1.17 din anexa V la prezentul regulament de punere în aplicare.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activelor evaluate la valoarea justă care sunt incluse în valoarea raportată pe rândul 0091 din formularul F 01.01 din anexele III și IV la prezentul regulament de punere în aplicare.</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ACTIVE FINANCIARE NEDESTINATE TRANZACȚIONĂRII, EVALUATE OBLIGATORIU LA VALOAREA JUSTĂ PRIN PROFIT SAU PIERDERE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0096 din formularul F 01.01 din anexele III și IV la prezentul regulament de punere în aplicare.</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ACTIVE FINANCIARE DESEMNATE LA VALOAREA JUSTĂ PRIN PROFIT SAU PIERDERE</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7.8(a)(i); IFRS 9.4.1.5; articolul 8 alineatul (1) litera (a) și articolul 8 alineatul (6) din Directiva 2013/34/UE.</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0100 din formularul F 01.01 din anexele III și IV la prezentul regulament de punere în aplicare.</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ACTIVE FINANCIARE EVALUATE LA VALOAREA JUSTĂ PRIN ALTE ELEMENTE ALE REZULTATULUI GLOBAL</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7.8(h); IFRS 9.4.1.2A.</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0141 din formularul F 01.01 din anexele III și IV la prezentul regulament de punere în aplicare.</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ACTIVE FINANCIARE NEDERIVATE NEDESTINATE TRANZACȚIONĂRII, EVALUATE LA VALOAREA JUSTĂ PRIN PROFIT SAU PIERDERE</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Articolul 36 alineatul (2) din Directiva 86/635/CEE a Consiliului. Informațiile raportate pe acest rând corespund celor de pe rândul 0171 din formularul F 01.01 din anexele III și IV la prezentul regulament de punere în aplicare.</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ACTIVE FINANCIARE NEDERIVATE NEDESTINATE TRANZACȚIONĂRII, EVALUATE LA VALOAREA JUSTĂ PRIN CAPITALURI PROPRII</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Articolul 8 alineatul (1) litera (a) și articolul 8 alineatul (8) din Directiva 2013/34/UE.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0175 din formularul F 01.01 din anexele III și IV la prezentul regulament de punere în aplicare.</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ALTE ACTIVE FINANCIARE NEDERIVATE NEDESTINATE TRANZACȚIONĂRII</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37 din Directiva 86/635/CEE a Consiliului; articolul 12 alineatul (7) of Directiva 2013/34/UE; partea 1.20 din anexa V la prezentul regulament de punere în aplicare.</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activelor evaluate la valoarea justă care sunt incluse în valoarea raportată pe rândul 0234 din formularul F 01.01 din anexele III și IV la prezentul regulament de punere în aplicare.</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INSTRUMENTE FINANCIARE DERIVATE – CONTABILITATEA DE ACOPERIRE ÎMPOTRIVA RISCURILOR</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9.6.2.1; partea 1.22 din anexa V la prezentul regulament de punere în aplicare; articolul 8 alineatul (1) litera (a) și articolul 8 alineatele (6) și (8) din Directiva 2013/34/UE; IAS 39.9.</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0240 din formularul F 01.01 din anexele III și IV la prezentul regulament de punere în aplicare.</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VARIAȚIA VALORII JUSTE A ELEMENTELOR ACOPERITE ÎMPOTRIVA RISCURILOR DIN PORTOFOLIUL DE ACOPERIRE A RISCULUI DE RATĂ A DOBÂNZII</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IAS 39.89A(a); IFRS 9.6.5.8; articolul 8 alineatele (5) și (6) din Directiva 2013/34/UE a Parlamentului European și a Consiliului</w:t>
            </w:r>
            <w:r w:rsidRPr="002A677E">
              <w:rPr>
                <w:vertAlign w:val="superscript"/>
              </w:rPr>
              <w:footnoteReference w:id="3"/>
            </w:r>
            <w:r>
              <w:rPr>
                <w:rFonts w:ascii="Times New Roman" w:hAnsi="Times New Roman"/>
                <w:sz w:val="24"/>
              </w:rPr>
              <w:t>. Informațiile raportate pe acest rând corespund celor de pe rândul 0250 din formularul F 01.01 din anexele III și IV la prezentul regulament de punere în aplicare.</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INVESTIȚII ÎN FILIALE, ASOCIERI ÎN PARTICIPAȚIE ȘI ENTITĂȚI ASOCIATE</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1.54(e); părțile 1.21 și 2.4 din anexa V la prezentul regulament de punere în aplicare; articolul 4 punctele 7 și 8 din Directiva 86/635/CEE a Consiliului; articolul 2 alineatul (2) din Directiva 2013/34/UE.</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0260 din formularul F 01.01 din anexele III și IV la prezentul regulament de punere în aplicare.</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MARJE DE AJUSTARE PENTRU TRANZACȚIONAREA ACTIVELOR LA VALOAREA JUSTĂ</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Partea 1.29 din anexa V la prezentul regulament de punere în aplicare.</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Informațiile raportate pe acest rând corespund celor de pe rândul 0375 din formularul F 01.01 din anexele III și IV la prezentul regulament de punere în aplicare.</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ALTE ACTIVE</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Active astfel cum sunt menționate în partea 2 punctele 5 și 6 din anexa V la prezentul regulament de punere în aplicare, în măsura în care sunt evaluate la o valoare justă.</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ACTIVE IMOBILIZATE ȘI GRUPURI DESTINATE CEDĂRII, CLASIFICATE DREPT DEȚINUTE ÎN VEDEREA VÂNZĂRII</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Active astfel cum sunt menționate în partea 2 punctul 7 din anexa V la prezentul regulament de punere în aplicare, în măsura în care sunt evaluate la o valoare justă.</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DATORII EVALUATE LA VALOAREA JUSTĂ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Totalul datoriilor evaluate la valoarea justă raportat pe rândurile 0160-0210.</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Informațiile din celulele relevante ale rândurilor 0150-0190 se raportează în conformitate cu formularul FINREP F 01.02 din anexele III și IV la prezentul regulament de punere în aplicare, în funcție de standardele aplicabile ale instituției: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 astfel cum au fost aprobate de Uniune în aplicarea Regulamentului (CE) nr. 1606/2002 („IFRS UE”);</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standardele naționale de contabilitate compatibile cu IFRS UE „GAAP naționale compatibile cu IFRS”)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sau GAAP naționale bazate pe Directiva 86/635/CEE a Consiliului (FINREP „GAAP naționale bazate pe Directiva 86/635/CEE a Consiliului”).</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DATORII FINANCIARE DEȚINUTE ÎN VEDEREA TRANZACȚIONĂRII</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 (e)(ii); IFRS 9.BA.6.</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0010 din formularul F 01.02 din anexele III și IV la prezentul regulament de punere în aplicare.</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DATORII FINANCIARE DESTINATE TRANZACȚIONĂRII</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8 alineatul (1) litera (a) și articolul 8 alineatele (3) și (6) din Directiva 2013/34/UE.</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0061 din formularul F 01.02 din anexele III și IV la prezentul regulament de punere în aplicare.</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DATORII FINANCIARE DESEMNATE LA VALOAREA JUSTĂ PRIN PROFIT SAU PIERDERE</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 (e)(i); IFRS 9.4.2.2; articolul 8 alineatul (1) litera (a) și articolul 8 alineatul (6) din Directiva 2013/34/UE; IAS 39.9.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Informațiile raportate pe acest rând corespund celor de pe rândul 0070 din formularul F 01.02 din anexele III și IV la prezentul regulament de punere în aplicare.</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INSTRUMENTE FINANCIARE DERIVATE – CONTABILITATEA DE ACOPERIRE ÎMPOTRIVA RISCURILOR</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9.6.2.1; partea 1.26 din anexa V la prezentul regulament de punere în aplicare; articolul 8 alineatul (1) litera (a), alineatul (6) și alineatul (8) litera (a) din Directiva 2013/34/UE.</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0150 din formularul F 01.02 din anexele III și IV la prezentul regulament de punere în aplicare.</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VARIAȚIA VALORII JUSTE A ELEMENTELOR ACOPERITE ÎMPOTRIVA RISCURILOR DIN PORTOFOLIUL DE ACOPERIRE A RISCULUI DE RATĂ A DOBÂNZII</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39.89A(b), IFRS 9.6.5.8; articolul 8 alineatele (5) și (6) din Directiva 2013/34/UE; partea 2.8 din anexa V la prezentul regulament de punere în aplicare.</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0160 din formularul F 01.02 din anexele III și IV la prezentul regulament de punere în aplicare.</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MARJE DE AJUSTARE PENTRU TRANZACȚIONAREA DATORIILOR LA VALOAREA JUSTĂ</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Partea 1.29 din anexa V la prezentul regulament de punere în aplicare.</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0295 din formularul F 01.02 din anexele III și IV la prezentul regulament de punere în aplicare.</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ALTE DATORII</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Datorii astfel cum sunt menționate în partea 2 punctul 13 din anexa V la prezentul regulament de punere în aplicare, în măsura în care sunt evaluate la o valoare justă.</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DATORII INCLUSE ÎN GRUPURI DESTINATE CEDĂRII, CLASIFICATE DREPT DEȚINUTE ÎN VEDEREA VÂNZĂRII</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Datorii astfel cum sunt menționate în partea 2 punctul 14 din anexa V la prezentul regulament de punere în aplicare, în măsura în care sunt evaluate la o valoare justă.</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rPr>
          <w:rFonts w:ascii="Times New Roman" w:hAnsi="Times New Roman"/>
          <w:sz w:val="24"/>
          <w:u w:val="none"/>
        </w:rPr>
        <w:tab/>
      </w:r>
      <w:r>
        <w:rPr>
          <w:rFonts w:ascii="Times New Roman" w:hAnsi="Times New Roman"/>
          <w:sz w:val="24"/>
        </w:rPr>
        <w:t>C 32.02 - Evaluarea prudentă: abordarea de bază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rPr>
          <w:rFonts w:ascii="Times New Roman" w:hAnsi="Times New Roman"/>
          <w:sz w:val="24"/>
          <w:u w:val="none"/>
        </w:rPr>
        <w:tab/>
      </w:r>
      <w:r>
        <w:rPr>
          <w:rFonts w:ascii="Times New Roman" w:hAnsi="Times New Roman"/>
          <w:sz w:val="24"/>
        </w:rPr>
        <w:t>Observații generale</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178</w:t>
      </w:r>
      <w:r w:rsidRPr="005B57EC">
        <w:fldChar w:fldCharType="end"/>
      </w:r>
      <w:r>
        <w:t xml:space="preserve">. Scopul acestui formular este de a oferi informații cu privire la componența totalului AVA care se va deduce din fondurile proprii în temeiul articolelor 34 și </w:t>
      </w:r>
      <w:r>
        <w:lastRenderedPageBreak/>
        <w:t>105 din Regulamentul (UE) nr. 575/2013, alături de informații relevante cu privire la evaluarea contabilă a pozițiilor care conduc la stabilirea AVA.</w:t>
      </w:r>
    </w:p>
    <w:p w14:paraId="6CF38957"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179</w:t>
      </w:r>
      <w:r w:rsidRPr="005B57EC">
        <w:fldChar w:fldCharType="end"/>
      </w:r>
      <w:r>
        <w:t xml:space="preserve">. Acest formular se completează de către toate instituțiile: </w:t>
      </w:r>
    </w:p>
    <w:p w14:paraId="55E8BBED" w14:textId="77777777" w:rsidR="001332E7" w:rsidRPr="002A677E" w:rsidRDefault="001332E7" w:rsidP="001332E7">
      <w:pPr>
        <w:pStyle w:val="InstructionsText2"/>
        <w:numPr>
          <w:ilvl w:val="0"/>
          <w:numId w:val="0"/>
        </w:numPr>
        <w:ind w:left="1353" w:hanging="360"/>
      </w:pPr>
      <w:r>
        <w:t>(a) care trebuie să utilizeze abordarea de bază deoarece depășesc pragul menționat la articolul 4 alineatul (1) din Regulamentul delegat (UE) 2016/101, fie pe bază individuală, fie pe bază consolidată, astfel cum se prevede la articolul 4 alineatul (3) din regulamentul respectiv sau</w:t>
      </w:r>
    </w:p>
    <w:p w14:paraId="5C7E4D89" w14:textId="77777777" w:rsidR="001332E7" w:rsidRPr="002A677E" w:rsidRDefault="001332E7" w:rsidP="001332E7">
      <w:pPr>
        <w:pStyle w:val="InstructionsText2"/>
        <w:numPr>
          <w:ilvl w:val="0"/>
          <w:numId w:val="0"/>
        </w:numPr>
        <w:ind w:left="1353" w:hanging="360"/>
      </w:pPr>
      <w:r>
        <w:t xml:space="preserve">(b) care au ales să aplice abordarea de bază în pofida faptului că nu depășesc pragul. </w:t>
      </w:r>
    </w:p>
    <w:p w14:paraId="747163D2"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180</w:t>
      </w:r>
      <w:r w:rsidRPr="005B57EC">
        <w:fldChar w:fldCharType="end"/>
      </w:r>
      <w:r>
        <w:t>. În sensul acestui formular, „incertitudine privind evoluția ascendentă” înseamnă: conform articolului 8 alineatul (2) din Regulamentul delegat (UE) 2016/101, AVA se calculează ca diferența dintre valoarea justă și o evaluare prudentă care este determinată pe baza unei încrederi de 90 % că instituțiile pot ieși din expunere în acel punct sau într-un punct mai bun din intervalul noțional al valorilor plauzibile. Valoarea ascendentă sau „incertitudinea privind evoluția ascendentă” este punctul opus în distribuția valorilor plauzibile în care instituțiile sunt doar 10 % încrezătoare că pot ieși din poziție în acel punct sau într-un punct mai bun. Incertitudinea privind evoluția ascendentă se calculează și se agregă pe aceeași bază ca și totalul AVA, dar substituind nivelul de certitudine de 10 % cu cel de 90 % utilizat pentru determinarea totalului AVA.</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rPr>
          <w:rFonts w:ascii="Times New Roman" w:hAnsi="Times New Roman"/>
          <w:sz w:val="24"/>
          <w:u w:val="none"/>
        </w:rPr>
        <w:tab/>
        <w:t>Instrucțiuni privind anumite poziții</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Coloane</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LA NIVEL DE CATEGORIE</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AVA la nivel de categorie pentru incertitudinea prețului de piață, costurile cu lichidarea, riscul de model, pozițiile concentrate, costurile administrative viitoare, încetarea anticipată și riscul operațional se calculează conform descrierii de la articolele 9, 10, 11 și, respectiv, 14-17 din Regulamentul delegat (UE) 2016/101.</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În ceea ce privește incertitudinea prețului de piață, costurile cu lichidarea și riscul de model care fac obiectul beneficiului din diversificare, astfel cum este descris la articolul 9 alineatul (6), articolul 10 alineatul (7) și, respectiv, articolul 11 alineatul (7) din Regulamentul delegat (UE) 2016/101, AVA la nivel de categorie se raportează, cu excepția unor indicații contrare, ca fiind suma simplă a AVA individuale înainte de aplicarea beneficiului din diversificare [dat fiind că beneficiile din diversificare calculate folosind metoda 1 sau metoda 2 din anexa la Regulamentul delegat (UE) 2016/101 se raportează la elementele 1.1.2, 1.1.2.1 și 1.1.2.2 din formular].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În ceea ce privește incertitudinea prețului de piață, costurile cu lichidarea și riscul de model, cuantumurile calculate folosind abordarea bazată pe cunoștințe de specialitate, astfel cum este menționată la articolul 9 alineatul (5) litera (b), la articolul 10 alineatul (6) litera (b) și la articolul 11 alineatul (4) din Regulamentul delegat (UE) 2016/101, se raportează separat în coloanele 0020, 0040 și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INCERTITUDINEA PREȚULUI DE PIAȚĂ</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Articolul 105 alineatul (10) din Regulamentul (UE) nr. 575/2013.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pentru incertitudinea prețului de piață calculată în conformitate cu articolul 9 din Regulamentul delegat (UE)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pentru incertitudinea prețului de piață calculată în conformitate cu articolul 9 alineatul (5) litera (b) din Regulamentul delegat (UE)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Articolul 105 alineatul (10) din Regulamentul (UE) nr. 575/2013.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costurile cu lichidarea calculată în conformitate cu articolul 10 din Regulamentul delegat (UE)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AVA pentru costurile cu lichidarea calculată în conformitate cu articolul 10 alineatul (6) litera (b) din Regulamentul delegat (UE)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105 alineatul (10) din Regulamentul (UE) nr.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riscul de model calculată în conformitate cu articolul 11 din Regulamentul delegat (UE)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pentru riscul de model calculată în conformitate cu articolul 11 alineatul (4) din Regulamentul delegat (UE)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105 alineatul (11) din Regulamentul (UE) nr.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pentru poziții concentrate calculată în conformitate cu articolul 14 din Regulamentul delegat (UE)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105 alineatul (10) din Regulamentul (UE) nr.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pentru costuri administrative viitoare calculată în conformitate cu articolul 15 din Regulamentul delegat (UE)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Articolul 105 alineatul (10) din Regulamentul (UE) nr.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încetarea anticipată calculată în conformitate cu articolul 16 din Regulamentul delegat (UE)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105 alineatul (10) din Regulamentul (UE) nr.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pentru riscul operațional calculată în conformitate cu articolul 17 din Regulamentul delegat (UE)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AVA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Rândul 0010: totalul AVA de dedus din fondurile proprii în conformitate cu articolele 34 și 105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și raportat în consecință pe rândul 0290 din C 01.00. Totalul AVA este suma rândurilor 0030 și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Rândul 0020: ponderea totalului AVA raportat pe rândul 0010 care rezultă din pozițiile din portofoliul de tranzacționare (valoare absolută).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Rândurile 0030-0160: suma coloanelor 0010, 0030, 0050 și 0070-0100. </w:t>
            </w:r>
          </w:p>
          <w:p w14:paraId="34421EEB" w14:textId="03814361"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Rândurile 0180-0210: totalul AVA care derivă din portofoliile calculate folosind abordarea de rezervă (fall-back).</w:t>
            </w:r>
            <w:r w:rsidR="00B3457F">
              <w:rPr>
                <w:rStyle w:val="InstructionsTabelleberschrift"/>
                <w:rFonts w:ascii="Times New Roman" w:hAnsi="Times New Roman"/>
                <w:b w:val="0"/>
                <w:sz w:val="24"/>
                <w:u w:val="none"/>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INCERTITUDINE PRIVIND EVOLUȚIA ASCENDENTĂ</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Articolul 8 alineatul (2)</w:t>
            </w:r>
            <w:r>
              <w:rPr>
                <w:rFonts w:ascii="Times New Roman" w:hAnsi="Times New Roman"/>
                <w:sz w:val="24"/>
              </w:rPr>
              <w:t xml:space="preserve"> din Regulamentul delegat (UE) 2016/101.</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Incertitudinea privind evoluția ascendentă se calculează și se agregă pe aceeași bază ca și totalul AVA calculat în coloana 0110, dar substituind nivelul de certitudine de 10</w:t>
            </w:r>
            <w:r>
              <w:t xml:space="preserve"> </w:t>
            </w:r>
            <w:r>
              <w:rPr>
                <w:rFonts w:ascii="Times New Roman" w:hAnsi="Times New Roman"/>
                <w:sz w:val="24"/>
              </w:rPr>
              <w:t>% cu cel de 90</w:t>
            </w:r>
            <w:r>
              <w:t xml:space="preserve"> </w:t>
            </w:r>
            <w:r>
              <w:rPr>
                <w:rFonts w:ascii="Times New Roman" w:hAnsi="Times New Roman"/>
                <w:sz w:val="24"/>
              </w:rPr>
              <w:t>% utilizat pentru determinarea totalului AVA.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cuantumurilor AVA raportate pe rândurile 0010-0130 și pe rândul 0180. Pentru unele rânduri, în special rândurile 0090-0130, aceste cuantumuri trebuie eventual aproximate sau alocate pe baza avizelor experților.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Rândul 0010: valoarea absolută totală a activelor și datoriilor evaluate la valoarea justă incluse în calculul pragului, conform articolului 4 alineatul (1) din Regulamentul 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Rândul 0010 este suma rândurilor 0030 și 0180.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Rândul 0020: ponderea în valoarea absolută totală a activelor și datoriilor evaluate la valoarea justă raportată pe rândul 0010 care rezultă din pozițiile din portofoliul de tranzacționare (valoare absolută).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Rândul 0030: valoarea absolută a activelor și datoriilor evaluate la valoarea justă corespunzătoare portofoliilor menționate la articolele 9-17 din Regulamentul 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 Rândul 0030 este suma rândurilor 0090-0130.</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Rândul 0050: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Rândul 0060: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Rândul 0070: Valoarea absolută a activelor și datoriilor evaluate la valoarea justă corespunzătoare expunerilor supuse evaluării care au fost evaluate a avea valoarea AVA egală cu zero menționate la articolul 9 alineatul (2) din Regulamentul delegat (UE) 2016/101.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Rândul 0080: Valoarea absolută a activelor și datoriilor evaluate la valoarea justă corespunzătoare expunerilor supuse evaluării care au fost evaluate a avea valoarea AVA egală cu zero menționate la articolul 10 alineatele (2) și (3) din Regulamentul delegat (UE) 2016/101.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Rândurile 0090-0130: valoarea absolută a activelor și datoriilor evaluate la valoarea justă alocate conform descrierii de mai jos (a se vedea instrucțiunile pentru rândul corespunzător) în funcție de următoarele categorii de risc: riscul de rată a dobânzii, riscul valutar, riscul de credit, riscul de devalorizare a acțiunilor, riscul de marfă.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Rândul 0180: valoarea absolută a activelor și datoriilor evaluate la valoarea justă corespunzătoare portofoliilor calculate folosind abordarea de rezervă (fall-back).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w:t>
            </w:r>
            <w:r>
              <w:rPr>
                <w:rStyle w:val="InstructionsTabelleberschrift"/>
                <w:rFonts w:ascii="Times New Roman" w:hAnsi="Times New Roman"/>
                <w:b w:val="0"/>
                <w:sz w:val="24"/>
                <w:u w:val="none"/>
              </w:rPr>
              <w:t>activelor evaluate la valoarea justă corespunzătoare diferitelor rânduri, astfel cum se explică în instrucțiunile privind coloanele 0130-0140 de mai sus.</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Valoarea absolută a </w:t>
            </w:r>
            <w:r>
              <w:rPr>
                <w:rStyle w:val="InstructionsTabelleberschrift"/>
                <w:rFonts w:ascii="Times New Roman" w:hAnsi="Times New Roman"/>
                <w:b w:val="0"/>
                <w:sz w:val="24"/>
                <w:u w:val="none"/>
              </w:rPr>
              <w:t>datoriilor evaluate la valoarea justă corespunzătoare diferitelor rânduri, astfel cum se explică în instrucțiunile privind coloanele 0130-0140 de mai sus.</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VENITURI QTD</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Veniturile de la începutul trimestrului în curs („QTD revenue”) de la ultima dată de raportare atribuite activelor și datoriilor </w:t>
            </w:r>
            <w:r>
              <w:rPr>
                <w:rStyle w:val="InstructionsTabelleberschrift"/>
                <w:rFonts w:ascii="Times New Roman" w:hAnsi="Times New Roman"/>
                <w:b w:val="0"/>
                <w:sz w:val="24"/>
                <w:u w:val="none"/>
              </w:rPr>
              <w:t>evaluate la valoarea justă corespunzătoare diferitelor rânduri, astfel cum s-a explicat în instrucțiunile privind coloanele 0130–0140 de mai sus, alocate sau aproximate în baza avizului experților, după caz</w:t>
            </w:r>
            <w:r>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Suma, pentru toate pozițiile și factorii de risc, a cuantumurilor diferenței neajustate („diferența IPV”) calculate la sfârșitul lunii celei mai apropiate de data de raportare în cadrul procesului de verificare independentă a prețurilor (IPV) efectuat în conformitate cu articolul 105 alineatul (8)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în ceea ce privește cele mai bune date independente disponibile pentru poziția sau factorul de risc relevant.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Cuantumurile diferenței neajustate se referă la diferențele neajustate dintre evaluările generate de sistemul de tranzacționare și evaluările obținute în cursul procesului lunar de IPV.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Ajustări, denumite uneori și „rezerve”, aplicate eventual valorii juste contabile a instituției care se efectuează în afara modelului de evaluare utilizat pentru a genera valorile contabile (cu excepția reportării câștigurilor și pierderilor din ziua întâi) și care pot fi identificate ca abordând aceeași sursă de incertitudine a evaluării ca și AVA relevantă. Ajustările ar putea reflecta factori de risc care nu sunt avuți în vedere în tehnica de evaluare, care îmbracă forma unei prime de risc sau a unui cost de ieșire și sunt conformi cu definiția valorii juste. Cu toate acestea, participanții la piață trebuie să țină seama de ajustări atunci când stabilesc prețul. (IFRS 13.9 și IFRS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INCERTITUDINEA PREȚULUI DE PIAȚĂ</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Ajustare aplicată valorii juste a instituției pentru a reflecta prima de risc care rezultă din existența unui interval de prețuri observate pentru instrumente echivalente sau, în ceea ce privește o dată de intrare legată de parametrul de piață utilizată într-un model de evaluare, instrumentelor în baza cărora s-a calibrat data de intrare, și care poate fi, așadar, identificată ca abordând aceeași sursă de incertitudine a evaluării ca și AVA pentru incertitudinea prețului de piață.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Ajustare aplicată valorii juste a instituției pentru a corecta faptul că evaluările la nivelul poziției nu reflectă prețul de ieșire pentru poziție sau portofoliu, mai ales </w:t>
            </w:r>
            <w:r>
              <w:rPr>
                <w:rStyle w:val="InstructionsTabelleberschrift"/>
                <w:rFonts w:ascii="Times New Roman" w:hAnsi="Times New Roman"/>
                <w:b w:val="0"/>
                <w:sz w:val="24"/>
                <w:u w:val="none"/>
              </w:rPr>
              <w:lastRenderedPageBreak/>
              <w:t>atunci când aceste evaluări sunt calibrate la prețul mediu al pieței, și care poate, așadar, să fie identificată ca abordând aceeași sursă de incertitudine a evaluării ca și</w:t>
            </w:r>
            <w:r>
              <w:rPr>
                <w:rFonts w:ascii="Times New Roman" w:hAnsi="Times New Roman"/>
                <w:sz w:val="24"/>
              </w:rPr>
              <w:t xml:space="preserve"> AVA pentru costurile cu lichidarea</w:t>
            </w:r>
            <w:r>
              <w:rPr>
                <w:rStyle w:val="InstructionsTabelleberschrift"/>
                <w:rFonts w:ascii="Times New Roman" w:hAnsi="Times New Roman"/>
                <w:b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Ajustare aplicată valorii juste a instituției pentru a reflecta factori de piață sau ai produsului care nu sunt avuți în vedere în modelul utilizat pentru a calcula valorile și riscurile pozițiilor zilnice („modelul de evaluare”) sau pentru a reflecta un nivel adecvat de prudență dată fiind incertitudinea care apare din existența unei serii de alte modele și calibrări ale modelelor valabile, și care poate fi, așadar, identificată ca abordând aceeași sursă de incertitudine a evaluării ca și </w:t>
            </w:r>
            <w:r>
              <w:rPr>
                <w:rFonts w:ascii="Times New Roman" w:hAnsi="Times New Roman"/>
                <w:sz w:val="24"/>
              </w:rPr>
              <w:t>AVA pentru riscul de model</w:t>
            </w:r>
            <w:r>
              <w:rPr>
                <w:rStyle w:val="InstructionsTabelleberschrift"/>
                <w:rFonts w:ascii="Times New Roman" w:hAnsi="Times New Roman"/>
                <w:b w:val="0"/>
                <w:sz w:val="24"/>
                <w:u w:val="none"/>
              </w:rPr>
              <w:t>.</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Ajustare aplicată valorii juste a instituției pentru a reflecta faptul că poziția agregată deținută de către instituție este mai mare decât volumul tranzacționat în mod normal sau mai mare decât dimensiunea pozițiilor pe care se bazează ofertele de preț sau tranzacțiile observabile care sunt utilizate pentru a calibra prețurile sau datele de intrare folosite de modelul de evaluare și</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care poate fi, așadar, identificată ca abordând aceeași sursă de incertitudine a evaluării ca și</w:t>
            </w:r>
            <w:r>
              <w:rPr>
                <w:rFonts w:ascii="Times New Roman" w:hAnsi="Times New Roman"/>
                <w:sz w:val="24"/>
              </w:rPr>
              <w:t xml:space="preserve"> AVA pentru pozițiile concentrate</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MARJE DE CREDIT CONSTATATE ÎN AVANS</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Ajustare aplicată valorii juste a instituției pentru a acoperi pierderile preconizate ca urmare a riscului de contraparte aferent pozițiilor pe instrumente financiare derivate (și anume totalul ajustării evaluării creditului, „CVA”, la nivelul instituției).</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COSTURILE DE INVESTIȚII ȘI DE FINANȚARE</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Ajustare aplicată valorii juste a instituției pentru a compensa cazurile în care modelele de evaluare nu reflectă pe deplin costul de finanțare pe care participanții la piață l-ar include în prețul de ieșire pentru o poziție sau un portofoliu (și anume totalul ajustării evaluării finanțării la nivelul instituției atunci când o instituție calculează această ajustare sau, eventual, ajustarea echivalentă).</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Ajustare aplicată valorii juste a instituției pentru a reflecta costurile administrative suportate de portofoliu sau poziție, dar care nu se regăsesc în modelul de evaluare sau prețurile utilizate pentru a calibra datele de intrare ale acelui model, și care poate fi, așadar, identificată ca abordând aceeași sursă de incertitudine a evaluării ca și AVA pentru costurile administrative viitoare.</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Ajustare aplicată valorii juste a instituției pentru a reflecta estimările privind încetarea anticipată contractuală sau necontractuală care nu sunt reflectate în modelul de evaluare și care poate fi, așadar, identificată ca abordând aceeași sursă de incertitudine a evaluării ca și AVA pentru încetarea anticipată.</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Ajustare aplicată valorii juste a instituției pentru a reflecta prima de risc pe care participanții la piață ar percepe-o pentru a compensa riscurile operaționale care apar din acoperirea riscurilor, administrarea și decontarea contractelor din portofoliu și care poate fi, așadar, identificată ca abordând aceeași sursă de incertitudine a evaluării ca și AVA pentru riscul operațional.</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 ȘI PIERDERE ZIUA 1</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Ajustări care să reflecte situațiile în care modelul de evaluare și toate celelalte ajustări relevante ale valorii juste aplicabile unei poziții sau unui portofoliu nu au reflectat prețul plătit sau primit în momentul contabilizării inițiale, și anume reportarea câștigurilor și pierderilor din ziua întâi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DESCRIEREA EXPLICAȚIEI</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Descrierea pozițiilor tratate în conformitate cu articolul 7 alineatul (2) litera (b) din Regulamentul delegat (UE) 2016/101 și a motivului pentru care nu a fost posibilă aplicarea articolelor 9-17 din regulamentul menționat.</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Rânduri</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ABORDAREA DE BAZĂ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7 alineatul (2) din Regulamentul delegat (UE) 2016/101.</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Pentru fiecare categorie de AVA relevantă menționată în coloanele 0010-0110, totalul AVA calculate folosind abordarea de bază, astfel cum este descrisă în capitolul 3 din Regulamentul delegat (UE) 2016/101, pentru activele și datoriile evaluate la valoarea justă incluse în calculul pragului, în conformitate cu articolul 4 alineatul (1) din regulamentul menționat. Intră aici și beneficiile din diversificare raportate pe rândul 0140 în conformitate cu articolul 9 alineatul (6), articolul 10 alineatul (7) și articolul 11 alineatul (7) din Regulamentul delegat (UE)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PORTOFOLIUL DE TRANZACȚIONARE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7 alineatul (2) din Regulamentul delegat (UE)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Pentru fiecare categorie de AVA relevantă menționată în coloanele 0010 – 0110, ponderea în totalul AVA raportat pe rândul 0010 care rezultă din pozițiile din portofoliul de tranzacționare (valoare absolută).</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PORTOFOLII ÎN TEMEIUL ARTICOLELOR 9-17 DIN REGULAMENTUL DELEGAT (UE) 2016/101 AL COMISIEI – TOTAL LA NIVEL DE CATEGORIE ÎN URMA DIVERSIFICĂRII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7 alineatul (2) litera (a) din Regulamentul delegat (UE) 2016/101.</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Pentru fiecare categorie de AVA relevantă menționată în coloanele 0010-0110, totalul AVA calculate în conformitate cu articolele 9-17 din Regulamentul delegat (UE) 2016/101 pentru activele și datoriile evaluate la valoarea justă incluse în calculul pragului, în conformitate cu articolul 4 alineatul (1) din regulamentul menționat, cu excepția activelor și datoriilor evaluate la valoarea justă care fac obiectul tratamentului descris la articolul 7 alineatul (2) litera (b) din Regulamentul delegat (UE) 2016/101.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Intră aici AVA calculate în conformitate cu articolele 12 și 13 din Regulamentul delegat (UE) 2016/101 care se raportează pe rândurile 0050 și 0060 și care sunt incluse în AVA pentru incertitudinea prețului de piață, AVA pentru costurile cu lichidarea și AVA pentru riscul de model, astfel cum se descrie la articolul 12 alineatul (2) și la articolul 13 alineatul (2) din regulamentul menționat.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Intră aici și beneficiile din diversificare raportate pe rândul 0140 în conformitate cu articolul 9 alineatul (6), articolul 10 alineatul (7) și articolul 11 alineatul (7) din Regulamentul delegat (UE) 2016/101.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Rândul 0030 este diferența dintre rândurile 0040 și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TOTAL LA NIVEL DE CATEGORIE ÎNAINTE DE DIVERSIFICARE</w:t>
            </w:r>
          </w:p>
          <w:p w14:paraId="25B7DFE5" w14:textId="3A086F80"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Pentru rândurile 0090 - 0130, instituțiile alocă activele și datoriile evaluate la valoarea justă incluse în calculul pragului în conformitate cu articolul 4 alineatul (1) din</w:t>
            </w:r>
            <w:r w:rsidR="00B3457F">
              <w:rPr>
                <w:rFonts w:ascii="Times New Roman" w:hAnsi="Times New Roman"/>
                <w:sz w:val="24"/>
              </w:rPr>
              <w:t xml:space="preserve"> </w:t>
            </w:r>
            <w:r>
              <w:rPr>
                <w:rFonts w:ascii="Times New Roman" w:hAnsi="Times New Roman"/>
                <w:sz w:val="24"/>
              </w:rPr>
              <w:t xml:space="preserve">Regulamentul delegat (UE) 2016/101 (portofoliu de tranzacționare și în afara portofoliului de tranzacționare) în funcție de următoarele categorii de risc: riscul de rată a dobânzii, riscul valutar, riscul de credit, riscul de devalorizare a acțiunilor, riscul de marfă.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În acest sens, instituțiile recurg la structura lor internă de gestionare a riscurilor și, urmând principiile de punere în corespondență elaborate pe baza avizelor experților, alocă liniile de activitate sau birourile de tranzacționare celei mai potrivite categorii de risc. AVA, ajustările valorii juste și alte informații solicitate care corespund liniilor de activitate sau birourilor de tranzacționare alocate sunt alocate aceleiași categorii de risc relevante, astfel încât la nivelul rândului să se asigure pentru fiecare categorie de risc o imagine de ansamblu coerentă a ajustărilor efectuate atât în scop prudențial și contabil, cât și ca un indiciu al dimensiunii pozițiilor în cauză (în ceea ce privește activele și datoriile evaluate la valoarea justă). Atunci când AVA sau alte ajustări se calculează la un nivel de agregare diferit, mai ales la nivel de firmă, instituțiile elaborează o metodologie de alocare a AVA în seturile de poziții relevante. Conform metodologiei de alocare, rândul 0040 trebuie să fie suma rândurilor 0050-0130 pentru coloanele 0010-0100.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Indiferent de abordarea aplicată, în măsura posibilului, informațiile raportate trebuie să fie coerente la nivel de rând, dat fiind că informațiile furnizate vor fi comparate la acest nivel (cuantumurile AVA, incertitudinea privind evoluția ascendentă, cuantumurile valorii juste și eventualele ajustări ale valorii juste). </w:t>
            </w:r>
          </w:p>
          <w:p w14:paraId="0B1615AC" w14:textId="5267EB50"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Defalcarea de pe rândurile 0090-0130</w:t>
            </w:r>
            <w:r w:rsidR="00B3457F">
              <w:rPr>
                <w:rFonts w:ascii="Times New Roman" w:hAnsi="Times New Roman"/>
                <w:sz w:val="24"/>
              </w:rPr>
              <w:t xml:space="preserve"> </w:t>
            </w:r>
            <w:r>
              <w:rPr>
                <w:rFonts w:ascii="Times New Roman" w:hAnsi="Times New Roman"/>
                <w:sz w:val="24"/>
              </w:rPr>
              <w:t xml:space="preserve">exclude AVA calculate în conformitate cu articolele 12 și 13 din Regulamentul delegat (UE) 2016/101 care se raportează pe rândurile 0050 și 0060 și care sunt incluse în AVA pentru incertitudinea prețului </w:t>
            </w:r>
            <w:r>
              <w:rPr>
                <w:rFonts w:ascii="Times New Roman" w:hAnsi="Times New Roman"/>
                <w:sz w:val="24"/>
              </w:rPr>
              <w:lastRenderedPageBreak/>
              <w:t>de piață, AVA pentru costurile cu lichidarea și AVA pentru riscul de model, astfel cum se descrie la articolul 12 alineatul (2) și la articolul 13 alineatul (2) din regulamentul menționat.</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Beneficiile din diversificare se raportează pe rândul 0140 în conformitate cu articolul 9 alineatul (6), articolul 10 alineatul (7) și articolul 11 alineatul (7) din Regulamentul delegat (UE) 2016/101 și sunt, prin urmare, excluse de pe rândurile 0040-0130.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DIN CARE: AVA PENTRU MARJELE DE CREDIT CONSTATATE ÎN AVANS</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105 alineatul (10) din Regulamentul (UE) nr. 575/2013, articolul 12 din Regulamentul delegat (UE) 2016/101.</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Totalul AVA calculat pentru marjele de credit constatate în avans („AVA pentru CVA”) și alocarea sa între AVA pentru incertitudinea prețului de piață, AVA pentru costurile cu lichidarea sau AVA pentru riscul de model în temeiul articolului 12 din Regulamentul delegat (UE) 2016/101.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Coloanele 0130 și 0140: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articolul 4 alineatul (2) din Regulamentul delegat (UE) 2016/101, nu mai trebuie considerate de semn opus perfect corespondente.</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AVA PENTRU COSTURILE DE INVESTIȚII ȘI DE FINANȚARE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Articolul 105 alineatul (10) din Regulamentul (UE) nr. 575/2013, articolul 17 din Regulamentul delegat (UE) 2016/101.</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Totalul AVA calculat pentru costurile de investiții și de finanțare și alocarea sa între AVA pentru incertitudinea prețului de piață, AVA pentru costurile cu lichidarea sau AVA pentru riscul de model în temeiul articolului 13 din Regulamentul delegat (UE) 2016/101.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Coloanele 0130 și 0140: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w:t>
            </w:r>
            <w:r>
              <w:rPr>
                <w:rFonts w:ascii="Times New Roman" w:hAnsi="Times New Roman"/>
                <w:sz w:val="24"/>
              </w:rPr>
              <w:lastRenderedPageBreak/>
              <w:t>conformitate cu articolul 4 alineatul (2) din Regulamentul delegat (UE) 2016/101, nu mai trebuie considerate de semn opus perfect corespondente.</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DIN CARE: AVA EVALUATĂ A AVEA VALOAREA ZERO ÎN TEMEIUL ARTICOLULUI 9 ALINEATUL (2)</w:t>
            </w:r>
            <w:r>
              <w:rPr>
                <w:rFonts w:ascii="Times New Roman" w:hAnsi="Times New Roman"/>
                <w:sz w:val="24"/>
              </w:rPr>
              <w:t xml:space="preserve"> </w:t>
            </w:r>
            <w:r>
              <w:rPr>
                <w:rFonts w:ascii="Times New Roman" w:hAnsi="Times New Roman"/>
                <w:b/>
                <w:caps/>
                <w:sz w:val="24"/>
              </w:rPr>
              <w:t>din Regulamentul delegat (UE) 2016/101</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expunerilor supuse evaluării care au fost evaluate a avea valoarea AVA egală cu zero în temeiul articolului 9 alineatul (2) din Regulamentul delegat (UE)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DIN CARE: AVA EVALUATĂ A AVEA VALOAREA ZERO ÎN TEMEIUL ARTICOLULUI 10 ALINEATELE (2) ȘI (3) DIN</w:t>
            </w:r>
            <w:r>
              <w:rPr>
                <w:rFonts w:ascii="Times New Roman" w:hAnsi="Times New Roman"/>
                <w:sz w:val="24"/>
              </w:rPr>
              <w:t xml:space="preserve"> </w:t>
            </w:r>
            <w:r>
              <w:rPr>
                <w:rFonts w:ascii="Times New Roman" w:hAnsi="Times New Roman"/>
                <w:b/>
                <w:caps/>
                <w:sz w:val="24"/>
              </w:rPr>
              <w:t>REGULAMENTUL DELEGAT (UE) 2016/101</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corespunzătoare expunerilor supuse evaluării care au fost evaluate a avea valoarea AVA egală cu zero în temeiul articolului 10 alineatul (2) sau al articolului 10 alineatul (3) din Regulamentul delegat (UE)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RATELE DOBÂNZII</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63353A6B"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w:t>
            </w:r>
            <w:r w:rsidR="00B3457F">
              <w:rPr>
                <w:rFonts w:ascii="Times New Roman" w:hAnsi="Times New Roman"/>
                <w:b/>
                <w:sz w:val="24"/>
                <w:u w:val="single"/>
              </w:rPr>
              <w:t xml:space="preserve"> </w:t>
            </w:r>
            <w:r>
              <w:rPr>
                <w:rFonts w:ascii="Times New Roman" w:hAnsi="Times New Roman"/>
                <w:b/>
                <w:sz w:val="24"/>
                <w:u w:val="single"/>
              </w:rPr>
              <w:t>SCHIMB VALUTAR</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CREDIT</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TITLURI DE CAPITAL</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MĂRFURI</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Beneficii din diversificare</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Total beneficii din diversificare. Suma rândurilor 0150 și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Beneficiu din diversificare calculat folosind metoda 1</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Pentru categoriile de AVA agregate în temeiul metodei 1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Beneficiu din diversificare calculat folosind metoda 2</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Pentru categoriile de AVA agregate în temeiul metodei 2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Element memorandum: AVA înainte de diversificare redusă cu peste 90</w:t>
            </w:r>
            <w:r>
              <w:t xml:space="preserve"> </w:t>
            </w:r>
            <w:r>
              <w:rPr>
                <w:rFonts w:ascii="Times New Roman" w:hAnsi="Times New Roman"/>
                <w:b/>
                <w:caps/>
                <w:sz w:val="24"/>
                <w:u w:val="single"/>
              </w:rPr>
              <w:t>% prin diversificare în temeiul metodei 2</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Potrivit terminologiei metodei 2, suma FV – PV pentru toate expunerile supuse evaluării în cazul cărora APVA &lt; 10</w:t>
            </w:r>
            <w:r>
              <w:t xml:space="preserve"> </w:t>
            </w:r>
            <w:r>
              <w:rPr>
                <w:rFonts w:ascii="Times New Roman" w:hAnsi="Times New Roman"/>
                <w:sz w:val="24"/>
              </w:rPr>
              <w:t>%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 Portofolii calculate folosind abordarea de rezervă (fall-back)</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7 alineatul (2) litera (b) din Regulamentul delegat (UE) 2016/101.</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Pentru portofoliile cărora li se aplică abordarea de rezervă (fall-back) în temeiul articolului 7 alineatul (2) litera (b) din Regulamentul delegat (UE) 2016/101, totalul AVA se calculează ca suma rândurilor 0190, 0200 și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În coloanele 0130 - 0260 se prezintă informații din bilanț și alte informații contextuale relevante. Descrierea pozițiilor și motivul pentru care nu a fost posibilă aplicarea articolelor 9-17 din Regulamentul delegat (UE) 2016/101 se prezintă în coloana 0270.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1.2.1 Abordarea de rezervă (fall-back); 100</w:t>
            </w:r>
            <w:r>
              <w:t xml:space="preserve"> </w:t>
            </w:r>
            <w:r>
              <w:rPr>
                <w:rFonts w:ascii="Times New Roman" w:hAnsi="Times New Roman"/>
                <w:b/>
                <w:caps/>
                <w:sz w:val="24"/>
                <w:u w:val="single"/>
              </w:rPr>
              <w:t>% din profitul nerealizat</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7 alineatul (2) litera (b) punctul (i) din Regulamentul delegat (UE)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1.2.2 Abordarea de rezervă (fall-back); 10</w:t>
            </w:r>
            <w:r>
              <w:t xml:space="preserve"> </w:t>
            </w:r>
            <w:r>
              <w:rPr>
                <w:rFonts w:ascii="Times New Roman" w:hAnsi="Times New Roman"/>
                <w:b/>
                <w:caps/>
                <w:sz w:val="24"/>
                <w:u w:val="single"/>
              </w:rPr>
              <w:t>% din valoarea noțională</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7 alineatul (2) litera (b) punctul (ii) din Regulamentul delegat (UE)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Abordarea de rezervă (fall-back); 25 % din valoarea inițială</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Articolul 7 alineatul (2) litera (b) punctul (iii) din Regulamentul delegat (UE)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t xml:space="preserve">6.3. </w:t>
      </w:r>
      <w:r>
        <w:rPr>
          <w:rFonts w:ascii="Times New Roman" w:hAnsi="Times New Roman"/>
          <w:sz w:val="24"/>
        </w:rPr>
        <w:t>C 32.03 - Evaluarea prudentă: AVA pentru riscul de model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rPr>
          <w:rFonts w:ascii="Times New Roman" w:hAnsi="Times New Roman"/>
          <w:sz w:val="24"/>
          <w:u w:val="none"/>
        </w:rPr>
        <w:tab/>
      </w:r>
      <w:r>
        <w:rPr>
          <w:rFonts w:ascii="Times New Roman" w:hAnsi="Times New Roman"/>
          <w:sz w:val="24"/>
        </w:rPr>
        <w:t>Observații generale</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181</w:t>
      </w:r>
      <w:r w:rsidRPr="005B57EC">
        <w:fldChar w:fldCharType="end"/>
      </w:r>
      <w:r>
        <w:t>. Acest formular se completează numai de către instituțiile care depășesc pragul menționat la articolul 4 alineatul (1) din Regulamentul delegat (UE) 2016/101 la nivelul lor. Instituțiile care fac parte dintr-un grup care depășește pragul la nivel consolidat trebuie să raporteze acest formular numai atunci când depășesc și pragul la nivelul instituției.</w:t>
      </w:r>
    </w:p>
    <w:p w14:paraId="5D109DA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182</w:t>
      </w:r>
      <w:r w:rsidRPr="005B57EC">
        <w:fldChar w:fldCharType="end"/>
      </w:r>
      <w:r>
        <w:t xml:space="preserve">. Acest formular se folosește pentru a raporta informații cu privire la primele 20 de AVA individuale pentru riscul de model în ceea ce privește cuantumul AVA </w:t>
      </w:r>
      <w:r>
        <w:lastRenderedPageBreak/>
        <w:t>care contribuie la totalul AVA la nivel de categorie pentru riscul de model calculat în conformitate cu articolul 11 din Regulamentul delegat (UE) 2016/101. Informațiile respective corespund informațiilor raportate în coloana 0050 din formularul C 32.02.</w:t>
      </w:r>
    </w:p>
    <w:p w14:paraId="617DAF2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183</w:t>
      </w:r>
      <w:r w:rsidRPr="005B57EC">
        <w:fldChar w:fldCharType="end"/>
      </w:r>
      <w:r>
        <w:t xml:space="preserve">. Primele 20 de AVA individuale pentru riscul de model, și informațiile privind produsul corespunzătoare, se raportează în ordine descrescătoare începând cu cea mai mare AVA individuală pentru riscul de model. </w:t>
      </w:r>
    </w:p>
    <w:p w14:paraId="2DB5DCBD"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184</w:t>
      </w:r>
      <w:r w:rsidRPr="005B57EC">
        <w:fldChar w:fldCharType="end"/>
      </w:r>
      <w:r>
        <w:t xml:space="preserve">. Produsele care corespund acestor AVA individuale pentru riscul de model se raportează folosind inventarul de produse prevăzut la articolul 19 alineatul (3) litera (a) din Regulamentul delegat (UE) 2016/101. </w:t>
      </w:r>
    </w:p>
    <w:p w14:paraId="34E20984"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185</w:t>
      </w:r>
      <w:r w:rsidRPr="005B57EC">
        <w:fldChar w:fldCharType="end"/>
      </w:r>
      <w:r>
        <w:t>. Atunci când produsele sunt suficient de omogene în ceea ce privește modelul de evaluare și AVA pentru riscul de model, acestea vor fi grupate și indicate pe o linie în vederea maximizării acoperirii prezentului formular în ceea ce privește totalul AVA la nivel de categorie pentru riscul de model al instituției.</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rPr>
          <w:rFonts w:ascii="Times New Roman" w:hAnsi="Times New Roman"/>
          <w:sz w:val="24"/>
          <w:u w:val="none"/>
        </w:rPr>
        <w:tab/>
      </w:r>
      <w:r>
        <w:rPr>
          <w:rFonts w:ascii="Times New Roman" w:hAnsi="Times New Roman"/>
          <w:sz w:val="24"/>
        </w:rPr>
        <w:t>Instrucțiuni privind anumite poziții</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Coloane</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Rangul este un număr de identificare a rândului și trebuie să fie unic pentru fiecare rând din formular. Rangul urmează ordinea numerică 1, 2, 3 etc., unde 1 se atribuie AVA individuale pentru riscul de model cu cea mai mare valoare, 2 valorii de pe locul doi și așa mai departe.</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Denumirea internă (cu caractere alfanumerice) a modelului utilizat de instituție pentru a identifica modelul.</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produsul sau grupa de produse care ocazionează ajustarea evaluării riscului de model.</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Instituțiile raportează următoarele coduri:</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rate ale dobânzii</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schimb valutar</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credit</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titluri de capital</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mărfuri</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PRODUS</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Denumirea internă (cu caractere alfanumerice) a produsului sau a grupei de produse, în concordanță cu inventarul de produse prevăzut la articolul 19 alineatul (3) litera (a) din Regulamentul delegat (UE) 2016/101, care se evaluează cu ajutorul modelului.</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OBSERVABILITATE</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De câte ori s-a observat că produsul sau grupa de produse a îndeplinit în ultimele douăsprezece luni oricare dintre următoarele criterii:</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prețul observat este un preț la care instituția a încheiat o tranzacție;</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prețul observat este un preț care poate fi verificat pentru o tranzacție efectivă între terți;</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prețul se obține pe baza unei oferte ferme.</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t>Instituțiile raportează una dintre următoarele valori: „niciodată”,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RISCUL DE MODEL</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Articolul 11 alineatul (1)</w:t>
            </w:r>
            <w:r>
              <w:rPr>
                <w:rFonts w:ascii="Times New Roman" w:hAnsi="Times New Roman"/>
                <w:sz w:val="24"/>
              </w:rPr>
              <w:t xml:space="preserve"> din Regulamentul delegat (UE)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AVA individuală pentru riscul de model înainte de beneficiul din diversificare, însă după compensarea portofoliului, dacă este cazul.</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FOLOSIND ABORDAREA BAZATĂ PE CUNOȘTINȚE DE SPECIALITATE</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Cuantumurile din coloana 0050 care au fost calculate folosind abordarea bazată pe cunoștințe de specialitate menționată la articolul 11 alineatul (4) din Regulamentul delegat (UE)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AGREGATĂ ÎN TEMEIUL METODEI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Cuantumurile din coloana 0050 care au fost agregate în temeiul metodei 2 din anexa la Regulamentul delegat (UE) 2016/101. Aceste sume corespund FV – PV, potrivit terminologiei din anexa respectivă.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AGREGATĂ CALCULATĂ ÎN TEMEIUL METODEI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Contribuția la totalul AVA la nivel de categorie pentru riscul de model, astfel cum este calculat în conformitate cu articolul 11 alineatul (7) din</w:t>
            </w:r>
            <w:r>
              <w:rPr>
                <w:rFonts w:ascii="Times New Roman" w:hAnsi="Times New Roman"/>
                <w:sz w:val="24"/>
              </w:rPr>
              <w:t xml:space="preserve"> Regulamentul delegat (UE) 2016/101</w:t>
            </w:r>
            <w:r>
              <w:rPr>
                <w:rStyle w:val="InstructionsTabelleberschrift"/>
                <w:rFonts w:ascii="Times New Roman" w:hAnsi="Times New Roman"/>
                <w:b w:val="0"/>
                <w:sz w:val="24"/>
                <w:u w:val="none"/>
              </w:rPr>
              <w:t>, al AVA individuale pentru riscul de model care sunt agregate folosind metoda 2 din anexa la</w:t>
            </w:r>
            <w:r>
              <w:rPr>
                <w:rFonts w:ascii="Times New Roman" w:hAnsi="Times New Roman"/>
                <w:sz w:val="24"/>
              </w:rPr>
              <w:t xml:space="preserve"> regulamentul menționat</w:t>
            </w:r>
            <w:r>
              <w:rPr>
                <w:rStyle w:val="InstructionsTabelleberschrift"/>
                <w:rFonts w:ascii="Times New Roman" w:hAnsi="Times New Roman"/>
                <w:b w:val="0"/>
                <w:sz w:val="24"/>
                <w:u w:val="none"/>
              </w:rPr>
              <w:t xml:space="preserve">. </w:t>
            </w:r>
            <w:r>
              <w:rPr>
                <w:rFonts w:ascii="Times New Roman" w:hAnsi="Times New Roman"/>
                <w:sz w:val="24"/>
              </w:rPr>
              <w:t>Această sumă corespunde APVA, potrivit terminologiei din anexă.</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activelor și datoriilor evaluate la valoarea justă folosind modelul raportat în coloana 0010, astfel cum sunt înscrise în situațiile financiare în temeiul cadrului aplicabil.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Valoarea absolută a activelor evaluate la valoarea justă folosind modelul raportat în coloana 0010, astfel cum sunt înscrise în situațiile financiare în temeiul cadrului aplicabil</w:t>
            </w:r>
            <w:r>
              <w:rPr>
                <w:rStyle w:val="InstructionsTabelleberschrift"/>
                <w:rFonts w:ascii="Times New Roman" w:hAnsi="Times New Roman"/>
                <w:b w:val="0"/>
                <w:sz w:val="24"/>
                <w:u w:val="none"/>
              </w:rPr>
              <w:t>.</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Valoarea absolută a datoriilor evaluate la valoarea justă folosind modelul raportat în coloana 0010, astfel cum sunt înscrise în situațiile financiare în temeiul cadrului aplicabil.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 (TESTAREA REZULTATELOR)</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Suma cuantumurilor diferenței neajustate („diferența IPV”) calculate la sfârșitul lunii celei mai apropiate de data de raportare în cadrul procesului de verificare independentă a prețurilor (IPV) efectuat în conformitate cu articolul 105 alineatul (8)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în ceea ce privește cele mai bune date independente disponibile pentru produsul sau grupa de produse relevante.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Se includ aici numai rezultatele care au fost calibrate pe baza prețurilor instrumentelor care ar fi puse în corespondență cu același produs (testarea rezultatelor). Nu se includ rezultatele testării datelor de intrare pentru datele de intrare privind piața care sunt testate în raport cu nivelurile care au fost calibrate pe baza unor produse diferite. </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ACOPERIREA IPV (TESTAREA REZULTATELOR)</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Procentajul pozițiilor puse în corespondență cu modelul ponderat cu AVA pentru riscul de model care este acoperit de testarea rezultatelor IPV prezentată în coloana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Ajustări ale valorii juste, astfel cum sunt menționate în coloanele 0190 și 0240 din formularul C 32.02, care s-au aplicat pozițiilor puse în corespondență cu</w:t>
            </w:r>
            <w:r>
              <w:rPr>
                <w:rFonts w:ascii="Times New Roman" w:hAnsi="Times New Roman"/>
                <w:sz w:val="24"/>
              </w:rPr>
              <w:t xml:space="preserve"> modelul din coloana 0010</w:t>
            </w:r>
            <w:r>
              <w:rPr>
                <w:rStyle w:val="InstructionsTabelleberschrift"/>
                <w:rFonts w:ascii="Times New Roman" w:hAnsi="Times New Roman"/>
                <w:b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 ȘI PIERDERE ZIUA 1</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Ajustări, astfel cum sunt definite în coloana 0260 din formularul C 32.02, care s-au aplicat pozițiilor puse în corespondență cu</w:t>
            </w:r>
            <w:r>
              <w:rPr>
                <w:rFonts w:ascii="Times New Roman" w:hAnsi="Times New Roman"/>
                <w:sz w:val="24"/>
              </w:rPr>
              <w:t xml:space="preserve"> modelul din coloana 0010</w:t>
            </w:r>
            <w:r>
              <w:rPr>
                <w:rStyle w:val="InstructionsTabelleberschrift"/>
                <w:rFonts w:ascii="Times New Roman" w:hAnsi="Times New Roman"/>
                <w:sz w:val="24"/>
                <w:u w:val="none"/>
              </w:rPr>
              <w: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u w:val="none"/>
        </w:rPr>
        <w:lastRenderedPageBreak/>
        <w:t xml:space="preserve">6.4 </w:t>
      </w:r>
      <w:r>
        <w:rPr>
          <w:rFonts w:ascii="Times New Roman" w:hAnsi="Times New Roman"/>
          <w:sz w:val="24"/>
        </w:rPr>
        <w:t>C 32.04 - Evaluarea prudentă: AVA pentru poziții concentrate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rPr>
          <w:rFonts w:ascii="Times New Roman" w:hAnsi="Times New Roman"/>
          <w:sz w:val="24"/>
          <w:u w:val="none"/>
        </w:rPr>
        <w:tab/>
      </w:r>
      <w:r>
        <w:rPr>
          <w:rFonts w:ascii="Times New Roman" w:hAnsi="Times New Roman"/>
          <w:sz w:val="24"/>
        </w:rPr>
        <w:t>Observații generale</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186</w:t>
      </w:r>
      <w:r w:rsidRPr="005B57EC">
        <w:fldChar w:fldCharType="end"/>
      </w:r>
      <w:r>
        <w:t>. Acest formular se completează numai de către instituțiile care depășesc pragul menționat la articolul 4 alineatul (1) din Regulamentul delegat (UE) 2016/101. Instituțiile care fac parte dintr-un grup care depășește pragul la nivel consolidat raportează acest formular numai atunci când depășesc și pragul la nivelul instituției.</w:t>
      </w:r>
    </w:p>
    <w:p w14:paraId="0D2CFCEC" w14:textId="16DBD885"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187</w:t>
      </w:r>
      <w:r w:rsidRPr="005B57EC">
        <w:fldChar w:fldCharType="end"/>
      </w:r>
      <w:r>
        <w:t>. Acest formular se folosește pentru a raporta informații cu privire la primele 20</w:t>
      </w:r>
      <w:r w:rsidR="00B3457F">
        <w:t> </w:t>
      </w:r>
      <w:r>
        <w:t xml:space="preserve">de AVA individuale pentru poziții concentrate în ceea ce privește cuantumul AVA care contribuie la totalul AVA la nivel de categorie pentru poziții concentrate calculat în conformitate cu articolul 14 din Regulamentul delegat (UE) 2016/101. Aceste informații corespund informațiilor raportate în coloana 0070 din formularul C 32.02. </w:t>
      </w:r>
    </w:p>
    <w:p w14:paraId="11EF9CE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188</w:t>
      </w:r>
      <w:r w:rsidRPr="005B57EC">
        <w:fldChar w:fldCharType="end"/>
      </w:r>
      <w:r>
        <w:t>. Primele 20 de AVA pentru poziții concentrate și informațiile privind produsul corespunzătoare se raportează în ordine descrescătoare începând cu cea mai mare AVA individuală pentru poziții concentrate.</w:t>
      </w:r>
    </w:p>
    <w:p w14:paraId="306372CF"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189</w:t>
      </w:r>
      <w:r w:rsidRPr="005B57EC">
        <w:fldChar w:fldCharType="end"/>
      </w:r>
      <w:r>
        <w:t>. Produsele care corespund acestor prime AVA individuale pentru poziții concentrate se raportează folosind inventarul de produse prevăzut la articolul 19 alineatul (3) litera (a) din Regulamentul delegat (UE) 2016/101.</w:t>
      </w:r>
    </w:p>
    <w:p w14:paraId="723832B5"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190</w:t>
      </w:r>
      <w:r w:rsidRPr="005B57EC">
        <w:fldChar w:fldCharType="end"/>
      </w:r>
      <w:r>
        <w:t>. Pozițiile care sunt omogene în ceea ce privește metodologia de calculare a AVA se agregă atunci când este posibil, astfel încât să se maximizeze acoperirea acestui formular.</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rPr>
          <w:rFonts w:ascii="Times New Roman" w:hAnsi="Times New Roman"/>
          <w:sz w:val="24"/>
          <w:u w:val="none"/>
        </w:rPr>
        <w:tab/>
      </w:r>
      <w:r>
        <w:rPr>
          <w:rFonts w:ascii="Times New Roman" w:hAnsi="Times New Roman"/>
          <w:sz w:val="24"/>
        </w:rPr>
        <w:t>Instrucțiuni privind anumite poziții</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Coloane</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t>Rangul este un număr de identificare a rândului și trebuie să fie unic pentru fiecare rând din formular. Rangul urmează ordinea numerică 1, 2, 3 etc., unde 1 se atribuie AVA pentru poziții concentrate cu cea mai mare valoare, 2 valorii de pe locul doi și așa mai departe.</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poziția.</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Instituțiile raportează următoarele coduri:</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rate ale dobânzii</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schimb valutar</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credit</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EQ – titluri de capital</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mărfuri</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PRODUS </w:t>
            </w:r>
          </w:p>
          <w:p w14:paraId="71775E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Denumirea internă a produsului sau a grupei de produse, în concordanță cu inventarul de produse prevăzut la </w:t>
            </w:r>
            <w:r>
              <w:t xml:space="preserve">articolul 19 alineatul (3) litera (a) </w:t>
            </w:r>
            <w:r>
              <w:rPr>
                <w:rFonts w:ascii="Times New Roman" w:hAnsi="Times New Roman"/>
                <w:sz w:val="24"/>
              </w:rPr>
              <w:t>din Regulamentul delegat (UE)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SUPORT</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Denumirea internă a suportului sau a suporturilor, în cazul instrumentelor derivate sau al instrumentelor, în cazul instrumentelor care nu sunt instrumente financiare derivate.</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DIMENSIUNEA POZIȚIEI CONCENTRATE</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Dimensiunea poziției concentrate individuale supuse evaluării identificate în conformitate cu articolul 14 alineatul (1) litera (a) din Regulamentul delegat (UE) 2016/101, exprimată în unitatea descrisă în coloana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CUANTIFICAREA DIMENSIUNII</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Unitatea de măsurare a dimensiunii utilizată pe plan intern ca parte a identificării poziției concentrate supuse evaluării, pentru a calcula dimensiunea poziției concentrate menționată în coloana 0040.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În cazul pozițiilor pe obligațiuni sau titluri de capital, se raportează unitatea utilizată</w:t>
            </w:r>
            <w:r>
              <w:rPr>
                <w:rFonts w:ascii="Times New Roman" w:hAnsi="Times New Roman"/>
                <w:sz w:val="24"/>
              </w:rPr>
              <w:t xml:space="preserve"> pentru gestionarea internă a riscurilor, </w:t>
            </w:r>
            <w:r>
              <w:rPr>
                <w:rStyle w:val="InstructionsTabelleberschrift"/>
                <w:rFonts w:ascii="Times New Roman" w:hAnsi="Times New Roman"/>
                <w:b w:val="0"/>
                <w:sz w:val="24"/>
                <w:u w:val="none"/>
              </w:rPr>
              <w:t xml:space="preserve">ca de exemplu „numărul obligațiunilor”, „numărul acțiunilor” sau „valoarea de piață”.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În cazul pozițiilor pe instrumente financiare derivate, se raportează unitatea utilizată pentru gestionarea internă a riscurilor, ca de exemplu „PV01; EUR pentru deplasarea paralelă cu un punct de bază a curbei randamentelor”.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DE PIAȚĂ</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Valoarea de piață a poziției.</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PERIOADA DE IEȘIRE PRUDENTĂ</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Perioada de ieșire prudentă în număr de zile estimată în conformitate cu </w:t>
            </w:r>
            <w:r>
              <w:rPr>
                <w:rFonts w:ascii="Times New Roman" w:hAnsi="Times New Roman"/>
                <w:sz w:val="24"/>
              </w:rPr>
              <w:t xml:space="preserve">articolul 14 alineatul (1) litera (b) </w:t>
            </w:r>
            <w:r>
              <w:rPr>
                <w:rStyle w:val="InstructionsTabelleberschrift"/>
                <w:rFonts w:ascii="Times New Roman" w:hAnsi="Times New Roman"/>
                <w:b w:val="0"/>
                <w:sz w:val="24"/>
                <w:u w:val="none"/>
              </w:rPr>
              <w:t xml:space="preserve">din </w:t>
            </w:r>
            <w:r>
              <w:rPr>
                <w:rFonts w:ascii="Times New Roman" w:hAnsi="Times New Roman"/>
                <w:sz w:val="24"/>
              </w:rPr>
              <w:t>Regulamentul delegat (UE) 2016/101</w:t>
            </w:r>
            <w:r>
              <w:rPr>
                <w:rStyle w:val="InstructionsTabelleberschrift"/>
                <w:rFonts w:ascii="Times New Roman" w:hAnsi="Times New Roman"/>
                <w:b w:val="0"/>
                <w:sz w:val="24"/>
                <w:u w:val="none"/>
              </w:rPr>
              <w:t>.</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POZIȚII CONCENTRATE</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Cuantumul AVA pentru poziții concentrate calculat în conformitate cu articolul 14 alineatul (1)</w:t>
            </w:r>
            <w:r>
              <w:rPr>
                <w:rFonts w:ascii="Times New Roman" w:hAnsi="Times New Roman"/>
                <w:sz w:val="24"/>
              </w:rPr>
              <w:t xml:space="preserve"> din Regulamentul delegat (UE) 2016/101 </w:t>
            </w:r>
            <w:r>
              <w:rPr>
                <w:rStyle w:val="InstructionsTabelleberschrift"/>
                <w:rFonts w:ascii="Times New Roman" w:hAnsi="Times New Roman"/>
                <w:b w:val="0"/>
                <w:sz w:val="24"/>
                <w:u w:val="none"/>
              </w:rPr>
              <w:t>pentru poziția concentrată individuală supusă evaluării vizată.</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AJUSTAREA VALORII JUSTE A POZIȚIEI CONCENTRATE</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Cuantumul oricăror ajustări ale valorii juste efectuate pentru a reflecta faptul că poziția agregată deținută de către instituție este mai mare decât volumul </w:t>
            </w:r>
            <w:r>
              <w:rPr>
                <w:rStyle w:val="InstructionsTabelleberschrift"/>
                <w:rFonts w:ascii="Times New Roman" w:hAnsi="Times New Roman"/>
                <w:b w:val="0"/>
                <w:sz w:val="24"/>
                <w:u w:val="none"/>
              </w:rPr>
              <w:lastRenderedPageBreak/>
              <w:t>tranzacționat în mod normal sau mai mare decât dimensiunea pozițiilor pe care se bazează ofertele de preț sau tranzacțiile care sunt utilizate pentru a calibra prețurile sau datele de intrare folosite de modelul de evaluare.</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Cuantumul raportat corespunde cuantumului care s-a aplicat poziției concentrate individuale supse evaluării vizate.</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Suma cuantumurilor diferenței neajustate („diferența IPV”) calculate la sfârșitul lunii celei mai apropiate de data de raportare în cadrul procesului de verificare independentă a prețurilor (IPV) efectuat în conformitate cu articolul 105 alineatul (8)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în ceea ce privește cele mai bune date independente disponibile pentru poziția concentrată individuală supusă evaluării vizată.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Regulamentul delegat (UE) 2016/101 al Comisiei din 26 octombrie 2015 de completare a Regulamentului (UE) nr. 575/2013 al Parlamentului European și al Consiliului în ceea ce privește standardele tehnice de reglementare pentru evaluarea prudentă prevăzute la articolul 105 alineatul (14) (JO L 21, 28.1.2016, p.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r>
      <w:r>
        <w:rPr>
          <w:sz w:val="20"/>
        </w:rPr>
        <w:t>Regulamentul (CE) nr. 1606/2002 al Parlamentului European și al Consiliului din 19 iulie 2002 privind aplicarea standardelor internaționale de contabilitate (</w:t>
      </w:r>
      <w:r>
        <w:rPr>
          <w:rStyle w:val="Emphasis"/>
          <w:sz w:val="20"/>
        </w:rPr>
        <w:t>JO L 243, 11.9.2002, p.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Directiva 2013/34/UE a Parlamentului European și a Consiliului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3457F"/>
    <w:rsid w:val="00B71F25"/>
    <w:rsid w:val="00EA1E1F"/>
    <w:rsid w:val="00ED0382"/>
    <w:rsid w:val="00EE75F2"/>
    <w:rsid w:val="00EF07A1"/>
    <w:rsid w:val="00F70B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ro-RO"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ro-RO"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ro-RO"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4A2B2AAC-643D-4382-AB64-C7A3C0BB278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24</Pages>
  <Words>7873</Words>
  <Characters>45806</Characters>
  <Application>Microsoft Office Word</Application>
  <DocSecurity>0</DocSecurity>
  <Lines>1000</Lines>
  <Paragraphs>471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POPOVICI Ioana (DGT)</cp:lastModifiedBy>
  <cp:revision>9</cp:revision>
  <dcterms:created xsi:type="dcterms:W3CDTF">2024-05-28T10:37:00Z</dcterms:created>
  <dcterms:modified xsi:type="dcterms:W3CDTF">2025-01-23T09:09:00Z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2025-01-23T09:01:29Z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b72ebf3b-6d87-40b2-ac5d-bd2c1da09793</vt:lpwstr>
  </property>
  <property fmtid="{D5CDD505-2E9C-101B-9397-08002B2CF9AE}" pid="12" name="MSIP_Label_6bd9ddd1-4d20-43f6-abfa-fc3c07406f94_ContentBits">
    <vt:lpwstr>0</vt:lpwstr>
  </property>
</Properties>
</file>