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CC0A94" w:rsidRPr="00821FB1" w:rsidRDefault="00CC0A94" w:rsidP="00821FB1">
      <w:pPr>
        <w:pStyle w:val="abbreviation"/>
      </w:pPr>
    </w:p>
    <w:p w14:paraId="7FE1B2AF" w14:textId="77777777" w:rsidR="00CC0A94" w:rsidRDefault="006C1571">
      <w:pPr>
        <w:pStyle w:val="ListParagraph"/>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Annex II: Instructions</w:t>
      </w:r>
    </w:p>
    <w:p w14:paraId="7FE1B2B0" w14:textId="77777777" w:rsidR="00CC0A94" w:rsidRDefault="00CC0A94">
      <w:pPr>
        <w:rPr>
          <w:rFonts w:ascii="Times New Roman" w:hAnsi="Times New Roman" w:cs="Times New Roman"/>
          <w:b/>
          <w:color w:val="000000" w:themeColor="text1"/>
          <w:sz w:val="20"/>
          <w:szCs w:val="20"/>
          <w:lang w:val="en-GB"/>
        </w:rPr>
      </w:pPr>
    </w:p>
    <w:p w14:paraId="7FE1B2B1" w14:textId="77777777" w:rsidR="00CC0A94" w:rsidRDefault="00CC0A94">
      <w:pPr>
        <w:rPr>
          <w:rFonts w:ascii="Times New Roman" w:hAnsi="Times New Roman" w:cs="Times New Roman"/>
          <w:b/>
          <w:color w:val="000000" w:themeColor="text1"/>
          <w:sz w:val="20"/>
          <w:szCs w:val="20"/>
          <w:lang w:val="en-GB"/>
        </w:rPr>
      </w:pPr>
    </w:p>
    <w:p w14:paraId="1E5BBAE2" w14:textId="3C203F5A" w:rsidR="00591328" w:rsidRDefault="006C1571">
      <w:pPr>
        <w:pStyle w:val="TOC2"/>
        <w:rPr>
          <w:lang w:val="en-GB" w:eastAsia="en-GB"/>
        </w:rPr>
      </w:pPr>
      <w:r>
        <w:rPr>
          <w:bCs/>
          <w:sz w:val="20"/>
          <w:szCs w:val="20"/>
          <w:lang w:val="en-GB"/>
        </w:rPr>
        <w:fldChar w:fldCharType="begin"/>
      </w:r>
      <w:r>
        <w:rPr>
          <w:bCs/>
          <w:sz w:val="20"/>
          <w:szCs w:val="20"/>
          <w:lang w:val="en-GB"/>
        </w:rPr>
        <w:instrText xml:space="preserve"> TOC \o "1-3" \h \z \t "Numbered tile level 1,1,Numbered title level 2,2" </w:instrText>
      </w:r>
      <w:r>
        <w:rPr>
          <w:sz w:val="20"/>
          <w:szCs w:val="20"/>
          <w:lang w:val="en-GB"/>
        </w:rPr>
        <w:fldChar w:fldCharType="separate"/>
      </w:r>
      <w:hyperlink w:anchor="_Toc192249030" w:history="1">
        <w:r w:rsidR="00591328" w:rsidRPr="00C953C3">
          <w:rPr>
            <w:rStyle w:val="Hyperlink"/>
            <w:rFonts w:ascii="Times New Roman" w:hAnsi="Times New Roman" w:cs="Times New Roman"/>
          </w:rPr>
          <w:t>I.</w:t>
        </w:r>
        <w:r w:rsidR="00591328">
          <w:rPr>
            <w:lang w:val="en-GB" w:eastAsia="en-GB"/>
          </w:rPr>
          <w:tab/>
        </w:r>
        <w:r w:rsidR="00591328" w:rsidRPr="00C953C3">
          <w:rPr>
            <w:rStyle w:val="Hyperlink"/>
            <w:rFonts w:ascii="Times New Roman" w:hAnsi="Times New Roman" w:cs="Times New Roman"/>
          </w:rPr>
          <w:t>General instructions</w:t>
        </w:r>
        <w:r w:rsidR="00591328">
          <w:rPr>
            <w:webHidden/>
          </w:rPr>
          <w:tab/>
        </w:r>
        <w:r w:rsidR="00591328">
          <w:rPr>
            <w:webHidden/>
          </w:rPr>
          <w:fldChar w:fldCharType="begin"/>
        </w:r>
        <w:r w:rsidR="00591328">
          <w:rPr>
            <w:webHidden/>
          </w:rPr>
          <w:instrText xml:space="preserve"> PAGEREF _Toc192249030 \h </w:instrText>
        </w:r>
        <w:r w:rsidR="00591328">
          <w:rPr>
            <w:webHidden/>
          </w:rPr>
        </w:r>
        <w:r w:rsidR="00591328">
          <w:rPr>
            <w:webHidden/>
          </w:rPr>
          <w:fldChar w:fldCharType="separate"/>
        </w:r>
        <w:r w:rsidR="00591328">
          <w:rPr>
            <w:webHidden/>
          </w:rPr>
          <w:t>3</w:t>
        </w:r>
        <w:r w:rsidR="00591328">
          <w:rPr>
            <w:webHidden/>
          </w:rPr>
          <w:fldChar w:fldCharType="end"/>
        </w:r>
      </w:hyperlink>
    </w:p>
    <w:p w14:paraId="401D2719" w14:textId="53A297E5" w:rsidR="00591328" w:rsidRDefault="00591328">
      <w:pPr>
        <w:pStyle w:val="TOC2"/>
        <w:rPr>
          <w:lang w:val="en-GB" w:eastAsia="en-GB"/>
        </w:rPr>
      </w:pPr>
      <w:hyperlink w:anchor="_Toc192249031" w:history="1">
        <w:r w:rsidRPr="00C953C3">
          <w:rPr>
            <w:rStyle w:val="Hyperlink"/>
            <w:rFonts w:ascii="Times New Roman" w:hAnsi="Times New Roman" w:cs="Times New Roman"/>
          </w:rPr>
          <w:t>I.1</w:t>
        </w:r>
        <w:r>
          <w:rPr>
            <w:lang w:val="en-GB" w:eastAsia="en-GB"/>
          </w:rPr>
          <w:tab/>
        </w:r>
        <w:r w:rsidRPr="00C953C3">
          <w:rPr>
            <w:rStyle w:val="Hyperlink"/>
            <w:rFonts w:ascii="Times New Roman" w:hAnsi="Times New Roman" w:cs="Times New Roman"/>
          </w:rPr>
          <w:t>Structure</w:t>
        </w:r>
        <w:r>
          <w:rPr>
            <w:webHidden/>
          </w:rPr>
          <w:tab/>
        </w:r>
        <w:r>
          <w:rPr>
            <w:webHidden/>
          </w:rPr>
          <w:fldChar w:fldCharType="begin"/>
        </w:r>
        <w:r>
          <w:rPr>
            <w:webHidden/>
          </w:rPr>
          <w:instrText xml:space="preserve"> PAGEREF _Toc192249031 \h </w:instrText>
        </w:r>
        <w:r>
          <w:rPr>
            <w:webHidden/>
          </w:rPr>
        </w:r>
        <w:r>
          <w:rPr>
            <w:webHidden/>
          </w:rPr>
          <w:fldChar w:fldCharType="separate"/>
        </w:r>
        <w:r>
          <w:rPr>
            <w:webHidden/>
          </w:rPr>
          <w:t>3</w:t>
        </w:r>
        <w:r>
          <w:rPr>
            <w:webHidden/>
          </w:rPr>
          <w:fldChar w:fldCharType="end"/>
        </w:r>
      </w:hyperlink>
    </w:p>
    <w:p w14:paraId="3971D05C" w14:textId="5CCF93E1" w:rsidR="00591328" w:rsidRDefault="00591328">
      <w:pPr>
        <w:pStyle w:val="TOC2"/>
        <w:rPr>
          <w:lang w:val="en-GB" w:eastAsia="en-GB"/>
        </w:rPr>
      </w:pPr>
      <w:hyperlink w:anchor="_Toc192249032" w:history="1">
        <w:r w:rsidRPr="00C953C3">
          <w:rPr>
            <w:rStyle w:val="Hyperlink"/>
            <w:rFonts w:ascii="Times New Roman" w:hAnsi="Times New Roman" w:cs="Times New Roman"/>
          </w:rPr>
          <w:t>I.2</w:t>
        </w:r>
        <w:r>
          <w:rPr>
            <w:lang w:val="en-GB" w:eastAsia="en-GB"/>
          </w:rPr>
          <w:tab/>
        </w:r>
        <w:r w:rsidRPr="00C953C3">
          <w:rPr>
            <w:rStyle w:val="Hyperlink"/>
            <w:rFonts w:ascii="Times New Roman" w:hAnsi="Times New Roman" w:cs="Times New Roman"/>
          </w:rPr>
          <w:t>References</w:t>
        </w:r>
        <w:r>
          <w:rPr>
            <w:webHidden/>
          </w:rPr>
          <w:tab/>
        </w:r>
        <w:r>
          <w:rPr>
            <w:webHidden/>
          </w:rPr>
          <w:fldChar w:fldCharType="begin"/>
        </w:r>
        <w:r>
          <w:rPr>
            <w:webHidden/>
          </w:rPr>
          <w:instrText xml:space="preserve"> PAGEREF _Toc192249032 \h </w:instrText>
        </w:r>
        <w:r>
          <w:rPr>
            <w:webHidden/>
          </w:rPr>
        </w:r>
        <w:r>
          <w:rPr>
            <w:webHidden/>
          </w:rPr>
          <w:fldChar w:fldCharType="separate"/>
        </w:r>
        <w:r>
          <w:rPr>
            <w:webHidden/>
          </w:rPr>
          <w:t>4</w:t>
        </w:r>
        <w:r>
          <w:rPr>
            <w:webHidden/>
          </w:rPr>
          <w:fldChar w:fldCharType="end"/>
        </w:r>
      </w:hyperlink>
    </w:p>
    <w:p w14:paraId="5E5330F0" w14:textId="56D4942C" w:rsidR="00591328" w:rsidRDefault="00591328">
      <w:pPr>
        <w:pStyle w:val="TOC2"/>
        <w:rPr>
          <w:lang w:val="en-GB" w:eastAsia="en-GB"/>
        </w:rPr>
      </w:pPr>
      <w:hyperlink w:anchor="_Toc192249033" w:history="1">
        <w:r w:rsidRPr="00C953C3">
          <w:rPr>
            <w:rStyle w:val="Hyperlink"/>
            <w:rFonts w:ascii="Times New Roman" w:hAnsi="Times New Roman" w:cs="Times New Roman"/>
          </w:rPr>
          <w:t>I.3</w:t>
        </w:r>
        <w:r>
          <w:rPr>
            <w:lang w:val="en-GB" w:eastAsia="en-GB"/>
          </w:rPr>
          <w:tab/>
        </w:r>
        <w:r w:rsidRPr="00C953C3">
          <w:rPr>
            <w:rStyle w:val="Hyperlink"/>
            <w:rFonts w:ascii="Times New Roman" w:hAnsi="Times New Roman" w:cs="Times New Roman"/>
          </w:rPr>
          <w:t>Accounting standards</w:t>
        </w:r>
        <w:r>
          <w:rPr>
            <w:webHidden/>
          </w:rPr>
          <w:tab/>
        </w:r>
        <w:r>
          <w:rPr>
            <w:webHidden/>
          </w:rPr>
          <w:fldChar w:fldCharType="begin"/>
        </w:r>
        <w:r>
          <w:rPr>
            <w:webHidden/>
          </w:rPr>
          <w:instrText xml:space="preserve"> PAGEREF _Toc192249033 \h </w:instrText>
        </w:r>
        <w:r>
          <w:rPr>
            <w:webHidden/>
          </w:rPr>
        </w:r>
        <w:r>
          <w:rPr>
            <w:webHidden/>
          </w:rPr>
          <w:fldChar w:fldCharType="separate"/>
        </w:r>
        <w:r>
          <w:rPr>
            <w:webHidden/>
          </w:rPr>
          <w:t>5</w:t>
        </w:r>
        <w:r>
          <w:rPr>
            <w:webHidden/>
          </w:rPr>
          <w:fldChar w:fldCharType="end"/>
        </w:r>
      </w:hyperlink>
    </w:p>
    <w:p w14:paraId="38894706" w14:textId="48E4AF61" w:rsidR="00591328" w:rsidRDefault="00591328">
      <w:pPr>
        <w:pStyle w:val="TOC2"/>
        <w:rPr>
          <w:lang w:val="en-GB" w:eastAsia="en-GB"/>
        </w:rPr>
      </w:pPr>
      <w:hyperlink w:anchor="_Toc192249034" w:history="1">
        <w:r w:rsidRPr="00C953C3">
          <w:rPr>
            <w:rStyle w:val="Hyperlink"/>
            <w:rFonts w:ascii="Times New Roman" w:hAnsi="Times New Roman" w:cs="Times New Roman"/>
          </w:rPr>
          <w:t>I.4</w:t>
        </w:r>
        <w:r>
          <w:rPr>
            <w:lang w:val="en-GB" w:eastAsia="en-GB"/>
          </w:rPr>
          <w:tab/>
        </w:r>
        <w:r w:rsidRPr="00C953C3">
          <w:rPr>
            <w:rStyle w:val="Hyperlink"/>
            <w:rFonts w:ascii="Times New Roman" w:hAnsi="Times New Roman" w:cs="Times New Roman"/>
          </w:rPr>
          <w:t>Reporting of supervisory data</w:t>
        </w:r>
        <w:r>
          <w:rPr>
            <w:webHidden/>
          </w:rPr>
          <w:tab/>
        </w:r>
        <w:r>
          <w:rPr>
            <w:webHidden/>
          </w:rPr>
          <w:fldChar w:fldCharType="begin"/>
        </w:r>
        <w:r>
          <w:rPr>
            <w:webHidden/>
          </w:rPr>
          <w:instrText xml:space="preserve"> PAGEREF _Toc192249034 \h </w:instrText>
        </w:r>
        <w:r>
          <w:rPr>
            <w:webHidden/>
          </w:rPr>
        </w:r>
        <w:r>
          <w:rPr>
            <w:webHidden/>
          </w:rPr>
          <w:fldChar w:fldCharType="separate"/>
        </w:r>
        <w:r>
          <w:rPr>
            <w:webHidden/>
          </w:rPr>
          <w:t>5</w:t>
        </w:r>
        <w:r>
          <w:rPr>
            <w:webHidden/>
          </w:rPr>
          <w:fldChar w:fldCharType="end"/>
        </w:r>
      </w:hyperlink>
    </w:p>
    <w:p w14:paraId="057670DF" w14:textId="52F0B207" w:rsidR="00591328" w:rsidRDefault="00591328">
      <w:pPr>
        <w:pStyle w:val="TOC2"/>
        <w:rPr>
          <w:lang w:val="en-GB" w:eastAsia="en-GB"/>
        </w:rPr>
      </w:pPr>
      <w:hyperlink w:anchor="_Toc192249035" w:history="1">
        <w:r w:rsidRPr="00C953C3">
          <w:rPr>
            <w:rStyle w:val="Hyperlink"/>
            <w:rFonts w:ascii="Times New Roman" w:hAnsi="Times New Roman" w:cs="Times New Roman"/>
          </w:rPr>
          <w:t>I.5</w:t>
        </w:r>
        <w:r>
          <w:rPr>
            <w:lang w:val="en-GB" w:eastAsia="en-GB"/>
          </w:rPr>
          <w:tab/>
        </w:r>
        <w:r w:rsidRPr="00C953C3">
          <w:rPr>
            <w:rStyle w:val="Hyperlink"/>
            <w:rFonts w:ascii="Times New Roman" w:hAnsi="Times New Roman" w:cs="Times New Roman"/>
          </w:rPr>
          <w:t>Scope of consolidation</w:t>
        </w:r>
        <w:r>
          <w:rPr>
            <w:webHidden/>
          </w:rPr>
          <w:tab/>
        </w:r>
        <w:r>
          <w:rPr>
            <w:webHidden/>
          </w:rPr>
          <w:fldChar w:fldCharType="begin"/>
        </w:r>
        <w:r>
          <w:rPr>
            <w:webHidden/>
          </w:rPr>
          <w:instrText xml:space="preserve"> PAGEREF _Toc192249035 \h </w:instrText>
        </w:r>
        <w:r>
          <w:rPr>
            <w:webHidden/>
          </w:rPr>
        </w:r>
        <w:r>
          <w:rPr>
            <w:webHidden/>
          </w:rPr>
          <w:fldChar w:fldCharType="separate"/>
        </w:r>
        <w:r>
          <w:rPr>
            <w:webHidden/>
          </w:rPr>
          <w:t>6</w:t>
        </w:r>
        <w:r>
          <w:rPr>
            <w:webHidden/>
          </w:rPr>
          <w:fldChar w:fldCharType="end"/>
        </w:r>
      </w:hyperlink>
    </w:p>
    <w:p w14:paraId="2BD4DDA0" w14:textId="5859F755" w:rsidR="00591328" w:rsidRDefault="00591328">
      <w:pPr>
        <w:pStyle w:val="TOC2"/>
        <w:rPr>
          <w:lang w:val="en-GB" w:eastAsia="en-GB"/>
        </w:rPr>
      </w:pPr>
      <w:hyperlink w:anchor="_Toc192249036" w:history="1">
        <w:r w:rsidRPr="00C953C3">
          <w:rPr>
            <w:rStyle w:val="Hyperlink"/>
            <w:rFonts w:ascii="Times New Roman" w:hAnsi="Times New Roman" w:cs="Times New Roman"/>
          </w:rPr>
          <w:t>I.6</w:t>
        </w:r>
        <w:r>
          <w:rPr>
            <w:lang w:val="en-GB" w:eastAsia="en-GB"/>
          </w:rPr>
          <w:tab/>
        </w:r>
        <w:r w:rsidRPr="00C953C3">
          <w:rPr>
            <w:rStyle w:val="Hyperlink"/>
            <w:rFonts w:ascii="Times New Roman" w:hAnsi="Times New Roman" w:cs="Times New Roman"/>
          </w:rPr>
          <w:t>Numbering and other conventions</w:t>
        </w:r>
        <w:r>
          <w:rPr>
            <w:webHidden/>
          </w:rPr>
          <w:tab/>
        </w:r>
        <w:r>
          <w:rPr>
            <w:webHidden/>
          </w:rPr>
          <w:fldChar w:fldCharType="begin"/>
        </w:r>
        <w:r>
          <w:rPr>
            <w:webHidden/>
          </w:rPr>
          <w:instrText xml:space="preserve"> PAGEREF _Toc192249036 \h </w:instrText>
        </w:r>
        <w:r>
          <w:rPr>
            <w:webHidden/>
          </w:rPr>
        </w:r>
        <w:r>
          <w:rPr>
            <w:webHidden/>
          </w:rPr>
          <w:fldChar w:fldCharType="separate"/>
        </w:r>
        <w:r>
          <w:rPr>
            <w:webHidden/>
          </w:rPr>
          <w:t>6</w:t>
        </w:r>
        <w:r>
          <w:rPr>
            <w:webHidden/>
          </w:rPr>
          <w:fldChar w:fldCharType="end"/>
        </w:r>
      </w:hyperlink>
    </w:p>
    <w:p w14:paraId="204708F6" w14:textId="55B09105" w:rsidR="00591328" w:rsidRDefault="00591328">
      <w:pPr>
        <w:pStyle w:val="TOC2"/>
        <w:rPr>
          <w:lang w:val="en-GB" w:eastAsia="en-GB"/>
        </w:rPr>
      </w:pPr>
      <w:hyperlink w:anchor="_Toc192249037" w:history="1">
        <w:r w:rsidRPr="00C953C3">
          <w:rPr>
            <w:rStyle w:val="Hyperlink"/>
            <w:rFonts w:ascii="Times New Roman" w:hAnsi="Times New Roman" w:cs="Times New Roman"/>
          </w:rPr>
          <w:t>II.</w:t>
        </w:r>
        <w:r>
          <w:rPr>
            <w:lang w:val="en-GB" w:eastAsia="en-GB"/>
          </w:rPr>
          <w:tab/>
        </w:r>
        <w:r w:rsidRPr="00C953C3">
          <w:rPr>
            <w:rStyle w:val="Hyperlink"/>
            <w:rFonts w:ascii="Times New Roman" w:hAnsi="Times New Roman" w:cs="Times New Roman"/>
          </w:rPr>
          <w:t>Template-related instructions</w:t>
        </w:r>
        <w:r>
          <w:rPr>
            <w:webHidden/>
          </w:rPr>
          <w:tab/>
        </w:r>
        <w:r>
          <w:rPr>
            <w:webHidden/>
          </w:rPr>
          <w:fldChar w:fldCharType="begin"/>
        </w:r>
        <w:r>
          <w:rPr>
            <w:webHidden/>
          </w:rPr>
          <w:instrText xml:space="preserve"> PAGEREF _Toc192249037 \h </w:instrText>
        </w:r>
        <w:r>
          <w:rPr>
            <w:webHidden/>
          </w:rPr>
        </w:r>
        <w:r>
          <w:rPr>
            <w:webHidden/>
          </w:rPr>
          <w:fldChar w:fldCharType="separate"/>
        </w:r>
        <w:r>
          <w:rPr>
            <w:webHidden/>
          </w:rPr>
          <w:t>6</w:t>
        </w:r>
        <w:r>
          <w:rPr>
            <w:webHidden/>
          </w:rPr>
          <w:fldChar w:fldCharType="end"/>
        </w:r>
      </w:hyperlink>
    </w:p>
    <w:p w14:paraId="602F83EE" w14:textId="493F2D27" w:rsidR="00591328" w:rsidRDefault="00591328">
      <w:pPr>
        <w:pStyle w:val="TOC2"/>
        <w:rPr>
          <w:lang w:val="en-GB" w:eastAsia="en-GB"/>
        </w:rPr>
      </w:pPr>
      <w:hyperlink w:anchor="_Toc192249038" w:history="1">
        <w:r w:rsidRPr="00C953C3">
          <w:rPr>
            <w:rStyle w:val="Hyperlink"/>
            <w:rFonts w:ascii="Times New Roman" w:hAnsi="Times New Roman" w:cs="Times New Roman"/>
          </w:rPr>
          <w:t>II.1</w:t>
        </w:r>
        <w:r>
          <w:rPr>
            <w:lang w:val="en-GB" w:eastAsia="en-GB"/>
          </w:rPr>
          <w:tab/>
        </w:r>
        <w:r w:rsidRPr="00C953C3">
          <w:rPr>
            <w:rStyle w:val="Hyperlink"/>
            <w:rFonts w:ascii="Times New Roman" w:hAnsi="Times New Roman" w:cs="Times New Roman"/>
          </w:rPr>
          <w:t>Z 01.01 – Legal entities (ORG 1)</w:t>
        </w:r>
        <w:r>
          <w:rPr>
            <w:webHidden/>
          </w:rPr>
          <w:tab/>
        </w:r>
        <w:r>
          <w:rPr>
            <w:webHidden/>
          </w:rPr>
          <w:fldChar w:fldCharType="begin"/>
        </w:r>
        <w:r>
          <w:rPr>
            <w:webHidden/>
          </w:rPr>
          <w:instrText xml:space="preserve"> PAGEREF _Toc192249038 \h </w:instrText>
        </w:r>
        <w:r>
          <w:rPr>
            <w:webHidden/>
          </w:rPr>
        </w:r>
        <w:r>
          <w:rPr>
            <w:webHidden/>
          </w:rPr>
          <w:fldChar w:fldCharType="separate"/>
        </w:r>
        <w:r>
          <w:rPr>
            <w:webHidden/>
          </w:rPr>
          <w:t>6</w:t>
        </w:r>
        <w:r>
          <w:rPr>
            <w:webHidden/>
          </w:rPr>
          <w:fldChar w:fldCharType="end"/>
        </w:r>
      </w:hyperlink>
    </w:p>
    <w:p w14:paraId="19E53501" w14:textId="74119F7F" w:rsidR="00591328" w:rsidRDefault="00591328">
      <w:pPr>
        <w:pStyle w:val="TOC2"/>
        <w:rPr>
          <w:lang w:val="en-GB" w:eastAsia="en-GB"/>
        </w:rPr>
      </w:pPr>
      <w:hyperlink w:anchor="_Toc192249039" w:history="1">
        <w:r w:rsidRPr="00C953C3">
          <w:rPr>
            <w:rStyle w:val="Hyperlink"/>
            <w:rFonts w:ascii="Times New Roman" w:hAnsi="Times New Roman" w:cs="Times New Roman"/>
          </w:rPr>
          <w:t>II.2</w:t>
        </w:r>
        <w:r>
          <w:rPr>
            <w:lang w:val="en-GB" w:eastAsia="en-GB"/>
          </w:rPr>
          <w:tab/>
        </w:r>
        <w:r w:rsidRPr="00C953C3">
          <w:rPr>
            <w:rStyle w:val="Hyperlink"/>
            <w:rFonts w:ascii="Times New Roman" w:hAnsi="Times New Roman" w:cs="Times New Roman"/>
          </w:rPr>
          <w:t>Z 01.02 - Ownership structure (ORG 2)</w:t>
        </w:r>
        <w:r>
          <w:rPr>
            <w:webHidden/>
          </w:rPr>
          <w:tab/>
        </w:r>
        <w:r>
          <w:rPr>
            <w:webHidden/>
          </w:rPr>
          <w:fldChar w:fldCharType="begin"/>
        </w:r>
        <w:r>
          <w:rPr>
            <w:webHidden/>
          </w:rPr>
          <w:instrText xml:space="preserve"> PAGEREF _Toc192249039 \h </w:instrText>
        </w:r>
        <w:r>
          <w:rPr>
            <w:webHidden/>
          </w:rPr>
        </w:r>
        <w:r>
          <w:rPr>
            <w:webHidden/>
          </w:rPr>
          <w:fldChar w:fldCharType="separate"/>
        </w:r>
        <w:r>
          <w:rPr>
            <w:webHidden/>
          </w:rPr>
          <w:t>10</w:t>
        </w:r>
        <w:r>
          <w:rPr>
            <w:webHidden/>
          </w:rPr>
          <w:fldChar w:fldCharType="end"/>
        </w:r>
      </w:hyperlink>
    </w:p>
    <w:p w14:paraId="092F1E4A" w14:textId="4A5BEE0B" w:rsidR="00591328" w:rsidRDefault="00591328">
      <w:pPr>
        <w:pStyle w:val="TOC2"/>
        <w:rPr>
          <w:lang w:val="en-GB" w:eastAsia="en-GB"/>
        </w:rPr>
      </w:pPr>
      <w:hyperlink w:anchor="_Toc192249040" w:history="1">
        <w:r w:rsidRPr="00C953C3">
          <w:rPr>
            <w:rStyle w:val="Hyperlink"/>
            <w:rFonts w:ascii="Times New Roman" w:hAnsi="Times New Roman" w:cs="Times New Roman"/>
          </w:rPr>
          <w:t>II.3</w:t>
        </w:r>
        <w:r>
          <w:rPr>
            <w:lang w:val="en-GB" w:eastAsia="en-GB"/>
          </w:rPr>
          <w:tab/>
        </w:r>
        <w:r w:rsidRPr="00C953C3">
          <w:rPr>
            <w:rStyle w:val="Hyperlink"/>
            <w:rFonts w:ascii="Times New Roman" w:hAnsi="Times New Roman" w:cs="Times New Roman"/>
          </w:rPr>
          <w:t>Z 02.00 - Liability Structure (LIAB 1)</w:t>
        </w:r>
        <w:r>
          <w:rPr>
            <w:webHidden/>
          </w:rPr>
          <w:tab/>
        </w:r>
        <w:r>
          <w:rPr>
            <w:webHidden/>
          </w:rPr>
          <w:fldChar w:fldCharType="begin"/>
        </w:r>
        <w:r>
          <w:rPr>
            <w:webHidden/>
          </w:rPr>
          <w:instrText xml:space="preserve"> PAGEREF _Toc192249040 \h </w:instrText>
        </w:r>
        <w:r>
          <w:rPr>
            <w:webHidden/>
          </w:rPr>
        </w:r>
        <w:r>
          <w:rPr>
            <w:webHidden/>
          </w:rPr>
          <w:fldChar w:fldCharType="separate"/>
        </w:r>
        <w:r>
          <w:rPr>
            <w:webHidden/>
          </w:rPr>
          <w:t>11</w:t>
        </w:r>
        <w:r>
          <w:rPr>
            <w:webHidden/>
          </w:rPr>
          <w:fldChar w:fldCharType="end"/>
        </w:r>
      </w:hyperlink>
    </w:p>
    <w:p w14:paraId="6FA9B5D3" w14:textId="4DC16930" w:rsidR="00591328" w:rsidRDefault="00591328">
      <w:pPr>
        <w:pStyle w:val="TOC2"/>
        <w:rPr>
          <w:lang w:val="en-GB" w:eastAsia="en-GB"/>
        </w:rPr>
      </w:pPr>
      <w:hyperlink w:anchor="_Toc192249041" w:history="1">
        <w:r w:rsidRPr="00C953C3">
          <w:rPr>
            <w:rStyle w:val="Hyperlink"/>
            <w:rFonts w:ascii="Times New Roman" w:hAnsi="Times New Roman" w:cs="Times New Roman"/>
          </w:rPr>
          <w:t>II.4</w:t>
        </w:r>
        <w:r>
          <w:rPr>
            <w:lang w:val="en-GB" w:eastAsia="en-GB"/>
          </w:rPr>
          <w:tab/>
        </w:r>
        <w:r w:rsidRPr="00C953C3">
          <w:rPr>
            <w:rStyle w:val="Hyperlink"/>
            <w:rFonts w:ascii="Times New Roman" w:hAnsi="Times New Roman" w:cs="Times New Roman"/>
          </w:rPr>
          <w:t>Z 03.01 - Own funds requirements – Credit Institutions (LIAB 2)</w:t>
        </w:r>
        <w:r>
          <w:rPr>
            <w:webHidden/>
          </w:rPr>
          <w:tab/>
        </w:r>
        <w:r>
          <w:rPr>
            <w:webHidden/>
          </w:rPr>
          <w:fldChar w:fldCharType="begin"/>
        </w:r>
        <w:r>
          <w:rPr>
            <w:webHidden/>
          </w:rPr>
          <w:instrText xml:space="preserve"> PAGEREF _Toc192249041 \h </w:instrText>
        </w:r>
        <w:r>
          <w:rPr>
            <w:webHidden/>
          </w:rPr>
        </w:r>
        <w:r>
          <w:rPr>
            <w:webHidden/>
          </w:rPr>
          <w:fldChar w:fldCharType="separate"/>
        </w:r>
        <w:r>
          <w:rPr>
            <w:webHidden/>
          </w:rPr>
          <w:t>18</w:t>
        </w:r>
        <w:r>
          <w:rPr>
            <w:webHidden/>
          </w:rPr>
          <w:fldChar w:fldCharType="end"/>
        </w:r>
      </w:hyperlink>
    </w:p>
    <w:p w14:paraId="5CB161A7" w14:textId="52D45E59" w:rsidR="00591328" w:rsidRDefault="00591328">
      <w:pPr>
        <w:pStyle w:val="TOC2"/>
        <w:rPr>
          <w:lang w:val="en-GB" w:eastAsia="en-GB"/>
        </w:rPr>
      </w:pPr>
      <w:hyperlink w:anchor="_Toc192249042" w:history="1">
        <w:r w:rsidRPr="00C953C3">
          <w:rPr>
            <w:rStyle w:val="Hyperlink"/>
            <w:rFonts w:ascii="Times New Roman" w:hAnsi="Times New Roman" w:cs="Times New Roman"/>
          </w:rPr>
          <w:t>II.5</w:t>
        </w:r>
        <w:r>
          <w:rPr>
            <w:lang w:val="en-GB" w:eastAsia="en-GB"/>
          </w:rPr>
          <w:tab/>
        </w:r>
        <w:r w:rsidRPr="00C953C3">
          <w:rPr>
            <w:rStyle w:val="Hyperlink"/>
            <w:rFonts w:ascii="Times New Roman" w:hAnsi="Times New Roman" w:cs="Times New Roman"/>
          </w:rPr>
          <w:t>Z 03.02 - Own funds requirements – Investment Firms (LIAB 3)</w:t>
        </w:r>
        <w:r>
          <w:rPr>
            <w:webHidden/>
          </w:rPr>
          <w:tab/>
        </w:r>
        <w:r>
          <w:rPr>
            <w:webHidden/>
          </w:rPr>
          <w:fldChar w:fldCharType="begin"/>
        </w:r>
        <w:r>
          <w:rPr>
            <w:webHidden/>
          </w:rPr>
          <w:instrText xml:space="preserve"> PAGEREF _Toc192249042 \h </w:instrText>
        </w:r>
        <w:r>
          <w:rPr>
            <w:webHidden/>
          </w:rPr>
        </w:r>
        <w:r>
          <w:rPr>
            <w:webHidden/>
          </w:rPr>
          <w:fldChar w:fldCharType="separate"/>
        </w:r>
        <w:r>
          <w:rPr>
            <w:webHidden/>
          </w:rPr>
          <w:t>21</w:t>
        </w:r>
        <w:r>
          <w:rPr>
            <w:webHidden/>
          </w:rPr>
          <w:fldChar w:fldCharType="end"/>
        </w:r>
      </w:hyperlink>
    </w:p>
    <w:p w14:paraId="1BFC2334" w14:textId="0B9B241C" w:rsidR="00591328" w:rsidRDefault="00591328">
      <w:pPr>
        <w:pStyle w:val="TOC2"/>
        <w:rPr>
          <w:lang w:val="en-GB" w:eastAsia="en-GB"/>
        </w:rPr>
      </w:pPr>
      <w:hyperlink w:anchor="_Toc192249043" w:history="1">
        <w:r w:rsidRPr="00C953C3">
          <w:rPr>
            <w:rStyle w:val="Hyperlink"/>
            <w:rFonts w:ascii="Times New Roman" w:hAnsi="Times New Roman" w:cs="Times New Roman"/>
            <w:lang w:val="fr-BE"/>
          </w:rPr>
          <w:t>II.6</w:t>
        </w:r>
        <w:r>
          <w:rPr>
            <w:lang w:val="en-GB" w:eastAsia="en-GB"/>
          </w:rPr>
          <w:tab/>
        </w:r>
        <w:r w:rsidRPr="00C953C3">
          <w:rPr>
            <w:rStyle w:val="Hyperlink"/>
            <w:rFonts w:ascii="Times New Roman" w:hAnsi="Times New Roman" w:cs="Times New Roman"/>
            <w:lang w:val="fr-BE"/>
          </w:rPr>
          <w:t>Z 04.00 - Intragroup financial interconnections (LIAB 4)</w:t>
        </w:r>
        <w:r>
          <w:rPr>
            <w:webHidden/>
          </w:rPr>
          <w:tab/>
        </w:r>
        <w:r>
          <w:rPr>
            <w:webHidden/>
          </w:rPr>
          <w:fldChar w:fldCharType="begin"/>
        </w:r>
        <w:r>
          <w:rPr>
            <w:webHidden/>
          </w:rPr>
          <w:instrText xml:space="preserve"> PAGEREF _Toc192249043 \h </w:instrText>
        </w:r>
        <w:r>
          <w:rPr>
            <w:webHidden/>
          </w:rPr>
        </w:r>
        <w:r>
          <w:rPr>
            <w:webHidden/>
          </w:rPr>
          <w:fldChar w:fldCharType="separate"/>
        </w:r>
        <w:r>
          <w:rPr>
            <w:webHidden/>
          </w:rPr>
          <w:t>22</w:t>
        </w:r>
        <w:r>
          <w:rPr>
            <w:webHidden/>
          </w:rPr>
          <w:fldChar w:fldCharType="end"/>
        </w:r>
      </w:hyperlink>
    </w:p>
    <w:p w14:paraId="32DF4C12" w14:textId="65430B6A" w:rsidR="00591328" w:rsidRDefault="00591328">
      <w:pPr>
        <w:pStyle w:val="TOC2"/>
        <w:rPr>
          <w:lang w:val="en-GB" w:eastAsia="en-GB"/>
        </w:rPr>
      </w:pPr>
      <w:hyperlink w:anchor="_Toc192249044" w:history="1">
        <w:r w:rsidRPr="00C953C3">
          <w:rPr>
            <w:rStyle w:val="Hyperlink"/>
            <w:rFonts w:ascii="Times New Roman" w:hAnsi="Times New Roman" w:cs="Times New Roman"/>
          </w:rPr>
          <w:t>II.7</w:t>
        </w:r>
        <w:r>
          <w:rPr>
            <w:lang w:val="en-GB" w:eastAsia="en-GB"/>
          </w:rPr>
          <w:tab/>
        </w:r>
        <w:r w:rsidRPr="00C953C3">
          <w:rPr>
            <w:rStyle w:val="Hyperlink"/>
            <w:rFonts w:ascii="Times New Roman" w:hAnsi="Times New Roman" w:cs="Times New Roman"/>
          </w:rPr>
          <w:t>Major Counterparties (LIAB 5 &amp; 6)</w:t>
        </w:r>
        <w:r>
          <w:rPr>
            <w:webHidden/>
          </w:rPr>
          <w:tab/>
        </w:r>
        <w:r>
          <w:rPr>
            <w:webHidden/>
          </w:rPr>
          <w:fldChar w:fldCharType="begin"/>
        </w:r>
        <w:r>
          <w:rPr>
            <w:webHidden/>
          </w:rPr>
          <w:instrText xml:space="preserve"> PAGEREF _Toc192249044 \h </w:instrText>
        </w:r>
        <w:r>
          <w:rPr>
            <w:webHidden/>
          </w:rPr>
        </w:r>
        <w:r>
          <w:rPr>
            <w:webHidden/>
          </w:rPr>
          <w:fldChar w:fldCharType="separate"/>
        </w:r>
        <w:r>
          <w:rPr>
            <w:webHidden/>
          </w:rPr>
          <w:t>25</w:t>
        </w:r>
        <w:r>
          <w:rPr>
            <w:webHidden/>
          </w:rPr>
          <w:fldChar w:fldCharType="end"/>
        </w:r>
      </w:hyperlink>
    </w:p>
    <w:p w14:paraId="3B7621A3" w14:textId="0CD177A9" w:rsidR="00591328" w:rsidRDefault="00591328">
      <w:pPr>
        <w:pStyle w:val="TOC2"/>
        <w:rPr>
          <w:lang w:val="en-GB" w:eastAsia="en-GB"/>
        </w:rPr>
      </w:pPr>
      <w:hyperlink w:anchor="_Toc192249045" w:history="1">
        <w:r w:rsidRPr="00C953C3">
          <w:rPr>
            <w:rStyle w:val="Hyperlink"/>
            <w:rFonts w:ascii="Times New Roman" w:hAnsi="Times New Roman" w:cs="Times New Roman"/>
          </w:rPr>
          <w:t>II.8</w:t>
        </w:r>
        <w:r>
          <w:rPr>
            <w:lang w:val="en-GB" w:eastAsia="en-GB"/>
          </w:rPr>
          <w:tab/>
        </w:r>
        <w:r w:rsidRPr="00C953C3">
          <w:rPr>
            <w:rStyle w:val="Hyperlink"/>
            <w:rFonts w:ascii="Times New Roman" w:hAnsi="Times New Roman" w:cs="Times New Roman"/>
          </w:rPr>
          <w:t>Z 05.01 – Major liabilities counterparties (LIAB 5)</w:t>
        </w:r>
        <w:r>
          <w:rPr>
            <w:webHidden/>
          </w:rPr>
          <w:tab/>
        </w:r>
        <w:r>
          <w:rPr>
            <w:webHidden/>
          </w:rPr>
          <w:fldChar w:fldCharType="begin"/>
        </w:r>
        <w:r>
          <w:rPr>
            <w:webHidden/>
          </w:rPr>
          <w:instrText xml:space="preserve"> PAGEREF _Toc192249045 \h </w:instrText>
        </w:r>
        <w:r>
          <w:rPr>
            <w:webHidden/>
          </w:rPr>
        </w:r>
        <w:r>
          <w:rPr>
            <w:webHidden/>
          </w:rPr>
          <w:fldChar w:fldCharType="separate"/>
        </w:r>
        <w:r>
          <w:rPr>
            <w:webHidden/>
          </w:rPr>
          <w:t>25</w:t>
        </w:r>
        <w:r>
          <w:rPr>
            <w:webHidden/>
          </w:rPr>
          <w:fldChar w:fldCharType="end"/>
        </w:r>
      </w:hyperlink>
    </w:p>
    <w:p w14:paraId="3DF52E8D" w14:textId="5CA46192" w:rsidR="00591328" w:rsidRDefault="00591328">
      <w:pPr>
        <w:pStyle w:val="TOC2"/>
        <w:rPr>
          <w:lang w:val="en-GB" w:eastAsia="en-GB"/>
        </w:rPr>
      </w:pPr>
      <w:hyperlink w:anchor="_Toc192249046" w:history="1">
        <w:r w:rsidRPr="00C953C3">
          <w:rPr>
            <w:rStyle w:val="Hyperlink"/>
            <w:rFonts w:ascii="Times New Roman" w:hAnsi="Times New Roman" w:cs="Times New Roman"/>
          </w:rPr>
          <w:t>II.9</w:t>
        </w:r>
        <w:r>
          <w:rPr>
            <w:lang w:val="en-GB" w:eastAsia="en-GB"/>
          </w:rPr>
          <w:tab/>
        </w:r>
        <w:r w:rsidRPr="00C953C3">
          <w:rPr>
            <w:rStyle w:val="Hyperlink"/>
            <w:rFonts w:ascii="Times New Roman" w:hAnsi="Times New Roman" w:cs="Times New Roman"/>
          </w:rPr>
          <w:t>Z 05.02 – Major off-balance sheet counterparties (LIAB 6)</w:t>
        </w:r>
        <w:r>
          <w:rPr>
            <w:webHidden/>
          </w:rPr>
          <w:tab/>
        </w:r>
        <w:r>
          <w:rPr>
            <w:webHidden/>
          </w:rPr>
          <w:fldChar w:fldCharType="begin"/>
        </w:r>
        <w:r>
          <w:rPr>
            <w:webHidden/>
          </w:rPr>
          <w:instrText xml:space="preserve"> PAGEREF _Toc192249046 \h </w:instrText>
        </w:r>
        <w:r>
          <w:rPr>
            <w:webHidden/>
          </w:rPr>
        </w:r>
        <w:r>
          <w:rPr>
            <w:webHidden/>
          </w:rPr>
          <w:fldChar w:fldCharType="separate"/>
        </w:r>
        <w:r>
          <w:rPr>
            <w:webHidden/>
          </w:rPr>
          <w:t>27</w:t>
        </w:r>
        <w:r>
          <w:rPr>
            <w:webHidden/>
          </w:rPr>
          <w:fldChar w:fldCharType="end"/>
        </w:r>
      </w:hyperlink>
    </w:p>
    <w:p w14:paraId="0207A3E1" w14:textId="4460BABE" w:rsidR="00591328" w:rsidRDefault="00591328">
      <w:pPr>
        <w:pStyle w:val="TOC2"/>
        <w:rPr>
          <w:lang w:val="en-GB" w:eastAsia="en-GB"/>
        </w:rPr>
      </w:pPr>
      <w:hyperlink w:anchor="_Toc192249048" w:history="1">
        <w:r w:rsidRPr="00C953C3">
          <w:rPr>
            <w:rStyle w:val="Hyperlink"/>
            <w:rFonts w:ascii="Times New Roman" w:hAnsi="Times New Roman" w:cs="Times New Roman"/>
          </w:rPr>
          <w:t>II.10</w:t>
        </w:r>
        <w:r>
          <w:rPr>
            <w:lang w:val="en-GB" w:eastAsia="en-GB"/>
          </w:rPr>
          <w:tab/>
        </w:r>
        <w:r w:rsidRPr="00C953C3">
          <w:rPr>
            <w:rStyle w:val="Hyperlink"/>
            <w:rFonts w:ascii="Times New Roman" w:hAnsi="Times New Roman" w:cs="Times New Roman"/>
          </w:rPr>
          <w:t>Z 06.00 - Deposit insurance (LIAB 7)</w:t>
        </w:r>
        <w:r>
          <w:rPr>
            <w:webHidden/>
          </w:rPr>
          <w:tab/>
        </w:r>
        <w:r>
          <w:rPr>
            <w:webHidden/>
          </w:rPr>
          <w:fldChar w:fldCharType="begin"/>
        </w:r>
        <w:r>
          <w:rPr>
            <w:webHidden/>
          </w:rPr>
          <w:instrText xml:space="preserve"> PAGEREF _Toc192249048 \h </w:instrText>
        </w:r>
        <w:r>
          <w:rPr>
            <w:webHidden/>
          </w:rPr>
        </w:r>
        <w:r>
          <w:rPr>
            <w:webHidden/>
          </w:rPr>
          <w:fldChar w:fldCharType="separate"/>
        </w:r>
        <w:r>
          <w:rPr>
            <w:webHidden/>
          </w:rPr>
          <w:t>28</w:t>
        </w:r>
        <w:r>
          <w:rPr>
            <w:webHidden/>
          </w:rPr>
          <w:fldChar w:fldCharType="end"/>
        </w:r>
      </w:hyperlink>
    </w:p>
    <w:p w14:paraId="7A269B3E" w14:textId="34A36CA9" w:rsidR="00591328" w:rsidRDefault="00591328">
      <w:pPr>
        <w:pStyle w:val="TOC2"/>
        <w:rPr>
          <w:lang w:val="en-GB" w:eastAsia="en-GB"/>
        </w:rPr>
      </w:pPr>
      <w:hyperlink w:anchor="_Toc192249049" w:history="1">
        <w:r w:rsidRPr="00C953C3">
          <w:rPr>
            <w:rStyle w:val="Hyperlink"/>
            <w:rFonts w:ascii="Times New Roman" w:hAnsi="Times New Roman" w:cs="Times New Roman"/>
          </w:rPr>
          <w:t>II.11</w:t>
        </w:r>
        <w:r>
          <w:rPr>
            <w:lang w:val="en-GB" w:eastAsia="en-GB"/>
          </w:rPr>
          <w:tab/>
        </w:r>
        <w:r w:rsidRPr="00C953C3">
          <w:rPr>
            <w:rStyle w:val="Hyperlink"/>
            <w:rFonts w:ascii="Times New Roman" w:hAnsi="Times New Roman" w:cs="Times New Roman"/>
          </w:rPr>
          <w:t>Critical functions and core business lines</w:t>
        </w:r>
        <w:r>
          <w:rPr>
            <w:webHidden/>
          </w:rPr>
          <w:tab/>
        </w:r>
        <w:r>
          <w:rPr>
            <w:webHidden/>
          </w:rPr>
          <w:fldChar w:fldCharType="begin"/>
        </w:r>
        <w:r>
          <w:rPr>
            <w:webHidden/>
          </w:rPr>
          <w:instrText xml:space="preserve"> PAGEREF _Toc192249049 \h </w:instrText>
        </w:r>
        <w:r>
          <w:rPr>
            <w:webHidden/>
          </w:rPr>
        </w:r>
        <w:r>
          <w:rPr>
            <w:webHidden/>
          </w:rPr>
          <w:fldChar w:fldCharType="separate"/>
        </w:r>
        <w:r>
          <w:rPr>
            <w:webHidden/>
          </w:rPr>
          <w:t>31</w:t>
        </w:r>
        <w:r>
          <w:rPr>
            <w:webHidden/>
          </w:rPr>
          <w:fldChar w:fldCharType="end"/>
        </w:r>
      </w:hyperlink>
    </w:p>
    <w:p w14:paraId="361E95AF" w14:textId="3D6A4729" w:rsidR="00591328" w:rsidRDefault="00591328">
      <w:pPr>
        <w:pStyle w:val="TOC2"/>
        <w:rPr>
          <w:lang w:val="en-GB" w:eastAsia="en-GB"/>
        </w:rPr>
      </w:pPr>
      <w:hyperlink w:anchor="_Toc192249051" w:history="1">
        <w:r w:rsidRPr="00C953C3">
          <w:rPr>
            <w:rStyle w:val="Hyperlink"/>
            <w:rFonts w:ascii="Times New Roman" w:hAnsi="Times New Roman" w:cs="Times New Roman"/>
          </w:rPr>
          <w:t>II.12</w:t>
        </w:r>
        <w:r>
          <w:rPr>
            <w:lang w:val="en-GB" w:eastAsia="en-GB"/>
          </w:rPr>
          <w:tab/>
        </w:r>
        <w:r w:rsidRPr="00C953C3">
          <w:rPr>
            <w:rStyle w:val="Hyperlink"/>
            <w:rFonts w:ascii="Times New Roman" w:hAnsi="Times New Roman" w:cs="Times New Roman"/>
          </w:rPr>
          <w:t>Z 07.01 – Criticality assessment of economic functions (FUNC 1)</w:t>
        </w:r>
        <w:r>
          <w:rPr>
            <w:webHidden/>
          </w:rPr>
          <w:tab/>
        </w:r>
        <w:r>
          <w:rPr>
            <w:webHidden/>
          </w:rPr>
          <w:fldChar w:fldCharType="begin"/>
        </w:r>
        <w:r>
          <w:rPr>
            <w:webHidden/>
          </w:rPr>
          <w:instrText xml:space="preserve"> PAGEREF _Toc192249051 \h </w:instrText>
        </w:r>
        <w:r>
          <w:rPr>
            <w:webHidden/>
          </w:rPr>
        </w:r>
        <w:r>
          <w:rPr>
            <w:webHidden/>
          </w:rPr>
          <w:fldChar w:fldCharType="separate"/>
        </w:r>
        <w:r>
          <w:rPr>
            <w:webHidden/>
          </w:rPr>
          <w:t>33</w:t>
        </w:r>
        <w:r>
          <w:rPr>
            <w:webHidden/>
          </w:rPr>
          <w:fldChar w:fldCharType="end"/>
        </w:r>
      </w:hyperlink>
    </w:p>
    <w:p w14:paraId="4E61243A" w14:textId="4577804B" w:rsidR="00591328" w:rsidRDefault="00591328">
      <w:pPr>
        <w:pStyle w:val="TOC2"/>
        <w:rPr>
          <w:lang w:val="en-GB" w:eastAsia="en-GB"/>
        </w:rPr>
      </w:pPr>
      <w:hyperlink w:anchor="_Toc192249052" w:history="1">
        <w:r w:rsidRPr="00C953C3">
          <w:rPr>
            <w:rStyle w:val="Hyperlink"/>
            <w:rFonts w:ascii="Times New Roman" w:hAnsi="Times New Roman" w:cs="Times New Roman"/>
          </w:rPr>
          <w:t>II.13</w:t>
        </w:r>
        <w:r>
          <w:rPr>
            <w:lang w:val="en-GB" w:eastAsia="en-GB"/>
          </w:rPr>
          <w:tab/>
        </w:r>
        <w:r w:rsidRPr="00C953C3">
          <w:rPr>
            <w:rStyle w:val="Hyperlink"/>
            <w:rFonts w:ascii="Times New Roman" w:hAnsi="Times New Roman" w:cs="Times New Roman"/>
          </w:rPr>
          <w:t>Z 07.01.1 FUNC 1 DEP</w:t>
        </w:r>
        <w:r>
          <w:rPr>
            <w:webHidden/>
          </w:rPr>
          <w:tab/>
        </w:r>
        <w:r>
          <w:rPr>
            <w:webHidden/>
          </w:rPr>
          <w:fldChar w:fldCharType="begin"/>
        </w:r>
        <w:r>
          <w:rPr>
            <w:webHidden/>
          </w:rPr>
          <w:instrText xml:space="preserve"> PAGEREF _Toc192249052 \h </w:instrText>
        </w:r>
        <w:r>
          <w:rPr>
            <w:webHidden/>
          </w:rPr>
        </w:r>
        <w:r>
          <w:rPr>
            <w:webHidden/>
          </w:rPr>
          <w:fldChar w:fldCharType="separate"/>
        </w:r>
        <w:r>
          <w:rPr>
            <w:webHidden/>
          </w:rPr>
          <w:t>37</w:t>
        </w:r>
        <w:r>
          <w:rPr>
            <w:webHidden/>
          </w:rPr>
          <w:fldChar w:fldCharType="end"/>
        </w:r>
      </w:hyperlink>
    </w:p>
    <w:p w14:paraId="7FB7B41C" w14:textId="6A28C2F6" w:rsidR="00591328" w:rsidRDefault="00591328">
      <w:pPr>
        <w:pStyle w:val="TOC2"/>
        <w:rPr>
          <w:lang w:val="en-GB" w:eastAsia="en-GB"/>
        </w:rPr>
      </w:pPr>
      <w:hyperlink w:anchor="_Toc192249053" w:history="1">
        <w:r w:rsidRPr="00C953C3">
          <w:rPr>
            <w:rStyle w:val="Hyperlink"/>
            <w:rFonts w:ascii="Times New Roman" w:hAnsi="Times New Roman" w:cs="Times New Roman"/>
          </w:rPr>
          <w:t>II.14</w:t>
        </w:r>
        <w:r>
          <w:rPr>
            <w:lang w:val="en-GB" w:eastAsia="en-GB"/>
          </w:rPr>
          <w:tab/>
        </w:r>
        <w:r w:rsidRPr="00C953C3">
          <w:rPr>
            <w:rStyle w:val="Hyperlink"/>
            <w:rFonts w:ascii="Times New Roman" w:hAnsi="Times New Roman" w:cs="Times New Roman"/>
          </w:rPr>
          <w:t>Z 07.01.2 FUNC 1 LEN</w:t>
        </w:r>
        <w:r>
          <w:rPr>
            <w:webHidden/>
          </w:rPr>
          <w:tab/>
        </w:r>
        <w:r>
          <w:rPr>
            <w:webHidden/>
          </w:rPr>
          <w:fldChar w:fldCharType="begin"/>
        </w:r>
        <w:r>
          <w:rPr>
            <w:webHidden/>
          </w:rPr>
          <w:instrText xml:space="preserve"> PAGEREF _Toc192249053 \h </w:instrText>
        </w:r>
        <w:r>
          <w:rPr>
            <w:webHidden/>
          </w:rPr>
        </w:r>
        <w:r>
          <w:rPr>
            <w:webHidden/>
          </w:rPr>
          <w:fldChar w:fldCharType="separate"/>
        </w:r>
        <w:r>
          <w:rPr>
            <w:webHidden/>
          </w:rPr>
          <w:t>42</w:t>
        </w:r>
        <w:r>
          <w:rPr>
            <w:webHidden/>
          </w:rPr>
          <w:fldChar w:fldCharType="end"/>
        </w:r>
      </w:hyperlink>
    </w:p>
    <w:p w14:paraId="45859DB8" w14:textId="3BB61CF8" w:rsidR="00591328" w:rsidRDefault="00591328">
      <w:pPr>
        <w:pStyle w:val="TOC2"/>
        <w:rPr>
          <w:lang w:val="en-GB" w:eastAsia="en-GB"/>
        </w:rPr>
      </w:pPr>
      <w:hyperlink w:anchor="_Toc192249054" w:history="1">
        <w:r w:rsidRPr="00C953C3">
          <w:rPr>
            <w:rStyle w:val="Hyperlink"/>
            <w:rFonts w:ascii="Times New Roman" w:hAnsi="Times New Roman" w:cs="Times New Roman"/>
          </w:rPr>
          <w:t>II.15</w:t>
        </w:r>
        <w:r>
          <w:rPr>
            <w:lang w:val="en-GB" w:eastAsia="en-GB"/>
          </w:rPr>
          <w:tab/>
        </w:r>
        <w:r w:rsidRPr="00C953C3">
          <w:rPr>
            <w:rStyle w:val="Hyperlink"/>
            <w:rFonts w:ascii="Times New Roman" w:hAnsi="Times New Roman" w:cs="Times New Roman"/>
          </w:rPr>
          <w:t>Z 07.01.3 FUNC 1 PAY</w:t>
        </w:r>
        <w:r>
          <w:rPr>
            <w:webHidden/>
          </w:rPr>
          <w:tab/>
        </w:r>
        <w:r>
          <w:rPr>
            <w:webHidden/>
          </w:rPr>
          <w:fldChar w:fldCharType="begin"/>
        </w:r>
        <w:r>
          <w:rPr>
            <w:webHidden/>
          </w:rPr>
          <w:instrText xml:space="preserve"> PAGEREF _Toc192249054 \h </w:instrText>
        </w:r>
        <w:r>
          <w:rPr>
            <w:webHidden/>
          </w:rPr>
        </w:r>
        <w:r>
          <w:rPr>
            <w:webHidden/>
          </w:rPr>
          <w:fldChar w:fldCharType="separate"/>
        </w:r>
        <w:r>
          <w:rPr>
            <w:webHidden/>
          </w:rPr>
          <w:t>47</w:t>
        </w:r>
        <w:r>
          <w:rPr>
            <w:webHidden/>
          </w:rPr>
          <w:fldChar w:fldCharType="end"/>
        </w:r>
      </w:hyperlink>
    </w:p>
    <w:p w14:paraId="320065F3" w14:textId="204CA54C" w:rsidR="00591328" w:rsidRDefault="00591328">
      <w:pPr>
        <w:pStyle w:val="TOC2"/>
        <w:rPr>
          <w:lang w:val="en-GB" w:eastAsia="en-GB"/>
        </w:rPr>
      </w:pPr>
      <w:hyperlink w:anchor="_Toc192249055" w:history="1">
        <w:r w:rsidRPr="00C953C3">
          <w:rPr>
            <w:rStyle w:val="Hyperlink"/>
            <w:rFonts w:ascii="Times New Roman" w:hAnsi="Times New Roman" w:cs="Times New Roman"/>
          </w:rPr>
          <w:t>II.13</w:t>
        </w:r>
        <w:r>
          <w:rPr>
            <w:lang w:val="en-GB" w:eastAsia="en-GB"/>
          </w:rPr>
          <w:tab/>
        </w:r>
        <w:r w:rsidRPr="00C953C3">
          <w:rPr>
            <w:rStyle w:val="Hyperlink"/>
            <w:rFonts w:ascii="Times New Roman" w:hAnsi="Times New Roman" w:cs="Times New Roman"/>
          </w:rPr>
          <w:t>Z 07.01.4 FUNC 1 CM</w:t>
        </w:r>
        <w:r>
          <w:rPr>
            <w:webHidden/>
          </w:rPr>
          <w:tab/>
        </w:r>
        <w:r>
          <w:rPr>
            <w:webHidden/>
          </w:rPr>
          <w:fldChar w:fldCharType="begin"/>
        </w:r>
        <w:r>
          <w:rPr>
            <w:webHidden/>
          </w:rPr>
          <w:instrText xml:space="preserve"> PAGEREF _Toc192249055 \h </w:instrText>
        </w:r>
        <w:r>
          <w:rPr>
            <w:webHidden/>
          </w:rPr>
        </w:r>
        <w:r>
          <w:rPr>
            <w:webHidden/>
          </w:rPr>
          <w:fldChar w:fldCharType="separate"/>
        </w:r>
        <w:r>
          <w:rPr>
            <w:webHidden/>
          </w:rPr>
          <w:t>53</w:t>
        </w:r>
        <w:r>
          <w:rPr>
            <w:webHidden/>
          </w:rPr>
          <w:fldChar w:fldCharType="end"/>
        </w:r>
      </w:hyperlink>
    </w:p>
    <w:p w14:paraId="5453E767" w14:textId="558B7960" w:rsidR="00591328" w:rsidRDefault="00591328">
      <w:pPr>
        <w:pStyle w:val="TOC2"/>
        <w:rPr>
          <w:lang w:val="en-GB" w:eastAsia="en-GB"/>
        </w:rPr>
      </w:pPr>
      <w:hyperlink w:anchor="_Toc192249056" w:history="1">
        <w:r w:rsidRPr="00C953C3">
          <w:rPr>
            <w:rStyle w:val="Hyperlink"/>
            <w:rFonts w:ascii="Times New Roman" w:hAnsi="Times New Roman" w:cs="Times New Roman"/>
          </w:rPr>
          <w:t>II.13</w:t>
        </w:r>
        <w:r>
          <w:rPr>
            <w:lang w:val="en-GB" w:eastAsia="en-GB"/>
          </w:rPr>
          <w:tab/>
        </w:r>
        <w:r w:rsidRPr="00C953C3">
          <w:rPr>
            <w:rStyle w:val="Hyperlink"/>
            <w:rFonts w:ascii="Times New Roman" w:hAnsi="Times New Roman" w:cs="Times New Roman"/>
          </w:rPr>
          <w:t>Z 07.01.5 FUNC 1 WF</w:t>
        </w:r>
        <w:r>
          <w:rPr>
            <w:webHidden/>
          </w:rPr>
          <w:tab/>
        </w:r>
        <w:r>
          <w:rPr>
            <w:webHidden/>
          </w:rPr>
          <w:fldChar w:fldCharType="begin"/>
        </w:r>
        <w:r>
          <w:rPr>
            <w:webHidden/>
          </w:rPr>
          <w:instrText xml:space="preserve"> PAGEREF _Toc192249056 \h </w:instrText>
        </w:r>
        <w:r>
          <w:rPr>
            <w:webHidden/>
          </w:rPr>
        </w:r>
        <w:r>
          <w:rPr>
            <w:webHidden/>
          </w:rPr>
          <w:fldChar w:fldCharType="separate"/>
        </w:r>
        <w:r>
          <w:rPr>
            <w:webHidden/>
          </w:rPr>
          <w:t>57</w:t>
        </w:r>
        <w:r>
          <w:rPr>
            <w:webHidden/>
          </w:rPr>
          <w:fldChar w:fldCharType="end"/>
        </w:r>
      </w:hyperlink>
    </w:p>
    <w:p w14:paraId="31E1493D" w14:textId="582E964D" w:rsidR="00591328" w:rsidRDefault="00591328">
      <w:pPr>
        <w:pStyle w:val="TOC2"/>
        <w:rPr>
          <w:lang w:val="en-GB" w:eastAsia="en-GB"/>
        </w:rPr>
      </w:pPr>
      <w:hyperlink w:anchor="_Toc192249057" w:history="1">
        <w:r w:rsidRPr="00C953C3">
          <w:rPr>
            <w:rStyle w:val="Hyperlink"/>
            <w:rFonts w:ascii="Times New Roman" w:hAnsi="Times New Roman" w:cs="Times New Roman"/>
          </w:rPr>
          <w:t>II.16</w:t>
        </w:r>
        <w:r>
          <w:rPr>
            <w:lang w:val="en-GB" w:eastAsia="en-GB"/>
          </w:rPr>
          <w:tab/>
        </w:r>
        <w:r w:rsidRPr="00C953C3">
          <w:rPr>
            <w:rStyle w:val="Hyperlink"/>
            <w:rFonts w:ascii="Times New Roman" w:hAnsi="Times New Roman" w:cs="Times New Roman"/>
          </w:rPr>
          <w:t>Z 07.02 - Mapping of economic functions to legal entities (FUNC 2)</w:t>
        </w:r>
        <w:r>
          <w:rPr>
            <w:webHidden/>
          </w:rPr>
          <w:tab/>
        </w:r>
        <w:r>
          <w:rPr>
            <w:webHidden/>
          </w:rPr>
          <w:fldChar w:fldCharType="begin"/>
        </w:r>
        <w:r>
          <w:rPr>
            <w:webHidden/>
          </w:rPr>
          <w:instrText xml:space="preserve"> PAGEREF _Toc192249057 \h </w:instrText>
        </w:r>
        <w:r>
          <w:rPr>
            <w:webHidden/>
          </w:rPr>
        </w:r>
        <w:r>
          <w:rPr>
            <w:webHidden/>
          </w:rPr>
          <w:fldChar w:fldCharType="separate"/>
        </w:r>
        <w:r>
          <w:rPr>
            <w:webHidden/>
          </w:rPr>
          <w:t>62</w:t>
        </w:r>
        <w:r>
          <w:rPr>
            <w:webHidden/>
          </w:rPr>
          <w:fldChar w:fldCharType="end"/>
        </w:r>
      </w:hyperlink>
    </w:p>
    <w:p w14:paraId="2AC37570" w14:textId="7A7AE0D9" w:rsidR="00591328" w:rsidRDefault="00591328">
      <w:pPr>
        <w:pStyle w:val="TOC2"/>
        <w:rPr>
          <w:lang w:val="en-GB" w:eastAsia="en-GB"/>
        </w:rPr>
      </w:pPr>
      <w:hyperlink w:anchor="_Toc192249058" w:history="1">
        <w:r w:rsidRPr="00C953C3">
          <w:rPr>
            <w:rStyle w:val="Hyperlink"/>
            <w:rFonts w:ascii="Times New Roman" w:hAnsi="Times New Roman" w:cs="Times New Roman"/>
          </w:rPr>
          <w:t>II.17</w:t>
        </w:r>
        <w:r>
          <w:rPr>
            <w:lang w:val="en-GB" w:eastAsia="en-GB"/>
          </w:rPr>
          <w:tab/>
        </w:r>
        <w:r w:rsidRPr="00C953C3">
          <w:rPr>
            <w:rStyle w:val="Hyperlink"/>
            <w:rFonts w:ascii="Times New Roman" w:hAnsi="Times New Roman" w:cs="Times New Roman"/>
          </w:rPr>
          <w:t>Z 07.03 - Mapping of Core Business Lines to legal entities (FUNC 3)</w:t>
        </w:r>
        <w:r>
          <w:rPr>
            <w:webHidden/>
          </w:rPr>
          <w:tab/>
        </w:r>
        <w:r>
          <w:rPr>
            <w:webHidden/>
          </w:rPr>
          <w:fldChar w:fldCharType="begin"/>
        </w:r>
        <w:r>
          <w:rPr>
            <w:webHidden/>
          </w:rPr>
          <w:instrText xml:space="preserve"> PAGEREF _Toc192249058 \h </w:instrText>
        </w:r>
        <w:r>
          <w:rPr>
            <w:webHidden/>
          </w:rPr>
        </w:r>
        <w:r>
          <w:rPr>
            <w:webHidden/>
          </w:rPr>
          <w:fldChar w:fldCharType="separate"/>
        </w:r>
        <w:r>
          <w:rPr>
            <w:webHidden/>
          </w:rPr>
          <w:t>63</w:t>
        </w:r>
        <w:r>
          <w:rPr>
            <w:webHidden/>
          </w:rPr>
          <w:fldChar w:fldCharType="end"/>
        </w:r>
      </w:hyperlink>
    </w:p>
    <w:p w14:paraId="277D2015" w14:textId="58C0167E" w:rsidR="00591328" w:rsidRDefault="00591328">
      <w:pPr>
        <w:pStyle w:val="TOC2"/>
        <w:rPr>
          <w:lang w:val="en-GB" w:eastAsia="en-GB"/>
        </w:rPr>
      </w:pPr>
      <w:hyperlink w:anchor="_Toc192249059" w:history="1">
        <w:r w:rsidRPr="00C953C3">
          <w:rPr>
            <w:rStyle w:val="Hyperlink"/>
            <w:rFonts w:ascii="Times New Roman" w:hAnsi="Times New Roman" w:cs="Times New Roman"/>
          </w:rPr>
          <w:t>II.18</w:t>
        </w:r>
        <w:r>
          <w:rPr>
            <w:lang w:val="en-GB" w:eastAsia="en-GB"/>
          </w:rPr>
          <w:tab/>
        </w:r>
        <w:r w:rsidRPr="00C953C3">
          <w:rPr>
            <w:rStyle w:val="Hyperlink"/>
            <w:rFonts w:ascii="Times New Roman" w:hAnsi="Times New Roman" w:cs="Times New Roman"/>
          </w:rPr>
          <w:t>Z 07.04 - Mapping of economic functions to core business lines (FUNC 4)</w:t>
        </w:r>
        <w:r>
          <w:rPr>
            <w:webHidden/>
          </w:rPr>
          <w:tab/>
        </w:r>
        <w:r>
          <w:rPr>
            <w:webHidden/>
          </w:rPr>
          <w:fldChar w:fldCharType="begin"/>
        </w:r>
        <w:r>
          <w:rPr>
            <w:webHidden/>
          </w:rPr>
          <w:instrText xml:space="preserve"> PAGEREF _Toc192249059 \h </w:instrText>
        </w:r>
        <w:r>
          <w:rPr>
            <w:webHidden/>
          </w:rPr>
        </w:r>
        <w:r>
          <w:rPr>
            <w:webHidden/>
          </w:rPr>
          <w:fldChar w:fldCharType="separate"/>
        </w:r>
        <w:r>
          <w:rPr>
            <w:webHidden/>
          </w:rPr>
          <w:t>64</w:t>
        </w:r>
        <w:r>
          <w:rPr>
            <w:webHidden/>
          </w:rPr>
          <w:fldChar w:fldCharType="end"/>
        </w:r>
      </w:hyperlink>
    </w:p>
    <w:p w14:paraId="064489AB" w14:textId="00A17986" w:rsidR="00591328" w:rsidRDefault="00591328">
      <w:pPr>
        <w:pStyle w:val="TOC2"/>
        <w:rPr>
          <w:lang w:val="en-GB" w:eastAsia="en-GB"/>
        </w:rPr>
      </w:pPr>
      <w:hyperlink w:anchor="_Toc192249066" w:history="1">
        <w:r w:rsidRPr="00C953C3">
          <w:rPr>
            <w:rStyle w:val="Hyperlink"/>
            <w:rFonts w:ascii="Times New Roman" w:eastAsia="Calibri" w:hAnsi="Times New Roman" w:cs="Times New Roman"/>
          </w:rPr>
          <w:t>II.19</w:t>
        </w:r>
        <w:r>
          <w:rPr>
            <w:lang w:val="en-GB" w:eastAsia="en-GB"/>
          </w:rPr>
          <w:tab/>
        </w:r>
        <w:r w:rsidRPr="00C953C3">
          <w:rPr>
            <w:rStyle w:val="Hyperlink"/>
            <w:rFonts w:ascii="Times New Roman" w:eastAsia="Calibri" w:hAnsi="Times New Roman" w:cs="Times New Roman"/>
          </w:rPr>
          <w:t>Relevant Services</w:t>
        </w:r>
        <w:r>
          <w:rPr>
            <w:webHidden/>
          </w:rPr>
          <w:tab/>
        </w:r>
        <w:r>
          <w:rPr>
            <w:webHidden/>
          </w:rPr>
          <w:fldChar w:fldCharType="begin"/>
        </w:r>
        <w:r>
          <w:rPr>
            <w:webHidden/>
          </w:rPr>
          <w:instrText xml:space="preserve"> PAGEREF _Toc192249066 \h </w:instrText>
        </w:r>
        <w:r>
          <w:rPr>
            <w:webHidden/>
          </w:rPr>
        </w:r>
        <w:r>
          <w:rPr>
            <w:webHidden/>
          </w:rPr>
          <w:fldChar w:fldCharType="separate"/>
        </w:r>
        <w:r>
          <w:rPr>
            <w:webHidden/>
          </w:rPr>
          <w:t>65</w:t>
        </w:r>
        <w:r>
          <w:rPr>
            <w:webHidden/>
          </w:rPr>
          <w:fldChar w:fldCharType="end"/>
        </w:r>
      </w:hyperlink>
    </w:p>
    <w:p w14:paraId="0E6215E7" w14:textId="69443524" w:rsidR="00591328" w:rsidRDefault="00591328">
      <w:pPr>
        <w:pStyle w:val="TOC2"/>
        <w:rPr>
          <w:lang w:val="en-GB" w:eastAsia="en-GB"/>
        </w:rPr>
      </w:pPr>
      <w:hyperlink w:anchor="_Toc192249067" w:history="1">
        <w:r w:rsidRPr="00C953C3">
          <w:rPr>
            <w:rStyle w:val="Hyperlink"/>
            <w:rFonts w:ascii="Times New Roman" w:eastAsia="Calibri" w:hAnsi="Times New Roman" w:cs="Times New Roman"/>
          </w:rPr>
          <w:t>II.20</w:t>
        </w:r>
        <w:r>
          <w:rPr>
            <w:lang w:val="en-GB" w:eastAsia="en-GB"/>
          </w:rPr>
          <w:tab/>
        </w:r>
        <w:r w:rsidRPr="00C953C3">
          <w:rPr>
            <w:rStyle w:val="Hyperlink"/>
            <w:rFonts w:ascii="Times New Roman" w:hAnsi="Times New Roman" w:cs="Times New Roman"/>
          </w:rPr>
          <w:t>Z 08.01— Relevant services (SERV 1)</w:t>
        </w:r>
        <w:r>
          <w:rPr>
            <w:webHidden/>
          </w:rPr>
          <w:tab/>
        </w:r>
        <w:r>
          <w:rPr>
            <w:webHidden/>
          </w:rPr>
          <w:fldChar w:fldCharType="begin"/>
        </w:r>
        <w:r>
          <w:rPr>
            <w:webHidden/>
          </w:rPr>
          <w:instrText xml:space="preserve"> PAGEREF _Toc192249067 \h </w:instrText>
        </w:r>
        <w:r>
          <w:rPr>
            <w:webHidden/>
          </w:rPr>
        </w:r>
        <w:r>
          <w:rPr>
            <w:webHidden/>
          </w:rPr>
          <w:fldChar w:fldCharType="separate"/>
        </w:r>
        <w:r>
          <w:rPr>
            <w:webHidden/>
          </w:rPr>
          <w:t>65</w:t>
        </w:r>
        <w:r>
          <w:rPr>
            <w:webHidden/>
          </w:rPr>
          <w:fldChar w:fldCharType="end"/>
        </w:r>
      </w:hyperlink>
    </w:p>
    <w:p w14:paraId="63EEFBE8" w14:textId="58C0C524" w:rsidR="00591328" w:rsidRDefault="00591328">
      <w:pPr>
        <w:pStyle w:val="TOC2"/>
        <w:rPr>
          <w:lang w:val="en-GB" w:eastAsia="en-GB"/>
        </w:rPr>
      </w:pPr>
      <w:hyperlink w:anchor="_Toc192249068" w:history="1">
        <w:r w:rsidRPr="00C953C3">
          <w:rPr>
            <w:rStyle w:val="Hyperlink"/>
            <w:rFonts w:ascii="Times New Roman" w:hAnsi="Times New Roman" w:cs="Times New Roman"/>
          </w:rPr>
          <w:t>II.21</w:t>
        </w:r>
        <w:r>
          <w:rPr>
            <w:lang w:val="en-GB" w:eastAsia="en-GB"/>
          </w:rPr>
          <w:tab/>
        </w:r>
        <w:r w:rsidRPr="00C953C3">
          <w:rPr>
            <w:rStyle w:val="Hyperlink"/>
            <w:rFonts w:ascii="Times New Roman" w:hAnsi="Times New Roman" w:cs="Times New Roman"/>
          </w:rPr>
          <w:t>Z 08.02 — Relevant services – mapping to operational assets (SERV 2)</w:t>
        </w:r>
        <w:r>
          <w:rPr>
            <w:webHidden/>
          </w:rPr>
          <w:tab/>
        </w:r>
        <w:r>
          <w:rPr>
            <w:webHidden/>
          </w:rPr>
          <w:fldChar w:fldCharType="begin"/>
        </w:r>
        <w:r>
          <w:rPr>
            <w:webHidden/>
          </w:rPr>
          <w:instrText xml:space="preserve"> PAGEREF _Toc192249068 \h </w:instrText>
        </w:r>
        <w:r>
          <w:rPr>
            <w:webHidden/>
          </w:rPr>
        </w:r>
        <w:r>
          <w:rPr>
            <w:webHidden/>
          </w:rPr>
          <w:fldChar w:fldCharType="separate"/>
        </w:r>
        <w:r>
          <w:rPr>
            <w:webHidden/>
          </w:rPr>
          <w:t>70</w:t>
        </w:r>
        <w:r>
          <w:rPr>
            <w:webHidden/>
          </w:rPr>
          <w:fldChar w:fldCharType="end"/>
        </w:r>
      </w:hyperlink>
    </w:p>
    <w:p w14:paraId="6242EDF0" w14:textId="7BBA186F" w:rsidR="00591328" w:rsidRDefault="00591328">
      <w:pPr>
        <w:pStyle w:val="TOC2"/>
        <w:rPr>
          <w:lang w:val="en-GB" w:eastAsia="en-GB"/>
        </w:rPr>
      </w:pPr>
      <w:hyperlink w:anchor="_Toc192249069" w:history="1">
        <w:r w:rsidRPr="00C953C3">
          <w:rPr>
            <w:rStyle w:val="Hyperlink"/>
            <w:rFonts w:ascii="Times New Roman" w:eastAsia="Calibri" w:hAnsi="Times New Roman" w:cs="Times New Roman"/>
          </w:rPr>
          <w:t>II.22</w:t>
        </w:r>
        <w:r>
          <w:rPr>
            <w:lang w:val="en-GB" w:eastAsia="en-GB"/>
          </w:rPr>
          <w:tab/>
        </w:r>
        <w:r w:rsidRPr="00C953C3">
          <w:rPr>
            <w:rStyle w:val="Hyperlink"/>
            <w:rFonts w:ascii="Times New Roman" w:hAnsi="Times New Roman" w:cs="Times New Roman"/>
          </w:rPr>
          <w:t>Z 08.03 — Relevant services – mapping to roles (SERV 3)</w:t>
        </w:r>
        <w:r>
          <w:rPr>
            <w:webHidden/>
          </w:rPr>
          <w:tab/>
        </w:r>
        <w:r>
          <w:rPr>
            <w:webHidden/>
          </w:rPr>
          <w:fldChar w:fldCharType="begin"/>
        </w:r>
        <w:r>
          <w:rPr>
            <w:webHidden/>
          </w:rPr>
          <w:instrText xml:space="preserve"> PAGEREF _Toc192249069 \h </w:instrText>
        </w:r>
        <w:r>
          <w:rPr>
            <w:webHidden/>
          </w:rPr>
        </w:r>
        <w:r>
          <w:rPr>
            <w:webHidden/>
          </w:rPr>
          <w:fldChar w:fldCharType="separate"/>
        </w:r>
        <w:r>
          <w:rPr>
            <w:webHidden/>
          </w:rPr>
          <w:t>73</w:t>
        </w:r>
        <w:r>
          <w:rPr>
            <w:webHidden/>
          </w:rPr>
          <w:fldChar w:fldCharType="end"/>
        </w:r>
      </w:hyperlink>
    </w:p>
    <w:p w14:paraId="3CAEF74A" w14:textId="37E7CFF7" w:rsidR="00591328" w:rsidRDefault="00591328">
      <w:pPr>
        <w:pStyle w:val="TOC2"/>
        <w:rPr>
          <w:lang w:val="en-GB" w:eastAsia="en-GB"/>
        </w:rPr>
      </w:pPr>
      <w:hyperlink w:anchor="_Toc192249070" w:history="1">
        <w:r w:rsidRPr="00C953C3">
          <w:rPr>
            <w:rStyle w:val="Hyperlink"/>
            <w:rFonts w:ascii="Times New Roman" w:eastAsia="Calibri" w:hAnsi="Times New Roman" w:cs="Times New Roman"/>
          </w:rPr>
          <w:t>II.23</w:t>
        </w:r>
        <w:r>
          <w:rPr>
            <w:lang w:val="en-GB" w:eastAsia="en-GB"/>
          </w:rPr>
          <w:tab/>
        </w:r>
        <w:r w:rsidRPr="00C953C3">
          <w:rPr>
            <w:rStyle w:val="Hyperlink"/>
            <w:rFonts w:ascii="Times New Roman" w:hAnsi="Times New Roman" w:cs="Times New Roman"/>
          </w:rPr>
          <w:t>Z 08.04 — Critical services – mapping to critical functions (SERV 4)</w:t>
        </w:r>
        <w:r>
          <w:rPr>
            <w:webHidden/>
          </w:rPr>
          <w:tab/>
        </w:r>
        <w:r>
          <w:rPr>
            <w:webHidden/>
          </w:rPr>
          <w:fldChar w:fldCharType="begin"/>
        </w:r>
        <w:r>
          <w:rPr>
            <w:webHidden/>
          </w:rPr>
          <w:instrText xml:space="preserve"> PAGEREF _Toc192249070 \h </w:instrText>
        </w:r>
        <w:r>
          <w:rPr>
            <w:webHidden/>
          </w:rPr>
        </w:r>
        <w:r>
          <w:rPr>
            <w:webHidden/>
          </w:rPr>
          <w:fldChar w:fldCharType="separate"/>
        </w:r>
        <w:r>
          <w:rPr>
            <w:webHidden/>
          </w:rPr>
          <w:t>74</w:t>
        </w:r>
        <w:r>
          <w:rPr>
            <w:webHidden/>
          </w:rPr>
          <w:fldChar w:fldCharType="end"/>
        </w:r>
      </w:hyperlink>
    </w:p>
    <w:p w14:paraId="1F51A954" w14:textId="03B3D7F5" w:rsidR="00591328" w:rsidRDefault="00591328">
      <w:pPr>
        <w:pStyle w:val="TOC2"/>
        <w:rPr>
          <w:lang w:val="en-GB" w:eastAsia="en-GB"/>
        </w:rPr>
      </w:pPr>
      <w:hyperlink w:anchor="_Toc192249071" w:history="1">
        <w:r w:rsidRPr="00C953C3">
          <w:rPr>
            <w:rStyle w:val="Hyperlink"/>
            <w:rFonts w:ascii="Times New Roman" w:eastAsia="MS Mincho" w:hAnsi="Times New Roman" w:cs="Times New Roman"/>
          </w:rPr>
          <w:t>General instructions</w:t>
        </w:r>
        <w:r>
          <w:rPr>
            <w:webHidden/>
          </w:rPr>
          <w:tab/>
        </w:r>
        <w:r>
          <w:rPr>
            <w:webHidden/>
          </w:rPr>
          <w:fldChar w:fldCharType="begin"/>
        </w:r>
        <w:r>
          <w:rPr>
            <w:webHidden/>
          </w:rPr>
          <w:instrText xml:space="preserve"> PAGEREF _Toc192249071 \h </w:instrText>
        </w:r>
        <w:r>
          <w:rPr>
            <w:webHidden/>
          </w:rPr>
        </w:r>
        <w:r>
          <w:rPr>
            <w:webHidden/>
          </w:rPr>
          <w:fldChar w:fldCharType="separate"/>
        </w:r>
        <w:r>
          <w:rPr>
            <w:webHidden/>
          </w:rPr>
          <w:t>74</w:t>
        </w:r>
        <w:r>
          <w:rPr>
            <w:webHidden/>
          </w:rPr>
          <w:fldChar w:fldCharType="end"/>
        </w:r>
      </w:hyperlink>
    </w:p>
    <w:p w14:paraId="1AD9AE05" w14:textId="3A21705C" w:rsidR="00591328" w:rsidRDefault="00591328">
      <w:pPr>
        <w:pStyle w:val="TOC2"/>
        <w:rPr>
          <w:lang w:val="en-GB" w:eastAsia="en-GB"/>
        </w:rPr>
      </w:pPr>
      <w:hyperlink w:anchor="_Toc192249072" w:history="1">
        <w:r w:rsidRPr="00C953C3">
          <w:rPr>
            <w:rStyle w:val="Hyperlink"/>
            <w:rFonts w:ascii="Times New Roman" w:eastAsia="Calibri" w:hAnsi="Times New Roman" w:cs="Times New Roman"/>
          </w:rPr>
          <w:t>II.24</w:t>
        </w:r>
        <w:r>
          <w:rPr>
            <w:lang w:val="en-GB" w:eastAsia="en-GB"/>
          </w:rPr>
          <w:tab/>
        </w:r>
        <w:r w:rsidRPr="00C953C3">
          <w:rPr>
            <w:rStyle w:val="Hyperlink"/>
            <w:rFonts w:ascii="Times New Roman" w:hAnsi="Times New Roman" w:cs="Times New Roman"/>
          </w:rPr>
          <w:t>Z 08.05 — Essential services – mapping to core business lines (SERV 5)</w:t>
        </w:r>
        <w:r>
          <w:rPr>
            <w:webHidden/>
          </w:rPr>
          <w:tab/>
        </w:r>
        <w:r>
          <w:rPr>
            <w:webHidden/>
          </w:rPr>
          <w:fldChar w:fldCharType="begin"/>
        </w:r>
        <w:r>
          <w:rPr>
            <w:webHidden/>
          </w:rPr>
          <w:instrText xml:space="preserve"> PAGEREF _Toc192249072 \h </w:instrText>
        </w:r>
        <w:r>
          <w:rPr>
            <w:webHidden/>
          </w:rPr>
        </w:r>
        <w:r>
          <w:rPr>
            <w:webHidden/>
          </w:rPr>
          <w:fldChar w:fldCharType="separate"/>
        </w:r>
        <w:r>
          <w:rPr>
            <w:webHidden/>
          </w:rPr>
          <w:t>75</w:t>
        </w:r>
        <w:r>
          <w:rPr>
            <w:webHidden/>
          </w:rPr>
          <w:fldChar w:fldCharType="end"/>
        </w:r>
      </w:hyperlink>
    </w:p>
    <w:p w14:paraId="2BF5B9A1" w14:textId="180FF39F" w:rsidR="00591328" w:rsidRDefault="00591328">
      <w:pPr>
        <w:pStyle w:val="TOC2"/>
        <w:rPr>
          <w:lang w:val="en-GB" w:eastAsia="en-GB"/>
        </w:rPr>
      </w:pPr>
      <w:hyperlink w:anchor="_Toc192249073" w:history="1">
        <w:r w:rsidRPr="00C953C3">
          <w:rPr>
            <w:rStyle w:val="Hyperlink"/>
            <w:rFonts w:ascii="Times New Roman" w:eastAsia="Calibri" w:hAnsi="Times New Roman" w:cs="Times New Roman"/>
          </w:rPr>
          <w:t>II.25</w:t>
        </w:r>
        <w:r>
          <w:rPr>
            <w:lang w:val="en-GB" w:eastAsia="en-GB"/>
          </w:rPr>
          <w:tab/>
        </w:r>
        <w:r w:rsidRPr="00C953C3">
          <w:rPr>
            <w:rStyle w:val="Hyperlink"/>
            <w:rFonts w:ascii="Times New Roman" w:eastAsia="Calibri" w:hAnsi="Times New Roman" w:cs="Times New Roman"/>
          </w:rPr>
          <w:t>FMI Services</w:t>
        </w:r>
        <w:r>
          <w:rPr>
            <w:webHidden/>
          </w:rPr>
          <w:tab/>
        </w:r>
        <w:r>
          <w:rPr>
            <w:webHidden/>
          </w:rPr>
          <w:fldChar w:fldCharType="begin"/>
        </w:r>
        <w:r>
          <w:rPr>
            <w:webHidden/>
          </w:rPr>
          <w:instrText xml:space="preserve"> PAGEREF _Toc192249073 \h </w:instrText>
        </w:r>
        <w:r>
          <w:rPr>
            <w:webHidden/>
          </w:rPr>
        </w:r>
        <w:r>
          <w:rPr>
            <w:webHidden/>
          </w:rPr>
          <w:fldChar w:fldCharType="separate"/>
        </w:r>
        <w:r>
          <w:rPr>
            <w:webHidden/>
          </w:rPr>
          <w:t>76</w:t>
        </w:r>
        <w:r>
          <w:rPr>
            <w:webHidden/>
          </w:rPr>
          <w:fldChar w:fldCharType="end"/>
        </w:r>
      </w:hyperlink>
    </w:p>
    <w:p w14:paraId="0CDF17BA" w14:textId="00205F61" w:rsidR="00591328" w:rsidRDefault="00591328">
      <w:pPr>
        <w:pStyle w:val="TOC2"/>
        <w:rPr>
          <w:lang w:val="en-GB" w:eastAsia="en-GB"/>
        </w:rPr>
      </w:pPr>
      <w:hyperlink w:anchor="_Toc192249074" w:history="1">
        <w:r w:rsidRPr="00C953C3">
          <w:rPr>
            <w:rStyle w:val="Hyperlink"/>
            <w:rFonts w:ascii="Times New Roman" w:hAnsi="Times New Roman"/>
          </w:rPr>
          <w:t>II.26</w:t>
        </w:r>
        <w:r>
          <w:rPr>
            <w:lang w:val="en-GB" w:eastAsia="en-GB"/>
          </w:rPr>
          <w:tab/>
        </w:r>
        <w:r w:rsidRPr="00C953C3">
          <w:rPr>
            <w:rStyle w:val="Hyperlink"/>
            <w:rFonts w:ascii="Times New Roman" w:eastAsia="Calibri" w:hAnsi="Times New Roman" w:cs="Times New Roman"/>
          </w:rPr>
          <w:t>Z 09.01 - FMI Services - Providers and Users (FMI 1)</w:t>
        </w:r>
        <w:r>
          <w:rPr>
            <w:webHidden/>
          </w:rPr>
          <w:tab/>
        </w:r>
        <w:r>
          <w:rPr>
            <w:webHidden/>
          </w:rPr>
          <w:fldChar w:fldCharType="begin"/>
        </w:r>
        <w:r>
          <w:rPr>
            <w:webHidden/>
          </w:rPr>
          <w:instrText xml:space="preserve"> PAGEREF _Toc192249074 \h </w:instrText>
        </w:r>
        <w:r>
          <w:rPr>
            <w:webHidden/>
          </w:rPr>
        </w:r>
        <w:r>
          <w:rPr>
            <w:webHidden/>
          </w:rPr>
          <w:fldChar w:fldCharType="separate"/>
        </w:r>
        <w:r>
          <w:rPr>
            <w:webHidden/>
          </w:rPr>
          <w:t>76</w:t>
        </w:r>
        <w:r>
          <w:rPr>
            <w:webHidden/>
          </w:rPr>
          <w:fldChar w:fldCharType="end"/>
        </w:r>
      </w:hyperlink>
    </w:p>
    <w:p w14:paraId="659E03EC" w14:textId="158BA5C8" w:rsidR="00591328" w:rsidRDefault="00591328">
      <w:pPr>
        <w:pStyle w:val="TOC2"/>
        <w:rPr>
          <w:lang w:val="en-GB" w:eastAsia="en-GB"/>
        </w:rPr>
      </w:pPr>
      <w:hyperlink w:anchor="_Toc192249075" w:history="1">
        <w:r w:rsidRPr="00C953C3">
          <w:rPr>
            <w:rStyle w:val="Hyperlink"/>
            <w:rFonts w:ascii="Times New Roman" w:eastAsia="Calibri" w:hAnsi="Times New Roman" w:cs="Times New Roman"/>
          </w:rPr>
          <w:t>II.27</w:t>
        </w:r>
        <w:r>
          <w:rPr>
            <w:lang w:val="en-GB" w:eastAsia="en-GB"/>
          </w:rPr>
          <w:tab/>
        </w:r>
        <w:r w:rsidRPr="00C953C3">
          <w:rPr>
            <w:rStyle w:val="Hyperlink"/>
            <w:rFonts w:ascii="Times New Roman" w:hAnsi="Times New Roman" w:cs="Times New Roman"/>
          </w:rPr>
          <w:t>Z 09.02 – Mapping to Critical and Essential FMIs (FMI 2)</w:t>
        </w:r>
        <w:r>
          <w:rPr>
            <w:webHidden/>
          </w:rPr>
          <w:tab/>
        </w:r>
        <w:r>
          <w:rPr>
            <w:webHidden/>
          </w:rPr>
          <w:fldChar w:fldCharType="begin"/>
        </w:r>
        <w:r>
          <w:rPr>
            <w:webHidden/>
          </w:rPr>
          <w:instrText xml:space="preserve"> PAGEREF _Toc192249075 \h </w:instrText>
        </w:r>
        <w:r>
          <w:rPr>
            <w:webHidden/>
          </w:rPr>
        </w:r>
        <w:r>
          <w:rPr>
            <w:webHidden/>
          </w:rPr>
          <w:fldChar w:fldCharType="separate"/>
        </w:r>
        <w:r>
          <w:rPr>
            <w:webHidden/>
          </w:rPr>
          <w:t>80</w:t>
        </w:r>
        <w:r>
          <w:rPr>
            <w:webHidden/>
          </w:rPr>
          <w:fldChar w:fldCharType="end"/>
        </w:r>
      </w:hyperlink>
    </w:p>
    <w:p w14:paraId="7A096E44" w14:textId="45A0D505" w:rsidR="00591328" w:rsidRDefault="00591328">
      <w:pPr>
        <w:pStyle w:val="TOC2"/>
        <w:rPr>
          <w:lang w:val="en-GB" w:eastAsia="en-GB"/>
        </w:rPr>
      </w:pPr>
      <w:hyperlink w:anchor="_Toc192249076" w:history="1">
        <w:r w:rsidRPr="00C953C3">
          <w:rPr>
            <w:rStyle w:val="Hyperlink"/>
            <w:rFonts w:ascii="Times New Roman" w:eastAsia="Calibri" w:hAnsi="Times New Roman" w:cs="Times New Roman"/>
          </w:rPr>
          <w:t>II.28</w:t>
        </w:r>
        <w:r>
          <w:rPr>
            <w:lang w:val="en-GB" w:eastAsia="en-GB"/>
          </w:rPr>
          <w:tab/>
        </w:r>
        <w:r w:rsidRPr="00C953C3">
          <w:rPr>
            <w:rStyle w:val="Hyperlink"/>
            <w:rFonts w:ascii="Times New Roman" w:eastAsia="Calibri" w:hAnsi="Times New Roman" w:cs="Times New Roman"/>
          </w:rPr>
          <w:t>Z 09.03 - FMI Services - Key Metrics  (FMI 3)</w:t>
        </w:r>
        <w:r>
          <w:rPr>
            <w:webHidden/>
          </w:rPr>
          <w:tab/>
        </w:r>
        <w:r>
          <w:rPr>
            <w:webHidden/>
          </w:rPr>
          <w:fldChar w:fldCharType="begin"/>
        </w:r>
        <w:r>
          <w:rPr>
            <w:webHidden/>
          </w:rPr>
          <w:instrText xml:space="preserve"> PAGEREF _Toc192249076 \h </w:instrText>
        </w:r>
        <w:r>
          <w:rPr>
            <w:webHidden/>
          </w:rPr>
        </w:r>
        <w:r>
          <w:rPr>
            <w:webHidden/>
          </w:rPr>
          <w:fldChar w:fldCharType="separate"/>
        </w:r>
        <w:r>
          <w:rPr>
            <w:webHidden/>
          </w:rPr>
          <w:t>81</w:t>
        </w:r>
        <w:r>
          <w:rPr>
            <w:webHidden/>
          </w:rPr>
          <w:fldChar w:fldCharType="end"/>
        </w:r>
      </w:hyperlink>
    </w:p>
    <w:p w14:paraId="56D8185E" w14:textId="4DC4E415" w:rsidR="00591328" w:rsidRDefault="00591328">
      <w:pPr>
        <w:pStyle w:val="TOC2"/>
        <w:rPr>
          <w:lang w:val="en-GB" w:eastAsia="en-GB"/>
        </w:rPr>
      </w:pPr>
      <w:hyperlink w:anchor="_Toc192249077" w:history="1">
        <w:r w:rsidRPr="00C953C3">
          <w:rPr>
            <w:rStyle w:val="Hyperlink"/>
            <w:rFonts w:ascii="Times New Roman" w:eastAsia="Calibri" w:hAnsi="Times New Roman" w:cs="Times New Roman"/>
          </w:rPr>
          <w:t>II.29</w:t>
        </w:r>
        <w:r>
          <w:rPr>
            <w:lang w:val="en-GB" w:eastAsia="en-GB"/>
          </w:rPr>
          <w:tab/>
        </w:r>
        <w:r w:rsidRPr="00C953C3">
          <w:rPr>
            <w:rStyle w:val="Hyperlink"/>
            <w:rFonts w:ascii="Times New Roman" w:eastAsia="Calibri" w:hAnsi="Times New Roman" w:cs="Times New Roman"/>
          </w:rPr>
          <w:t>Z 09.04 - FMI Services – CCPs – Alternative Providers (FMI 4)</w:t>
        </w:r>
        <w:r>
          <w:rPr>
            <w:webHidden/>
          </w:rPr>
          <w:tab/>
        </w:r>
        <w:r>
          <w:rPr>
            <w:webHidden/>
          </w:rPr>
          <w:fldChar w:fldCharType="begin"/>
        </w:r>
        <w:r>
          <w:rPr>
            <w:webHidden/>
          </w:rPr>
          <w:instrText xml:space="preserve"> PAGEREF _Toc192249077 \h </w:instrText>
        </w:r>
        <w:r>
          <w:rPr>
            <w:webHidden/>
          </w:rPr>
        </w:r>
        <w:r>
          <w:rPr>
            <w:webHidden/>
          </w:rPr>
          <w:fldChar w:fldCharType="separate"/>
        </w:r>
        <w:r>
          <w:rPr>
            <w:webHidden/>
          </w:rPr>
          <w:t>83</w:t>
        </w:r>
        <w:r>
          <w:rPr>
            <w:webHidden/>
          </w:rPr>
          <w:fldChar w:fldCharType="end"/>
        </w:r>
      </w:hyperlink>
    </w:p>
    <w:p w14:paraId="3B2BBD1E" w14:textId="2102A4DE" w:rsidR="00591328" w:rsidRDefault="00591328">
      <w:pPr>
        <w:pStyle w:val="TOC2"/>
        <w:rPr>
          <w:lang w:val="en-GB" w:eastAsia="en-GB"/>
        </w:rPr>
      </w:pPr>
      <w:hyperlink w:anchor="_Toc192249425" w:history="1">
        <w:r w:rsidRPr="00C953C3">
          <w:rPr>
            <w:rStyle w:val="Hyperlink"/>
            <w:rFonts w:ascii="Times New Roman" w:hAnsi="Times New Roman" w:cs="Times New Roman"/>
          </w:rPr>
          <w:t>II.30</w:t>
        </w:r>
        <w:r>
          <w:rPr>
            <w:lang w:val="en-GB" w:eastAsia="en-GB"/>
          </w:rPr>
          <w:tab/>
        </w:r>
        <w:r w:rsidRPr="00C953C3">
          <w:rPr>
            <w:rStyle w:val="Hyperlink"/>
            <w:rFonts w:ascii="Times New Roman" w:hAnsi="Times New Roman" w:cs="Times New Roman"/>
          </w:rPr>
          <w:t>Liability Analysis</w:t>
        </w:r>
        <w:r>
          <w:rPr>
            <w:webHidden/>
          </w:rPr>
          <w:tab/>
        </w:r>
        <w:r>
          <w:rPr>
            <w:webHidden/>
          </w:rPr>
          <w:fldChar w:fldCharType="begin"/>
        </w:r>
        <w:r>
          <w:rPr>
            <w:webHidden/>
          </w:rPr>
          <w:instrText xml:space="preserve"> PAGEREF _Toc192249425 \h </w:instrText>
        </w:r>
        <w:r>
          <w:rPr>
            <w:webHidden/>
          </w:rPr>
        </w:r>
        <w:r>
          <w:rPr>
            <w:webHidden/>
          </w:rPr>
          <w:fldChar w:fldCharType="separate"/>
        </w:r>
        <w:r>
          <w:rPr>
            <w:webHidden/>
          </w:rPr>
          <w:t>84</w:t>
        </w:r>
        <w:r>
          <w:rPr>
            <w:webHidden/>
          </w:rPr>
          <w:fldChar w:fldCharType="end"/>
        </w:r>
      </w:hyperlink>
    </w:p>
    <w:p w14:paraId="1803021D" w14:textId="09A09904" w:rsidR="00591328" w:rsidRDefault="00591328">
      <w:pPr>
        <w:pStyle w:val="TOC2"/>
        <w:rPr>
          <w:lang w:val="en-GB" w:eastAsia="en-GB"/>
        </w:rPr>
      </w:pPr>
      <w:hyperlink w:anchor="_Toc192249426" w:history="1">
        <w:r w:rsidRPr="00C953C3">
          <w:rPr>
            <w:rStyle w:val="Hyperlink"/>
            <w:rFonts w:ascii="Times New Roman" w:hAnsi="Times New Roman" w:cs="Times New Roman"/>
            <w:lang w:val="fr-BE"/>
          </w:rPr>
          <w:t>II.31</w:t>
        </w:r>
        <w:r>
          <w:rPr>
            <w:lang w:val="en-GB" w:eastAsia="en-GB"/>
          </w:rPr>
          <w:tab/>
        </w:r>
        <w:r w:rsidRPr="00C953C3">
          <w:rPr>
            <w:rStyle w:val="Hyperlink"/>
            <w:rFonts w:ascii="Times New Roman" w:hAnsi="Times New Roman" w:cs="Times New Roman"/>
            <w:lang w:val="fr-BE"/>
          </w:rPr>
          <w:t>Z 11.00 Intragroup Liabilities</w:t>
        </w:r>
        <w:r w:rsidRPr="00C953C3">
          <w:rPr>
            <w:rStyle w:val="Hyperlink"/>
            <w:rFonts w:ascii="Times New Roman" w:eastAsia="Calibri" w:hAnsi="Times New Roman" w:cs="Times New Roman"/>
            <w:lang w:val="fr-BE"/>
          </w:rPr>
          <w:t xml:space="preserve"> (LIAB-G-1)</w:t>
        </w:r>
        <w:r>
          <w:rPr>
            <w:webHidden/>
          </w:rPr>
          <w:tab/>
        </w:r>
        <w:r>
          <w:rPr>
            <w:webHidden/>
          </w:rPr>
          <w:fldChar w:fldCharType="begin"/>
        </w:r>
        <w:r>
          <w:rPr>
            <w:webHidden/>
          </w:rPr>
          <w:instrText xml:space="preserve"> PAGEREF _Toc192249426 \h </w:instrText>
        </w:r>
        <w:r>
          <w:rPr>
            <w:webHidden/>
          </w:rPr>
        </w:r>
        <w:r>
          <w:rPr>
            <w:webHidden/>
          </w:rPr>
          <w:fldChar w:fldCharType="separate"/>
        </w:r>
        <w:r>
          <w:rPr>
            <w:webHidden/>
          </w:rPr>
          <w:t>84</w:t>
        </w:r>
        <w:r>
          <w:rPr>
            <w:webHidden/>
          </w:rPr>
          <w:fldChar w:fldCharType="end"/>
        </w:r>
      </w:hyperlink>
    </w:p>
    <w:p w14:paraId="4674E0AF" w14:textId="2A5BEE97" w:rsidR="00591328" w:rsidRDefault="00591328">
      <w:pPr>
        <w:pStyle w:val="TOC2"/>
        <w:rPr>
          <w:lang w:val="en-GB" w:eastAsia="en-GB"/>
        </w:rPr>
      </w:pPr>
      <w:hyperlink w:anchor="_Toc192249427" w:history="1">
        <w:r w:rsidRPr="00C953C3">
          <w:rPr>
            <w:rStyle w:val="Hyperlink"/>
            <w:rFonts w:ascii="Times New Roman" w:hAnsi="Times New Roman" w:cs="Times New Roman"/>
          </w:rPr>
          <w:t>II.32</w:t>
        </w:r>
        <w:r>
          <w:rPr>
            <w:lang w:val="en-GB" w:eastAsia="en-GB"/>
          </w:rPr>
          <w:tab/>
        </w:r>
        <w:r w:rsidRPr="00C953C3">
          <w:rPr>
            <w:rStyle w:val="Hyperlink"/>
            <w:rFonts w:ascii="Times New Roman" w:hAnsi="Times New Roman" w:cs="Times New Roman"/>
          </w:rPr>
          <w:t xml:space="preserve">Z 12.00 - </w:t>
        </w:r>
        <w:r w:rsidRPr="00C953C3">
          <w:rPr>
            <w:rStyle w:val="Hyperlink"/>
            <w:rFonts w:ascii="Times New Roman" w:eastAsia="Cambria" w:hAnsi="Times New Roman" w:cs="Times New Roman"/>
          </w:rPr>
          <w:t xml:space="preserve">Securities (including CET1, AT1 &amp; Tier 2 instruments; excluding intragroup) </w:t>
        </w:r>
        <w:r w:rsidRPr="00C953C3">
          <w:rPr>
            <w:rStyle w:val="Hyperlink"/>
            <w:rFonts w:ascii="Times New Roman" w:eastAsia="Calibri" w:hAnsi="Times New Roman" w:cs="Times New Roman"/>
          </w:rPr>
          <w:t>(LIAB-G-2)</w:t>
        </w:r>
        <w:r>
          <w:rPr>
            <w:webHidden/>
          </w:rPr>
          <w:tab/>
        </w:r>
        <w:r>
          <w:rPr>
            <w:webHidden/>
          </w:rPr>
          <w:fldChar w:fldCharType="begin"/>
        </w:r>
        <w:r>
          <w:rPr>
            <w:webHidden/>
          </w:rPr>
          <w:instrText xml:space="preserve"> PAGEREF _Toc192249427 \h </w:instrText>
        </w:r>
        <w:r>
          <w:rPr>
            <w:webHidden/>
          </w:rPr>
        </w:r>
        <w:r>
          <w:rPr>
            <w:webHidden/>
          </w:rPr>
          <w:fldChar w:fldCharType="separate"/>
        </w:r>
        <w:r>
          <w:rPr>
            <w:webHidden/>
          </w:rPr>
          <w:t>86</w:t>
        </w:r>
        <w:r>
          <w:rPr>
            <w:webHidden/>
          </w:rPr>
          <w:fldChar w:fldCharType="end"/>
        </w:r>
      </w:hyperlink>
    </w:p>
    <w:p w14:paraId="0CDC84BA" w14:textId="59D5F6E1" w:rsidR="00591328" w:rsidRDefault="00591328">
      <w:pPr>
        <w:pStyle w:val="TOC2"/>
        <w:rPr>
          <w:lang w:val="en-GB" w:eastAsia="en-GB"/>
        </w:rPr>
      </w:pPr>
      <w:hyperlink w:anchor="_Toc192249428" w:history="1">
        <w:r w:rsidRPr="00C953C3">
          <w:rPr>
            <w:rStyle w:val="Hyperlink"/>
            <w:rFonts w:ascii="Times New Roman" w:hAnsi="Times New Roman" w:cs="Times New Roman"/>
          </w:rPr>
          <w:t>II.33</w:t>
        </w:r>
        <w:r>
          <w:rPr>
            <w:lang w:val="en-GB" w:eastAsia="en-GB"/>
          </w:rPr>
          <w:tab/>
        </w:r>
        <w:r w:rsidRPr="00C953C3">
          <w:rPr>
            <w:rStyle w:val="Hyperlink"/>
            <w:rFonts w:ascii="Times New Roman" w:hAnsi="Times New Roman" w:cs="Times New Roman"/>
          </w:rPr>
          <w:t xml:space="preserve">Z 13.00 - All Deposits (excluding intragroup) </w:t>
        </w:r>
        <w:r w:rsidRPr="00C953C3">
          <w:rPr>
            <w:rStyle w:val="Hyperlink"/>
            <w:rFonts w:ascii="Times New Roman" w:eastAsia="Calibri" w:hAnsi="Times New Roman" w:cs="Times New Roman"/>
          </w:rPr>
          <w:t>(LIAB-G-3)</w:t>
        </w:r>
        <w:r>
          <w:rPr>
            <w:webHidden/>
          </w:rPr>
          <w:tab/>
        </w:r>
        <w:r>
          <w:rPr>
            <w:webHidden/>
          </w:rPr>
          <w:fldChar w:fldCharType="begin"/>
        </w:r>
        <w:r>
          <w:rPr>
            <w:webHidden/>
          </w:rPr>
          <w:instrText xml:space="preserve"> PAGEREF _Toc192249428 \h </w:instrText>
        </w:r>
        <w:r>
          <w:rPr>
            <w:webHidden/>
          </w:rPr>
        </w:r>
        <w:r>
          <w:rPr>
            <w:webHidden/>
          </w:rPr>
          <w:fldChar w:fldCharType="separate"/>
        </w:r>
        <w:r>
          <w:rPr>
            <w:webHidden/>
          </w:rPr>
          <w:t>91</w:t>
        </w:r>
        <w:r>
          <w:rPr>
            <w:webHidden/>
          </w:rPr>
          <w:fldChar w:fldCharType="end"/>
        </w:r>
      </w:hyperlink>
    </w:p>
    <w:p w14:paraId="02DC7D4F" w14:textId="039BB630" w:rsidR="00591328" w:rsidRDefault="00591328">
      <w:pPr>
        <w:pStyle w:val="TOC2"/>
        <w:rPr>
          <w:lang w:val="en-GB" w:eastAsia="en-GB"/>
        </w:rPr>
      </w:pPr>
      <w:hyperlink w:anchor="_Toc192249429" w:history="1">
        <w:r w:rsidRPr="00C953C3">
          <w:rPr>
            <w:rStyle w:val="Hyperlink"/>
            <w:rFonts w:ascii="Times New Roman" w:hAnsi="Times New Roman" w:cs="Times New Roman"/>
          </w:rPr>
          <w:t>II.34</w:t>
        </w:r>
        <w:r>
          <w:rPr>
            <w:lang w:val="en-GB" w:eastAsia="en-GB"/>
          </w:rPr>
          <w:tab/>
        </w:r>
        <w:r w:rsidRPr="00C953C3">
          <w:rPr>
            <w:rStyle w:val="Hyperlink"/>
            <w:rFonts w:ascii="Times New Roman" w:hAnsi="Times New Roman" w:cs="Times New Roman"/>
          </w:rPr>
          <w:t xml:space="preserve">Z 14.00 - Other Financial Liabilities (not included in other tabs, excluding intragroup) </w:t>
        </w:r>
        <w:r w:rsidRPr="00C953C3">
          <w:rPr>
            <w:rStyle w:val="Hyperlink"/>
            <w:rFonts w:ascii="Times New Roman" w:eastAsia="Calibri" w:hAnsi="Times New Roman" w:cs="Times New Roman"/>
          </w:rPr>
          <w:t>(LIAB-G-4)</w:t>
        </w:r>
        <w:r>
          <w:rPr>
            <w:webHidden/>
          </w:rPr>
          <w:tab/>
        </w:r>
        <w:r>
          <w:rPr>
            <w:webHidden/>
          </w:rPr>
          <w:fldChar w:fldCharType="begin"/>
        </w:r>
        <w:r>
          <w:rPr>
            <w:webHidden/>
          </w:rPr>
          <w:instrText xml:space="preserve"> PAGEREF _Toc192249429 \h </w:instrText>
        </w:r>
        <w:r>
          <w:rPr>
            <w:webHidden/>
          </w:rPr>
        </w:r>
        <w:r>
          <w:rPr>
            <w:webHidden/>
          </w:rPr>
          <w:fldChar w:fldCharType="separate"/>
        </w:r>
        <w:r>
          <w:rPr>
            <w:webHidden/>
          </w:rPr>
          <w:t>93</w:t>
        </w:r>
        <w:r>
          <w:rPr>
            <w:webHidden/>
          </w:rPr>
          <w:fldChar w:fldCharType="end"/>
        </w:r>
      </w:hyperlink>
    </w:p>
    <w:p w14:paraId="5FBFF9D8" w14:textId="46F2EE71" w:rsidR="00591328" w:rsidRDefault="00591328">
      <w:pPr>
        <w:pStyle w:val="TOC2"/>
        <w:rPr>
          <w:lang w:val="en-GB" w:eastAsia="en-GB"/>
        </w:rPr>
      </w:pPr>
      <w:hyperlink w:anchor="_Toc192249430" w:history="1">
        <w:r w:rsidRPr="00C953C3">
          <w:rPr>
            <w:rStyle w:val="Hyperlink"/>
            <w:rFonts w:ascii="Times New Roman" w:hAnsi="Times New Roman" w:cs="Times New Roman"/>
          </w:rPr>
          <w:t>II.35</w:t>
        </w:r>
        <w:r>
          <w:rPr>
            <w:lang w:val="en-GB" w:eastAsia="en-GB"/>
          </w:rPr>
          <w:tab/>
        </w:r>
        <w:r w:rsidRPr="00C953C3">
          <w:rPr>
            <w:rStyle w:val="Hyperlink"/>
            <w:rFonts w:ascii="Times New Roman" w:hAnsi="Times New Roman" w:cs="Times New Roman"/>
          </w:rPr>
          <w:t xml:space="preserve">Z 15.00 - Derivatives </w:t>
        </w:r>
        <w:r w:rsidRPr="00C953C3">
          <w:rPr>
            <w:rStyle w:val="Hyperlink"/>
            <w:rFonts w:ascii="Times New Roman" w:eastAsia="Calibri" w:hAnsi="Times New Roman" w:cs="Times New Roman"/>
            <w:lang w:val="fr-BE"/>
          </w:rPr>
          <w:t>(LIAB-G-5)</w:t>
        </w:r>
        <w:r>
          <w:rPr>
            <w:webHidden/>
          </w:rPr>
          <w:tab/>
        </w:r>
        <w:r>
          <w:rPr>
            <w:webHidden/>
          </w:rPr>
          <w:fldChar w:fldCharType="begin"/>
        </w:r>
        <w:r>
          <w:rPr>
            <w:webHidden/>
          </w:rPr>
          <w:instrText xml:space="preserve"> PAGEREF _Toc192249430 \h </w:instrText>
        </w:r>
        <w:r>
          <w:rPr>
            <w:webHidden/>
          </w:rPr>
        </w:r>
        <w:r>
          <w:rPr>
            <w:webHidden/>
          </w:rPr>
          <w:fldChar w:fldCharType="separate"/>
        </w:r>
        <w:r>
          <w:rPr>
            <w:webHidden/>
          </w:rPr>
          <w:t>95</w:t>
        </w:r>
        <w:r>
          <w:rPr>
            <w:webHidden/>
          </w:rPr>
          <w:fldChar w:fldCharType="end"/>
        </w:r>
      </w:hyperlink>
    </w:p>
    <w:p w14:paraId="62E0AB83" w14:textId="33FD4DF9" w:rsidR="00591328" w:rsidRDefault="00591328">
      <w:pPr>
        <w:pStyle w:val="TOC2"/>
        <w:rPr>
          <w:lang w:val="en-GB" w:eastAsia="en-GB"/>
        </w:rPr>
      </w:pPr>
      <w:hyperlink w:anchor="_Toc192249431" w:history="1">
        <w:r w:rsidRPr="00C953C3">
          <w:rPr>
            <w:rStyle w:val="Hyperlink"/>
            <w:rFonts w:ascii="Times New Roman" w:hAnsi="Times New Roman" w:cs="Times New Roman"/>
          </w:rPr>
          <w:t>II.36</w:t>
        </w:r>
        <w:r>
          <w:rPr>
            <w:lang w:val="en-GB" w:eastAsia="en-GB"/>
          </w:rPr>
          <w:tab/>
        </w:r>
        <w:r w:rsidRPr="00C953C3">
          <w:rPr>
            <w:rStyle w:val="Hyperlink"/>
            <w:rFonts w:ascii="Times New Roman" w:hAnsi="Times New Roman" w:cs="Times New Roman"/>
          </w:rPr>
          <w:t xml:space="preserve">Z 16.00 – Secured finance transactions, excluding intragroup </w:t>
        </w:r>
        <w:r w:rsidRPr="00C953C3">
          <w:rPr>
            <w:rStyle w:val="Hyperlink"/>
            <w:rFonts w:ascii="Times New Roman" w:eastAsia="Calibri" w:hAnsi="Times New Roman" w:cs="Times New Roman"/>
          </w:rPr>
          <w:t>(LIAB-G-6)</w:t>
        </w:r>
        <w:r>
          <w:rPr>
            <w:webHidden/>
          </w:rPr>
          <w:tab/>
        </w:r>
        <w:r>
          <w:rPr>
            <w:webHidden/>
          </w:rPr>
          <w:fldChar w:fldCharType="begin"/>
        </w:r>
        <w:r>
          <w:rPr>
            <w:webHidden/>
          </w:rPr>
          <w:instrText xml:space="preserve"> PAGEREF _Toc192249431 \h </w:instrText>
        </w:r>
        <w:r>
          <w:rPr>
            <w:webHidden/>
          </w:rPr>
        </w:r>
        <w:r>
          <w:rPr>
            <w:webHidden/>
          </w:rPr>
          <w:fldChar w:fldCharType="separate"/>
        </w:r>
        <w:r>
          <w:rPr>
            <w:webHidden/>
          </w:rPr>
          <w:t>97</w:t>
        </w:r>
        <w:r>
          <w:rPr>
            <w:webHidden/>
          </w:rPr>
          <w:fldChar w:fldCharType="end"/>
        </w:r>
      </w:hyperlink>
    </w:p>
    <w:p w14:paraId="60209B7A" w14:textId="5F216DF4" w:rsidR="00591328" w:rsidRDefault="00591328">
      <w:pPr>
        <w:pStyle w:val="TOC2"/>
        <w:rPr>
          <w:lang w:val="en-GB" w:eastAsia="en-GB"/>
        </w:rPr>
      </w:pPr>
      <w:hyperlink w:anchor="_Toc192249432" w:history="1">
        <w:r w:rsidRPr="00C953C3">
          <w:rPr>
            <w:rStyle w:val="Hyperlink"/>
            <w:rFonts w:ascii="Times New Roman" w:hAnsi="Times New Roman" w:cs="Times New Roman"/>
          </w:rPr>
          <w:t>II.37</w:t>
        </w:r>
        <w:r>
          <w:rPr>
            <w:lang w:val="en-GB" w:eastAsia="en-GB"/>
          </w:rPr>
          <w:tab/>
        </w:r>
        <w:r w:rsidRPr="00C953C3">
          <w:rPr>
            <w:rStyle w:val="Hyperlink"/>
            <w:rFonts w:ascii="Times New Roman" w:hAnsi="Times New Roman" w:cs="Times New Roman"/>
          </w:rPr>
          <w:t xml:space="preserve">Z 17.00  - Other Non-Financial Liabilities (not included in other tabs, excluding intragroup) </w:t>
        </w:r>
        <w:r w:rsidRPr="00C953C3">
          <w:rPr>
            <w:rStyle w:val="Hyperlink"/>
            <w:rFonts w:ascii="Times New Roman" w:eastAsia="Calibri" w:hAnsi="Times New Roman" w:cs="Times New Roman"/>
          </w:rPr>
          <w:t>(LIAB-G-7)</w:t>
        </w:r>
        <w:r>
          <w:rPr>
            <w:webHidden/>
          </w:rPr>
          <w:tab/>
        </w:r>
        <w:r>
          <w:rPr>
            <w:webHidden/>
          </w:rPr>
          <w:fldChar w:fldCharType="begin"/>
        </w:r>
        <w:r>
          <w:rPr>
            <w:webHidden/>
          </w:rPr>
          <w:instrText xml:space="preserve"> PAGEREF _Toc192249432 \h </w:instrText>
        </w:r>
        <w:r>
          <w:rPr>
            <w:webHidden/>
          </w:rPr>
        </w:r>
        <w:r>
          <w:rPr>
            <w:webHidden/>
          </w:rPr>
          <w:fldChar w:fldCharType="separate"/>
        </w:r>
        <w:r>
          <w:rPr>
            <w:webHidden/>
          </w:rPr>
          <w:t>99</w:t>
        </w:r>
        <w:r>
          <w:rPr>
            <w:webHidden/>
          </w:rPr>
          <w:fldChar w:fldCharType="end"/>
        </w:r>
      </w:hyperlink>
    </w:p>
    <w:p w14:paraId="5DF97DD2" w14:textId="55921EBD" w:rsidR="00591328" w:rsidRDefault="00591328">
      <w:pPr>
        <w:pStyle w:val="TOC2"/>
        <w:rPr>
          <w:lang w:val="en-GB" w:eastAsia="en-GB"/>
        </w:rPr>
      </w:pPr>
      <w:hyperlink w:anchor="_Toc192249433" w:history="1">
        <w:r w:rsidRPr="00C953C3">
          <w:rPr>
            <w:rStyle w:val="Hyperlink"/>
            <w:rFonts w:ascii="Times New Roman" w:hAnsi="Times New Roman" w:cs="Times New Roman"/>
          </w:rPr>
          <w:t>II.38</w:t>
        </w:r>
        <w:r>
          <w:rPr>
            <w:lang w:val="en-GB" w:eastAsia="en-GB"/>
          </w:rPr>
          <w:tab/>
        </w:r>
        <w:r w:rsidRPr="00C953C3">
          <w:rPr>
            <w:rStyle w:val="Hyperlink"/>
            <w:rFonts w:ascii="Times New Roman" w:hAnsi="Times New Roman" w:cs="Times New Roman"/>
          </w:rPr>
          <w:t>Annex I- List of FMIs to be used for Z 09.01 – c0040</w:t>
        </w:r>
        <w:r>
          <w:rPr>
            <w:webHidden/>
          </w:rPr>
          <w:tab/>
        </w:r>
        <w:r>
          <w:rPr>
            <w:webHidden/>
          </w:rPr>
          <w:fldChar w:fldCharType="begin"/>
        </w:r>
        <w:r>
          <w:rPr>
            <w:webHidden/>
          </w:rPr>
          <w:instrText xml:space="preserve"> PAGEREF _Toc192249433 \h </w:instrText>
        </w:r>
        <w:r>
          <w:rPr>
            <w:webHidden/>
          </w:rPr>
        </w:r>
        <w:r>
          <w:rPr>
            <w:webHidden/>
          </w:rPr>
          <w:fldChar w:fldCharType="separate"/>
        </w:r>
        <w:r>
          <w:rPr>
            <w:webHidden/>
          </w:rPr>
          <w:t>101</w:t>
        </w:r>
        <w:r>
          <w:rPr>
            <w:webHidden/>
          </w:rPr>
          <w:fldChar w:fldCharType="end"/>
        </w:r>
      </w:hyperlink>
    </w:p>
    <w:p w14:paraId="7FE1B2E2" w14:textId="475CCDB6" w:rsidR="00CC0A94" w:rsidRDefault="006C1571">
      <w:pPr>
        <w:rPr>
          <w:rFonts w:ascii="Times New Roman" w:hAnsi="Times New Roman" w:cs="Times New Roman"/>
          <w:b/>
          <w:color w:val="000000" w:themeColor="text1"/>
          <w:sz w:val="20"/>
          <w:szCs w:val="20"/>
          <w:lang w:val="en-GB"/>
        </w:rPr>
      </w:pPr>
      <w:r>
        <w:rPr>
          <w:rFonts w:ascii="Times New Roman" w:hAnsi="Times New Roman" w:cs="Times New Roman"/>
          <w:bCs/>
          <w:noProof/>
          <w:color w:val="000000" w:themeColor="text1"/>
          <w:sz w:val="20"/>
          <w:szCs w:val="20"/>
          <w:lang w:val="en-GB"/>
        </w:rPr>
        <w:fldChar w:fldCharType="end"/>
      </w:r>
    </w:p>
    <w:p w14:paraId="7FE1B2E3" w14:textId="77777777" w:rsidR="00CC0A94" w:rsidRDefault="00CC0A94">
      <w:pPr>
        <w:rPr>
          <w:rFonts w:ascii="Times New Roman" w:hAnsi="Times New Roman" w:cs="Times New Roman"/>
          <w:b/>
          <w:color w:val="000000" w:themeColor="text1"/>
          <w:sz w:val="20"/>
          <w:szCs w:val="20"/>
          <w:lang w:val="en-GB"/>
        </w:rPr>
      </w:pPr>
    </w:p>
    <w:p w14:paraId="7FE1B2E4" w14:textId="77777777" w:rsidR="00CC0A94" w:rsidRDefault="00CC0A94">
      <w:pPr>
        <w:pStyle w:val="ListParagraph"/>
        <w:rPr>
          <w:rFonts w:ascii="Times New Roman" w:hAnsi="Times New Roman"/>
          <w:b/>
          <w:color w:val="000000" w:themeColor="text1"/>
          <w:sz w:val="20"/>
          <w:szCs w:val="20"/>
        </w:rPr>
      </w:pPr>
    </w:p>
    <w:p w14:paraId="7FE1B2E5" w14:textId="77777777" w:rsidR="00CC0A94" w:rsidRDefault="006C1571">
      <w:pPr>
        <w:spacing w:after="200" w:line="276" w:lineRule="auto"/>
        <w:rPr>
          <w:rFonts w:ascii="Times New Roman" w:eastAsiaTheme="majorEastAsia" w:hAnsi="Times New Roman" w:cs="Times New Roman"/>
          <w:color w:val="000000" w:themeColor="text1"/>
          <w:spacing w:val="5"/>
          <w:kern w:val="28"/>
          <w:sz w:val="20"/>
          <w:szCs w:val="20"/>
          <w:lang w:val="en-GB"/>
        </w:rPr>
      </w:pPr>
      <w:bookmarkStart w:id="0" w:name="_Toc492542318"/>
      <w:r>
        <w:rPr>
          <w:rFonts w:ascii="Times New Roman" w:hAnsi="Times New Roman" w:cs="Times New Roman"/>
          <w:color w:val="000000" w:themeColor="text1"/>
          <w:sz w:val="20"/>
          <w:szCs w:val="20"/>
          <w:lang w:val="en-GB"/>
        </w:rPr>
        <w:br w:type="page"/>
      </w:r>
    </w:p>
    <w:p w14:paraId="7FE1B2E6" w14:textId="77777777" w:rsidR="00CC0A94" w:rsidRDefault="006C1571">
      <w:pPr>
        <w:pStyle w:val="Instructionsberschrift2"/>
        <w:numPr>
          <w:ilvl w:val="0"/>
          <w:numId w:val="49"/>
        </w:numPr>
        <w:ind w:left="357" w:hanging="357"/>
        <w:rPr>
          <w:rFonts w:ascii="Times New Roman" w:hAnsi="Times New Roman" w:cs="Times New Roman"/>
          <w:szCs w:val="20"/>
        </w:rPr>
      </w:pPr>
      <w:bookmarkStart w:id="1" w:name="_Toc81454170"/>
      <w:bookmarkStart w:id="2" w:name="_Toc192249030"/>
      <w:r>
        <w:rPr>
          <w:rFonts w:ascii="Times New Roman" w:hAnsi="Times New Roman" w:cs="Times New Roman"/>
          <w:szCs w:val="20"/>
        </w:rPr>
        <w:lastRenderedPageBreak/>
        <w:t>General instructions</w:t>
      </w:r>
      <w:bookmarkEnd w:id="0"/>
      <w:bookmarkEnd w:id="1"/>
      <w:bookmarkEnd w:id="2"/>
    </w:p>
    <w:p w14:paraId="7FE1B2E7" w14:textId="77777777" w:rsidR="00CC0A94" w:rsidRDefault="006C1571">
      <w:pPr>
        <w:pStyle w:val="Instructionsberschrift2"/>
        <w:numPr>
          <w:ilvl w:val="1"/>
          <w:numId w:val="49"/>
        </w:numPr>
        <w:ind w:left="357" w:hanging="357"/>
        <w:rPr>
          <w:rFonts w:ascii="Times New Roman" w:hAnsi="Times New Roman" w:cs="Times New Roman"/>
        </w:rPr>
      </w:pPr>
      <w:bookmarkStart w:id="3" w:name="_Toc81454171"/>
      <w:bookmarkStart w:id="4" w:name="_Toc192249031"/>
      <w:r>
        <w:rPr>
          <w:rFonts w:ascii="Times New Roman" w:hAnsi="Times New Roman" w:cs="Times New Roman"/>
        </w:rPr>
        <w:t>Structure</w:t>
      </w:r>
      <w:bookmarkEnd w:id="3"/>
      <w:bookmarkEnd w:id="4"/>
    </w:p>
    <w:p w14:paraId="7FE1B2E8" w14:textId="261F32BB" w:rsidR="00CC0A94" w:rsidRDefault="006C1571">
      <w:pPr>
        <w:pStyle w:val="InstructionsText2"/>
        <w:numPr>
          <w:ilvl w:val="0"/>
          <w:numId w:val="71"/>
        </w:numPr>
        <w:spacing w:before="0"/>
        <w:ind w:left="714" w:hanging="357"/>
        <w:rPr>
          <w:rFonts w:ascii="Times New Roman" w:hAnsi="Times New Roman" w:cs="Times New Roman"/>
          <w:sz w:val="20"/>
          <w:szCs w:val="20"/>
          <w:lang w:val="en-GB"/>
        </w:rPr>
      </w:pPr>
      <w:r>
        <w:rPr>
          <w:rFonts w:ascii="Times New Roman" w:hAnsi="Times New Roman" w:cs="Times New Roman"/>
          <w:sz w:val="20"/>
          <w:szCs w:val="20"/>
          <w:lang w:val="en-GB"/>
        </w:rPr>
        <w:t>The framework consists of 29 templates, organised in 6 blocks.</w:t>
      </w:r>
    </w:p>
    <w:p w14:paraId="7FE1B2EA" w14:textId="45B1FB28"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‘General information’, which provides an overview of the organisational structure of a group and its entities, the distribution of assets and risk exposure amounts. This block consists of templates:</w:t>
      </w:r>
    </w:p>
    <w:p w14:paraId="7FE1B2EB" w14:textId="75468367" w:rsidR="00CC0A94" w:rsidRDefault="006C1571" w:rsidP="002F61BB">
      <w:pPr>
        <w:pStyle w:val="body"/>
        <w:numPr>
          <w:ilvl w:val="1"/>
          <w:numId w:val="207"/>
        </w:numPr>
        <w:rPr>
          <w:rFonts w:ascii="Times New Roman" w:hAnsi="Times New Roman" w:cs="Times New Roman"/>
          <w:color w:val="000000" w:themeColor="text1"/>
          <w:sz w:val="20"/>
          <w:szCs w:val="20"/>
          <w:lang w:val="fr-BE"/>
        </w:rPr>
      </w:pPr>
      <w:r w:rsidRPr="002F61BB">
        <w:rPr>
          <w:rFonts w:ascii="Times New Roman" w:hAnsi="Times New Roman" w:cs="Times New Roman"/>
          <w:color w:val="000000" w:themeColor="text1"/>
          <w:sz w:val="20"/>
          <w:szCs w:val="20"/>
          <w:lang w:val="fr-BE"/>
        </w:rPr>
        <w:t xml:space="preserve">Z 01.01 </w:t>
      </w:r>
      <w:r w:rsidR="0036700A">
        <w:rPr>
          <w:rFonts w:ascii="Times New Roman" w:hAnsi="Times New Roman" w:cs="Times New Roman"/>
          <w:color w:val="000000" w:themeColor="text1"/>
          <w:sz w:val="20"/>
          <w:szCs w:val="20"/>
          <w:lang w:val="fr-BE"/>
        </w:rPr>
        <w:t>–</w:t>
      </w:r>
      <w:r w:rsidRPr="002F61BB">
        <w:rPr>
          <w:rFonts w:ascii="Times New Roman" w:hAnsi="Times New Roman" w:cs="Times New Roman"/>
          <w:color w:val="000000" w:themeColor="text1"/>
          <w:sz w:val="20"/>
          <w:szCs w:val="20"/>
          <w:lang w:val="fr-BE"/>
        </w:rPr>
        <w:t xml:space="preserve"> </w:t>
      </w:r>
      <w:r w:rsidR="0036700A">
        <w:rPr>
          <w:rFonts w:ascii="Times New Roman" w:hAnsi="Times New Roman" w:cs="Times New Roman"/>
          <w:color w:val="000000" w:themeColor="text1"/>
          <w:sz w:val="20"/>
          <w:szCs w:val="20"/>
          <w:lang w:val="fr-BE"/>
        </w:rPr>
        <w:t xml:space="preserve">Legal </w:t>
      </w:r>
      <w:proofErr w:type="spellStart"/>
      <w:r w:rsidR="0036700A">
        <w:rPr>
          <w:rFonts w:ascii="Times New Roman" w:hAnsi="Times New Roman" w:cs="Times New Roman"/>
          <w:color w:val="000000" w:themeColor="text1"/>
          <w:sz w:val="20"/>
          <w:szCs w:val="20"/>
          <w:lang w:val="fr-BE"/>
        </w:rPr>
        <w:t>entities</w:t>
      </w:r>
      <w:proofErr w:type="spellEnd"/>
      <w:r w:rsidRPr="002F61BB">
        <w:rPr>
          <w:rFonts w:ascii="Times New Roman" w:hAnsi="Times New Roman" w:cs="Times New Roman"/>
          <w:color w:val="000000" w:themeColor="text1"/>
          <w:sz w:val="20"/>
          <w:szCs w:val="20"/>
          <w:lang w:val="fr-BE"/>
        </w:rPr>
        <w:t xml:space="preserve"> (ORG 1)’</w:t>
      </w:r>
    </w:p>
    <w:p w14:paraId="7FE1B2EC" w14:textId="77777777" w:rsidR="00CC0A94" w:rsidRPr="002F61BB" w:rsidRDefault="006C1571" w:rsidP="002F61BB">
      <w:pPr>
        <w:pStyle w:val="body"/>
        <w:numPr>
          <w:ilvl w:val="1"/>
          <w:numId w:val="207"/>
        </w:numPr>
        <w:rPr>
          <w:rFonts w:ascii="Times New Roman" w:hAnsi="Times New Roman" w:cs="Times New Roman"/>
          <w:color w:val="000000" w:themeColor="text1"/>
          <w:sz w:val="20"/>
          <w:szCs w:val="20"/>
          <w:lang w:val="fr-BE"/>
        </w:rPr>
      </w:pPr>
      <w:r>
        <w:rPr>
          <w:rFonts w:ascii="Times New Roman" w:hAnsi="Times New Roman" w:cs="Times New Roman"/>
          <w:color w:val="000000" w:themeColor="text1"/>
          <w:sz w:val="20"/>
          <w:szCs w:val="20"/>
          <w:lang w:val="fr-BE"/>
        </w:rPr>
        <w:t xml:space="preserve">Z 01.02 – </w:t>
      </w:r>
      <w:proofErr w:type="spellStart"/>
      <w:r>
        <w:rPr>
          <w:rFonts w:ascii="Times New Roman" w:hAnsi="Times New Roman" w:cs="Times New Roman"/>
          <w:color w:val="000000" w:themeColor="text1"/>
          <w:sz w:val="20"/>
          <w:szCs w:val="20"/>
          <w:lang w:val="fr-BE"/>
        </w:rPr>
        <w:t>Ownership</w:t>
      </w:r>
      <w:proofErr w:type="spellEnd"/>
      <w:r>
        <w:rPr>
          <w:rFonts w:ascii="Times New Roman" w:hAnsi="Times New Roman" w:cs="Times New Roman"/>
          <w:color w:val="000000" w:themeColor="text1"/>
          <w:sz w:val="20"/>
          <w:szCs w:val="20"/>
          <w:lang w:val="fr-BE"/>
        </w:rPr>
        <w:t xml:space="preserve"> structure (ORG 2)</w:t>
      </w:r>
    </w:p>
    <w:p w14:paraId="7FE1B2ED" w14:textId="0B29A8FB"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‘Aggregate data on on-balance sheet items and off-balance sheet items’ which provides financial information on liabilities, own funds, financial connections between group entities, liabilities towards major counterparties and off-balance sheet items received from major counterparties, and deposit insurance. This block consists of 7 templates:</w:t>
      </w:r>
    </w:p>
    <w:p w14:paraId="7FE1B2EE" w14:textId="77777777" w:rsidR="00CC0A94" w:rsidRDefault="006C1571" w:rsidP="002F61BB">
      <w:pPr>
        <w:pStyle w:val="body"/>
        <w:numPr>
          <w:ilvl w:val="0"/>
          <w:numId w:val="20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02.00 - Liability Structure (LIAB 1)</w:t>
      </w:r>
      <w:proofErr w:type="gramStart"/>
      <w:r>
        <w:rPr>
          <w:rFonts w:ascii="Times New Roman" w:hAnsi="Times New Roman" w:cs="Times New Roman"/>
          <w:color w:val="000000" w:themeColor="text1"/>
          <w:sz w:val="20"/>
          <w:szCs w:val="20"/>
        </w:rPr>
        <w:t>’;</w:t>
      </w:r>
      <w:proofErr w:type="gramEnd"/>
    </w:p>
    <w:p w14:paraId="7FE1B2EF" w14:textId="584458BC" w:rsidR="00CC0A94" w:rsidRDefault="006C1571">
      <w:pPr>
        <w:pStyle w:val="body"/>
        <w:numPr>
          <w:ilvl w:val="0"/>
          <w:numId w:val="20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03.01 - Own funds requirements for credit institutions (LIAB 2)</w:t>
      </w:r>
      <w:proofErr w:type="gramStart"/>
      <w:r>
        <w:rPr>
          <w:rFonts w:ascii="Times New Roman" w:hAnsi="Times New Roman" w:cs="Times New Roman"/>
          <w:color w:val="000000" w:themeColor="text1"/>
          <w:sz w:val="20"/>
          <w:szCs w:val="20"/>
        </w:rPr>
        <w:t>’;</w:t>
      </w:r>
      <w:proofErr w:type="gramEnd"/>
    </w:p>
    <w:p w14:paraId="7FE1B2F0" w14:textId="77777777" w:rsidR="00CC0A94" w:rsidRDefault="006C1571">
      <w:pPr>
        <w:pStyle w:val="body"/>
        <w:numPr>
          <w:ilvl w:val="0"/>
          <w:numId w:val="20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03.02 - Own funds requirements for investment firms (LIAB 3)</w:t>
      </w:r>
      <w:proofErr w:type="gramStart"/>
      <w:r>
        <w:rPr>
          <w:rFonts w:ascii="Times New Roman" w:hAnsi="Times New Roman" w:cs="Times New Roman"/>
          <w:color w:val="000000" w:themeColor="text1"/>
          <w:sz w:val="20"/>
          <w:szCs w:val="20"/>
        </w:rPr>
        <w:t>’;</w:t>
      </w:r>
      <w:proofErr w:type="gramEnd"/>
    </w:p>
    <w:p w14:paraId="7FE1B2F2" w14:textId="77777777" w:rsidR="00CC0A94" w:rsidRDefault="006C1571" w:rsidP="002F61BB">
      <w:pPr>
        <w:pStyle w:val="body"/>
        <w:numPr>
          <w:ilvl w:val="0"/>
          <w:numId w:val="208"/>
        </w:numPr>
        <w:rPr>
          <w:rFonts w:ascii="Times New Roman" w:hAnsi="Times New Roman" w:cs="Times New Roman"/>
          <w:color w:val="000000" w:themeColor="text1"/>
          <w:sz w:val="20"/>
          <w:szCs w:val="20"/>
          <w:lang w:val="fr-BE"/>
        </w:rPr>
      </w:pPr>
      <w:r>
        <w:rPr>
          <w:rFonts w:ascii="Times New Roman" w:hAnsi="Times New Roman" w:cs="Times New Roman"/>
          <w:color w:val="000000" w:themeColor="text1"/>
          <w:sz w:val="20"/>
          <w:szCs w:val="20"/>
          <w:lang w:val="fr-BE"/>
        </w:rPr>
        <w:t xml:space="preserve">‘Z 04.00 - </w:t>
      </w:r>
      <w:proofErr w:type="spellStart"/>
      <w:r>
        <w:rPr>
          <w:rFonts w:ascii="Times New Roman" w:hAnsi="Times New Roman" w:cs="Times New Roman"/>
          <w:color w:val="000000" w:themeColor="text1"/>
          <w:sz w:val="20"/>
          <w:szCs w:val="20"/>
          <w:lang w:val="fr-BE"/>
        </w:rPr>
        <w:t>Intragroup</w:t>
      </w:r>
      <w:proofErr w:type="spellEnd"/>
      <w:r>
        <w:rPr>
          <w:rFonts w:ascii="Times New Roman" w:hAnsi="Times New Roman" w:cs="Times New Roman"/>
          <w:color w:val="000000" w:themeColor="text1"/>
          <w:sz w:val="20"/>
          <w:szCs w:val="20"/>
          <w:lang w:val="fr-BE"/>
        </w:rPr>
        <w:t xml:space="preserve"> </w:t>
      </w:r>
      <w:proofErr w:type="spellStart"/>
      <w:r>
        <w:rPr>
          <w:rFonts w:ascii="Times New Roman" w:hAnsi="Times New Roman" w:cs="Times New Roman"/>
          <w:color w:val="000000" w:themeColor="text1"/>
          <w:sz w:val="20"/>
          <w:szCs w:val="20"/>
          <w:lang w:val="fr-BE"/>
        </w:rPr>
        <w:t>financial</w:t>
      </w:r>
      <w:proofErr w:type="spellEnd"/>
      <w:r>
        <w:rPr>
          <w:rFonts w:ascii="Times New Roman" w:hAnsi="Times New Roman" w:cs="Times New Roman"/>
          <w:color w:val="000000" w:themeColor="text1"/>
          <w:sz w:val="20"/>
          <w:szCs w:val="20"/>
          <w:lang w:val="fr-BE"/>
        </w:rPr>
        <w:t xml:space="preserve"> interconnections (LIAB 4)</w:t>
      </w:r>
      <w:proofErr w:type="gramStart"/>
      <w:r>
        <w:rPr>
          <w:rFonts w:ascii="Times New Roman" w:hAnsi="Times New Roman" w:cs="Times New Roman"/>
          <w:color w:val="000000" w:themeColor="text1"/>
          <w:sz w:val="20"/>
          <w:szCs w:val="20"/>
          <w:lang w:val="fr-BE"/>
        </w:rPr>
        <w:t>’;</w:t>
      </w:r>
      <w:proofErr w:type="gramEnd"/>
    </w:p>
    <w:p w14:paraId="7FE1B2F3" w14:textId="780D871C" w:rsidR="00CC0A94" w:rsidRDefault="006C1571">
      <w:pPr>
        <w:pStyle w:val="body"/>
        <w:numPr>
          <w:ilvl w:val="0"/>
          <w:numId w:val="208"/>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05.01 - Major Liability Counterparties (</w:t>
      </w:r>
      <w:r>
        <w:rPr>
          <w:rFonts w:ascii="Times New Roman" w:hAnsi="Times New Roman" w:cs="Times New Roman"/>
          <w:color w:val="000000" w:themeColor="text1"/>
          <w:sz w:val="20"/>
          <w:szCs w:val="20"/>
        </w:rPr>
        <w:t>LIAB 5</w:t>
      </w:r>
      <w:r>
        <w:rPr>
          <w:rFonts w:ascii="Times New Roman" w:hAnsi="Times New Roman" w:cs="Times New Roman"/>
          <w:color w:val="000000" w:themeColor="text1"/>
          <w:sz w:val="20"/>
          <w:szCs w:val="20"/>
          <w:lang w:val="en-GB"/>
        </w:rPr>
        <w:t>)</w:t>
      </w:r>
      <w:proofErr w:type="gramStart"/>
      <w:r>
        <w:rPr>
          <w:rFonts w:ascii="Times New Roman" w:hAnsi="Times New Roman" w:cs="Times New Roman"/>
          <w:color w:val="000000" w:themeColor="text1"/>
          <w:sz w:val="20"/>
          <w:szCs w:val="20"/>
          <w:lang w:val="en-GB"/>
        </w:rPr>
        <w:t>’;</w:t>
      </w:r>
      <w:proofErr w:type="gramEnd"/>
    </w:p>
    <w:p w14:paraId="7FE1B2F4" w14:textId="510CE128" w:rsidR="00CC0A94" w:rsidRDefault="006C1571" w:rsidP="002F61BB">
      <w:pPr>
        <w:pStyle w:val="body"/>
        <w:numPr>
          <w:ilvl w:val="0"/>
          <w:numId w:val="208"/>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05.02 - Major off-balance sheet counterparties (</w:t>
      </w:r>
      <w:r>
        <w:rPr>
          <w:rFonts w:ascii="Times New Roman" w:hAnsi="Times New Roman" w:cs="Times New Roman"/>
          <w:color w:val="000000" w:themeColor="text1"/>
          <w:sz w:val="20"/>
          <w:szCs w:val="20"/>
        </w:rPr>
        <w:t>LIAB 6</w:t>
      </w:r>
      <w:r>
        <w:rPr>
          <w:rFonts w:ascii="Times New Roman" w:hAnsi="Times New Roman" w:cs="Times New Roman"/>
          <w:color w:val="000000" w:themeColor="text1"/>
          <w:sz w:val="20"/>
          <w:szCs w:val="20"/>
          <w:lang w:val="en-GB"/>
        </w:rPr>
        <w:t>)</w:t>
      </w:r>
      <w:proofErr w:type="gramStart"/>
      <w:r>
        <w:rPr>
          <w:rFonts w:ascii="Times New Roman" w:hAnsi="Times New Roman" w:cs="Times New Roman"/>
          <w:color w:val="000000" w:themeColor="text1"/>
          <w:sz w:val="20"/>
          <w:szCs w:val="20"/>
          <w:lang w:val="en-GB"/>
        </w:rPr>
        <w:t>’;</w:t>
      </w:r>
      <w:proofErr w:type="gramEnd"/>
    </w:p>
    <w:p w14:paraId="7FE1B2F5" w14:textId="762695F7" w:rsidR="00CC0A94" w:rsidRDefault="006C1571" w:rsidP="002F61BB">
      <w:pPr>
        <w:pStyle w:val="body"/>
        <w:numPr>
          <w:ilvl w:val="0"/>
          <w:numId w:val="208"/>
        </w:numPr>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 xml:space="preserve">‘Z 06.00 - </w:t>
      </w:r>
      <w:proofErr w:type="spellStart"/>
      <w:r>
        <w:rPr>
          <w:rFonts w:ascii="Times New Roman" w:hAnsi="Times New Roman" w:cs="Times New Roman"/>
          <w:color w:val="000000" w:themeColor="text1"/>
          <w:sz w:val="20"/>
          <w:szCs w:val="20"/>
          <w:lang w:val="fr-FR"/>
        </w:rPr>
        <w:t>Deposit</w:t>
      </w:r>
      <w:proofErr w:type="spellEnd"/>
      <w:r>
        <w:rPr>
          <w:rFonts w:ascii="Times New Roman" w:hAnsi="Times New Roman" w:cs="Times New Roman"/>
          <w:color w:val="000000" w:themeColor="text1"/>
          <w:sz w:val="20"/>
          <w:szCs w:val="20"/>
          <w:lang w:val="fr-FR"/>
        </w:rPr>
        <w:t xml:space="preserve"> </w:t>
      </w:r>
      <w:proofErr w:type="spellStart"/>
      <w:r>
        <w:rPr>
          <w:rFonts w:ascii="Times New Roman" w:hAnsi="Times New Roman" w:cs="Times New Roman"/>
          <w:color w:val="000000" w:themeColor="text1"/>
          <w:sz w:val="20"/>
          <w:szCs w:val="20"/>
          <w:lang w:val="fr-FR"/>
        </w:rPr>
        <w:t>insurance</w:t>
      </w:r>
      <w:proofErr w:type="spellEnd"/>
      <w:r>
        <w:rPr>
          <w:rFonts w:ascii="Times New Roman" w:hAnsi="Times New Roman" w:cs="Times New Roman"/>
          <w:color w:val="000000" w:themeColor="text1"/>
          <w:sz w:val="20"/>
          <w:szCs w:val="20"/>
          <w:lang w:val="fr-FR"/>
        </w:rPr>
        <w:t xml:space="preserve"> (</w:t>
      </w:r>
      <w:r>
        <w:rPr>
          <w:rFonts w:ascii="Times New Roman" w:hAnsi="Times New Roman" w:cs="Times New Roman"/>
          <w:color w:val="000000" w:themeColor="text1"/>
          <w:sz w:val="20"/>
          <w:szCs w:val="20"/>
          <w:lang w:val="fr-BE"/>
        </w:rPr>
        <w:t>LIAB 7</w:t>
      </w:r>
      <w:r>
        <w:rPr>
          <w:rFonts w:ascii="Times New Roman" w:hAnsi="Times New Roman" w:cs="Times New Roman"/>
          <w:color w:val="000000" w:themeColor="text1"/>
          <w:sz w:val="20"/>
          <w:szCs w:val="20"/>
          <w:lang w:val="fr-FR"/>
        </w:rPr>
        <w:t>)’.</w:t>
      </w:r>
    </w:p>
    <w:p w14:paraId="7FE1B2F6" w14:textId="75559FD1"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‘Critical functions’ which provides an overview of critical functions and maps them to legal entities, core business lines. This block consists of 4 templates:</w:t>
      </w:r>
    </w:p>
    <w:p w14:paraId="7FE1B2F7" w14:textId="433A5E71" w:rsidR="00CC0A94" w:rsidRDefault="006C1571" w:rsidP="002F61BB">
      <w:pPr>
        <w:pStyle w:val="body"/>
        <w:numPr>
          <w:ilvl w:val="1"/>
          <w:numId w:val="20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Z 07.01 - Criticality assessment of economic functions (FUNC 1), </w:t>
      </w:r>
    </w:p>
    <w:p w14:paraId="7FE1B2F8" w14:textId="3145F629" w:rsidR="00CC0A94" w:rsidRDefault="006C1571" w:rsidP="002F61BB">
      <w:pPr>
        <w:pStyle w:val="body"/>
        <w:numPr>
          <w:ilvl w:val="1"/>
          <w:numId w:val="20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Z 07.02 - Mapping of critical functions by legal entity (FUNC 2)’, </w:t>
      </w:r>
    </w:p>
    <w:p w14:paraId="7FE1B2F9" w14:textId="1FE59149" w:rsidR="00CC0A94" w:rsidRDefault="006C1571" w:rsidP="002F61BB">
      <w:pPr>
        <w:pStyle w:val="body"/>
        <w:numPr>
          <w:ilvl w:val="1"/>
          <w:numId w:val="20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Z 07.03 - Mapping of Core Business Lines to legal entities (FUNC 3) and </w:t>
      </w:r>
    </w:p>
    <w:p w14:paraId="7FE1B2FB" w14:textId="3D116B7E" w:rsidR="00CC0A94" w:rsidRDefault="006C1571" w:rsidP="002F61BB">
      <w:pPr>
        <w:pStyle w:val="body"/>
        <w:ind w:left="1794"/>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07.04 - Mapping of critical functions to core business lines (FUNC 4</w:t>
      </w:r>
      <w:proofErr w:type="gramStart"/>
      <w:r>
        <w:rPr>
          <w:rFonts w:ascii="Times New Roman" w:hAnsi="Times New Roman" w:cs="Times New Roman"/>
          <w:color w:val="000000" w:themeColor="text1"/>
          <w:sz w:val="20"/>
          <w:szCs w:val="20"/>
          <w:lang w:val="en-GB"/>
        </w:rPr>
        <w:t>);</w:t>
      </w:r>
      <w:proofErr w:type="gramEnd"/>
    </w:p>
    <w:p w14:paraId="7FE1B2FC" w14:textId="77777777" w:rsidR="00CC0A94" w:rsidRDefault="006C1571">
      <w:pPr>
        <w:pStyle w:val="body"/>
        <w:numPr>
          <w:ilvl w:val="0"/>
          <w:numId w:val="61"/>
        </w:numPr>
        <w:rPr>
          <w:rFonts w:ascii="Times New Roman" w:hAnsi="Times New Roman" w:cs="Times New Roman"/>
          <w:color w:val="000000" w:themeColor="text1"/>
          <w:sz w:val="20"/>
          <w:szCs w:val="20"/>
          <w:lang w:val="en-GB"/>
        </w:rPr>
      </w:pPr>
      <w:bookmarkStart w:id="5" w:name="_Hlk160696385"/>
      <w:r>
        <w:rPr>
          <w:rFonts w:ascii="Times New Roman" w:hAnsi="Times New Roman" w:cs="Times New Roman"/>
          <w:color w:val="000000" w:themeColor="text1"/>
          <w:sz w:val="20"/>
          <w:szCs w:val="20"/>
          <w:lang w:val="en-GB"/>
        </w:rPr>
        <w:t>Services and Entities, which provides a breakdown of users and providers of services, and maps them to economic functions and business lines</w:t>
      </w:r>
      <w:bookmarkEnd w:id="5"/>
      <w:r>
        <w:rPr>
          <w:rFonts w:ascii="Times New Roman" w:hAnsi="Times New Roman" w:cs="Times New Roman"/>
          <w:color w:val="000000" w:themeColor="text1"/>
          <w:sz w:val="20"/>
          <w:szCs w:val="20"/>
          <w:lang w:val="en-GB"/>
        </w:rPr>
        <w:t>:</w:t>
      </w:r>
    </w:p>
    <w:p w14:paraId="7FE1B2FD" w14:textId="77777777" w:rsidR="00CC0A94" w:rsidRDefault="006C1571" w:rsidP="002F61BB">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08.01 – Relevant Services (SERV 1)</w:t>
      </w:r>
    </w:p>
    <w:p w14:paraId="7FE1B2FE" w14:textId="77777777" w:rsidR="00CC0A94" w:rsidRDefault="006C1571" w:rsidP="002F61BB">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08.02 – Relevant Services – Mapping to assets (SERV 2)</w:t>
      </w:r>
    </w:p>
    <w:p w14:paraId="7FE1B2FF" w14:textId="77777777" w:rsidR="00CC0A94" w:rsidRDefault="006C1571" w:rsidP="002F61BB">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08.03 – Relevant Services – Mapping to roles (SERV 3)</w:t>
      </w:r>
    </w:p>
    <w:p w14:paraId="7FE1B300" w14:textId="77777777" w:rsidR="00CC0A94" w:rsidRDefault="006C1571">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08.04 – Relevant Services – Mapping to critical functions (SERV 4)</w:t>
      </w:r>
    </w:p>
    <w:p w14:paraId="7FE1B301" w14:textId="77777777" w:rsidR="00CC0A94" w:rsidRDefault="006C1571" w:rsidP="002F61BB">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Z 08.05 – Relevant Services – Mapping to core business lines (SERV 5)</w:t>
      </w:r>
    </w:p>
    <w:p w14:paraId="7FE1B303" w14:textId="397A4C74"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Reporting on FMI Services</w:t>
      </w:r>
    </w:p>
    <w:p w14:paraId="7FE1B304" w14:textId="110EA9FD"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09.01 – FMI Services – Providers and Users (FMI 1)</w:t>
      </w:r>
    </w:p>
    <w:p w14:paraId="7FE1B305" w14:textId="77777777"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09.02 – FMI Services – Mapping to Critical and Essential FMIs (FMI 2)</w:t>
      </w:r>
    </w:p>
    <w:p w14:paraId="7FE1B306" w14:textId="77777777"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09.03 – FMI Services – Key Metrics (FMI 3)</w:t>
      </w:r>
    </w:p>
    <w:p w14:paraId="7FE1B307" w14:textId="77777777"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09.04 – FMI Services – CCPs - Alternative providers (FMI 4)</w:t>
      </w:r>
    </w:p>
    <w:p w14:paraId="7FE1B30B" w14:textId="05DD2D8B"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Granular Reporting of Liability data for Bail-in assessment</w:t>
      </w:r>
    </w:p>
    <w:p w14:paraId="7FE1B30C" w14:textId="6ACC8549" w:rsidR="00CC0A94" w:rsidRDefault="006C1571" w:rsidP="002F61BB">
      <w:pPr>
        <w:pStyle w:val="body"/>
        <w:numPr>
          <w:ilvl w:val="0"/>
          <w:numId w:val="217"/>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11.0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Intragroup Liabilities (excluding Derivatives) (LIAB-G-1)</w:t>
      </w:r>
    </w:p>
    <w:p w14:paraId="7FE1B30D" w14:textId="140BB302" w:rsidR="00CC0A94" w:rsidRDefault="006C1571" w:rsidP="002F61BB">
      <w:pPr>
        <w:pStyle w:val="body"/>
        <w:numPr>
          <w:ilvl w:val="0"/>
          <w:numId w:val="217"/>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Securities (including CET1, AT1 &amp; Tier 2 instruments, excluding intragroup) (LIAB-G-2)</w:t>
      </w:r>
    </w:p>
    <w:p w14:paraId="7FE1B30E" w14:textId="67922446" w:rsidR="00CC0A94" w:rsidRDefault="006C1571" w:rsidP="002F61BB">
      <w:pPr>
        <w:pStyle w:val="body"/>
        <w:numPr>
          <w:ilvl w:val="0"/>
          <w:numId w:val="217"/>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3</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All Deposits (excluding intragroup) (LIAB-G-3)</w:t>
      </w:r>
    </w:p>
    <w:p w14:paraId="7FE1B30F" w14:textId="2D8F046E" w:rsidR="00CC0A94" w:rsidRDefault="006C1571" w:rsidP="002F61BB">
      <w:pPr>
        <w:pStyle w:val="body"/>
        <w:numPr>
          <w:ilvl w:val="0"/>
          <w:numId w:val="217"/>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4</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Other Financial Liabilities (LIAB-G-4)</w:t>
      </w:r>
    </w:p>
    <w:p w14:paraId="7FE1B310" w14:textId="69B08C3E"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5</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Derivatives (LIAB-G-5)</w:t>
      </w:r>
    </w:p>
    <w:p w14:paraId="7FE1B311" w14:textId="2130BFF9"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6</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Secured Finance, excluding intragroup (LIAB-G-6)</w:t>
      </w:r>
    </w:p>
    <w:p w14:paraId="7FE1B312" w14:textId="77742066" w:rsidR="00CC0A94" w:rsidRDefault="006C1571" w:rsidP="002F61BB">
      <w:pPr>
        <w:pStyle w:val="body"/>
        <w:numPr>
          <w:ilvl w:val="1"/>
          <w:numId w:val="211"/>
        </w:numPr>
        <w:rPr>
          <w:rFonts w:ascii="Times New Roman" w:hAnsi="Times New Roman" w:cs="Times New Roman"/>
          <w:color w:val="000000" w:themeColor="text1"/>
          <w:sz w:val="20"/>
          <w:szCs w:val="20"/>
          <w:lang w:val="fr-BE"/>
        </w:rPr>
      </w:pPr>
      <w:r>
        <w:rPr>
          <w:rFonts w:ascii="Times New Roman" w:hAnsi="Times New Roman" w:cs="Times New Roman"/>
          <w:color w:val="000000" w:themeColor="text1"/>
          <w:sz w:val="20"/>
          <w:szCs w:val="20"/>
          <w:lang w:val="fr-BE"/>
        </w:rPr>
        <w:t>Z 1</w:t>
      </w:r>
      <w:r w:rsidR="00204A18">
        <w:rPr>
          <w:rFonts w:ascii="Times New Roman" w:hAnsi="Times New Roman" w:cs="Times New Roman"/>
          <w:color w:val="000000" w:themeColor="text1"/>
          <w:sz w:val="20"/>
          <w:szCs w:val="20"/>
          <w:lang w:val="fr-BE"/>
        </w:rPr>
        <w:t>7</w:t>
      </w:r>
      <w:r>
        <w:rPr>
          <w:rFonts w:ascii="Times New Roman" w:hAnsi="Times New Roman" w:cs="Times New Roman"/>
          <w:color w:val="000000" w:themeColor="text1"/>
          <w:sz w:val="20"/>
          <w:szCs w:val="20"/>
          <w:lang w:val="fr-BE"/>
        </w:rPr>
        <w:t>.</w:t>
      </w:r>
      <w:r w:rsidRPr="002F61BB">
        <w:rPr>
          <w:rFonts w:ascii="Times New Roman" w:hAnsi="Times New Roman" w:cs="Times New Roman"/>
          <w:color w:val="000000" w:themeColor="text1"/>
          <w:sz w:val="20"/>
          <w:szCs w:val="20"/>
          <w:lang w:val="fr-BE"/>
        </w:rPr>
        <w:t>0</w:t>
      </w:r>
      <w:r w:rsidR="00204A18">
        <w:rPr>
          <w:rFonts w:ascii="Times New Roman" w:hAnsi="Times New Roman" w:cs="Times New Roman"/>
          <w:color w:val="000000" w:themeColor="text1"/>
          <w:sz w:val="20"/>
          <w:szCs w:val="20"/>
          <w:lang w:val="fr-BE"/>
        </w:rPr>
        <w:t>0</w:t>
      </w:r>
      <w:r w:rsidRPr="002F61BB">
        <w:rPr>
          <w:rFonts w:ascii="Times New Roman" w:hAnsi="Times New Roman" w:cs="Times New Roman"/>
          <w:color w:val="000000" w:themeColor="text1"/>
          <w:sz w:val="20"/>
          <w:szCs w:val="20"/>
          <w:lang w:val="fr-BE"/>
        </w:rPr>
        <w:t xml:space="preserve"> – </w:t>
      </w:r>
      <w:proofErr w:type="spellStart"/>
      <w:r w:rsidRPr="002F61BB">
        <w:rPr>
          <w:rFonts w:ascii="Times New Roman" w:hAnsi="Times New Roman" w:cs="Times New Roman"/>
          <w:color w:val="000000" w:themeColor="text1"/>
          <w:sz w:val="20"/>
          <w:szCs w:val="20"/>
          <w:lang w:val="fr-BE"/>
        </w:rPr>
        <w:t>Other</w:t>
      </w:r>
      <w:proofErr w:type="spellEnd"/>
      <w:r w:rsidRPr="002F61BB">
        <w:rPr>
          <w:rFonts w:ascii="Times New Roman" w:hAnsi="Times New Roman" w:cs="Times New Roman"/>
          <w:color w:val="000000" w:themeColor="text1"/>
          <w:sz w:val="20"/>
          <w:szCs w:val="20"/>
          <w:lang w:val="fr-BE"/>
        </w:rPr>
        <w:t xml:space="preserve"> Non-Financial </w:t>
      </w:r>
      <w:proofErr w:type="spellStart"/>
      <w:r w:rsidRPr="002F61BB">
        <w:rPr>
          <w:rFonts w:ascii="Times New Roman" w:hAnsi="Times New Roman" w:cs="Times New Roman"/>
          <w:color w:val="000000" w:themeColor="text1"/>
          <w:sz w:val="20"/>
          <w:szCs w:val="20"/>
          <w:lang w:val="fr-BE"/>
        </w:rPr>
        <w:t>Liabili</w:t>
      </w:r>
      <w:r>
        <w:rPr>
          <w:rFonts w:ascii="Times New Roman" w:hAnsi="Times New Roman" w:cs="Times New Roman"/>
          <w:color w:val="000000" w:themeColor="text1"/>
          <w:sz w:val="20"/>
          <w:szCs w:val="20"/>
          <w:lang w:val="fr-BE"/>
        </w:rPr>
        <w:t>ties</w:t>
      </w:r>
      <w:proofErr w:type="spellEnd"/>
      <w:r>
        <w:rPr>
          <w:rFonts w:ascii="Times New Roman" w:hAnsi="Times New Roman" w:cs="Times New Roman"/>
          <w:color w:val="000000" w:themeColor="text1"/>
          <w:sz w:val="20"/>
          <w:szCs w:val="20"/>
          <w:lang w:val="fr-BE"/>
        </w:rPr>
        <w:t xml:space="preserve"> </w:t>
      </w:r>
      <w:r w:rsidRPr="002F61BB">
        <w:rPr>
          <w:rFonts w:ascii="Times New Roman" w:hAnsi="Times New Roman" w:cs="Times New Roman"/>
          <w:color w:val="000000" w:themeColor="text1"/>
          <w:sz w:val="20"/>
          <w:szCs w:val="20"/>
          <w:lang w:val="fr-BE"/>
        </w:rPr>
        <w:t>(LIAB-G-</w:t>
      </w:r>
      <w:r>
        <w:rPr>
          <w:rFonts w:ascii="Times New Roman" w:hAnsi="Times New Roman" w:cs="Times New Roman"/>
          <w:color w:val="000000" w:themeColor="text1"/>
          <w:sz w:val="20"/>
          <w:szCs w:val="20"/>
          <w:lang w:val="fr-BE"/>
        </w:rPr>
        <w:t>7</w:t>
      </w:r>
      <w:r w:rsidRPr="002F61BB">
        <w:rPr>
          <w:rFonts w:ascii="Times New Roman" w:hAnsi="Times New Roman" w:cs="Times New Roman"/>
          <w:color w:val="000000" w:themeColor="text1"/>
          <w:sz w:val="20"/>
          <w:szCs w:val="20"/>
          <w:lang w:val="fr-BE"/>
        </w:rPr>
        <w:t>)</w:t>
      </w:r>
    </w:p>
    <w:p w14:paraId="7FE1B313" w14:textId="77777777" w:rsidR="00CC0A94" w:rsidRPr="002F61BB" w:rsidRDefault="00CC0A94" w:rsidP="002F61BB">
      <w:pPr>
        <w:pStyle w:val="body"/>
        <w:ind w:left="426"/>
        <w:rPr>
          <w:rFonts w:ascii="Times New Roman" w:hAnsi="Times New Roman" w:cs="Times New Roman"/>
          <w:color w:val="000000" w:themeColor="text1"/>
          <w:sz w:val="20"/>
          <w:szCs w:val="20"/>
          <w:lang w:val="fr-BE"/>
        </w:rPr>
      </w:pPr>
    </w:p>
    <w:p w14:paraId="7FE1B314" w14:textId="77777777" w:rsidR="00CC0A94" w:rsidRDefault="006C1571">
      <w:pPr>
        <w:pStyle w:val="Instructionsberschrift2"/>
        <w:numPr>
          <w:ilvl w:val="1"/>
          <w:numId w:val="49"/>
        </w:numPr>
        <w:ind w:left="357" w:hanging="357"/>
        <w:rPr>
          <w:rFonts w:ascii="Times New Roman" w:hAnsi="Times New Roman" w:cs="Times New Roman"/>
        </w:rPr>
      </w:pPr>
      <w:bookmarkStart w:id="6" w:name="_Toc81454172"/>
      <w:bookmarkStart w:id="7" w:name="_Toc192249032"/>
      <w:r>
        <w:rPr>
          <w:rFonts w:ascii="Times New Roman" w:hAnsi="Times New Roman" w:cs="Times New Roman"/>
        </w:rPr>
        <w:t>References</w:t>
      </w:r>
      <w:bookmarkEnd w:id="6"/>
      <w:bookmarkEnd w:id="7"/>
    </w:p>
    <w:p w14:paraId="7FE1B315" w14:textId="77777777" w:rsidR="00CC0A94" w:rsidRDefault="006C1571" w:rsidP="002F61BB">
      <w:pPr>
        <w:pStyle w:val="InstructionsText2"/>
        <w:numPr>
          <w:ilvl w:val="0"/>
          <w:numId w:val="225"/>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the purposes of this Annex, the following abbreviations shall apply:</w:t>
      </w:r>
    </w:p>
    <w:p w14:paraId="7FE1B317"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‘CPMI’ means the Committee on Payments and Market Infrastructures of the Bank for International </w:t>
      </w:r>
      <w:proofErr w:type="gramStart"/>
      <w:r>
        <w:rPr>
          <w:rFonts w:ascii="Times New Roman" w:hAnsi="Times New Roman"/>
          <w:color w:val="000000" w:themeColor="text1"/>
          <w:sz w:val="20"/>
          <w:szCs w:val="20"/>
          <w:lang w:eastAsia="en-GB"/>
        </w:rPr>
        <w:t>Settlements;</w:t>
      </w:r>
      <w:proofErr w:type="gramEnd"/>
    </w:p>
    <w:p w14:paraId="7FE1B318" w14:textId="36318AB0"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‘FINREP’ means </w:t>
      </w:r>
      <w:r w:rsidR="00095408">
        <w:rPr>
          <w:rFonts w:ascii="Times New Roman" w:hAnsi="Times New Roman"/>
          <w:color w:val="000000" w:themeColor="text1"/>
          <w:sz w:val="20"/>
          <w:szCs w:val="20"/>
          <w:lang w:eastAsia="en-GB"/>
        </w:rPr>
        <w:t>FINREP templates included</w:t>
      </w:r>
      <w:r>
        <w:rPr>
          <w:rFonts w:ascii="Times New Roman" w:hAnsi="Times New Roman"/>
          <w:color w:val="000000" w:themeColor="text1"/>
          <w:sz w:val="20"/>
          <w:szCs w:val="20"/>
          <w:lang w:eastAsia="en-GB"/>
        </w:rPr>
        <w:t xml:space="preserve"> in</w:t>
      </w:r>
      <w:r w:rsidR="0032589B">
        <w:rPr>
          <w:rFonts w:ascii="Times New Roman" w:hAnsi="Times New Roman"/>
          <w:color w:val="000000" w:themeColor="text1"/>
          <w:sz w:val="20"/>
          <w:szCs w:val="20"/>
          <w:lang w:eastAsia="en-GB"/>
        </w:rPr>
        <w:t xml:space="preserve"> Annex I</w:t>
      </w:r>
      <w:r w:rsidR="00730DE1">
        <w:rPr>
          <w:rFonts w:ascii="Times New Roman" w:hAnsi="Times New Roman"/>
          <w:color w:val="000000" w:themeColor="text1"/>
          <w:sz w:val="20"/>
          <w:szCs w:val="20"/>
          <w:lang w:eastAsia="en-GB"/>
        </w:rPr>
        <w:t xml:space="preserve"> to</w:t>
      </w:r>
      <w:r>
        <w:rPr>
          <w:rFonts w:ascii="Times New Roman" w:hAnsi="Times New Roman"/>
          <w:color w:val="000000" w:themeColor="text1"/>
          <w:sz w:val="20"/>
          <w:szCs w:val="20"/>
          <w:lang w:eastAsia="en-GB"/>
        </w:rPr>
        <w:t xml:space="preserve"> </w:t>
      </w:r>
      <w:r w:rsidR="00942CB0" w:rsidRPr="002F61BB">
        <w:rPr>
          <w:rFonts w:ascii="Times New Roman" w:hAnsi="Times New Roman"/>
          <w:color w:val="000000" w:themeColor="text1"/>
          <w:sz w:val="20"/>
          <w:szCs w:val="20"/>
          <w:lang w:eastAsia="en-GB"/>
        </w:rPr>
        <w:t>Commission Implementing Regulation (EU) 2024/3117</w:t>
      </w:r>
      <w:r w:rsidR="00942CB0" w:rsidRPr="002F61BB">
        <w:rPr>
          <w:rStyle w:val="FootnoteReference"/>
          <w:rFonts w:ascii="Times New Roman" w:hAnsi="Times New Roman"/>
          <w:sz w:val="20"/>
          <w:szCs w:val="20"/>
        </w:rPr>
        <w:footnoteReference w:id="2"/>
      </w:r>
      <w:r>
        <w:rPr>
          <w:rFonts w:ascii="Times New Roman" w:hAnsi="Times New Roman"/>
          <w:color w:val="000000" w:themeColor="text1"/>
          <w:sz w:val="20"/>
          <w:szCs w:val="20"/>
          <w:lang w:eastAsia="en-GB"/>
        </w:rPr>
        <w:t>;</w:t>
      </w:r>
    </w:p>
    <w:p w14:paraId="7FE1B319" w14:textId="5E436E82"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‘COREP (OF)’ means </w:t>
      </w:r>
      <w:r w:rsidR="00095408">
        <w:rPr>
          <w:rFonts w:ascii="Times New Roman" w:hAnsi="Times New Roman"/>
          <w:color w:val="000000" w:themeColor="text1"/>
          <w:sz w:val="20"/>
          <w:szCs w:val="20"/>
          <w:lang w:eastAsia="en-GB"/>
        </w:rPr>
        <w:t>COREP (OF) templates included in</w:t>
      </w:r>
      <w:r w:rsidR="00730DE1">
        <w:rPr>
          <w:rFonts w:ascii="Times New Roman" w:hAnsi="Times New Roman"/>
          <w:color w:val="000000" w:themeColor="text1"/>
          <w:sz w:val="20"/>
          <w:szCs w:val="20"/>
          <w:lang w:eastAsia="en-GB"/>
        </w:rPr>
        <w:t xml:space="preserve"> Annex I to</w:t>
      </w:r>
      <w:r w:rsidR="00095408">
        <w:rPr>
          <w:rFonts w:ascii="Times New Roman" w:hAnsi="Times New Roman"/>
          <w:color w:val="000000" w:themeColor="text1"/>
          <w:sz w:val="20"/>
          <w:szCs w:val="20"/>
          <w:lang w:eastAsia="en-GB"/>
        </w:rPr>
        <w:t xml:space="preserve"> </w:t>
      </w:r>
      <w:r w:rsidR="00095408" w:rsidRPr="003A0071">
        <w:rPr>
          <w:rFonts w:ascii="Times New Roman" w:hAnsi="Times New Roman"/>
          <w:color w:val="000000" w:themeColor="text1"/>
          <w:sz w:val="20"/>
          <w:szCs w:val="20"/>
          <w:lang w:eastAsia="en-GB"/>
        </w:rPr>
        <w:t xml:space="preserve">Commission Implementing Regulation (EU) </w:t>
      </w:r>
      <w:proofErr w:type="gramStart"/>
      <w:r w:rsidR="00095408" w:rsidRPr="003A0071">
        <w:rPr>
          <w:rFonts w:ascii="Times New Roman" w:hAnsi="Times New Roman"/>
          <w:color w:val="000000" w:themeColor="text1"/>
          <w:sz w:val="20"/>
          <w:szCs w:val="20"/>
          <w:lang w:eastAsia="en-GB"/>
        </w:rPr>
        <w:t>2024/3117</w:t>
      </w:r>
      <w:r>
        <w:rPr>
          <w:rFonts w:ascii="Times New Roman" w:hAnsi="Times New Roman"/>
          <w:color w:val="000000" w:themeColor="text1"/>
          <w:sz w:val="20"/>
          <w:szCs w:val="20"/>
          <w:lang w:eastAsia="en-GB"/>
        </w:rPr>
        <w:t>;</w:t>
      </w:r>
      <w:proofErr w:type="gramEnd"/>
    </w:p>
    <w:p w14:paraId="7FE1B31A" w14:textId="2492C34D"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‘COREP (LR)’ means</w:t>
      </w:r>
      <w:r w:rsidR="00095408">
        <w:rPr>
          <w:rFonts w:ascii="Times New Roman" w:hAnsi="Times New Roman"/>
          <w:color w:val="000000" w:themeColor="text1"/>
          <w:sz w:val="20"/>
          <w:szCs w:val="20"/>
          <w:lang w:eastAsia="en-GB"/>
        </w:rPr>
        <w:t xml:space="preserve"> COREP (LR) templates included in</w:t>
      </w:r>
      <w:r w:rsidR="00730DE1">
        <w:rPr>
          <w:rFonts w:ascii="Times New Roman" w:hAnsi="Times New Roman"/>
          <w:color w:val="000000" w:themeColor="text1"/>
          <w:sz w:val="20"/>
          <w:szCs w:val="20"/>
          <w:lang w:eastAsia="en-GB"/>
        </w:rPr>
        <w:t xml:space="preserve"> Annex I to</w:t>
      </w:r>
      <w:r>
        <w:rPr>
          <w:rFonts w:ascii="Times New Roman" w:hAnsi="Times New Roman"/>
          <w:color w:val="000000" w:themeColor="text1"/>
          <w:sz w:val="20"/>
          <w:szCs w:val="20"/>
          <w:lang w:eastAsia="en-GB"/>
        </w:rPr>
        <w:t xml:space="preserve"> </w:t>
      </w:r>
      <w:r w:rsidR="00095408" w:rsidRPr="003A0071">
        <w:rPr>
          <w:rFonts w:ascii="Times New Roman" w:hAnsi="Times New Roman"/>
          <w:color w:val="000000" w:themeColor="text1"/>
          <w:sz w:val="20"/>
          <w:szCs w:val="20"/>
          <w:lang w:eastAsia="en-GB"/>
        </w:rPr>
        <w:t xml:space="preserve">Commission Implementing Regulation (EU) </w:t>
      </w:r>
      <w:proofErr w:type="gramStart"/>
      <w:r w:rsidR="00095408" w:rsidRPr="003A0071">
        <w:rPr>
          <w:rFonts w:ascii="Times New Roman" w:hAnsi="Times New Roman"/>
          <w:color w:val="000000" w:themeColor="text1"/>
          <w:sz w:val="20"/>
          <w:szCs w:val="20"/>
          <w:lang w:eastAsia="en-GB"/>
        </w:rPr>
        <w:t>2024/3117</w:t>
      </w:r>
      <w:r>
        <w:rPr>
          <w:rFonts w:ascii="Times New Roman" w:hAnsi="Times New Roman"/>
          <w:color w:val="000000" w:themeColor="text1"/>
          <w:sz w:val="20"/>
          <w:szCs w:val="20"/>
          <w:lang w:eastAsia="en-GB"/>
        </w:rPr>
        <w:t>;</w:t>
      </w:r>
      <w:proofErr w:type="gramEnd"/>
    </w:p>
    <w:p w14:paraId="7FE1B31B"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‘FSB’ means Financial Stability </w:t>
      </w:r>
      <w:proofErr w:type="gramStart"/>
      <w:r>
        <w:rPr>
          <w:rFonts w:ascii="Times New Roman" w:hAnsi="Times New Roman"/>
          <w:color w:val="000000" w:themeColor="text1"/>
          <w:sz w:val="20"/>
          <w:szCs w:val="20"/>
          <w:lang w:eastAsia="en-GB"/>
        </w:rPr>
        <w:t>Board;</w:t>
      </w:r>
      <w:proofErr w:type="gramEnd"/>
    </w:p>
    <w:p w14:paraId="7FE1B31C"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‘IAS’ means International Accounting Standards as defined in Article 2 of Regulation (EC) No 1606/2002 of the European Parliament and of the Council</w:t>
      </w:r>
      <w:r w:rsidRPr="002F61BB">
        <w:rPr>
          <w:rFonts w:ascii="Times New Roman" w:hAnsi="Times New Roman"/>
          <w:vertAlign w:val="superscript"/>
        </w:rPr>
        <w:footnoteReference w:id="3"/>
      </w:r>
      <w:r>
        <w:rPr>
          <w:rFonts w:ascii="Times New Roman" w:hAnsi="Times New Roman"/>
          <w:color w:val="000000" w:themeColor="text1"/>
          <w:sz w:val="20"/>
          <w:szCs w:val="20"/>
          <w:lang w:eastAsia="en-GB"/>
        </w:rPr>
        <w:t>;</w:t>
      </w:r>
    </w:p>
    <w:p w14:paraId="7FE1B31D"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lastRenderedPageBreak/>
        <w:t>‘IFRS’ means International Financial Reporting Standards as defined as defined in Article 2 of Regulation (EC) No 1606/2002</w:t>
      </w:r>
      <w:r>
        <w:rPr>
          <w:rStyle w:val="FootnoteReference"/>
          <w:rFonts w:ascii="Times New Roman" w:hAnsi="Times New Roman"/>
          <w:color w:val="000000" w:themeColor="text1"/>
          <w:sz w:val="20"/>
          <w:szCs w:val="20"/>
          <w:lang w:eastAsia="en-GB"/>
        </w:rPr>
        <w:footnoteReference w:id="4"/>
      </w:r>
      <w:r>
        <w:rPr>
          <w:rFonts w:ascii="Times New Roman" w:hAnsi="Times New Roman"/>
          <w:color w:val="000000" w:themeColor="text1"/>
          <w:sz w:val="20"/>
          <w:szCs w:val="20"/>
          <w:lang w:eastAsia="en-GB"/>
        </w:rPr>
        <w:t>;</w:t>
      </w:r>
    </w:p>
    <w:p w14:paraId="7FE1B31E" w14:textId="527A31A3"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‘LEI code’ means a Legal Entity Identifier code aimed at achieving a unique and worldwide identification of parties to financial transactions,</w:t>
      </w:r>
      <w:r>
        <w:rPr>
          <w:rFonts w:ascii="Times New Roman" w:hAnsi="Times New Roman"/>
          <w:color w:val="000000" w:themeColor="text1"/>
          <w:sz w:val="20"/>
          <w:szCs w:val="20"/>
        </w:rPr>
        <w:t xml:space="preserve"> as proposed by the FSB and endorsed by the G20</w:t>
      </w:r>
      <w:r>
        <w:rPr>
          <w:rFonts w:ascii="Times New Roman" w:hAnsi="Times New Roman"/>
          <w:color w:val="000000" w:themeColor="text1"/>
          <w:sz w:val="20"/>
          <w:szCs w:val="20"/>
          <w:lang w:eastAsia="en-GB"/>
        </w:rPr>
        <w:t xml:space="preserve">. Until the global LEI system is fully operational, pre-LEI codes are being assigned to counterparties by a Local Operational Unit that has been endorsed by the Regulatory Oversight Committee (ROC, detailed information may be found at the following website: </w:t>
      </w:r>
      <w:hyperlink r:id="rId11" w:history="1">
        <w:r>
          <w:rPr>
            <w:rStyle w:val="Hyperlink"/>
            <w:rFonts w:ascii="Times New Roman" w:hAnsi="Times New Roman"/>
            <w:color w:val="000000" w:themeColor="text1"/>
            <w:sz w:val="20"/>
            <w:szCs w:val="20"/>
            <w:lang w:eastAsia="en-GB"/>
          </w:rPr>
          <w:t>www.leiroc.org</w:t>
        </w:r>
      </w:hyperlink>
      <w:r>
        <w:rPr>
          <w:rFonts w:ascii="Times New Roman" w:hAnsi="Times New Roman"/>
          <w:color w:val="000000" w:themeColor="text1"/>
          <w:sz w:val="20"/>
          <w:szCs w:val="20"/>
          <w:lang w:eastAsia="en-GB"/>
        </w:rPr>
        <w:t xml:space="preserve">). Where a LEI code exists for a given counterparty, it shall be used to identify that </w:t>
      </w:r>
      <w:proofErr w:type="gramStart"/>
      <w:r>
        <w:rPr>
          <w:rFonts w:ascii="Times New Roman" w:hAnsi="Times New Roman"/>
          <w:color w:val="000000" w:themeColor="text1"/>
          <w:sz w:val="20"/>
          <w:szCs w:val="20"/>
          <w:lang w:eastAsia="en-GB"/>
        </w:rPr>
        <w:t>counterparty;</w:t>
      </w:r>
      <w:proofErr w:type="gramEnd"/>
    </w:p>
    <w:p w14:paraId="7FE1B31F" w14:textId="34CF2B95"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‘MFI ID’ or ‘Monetary Financial Institution’ ID is a unique identification code for an MFI in the list of MFIs maintained and published by the ECB for statistical purposes in accordance with </w:t>
      </w:r>
      <w:r w:rsidR="00F86B79" w:rsidRPr="00F86B79">
        <w:rPr>
          <w:rFonts w:ascii="Times New Roman" w:hAnsi="Times New Roman"/>
          <w:color w:val="000000" w:themeColor="text1"/>
          <w:sz w:val="20"/>
          <w:szCs w:val="20"/>
          <w:lang w:eastAsia="en-GB"/>
        </w:rPr>
        <w:t>R</w:t>
      </w:r>
      <w:proofErr w:type="spellStart"/>
      <w:r w:rsidR="00F86B79" w:rsidRPr="002F61BB">
        <w:rPr>
          <w:rFonts w:ascii="Times New Roman" w:hAnsi="Times New Roman"/>
          <w:color w:val="000000" w:themeColor="text1"/>
          <w:sz w:val="20"/>
          <w:szCs w:val="20"/>
          <w:lang w:val="en-US" w:eastAsia="en-GB"/>
        </w:rPr>
        <w:t>egulation</w:t>
      </w:r>
      <w:proofErr w:type="spellEnd"/>
      <w:r w:rsidR="00F86B79" w:rsidRPr="002F61BB">
        <w:rPr>
          <w:rFonts w:ascii="Times New Roman" w:hAnsi="Times New Roman"/>
          <w:color w:val="000000" w:themeColor="text1"/>
          <w:sz w:val="20"/>
          <w:szCs w:val="20"/>
          <w:lang w:val="en-US" w:eastAsia="en-GB"/>
        </w:rPr>
        <w:t xml:space="preserve"> (EU) 2021/379 of the European Central Bank of 22 January 2021 on the balance sheet items of credit institutions and of the monetary financial institutions sector (recast) (ECB/2021/2)</w:t>
      </w:r>
      <w:r>
        <w:rPr>
          <w:rFonts w:ascii="Times New Roman" w:hAnsi="Times New Roman"/>
          <w:color w:val="000000" w:themeColor="text1"/>
          <w:sz w:val="20"/>
          <w:szCs w:val="20"/>
          <w:lang w:eastAsia="en-GB"/>
        </w:rPr>
        <w:t>, to be reported where an LEI code does not already exist.</w:t>
      </w:r>
    </w:p>
    <w:p w14:paraId="7FE1B320" w14:textId="0AC7C62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‘NGAAP’ or ‘National Generally Accepted Accounting Principles’ means national accounting frameworks developed under Directive 86/635/EEC</w:t>
      </w:r>
      <w:r w:rsidRPr="002F61BB">
        <w:rPr>
          <w:rStyle w:val="FootnoteReference"/>
          <w:rFonts w:ascii="Times New Roman" w:hAnsi="Times New Roman"/>
          <w:color w:val="000000" w:themeColor="text1"/>
          <w:lang w:eastAsia="en-GB"/>
        </w:rPr>
        <w:footnoteReference w:id="5"/>
      </w:r>
      <w:r>
        <w:rPr>
          <w:rFonts w:ascii="Times New Roman" w:hAnsi="Times New Roman"/>
          <w:color w:val="000000" w:themeColor="text1"/>
          <w:sz w:val="20"/>
          <w:szCs w:val="20"/>
          <w:lang w:eastAsia="en-GB"/>
        </w:rPr>
        <w:t>;</w:t>
      </w:r>
    </w:p>
    <w:p w14:paraId="7FE1B321"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‘Operational Asset’ - An asset that is not a financial asset and that is required to perform relevant services, such as real estate; intellectual property including trademarks, patents and software; hardware; IT systems and applications; and data warehouses. Operational assets are critical/essential where access to them is required </w:t>
      </w:r>
      <w:proofErr w:type="gramStart"/>
      <w:r>
        <w:rPr>
          <w:rFonts w:ascii="Times New Roman" w:hAnsi="Times New Roman"/>
          <w:color w:val="000000" w:themeColor="text1"/>
          <w:sz w:val="20"/>
          <w:szCs w:val="20"/>
          <w:lang w:eastAsia="en-GB"/>
        </w:rPr>
        <w:t>in order to</w:t>
      </w:r>
      <w:proofErr w:type="gramEnd"/>
      <w:r>
        <w:rPr>
          <w:rFonts w:ascii="Times New Roman" w:hAnsi="Times New Roman"/>
          <w:color w:val="000000" w:themeColor="text1"/>
          <w:sz w:val="20"/>
          <w:szCs w:val="20"/>
          <w:lang w:eastAsia="en-GB"/>
        </w:rPr>
        <w:t xml:space="preserve"> perform a critical/essential </w:t>
      </w:r>
      <w:proofErr w:type="gramStart"/>
      <w:r>
        <w:rPr>
          <w:rFonts w:ascii="Times New Roman" w:hAnsi="Times New Roman"/>
          <w:color w:val="000000" w:themeColor="text1"/>
          <w:sz w:val="20"/>
          <w:szCs w:val="20"/>
          <w:lang w:eastAsia="en-GB"/>
        </w:rPr>
        <w:t>service;</w:t>
      </w:r>
      <w:proofErr w:type="gramEnd"/>
    </w:p>
    <w:p w14:paraId="7FE1B322"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‘Relevant Services’ - Services which underpin (i) the bank’s critical functions to the economy (critical services) and (ii) core business lines (essential services) for which continuity is necessary for the effective implementation of the resolution strategy. These categories may overlap. This applies analogously to operational assets and staff.</w:t>
      </w:r>
    </w:p>
    <w:p w14:paraId="7FE1B323"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‘Relevant Roles’ - Job roles whose vacancy in resolution may present an obstacle to the continuity of critical functions and the core business lines needed for the effective implementation of the resolution strategy and any consequent restructuring.</w:t>
      </w:r>
    </w:p>
    <w:p w14:paraId="7FE1B324" w14:textId="77777777" w:rsidR="00CC0A94" w:rsidRDefault="00CC0A94">
      <w:pPr>
        <w:pStyle w:val="ListParagraph"/>
        <w:ind w:left="1074"/>
        <w:rPr>
          <w:rFonts w:ascii="Times New Roman" w:hAnsi="Times New Roman"/>
          <w:color w:val="000000" w:themeColor="text1"/>
          <w:sz w:val="20"/>
          <w:szCs w:val="20"/>
          <w:lang w:eastAsia="en-GB"/>
        </w:rPr>
      </w:pPr>
    </w:p>
    <w:p w14:paraId="7FE1B325" w14:textId="77777777" w:rsidR="00CC0A94" w:rsidRDefault="006C1571">
      <w:pPr>
        <w:pStyle w:val="Instructionsberschrift2"/>
        <w:numPr>
          <w:ilvl w:val="1"/>
          <w:numId w:val="49"/>
        </w:numPr>
        <w:ind w:left="357" w:hanging="357"/>
        <w:rPr>
          <w:rFonts w:ascii="Times New Roman" w:hAnsi="Times New Roman" w:cs="Times New Roman"/>
        </w:rPr>
      </w:pPr>
      <w:bookmarkStart w:id="8" w:name="_Toc81454173"/>
      <w:bookmarkStart w:id="9" w:name="_Toc192249033"/>
      <w:r>
        <w:rPr>
          <w:rFonts w:ascii="Times New Roman" w:hAnsi="Times New Roman" w:cs="Times New Roman"/>
        </w:rPr>
        <w:t>Accounting standards</w:t>
      </w:r>
      <w:bookmarkEnd w:id="8"/>
      <w:bookmarkEnd w:id="9"/>
    </w:p>
    <w:p w14:paraId="7FE1B326" w14:textId="6C573E68" w:rsidR="00CC0A94" w:rsidRDefault="006C1571">
      <w:pPr>
        <w:pStyle w:val="InstructionsText2"/>
        <w:numPr>
          <w:ilvl w:val="0"/>
          <w:numId w:val="71"/>
        </w:numPr>
        <w:spacing w:before="0"/>
        <w:ind w:left="714" w:hanging="357"/>
        <w:rPr>
          <w:rFonts w:ascii="Times New Roman" w:hAnsi="Times New Roman" w:cs="Times New Roman"/>
          <w:sz w:val="20"/>
          <w:szCs w:val="20"/>
          <w:lang w:val="en-GB"/>
        </w:rPr>
      </w:pPr>
      <w:r>
        <w:rPr>
          <w:rFonts w:ascii="Times New Roman" w:hAnsi="Times New Roman" w:cs="Times New Roman"/>
          <w:sz w:val="20"/>
          <w:szCs w:val="20"/>
          <w:lang w:val="en-GB"/>
        </w:rPr>
        <w:t>Unless otherwise specified in these instructions, institutions shall report all amounts based on the accounting framework they use for the reporting of financial information in accordance with Articles 9 to 11 of Implementing Regulation (EU) No 202</w:t>
      </w:r>
      <w:r w:rsidR="00783C45">
        <w:rPr>
          <w:rFonts w:ascii="Times New Roman" w:hAnsi="Times New Roman" w:cs="Times New Roman"/>
          <w:sz w:val="20"/>
          <w:szCs w:val="20"/>
          <w:lang w:val="en-GB"/>
        </w:rPr>
        <w:t>4</w:t>
      </w:r>
      <w:r>
        <w:rPr>
          <w:rFonts w:ascii="Times New Roman" w:hAnsi="Times New Roman" w:cs="Times New Roman"/>
          <w:sz w:val="20"/>
          <w:szCs w:val="20"/>
          <w:lang w:val="en-GB"/>
        </w:rPr>
        <w:t>/</w:t>
      </w:r>
      <w:r w:rsidR="00783C45">
        <w:rPr>
          <w:rFonts w:ascii="Times New Roman" w:hAnsi="Times New Roman" w:cs="Times New Roman"/>
          <w:sz w:val="20"/>
          <w:szCs w:val="20"/>
          <w:lang w:val="en-GB"/>
        </w:rPr>
        <w:t>3117</w:t>
      </w:r>
      <w:r>
        <w:rPr>
          <w:rFonts w:ascii="Times New Roman" w:hAnsi="Times New Roman" w:cs="Times New Roman"/>
          <w:sz w:val="20"/>
          <w:szCs w:val="20"/>
          <w:lang w:val="en-GB"/>
        </w:rPr>
        <w:t>. Institutions that are not required to report financial information in accordance with Implementing Regulation (EU) No 202</w:t>
      </w:r>
      <w:r w:rsidR="00783C45">
        <w:rPr>
          <w:rFonts w:ascii="Times New Roman" w:hAnsi="Times New Roman" w:cs="Times New Roman"/>
          <w:sz w:val="20"/>
          <w:szCs w:val="20"/>
          <w:lang w:val="en-GB"/>
        </w:rPr>
        <w:t>4</w:t>
      </w:r>
      <w:r>
        <w:rPr>
          <w:rFonts w:ascii="Times New Roman" w:hAnsi="Times New Roman" w:cs="Times New Roman"/>
          <w:sz w:val="20"/>
          <w:szCs w:val="20"/>
          <w:lang w:val="en-GB"/>
        </w:rPr>
        <w:t>/</w:t>
      </w:r>
      <w:r w:rsidR="00783C45">
        <w:rPr>
          <w:rFonts w:ascii="Times New Roman" w:hAnsi="Times New Roman" w:cs="Times New Roman"/>
          <w:sz w:val="20"/>
          <w:szCs w:val="20"/>
          <w:lang w:val="en-GB"/>
        </w:rPr>
        <w:t>3117</w:t>
      </w:r>
      <w:r>
        <w:rPr>
          <w:rFonts w:ascii="Times New Roman" w:hAnsi="Times New Roman" w:cs="Times New Roman"/>
          <w:sz w:val="20"/>
          <w:szCs w:val="20"/>
          <w:lang w:val="en-GB"/>
        </w:rPr>
        <w:t xml:space="preserve"> shall apply the rules of their respective accounting framework. </w:t>
      </w:r>
    </w:p>
    <w:p w14:paraId="7FE1B327" w14:textId="77777777" w:rsidR="00CC0A94" w:rsidRDefault="006C1571" w:rsidP="002F61BB">
      <w:pPr>
        <w:pStyle w:val="InstructionsText2"/>
        <w:numPr>
          <w:ilvl w:val="0"/>
          <w:numId w:val="227"/>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institutions that report under IFRS, references have been inserted to the relevant IFRS.</w:t>
      </w:r>
    </w:p>
    <w:p w14:paraId="7FE1B328" w14:textId="77777777" w:rsidR="00CC0A94" w:rsidRDefault="006C1571">
      <w:pPr>
        <w:pStyle w:val="Instructionsberschrift2"/>
        <w:numPr>
          <w:ilvl w:val="1"/>
          <w:numId w:val="49"/>
        </w:numPr>
        <w:ind w:left="357" w:hanging="357"/>
        <w:rPr>
          <w:rFonts w:ascii="Times New Roman" w:hAnsi="Times New Roman" w:cs="Times New Roman"/>
        </w:rPr>
      </w:pPr>
      <w:bookmarkStart w:id="10" w:name="_Toc192249034"/>
      <w:bookmarkStart w:id="11" w:name="_Hlk167181695"/>
      <w:bookmarkStart w:id="12" w:name="_Toc81454174"/>
      <w:r>
        <w:rPr>
          <w:rFonts w:ascii="Times New Roman" w:hAnsi="Times New Roman" w:cs="Times New Roman"/>
        </w:rPr>
        <w:t>Reporting of supervisory data</w:t>
      </w:r>
      <w:bookmarkEnd w:id="10"/>
    </w:p>
    <w:p w14:paraId="7FE1B329" w14:textId="6A020DBF" w:rsidR="00CC0A94" w:rsidRPr="002F61BB" w:rsidRDefault="006C1571">
      <w:pPr>
        <w:pStyle w:val="Instructionsberschrift3"/>
        <w:numPr>
          <w:ilvl w:val="4"/>
          <w:numId w:val="49"/>
        </w:numPr>
      </w:pPr>
      <w:r>
        <w:rPr>
          <w:u w:val="none"/>
        </w:rPr>
        <w:t>Where the reporting entity is subject to supervisory reporting under Regulation (EU) No 575/2013</w:t>
      </w:r>
      <w:r w:rsidR="005E4C5E" w:rsidRPr="002F61BB">
        <w:rPr>
          <w:u w:val="none"/>
          <w:vertAlign w:val="superscript"/>
          <w:lang w:eastAsia="de-DE"/>
        </w:rPr>
        <w:footnoteReference w:id="6"/>
      </w:r>
      <w:r>
        <w:rPr>
          <w:u w:val="none"/>
        </w:rPr>
        <w:t xml:space="preserve"> at the consolidated or individual level at the requested reference date for resolution planning, the entity is not required to declare those data points that have already been reported. Resolution Authorities will obtain these data points directly from the supervisory reports already declared by the reporting entity.</w:t>
      </w:r>
    </w:p>
    <w:p w14:paraId="7FE1B32A" w14:textId="05B0296B" w:rsidR="00CC0A94" w:rsidRDefault="006C1571" w:rsidP="002F61BB">
      <w:pPr>
        <w:pStyle w:val="Instructionsberschrift3"/>
        <w:numPr>
          <w:ilvl w:val="4"/>
          <w:numId w:val="49"/>
        </w:numPr>
      </w:pPr>
      <w:r>
        <w:rPr>
          <w:u w:val="none"/>
        </w:rPr>
        <w:t xml:space="preserve">Where the entity is not subject to supervisory reporting at the given reference date, the entity will be required to declare these data points in line with </w:t>
      </w:r>
      <w:r w:rsidR="006F00E1" w:rsidRPr="002F61BB">
        <w:rPr>
          <w:u w:val="none"/>
          <w:lang w:val="en-GB"/>
        </w:rPr>
        <w:t xml:space="preserve">Implementing Regulation (EU) No </w:t>
      </w:r>
      <w:r w:rsidR="006F00E1" w:rsidRPr="002F61BB">
        <w:rPr>
          <w:highlight w:val="yellow"/>
          <w:u w:val="none"/>
          <w:lang w:val="en-GB"/>
        </w:rPr>
        <w:t>20XX/XXX</w:t>
      </w:r>
      <w:proofErr w:type="gramStart"/>
      <w:r w:rsidR="006F00E1">
        <w:rPr>
          <w:lang w:val="en-GB"/>
        </w:rPr>
        <w:t xml:space="preserve">. </w:t>
      </w:r>
      <w:r>
        <w:rPr>
          <w:u w:val="none"/>
        </w:rPr>
        <w:t>.</w:t>
      </w:r>
      <w:proofErr w:type="gramEnd"/>
      <w:r>
        <w:rPr>
          <w:u w:val="none"/>
        </w:rPr>
        <w:t xml:space="preserve"> </w:t>
      </w:r>
    </w:p>
    <w:p w14:paraId="7FE1B32B" w14:textId="77777777" w:rsidR="00CC0A94" w:rsidRDefault="006C1571">
      <w:pPr>
        <w:pStyle w:val="Instructionsberschrift2"/>
        <w:numPr>
          <w:ilvl w:val="1"/>
          <w:numId w:val="49"/>
        </w:numPr>
        <w:ind w:left="357" w:hanging="357"/>
        <w:rPr>
          <w:rFonts w:ascii="Times New Roman" w:hAnsi="Times New Roman" w:cs="Times New Roman"/>
        </w:rPr>
      </w:pPr>
      <w:bookmarkStart w:id="13" w:name="_Toc192249035"/>
      <w:bookmarkEnd w:id="11"/>
      <w:r>
        <w:rPr>
          <w:rFonts w:ascii="Times New Roman" w:hAnsi="Times New Roman" w:cs="Times New Roman"/>
        </w:rPr>
        <w:lastRenderedPageBreak/>
        <w:t>Scope of consolidation</w:t>
      </w:r>
      <w:bookmarkEnd w:id="12"/>
      <w:bookmarkEnd w:id="13"/>
    </w:p>
    <w:p w14:paraId="7FE1B32C" w14:textId="77777777" w:rsidR="00CC0A94" w:rsidRDefault="006C1571" w:rsidP="002F61BB">
      <w:pPr>
        <w:pStyle w:val="InstructionsText2"/>
        <w:numPr>
          <w:ilvl w:val="0"/>
          <w:numId w:val="228"/>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framework refers, depending on the template, to:</w:t>
      </w:r>
    </w:p>
    <w:p w14:paraId="7FE1B32D" w14:textId="77777777" w:rsidR="00CC0A94" w:rsidRPr="002F61BB" w:rsidRDefault="006C1571" w:rsidP="002F61BB">
      <w:pPr>
        <w:pStyle w:val="numberedparagraph"/>
        <w:numPr>
          <w:ilvl w:val="0"/>
          <w:numId w:val="81"/>
        </w:numPr>
        <w:rPr>
          <w:rFonts w:ascii="Times New Roman" w:eastAsiaTheme="majorEastAsia" w:hAnsi="Times New Roman" w:cs="Times New Roman"/>
        </w:rPr>
      </w:pPr>
      <w:r w:rsidRPr="002F61BB">
        <w:rPr>
          <w:rFonts w:ascii="Times New Roman" w:hAnsi="Times New Roman" w:cs="Times New Roman"/>
          <w:lang w:eastAsia="de-DE"/>
        </w:rPr>
        <w:t xml:space="preserve">consolidation </w:t>
      </w:r>
      <w:proofErr w:type="gramStart"/>
      <w:r w:rsidRPr="002F61BB">
        <w:rPr>
          <w:rFonts w:ascii="Times New Roman" w:hAnsi="Times New Roman" w:cs="Times New Roman"/>
          <w:lang w:eastAsia="de-DE"/>
        </w:rPr>
        <w:t>on the basis of</w:t>
      </w:r>
      <w:proofErr w:type="gramEnd"/>
      <w:r w:rsidRPr="002F61BB">
        <w:rPr>
          <w:rFonts w:ascii="Times New Roman" w:hAnsi="Times New Roman" w:cs="Times New Roman"/>
          <w:lang w:eastAsia="de-DE"/>
        </w:rPr>
        <w:t xml:space="preserve"> accounting consolidation (entities included in the consolidated financial statements according to the applicable accounting framework</w:t>
      </w:r>
      <w:proofErr w:type="gramStart"/>
      <w:r w:rsidRPr="002F61BB">
        <w:rPr>
          <w:rFonts w:ascii="Times New Roman" w:hAnsi="Times New Roman" w:cs="Times New Roman"/>
          <w:lang w:eastAsia="de-DE"/>
        </w:rPr>
        <w:t>);</w:t>
      </w:r>
      <w:proofErr w:type="gramEnd"/>
    </w:p>
    <w:p w14:paraId="7FE1B32E" w14:textId="179BBDC6" w:rsidR="00CC0A94" w:rsidRPr="002F61BB" w:rsidRDefault="006C1571" w:rsidP="002F61BB">
      <w:pPr>
        <w:pStyle w:val="numberedparagraph"/>
        <w:numPr>
          <w:ilvl w:val="0"/>
          <w:numId w:val="81"/>
        </w:numPr>
        <w:rPr>
          <w:rFonts w:ascii="Times New Roman" w:eastAsiaTheme="majorEastAsia" w:hAnsi="Times New Roman" w:cs="Times New Roman"/>
        </w:rPr>
      </w:pPr>
      <w:r w:rsidRPr="002F61BB">
        <w:rPr>
          <w:rFonts w:ascii="Times New Roman" w:hAnsi="Times New Roman" w:cs="Times New Roman"/>
          <w:lang w:eastAsia="de-DE"/>
        </w:rPr>
        <w:t>prudential consolidation (entities within the scope of consolidation according to Chapter 2 of Title II of Part One of Regulation (EU) No 575/2013</w:t>
      </w:r>
      <w:r w:rsidR="00BB7638">
        <w:rPr>
          <w:rFonts w:ascii="Times New Roman" w:hAnsi="Times New Roman" w:cs="Times New Roman"/>
          <w:lang w:eastAsia="de-DE"/>
        </w:rPr>
        <w:t xml:space="preserve"> </w:t>
      </w:r>
      <w:r w:rsidRPr="002F61BB">
        <w:rPr>
          <w:rFonts w:ascii="Times New Roman" w:hAnsi="Times New Roman" w:cs="Times New Roman"/>
          <w:lang w:eastAsia="de-DE"/>
        </w:rPr>
        <w:t xml:space="preserve">at the level of the Union parent </w:t>
      </w:r>
      <w:proofErr w:type="gramStart"/>
      <w:r w:rsidRPr="002F61BB">
        <w:rPr>
          <w:rFonts w:ascii="Times New Roman" w:hAnsi="Times New Roman" w:cs="Times New Roman"/>
          <w:lang w:eastAsia="de-DE"/>
        </w:rPr>
        <w:t>undertaking;</w:t>
      </w:r>
      <w:proofErr w:type="gramEnd"/>
      <w:r w:rsidRPr="002F61BB">
        <w:rPr>
          <w:rFonts w:ascii="Times New Roman" w:hAnsi="Times New Roman" w:cs="Times New Roman"/>
          <w:lang w:eastAsia="de-DE"/>
        </w:rPr>
        <w:t xml:space="preserve"> </w:t>
      </w:r>
    </w:p>
    <w:p w14:paraId="7FE1B32F" w14:textId="77777777" w:rsidR="00CC0A94" w:rsidRPr="002F61BB" w:rsidRDefault="006C1571" w:rsidP="002F61BB">
      <w:pPr>
        <w:pStyle w:val="numberedparagraph"/>
        <w:numPr>
          <w:ilvl w:val="0"/>
          <w:numId w:val="81"/>
        </w:numPr>
        <w:rPr>
          <w:rFonts w:ascii="Times New Roman" w:eastAsiaTheme="majorEastAsia" w:hAnsi="Times New Roman" w:cs="Times New Roman"/>
        </w:rPr>
      </w:pPr>
      <w:r w:rsidRPr="002F61BB">
        <w:rPr>
          <w:rFonts w:ascii="Times New Roman" w:hAnsi="Times New Roman" w:cs="Times New Roman"/>
          <w:lang w:eastAsia="de-DE"/>
        </w:rPr>
        <w:t>consolidation at the level of the resolution entity for the resolution group.</w:t>
      </w:r>
    </w:p>
    <w:p w14:paraId="7FE1B330" w14:textId="4B5FA476" w:rsidR="00CC0A94" w:rsidRDefault="006C1571" w:rsidP="002F61BB">
      <w:pPr>
        <w:pStyle w:val="InstructionsText2"/>
        <w:numPr>
          <w:ilvl w:val="0"/>
          <w:numId w:val="229"/>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For each template, institutions shall follow the consolidation basis or bases applicable pursuant to Article 2 to Article 5 of </w:t>
      </w:r>
      <w:r w:rsidR="00E12A97" w:rsidRPr="003A0071">
        <w:rPr>
          <w:rFonts w:ascii="Times New Roman" w:hAnsi="Times New Roman" w:cs="Times New Roman"/>
          <w:sz w:val="20"/>
          <w:szCs w:val="20"/>
          <w:lang w:val="en-GB"/>
        </w:rPr>
        <w:t xml:space="preserve">Implementing Regulation (EU) No </w:t>
      </w:r>
      <w:r w:rsidR="00E12A97" w:rsidRPr="003A0071">
        <w:rPr>
          <w:rFonts w:ascii="Times New Roman" w:hAnsi="Times New Roman" w:cs="Times New Roman"/>
          <w:sz w:val="20"/>
          <w:szCs w:val="20"/>
          <w:highlight w:val="yellow"/>
          <w:lang w:val="en-GB"/>
        </w:rPr>
        <w:t>20</w:t>
      </w:r>
      <w:r w:rsidR="00E12A97" w:rsidRPr="003A0071">
        <w:rPr>
          <w:highlight w:val="yellow"/>
          <w:lang w:val="en-GB"/>
        </w:rPr>
        <w:t>XX</w:t>
      </w:r>
      <w:r w:rsidR="00E12A97" w:rsidRPr="003A0071">
        <w:rPr>
          <w:rFonts w:ascii="Times New Roman" w:hAnsi="Times New Roman" w:cs="Times New Roman"/>
          <w:sz w:val="20"/>
          <w:szCs w:val="20"/>
          <w:highlight w:val="yellow"/>
          <w:lang w:val="en-GB"/>
        </w:rPr>
        <w:t>/</w:t>
      </w:r>
      <w:proofErr w:type="gramStart"/>
      <w:r w:rsidR="00E12A97" w:rsidRPr="003A0071">
        <w:rPr>
          <w:highlight w:val="yellow"/>
          <w:lang w:val="en-GB"/>
        </w:rPr>
        <w:t>XXX</w:t>
      </w:r>
      <w:r w:rsidR="00E12A97" w:rsidDel="00E12A97">
        <w:rPr>
          <w:rFonts w:ascii="Times New Roman" w:hAnsi="Times New Roman" w:cs="Times New Roman"/>
          <w:sz w:val="20"/>
          <w:szCs w:val="20"/>
          <w:lang w:val="en-GB"/>
        </w:rPr>
        <w:t xml:space="preserve"> </w:t>
      </w:r>
      <w:r>
        <w:rPr>
          <w:rFonts w:ascii="Times New Roman" w:hAnsi="Times New Roman" w:cs="Times New Roman"/>
          <w:sz w:val="20"/>
          <w:szCs w:val="20"/>
          <w:lang w:val="en-GB"/>
        </w:rPr>
        <w:t>.</w:t>
      </w:r>
      <w:proofErr w:type="gramEnd"/>
    </w:p>
    <w:p w14:paraId="7FE1B331" w14:textId="77777777" w:rsidR="00CC0A94" w:rsidRDefault="006C1571">
      <w:pPr>
        <w:pStyle w:val="Instructionsberschrift2"/>
        <w:numPr>
          <w:ilvl w:val="1"/>
          <w:numId w:val="49"/>
        </w:numPr>
        <w:ind w:left="357" w:hanging="357"/>
        <w:rPr>
          <w:rFonts w:ascii="Times New Roman" w:hAnsi="Times New Roman" w:cs="Times New Roman"/>
        </w:rPr>
      </w:pPr>
      <w:bookmarkStart w:id="14" w:name="_Toc81454175"/>
      <w:bookmarkStart w:id="15" w:name="_Toc192249036"/>
      <w:r>
        <w:rPr>
          <w:rFonts w:ascii="Times New Roman" w:hAnsi="Times New Roman" w:cs="Times New Roman"/>
        </w:rPr>
        <w:t>Numbering and other conventions</w:t>
      </w:r>
      <w:bookmarkEnd w:id="14"/>
      <w:bookmarkEnd w:id="15"/>
    </w:p>
    <w:p w14:paraId="7FE1B332" w14:textId="639ED14D"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These instructions follow the labelling convention laid out below, when referring to the columns, rows and cells of the templates. These numerical codes are extensively used in the validation rules.</w:t>
      </w:r>
    </w:p>
    <w:p w14:paraId="7FE1B333" w14:textId="24776AD5"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The following general notation is used in these instructions to refer to columns, </w:t>
      </w:r>
      <w:r w:rsidR="000B45B0">
        <w:rPr>
          <w:rFonts w:ascii="Times New Roman" w:hAnsi="Times New Roman" w:cs="Times New Roman"/>
          <w:sz w:val="20"/>
          <w:szCs w:val="20"/>
          <w:lang w:val="en-GB"/>
        </w:rPr>
        <w:t>row</w:t>
      </w:r>
      <w:r>
        <w:rPr>
          <w:rFonts w:ascii="Times New Roman" w:hAnsi="Times New Roman" w:cs="Times New Roman"/>
          <w:sz w:val="20"/>
          <w:szCs w:val="20"/>
          <w:lang w:val="en-GB"/>
        </w:rPr>
        <w:t>s and cells of a template: {</w:t>
      </w:r>
      <w:proofErr w:type="spellStart"/>
      <w:proofErr w:type="gramStart"/>
      <w:r>
        <w:rPr>
          <w:rFonts w:ascii="Times New Roman" w:hAnsi="Times New Roman" w:cs="Times New Roman"/>
          <w:sz w:val="20"/>
          <w:szCs w:val="20"/>
          <w:lang w:val="en-GB"/>
        </w:rPr>
        <w:t>Template;Row</w:t>
      </w:r>
      <w:proofErr w:type="gramEnd"/>
      <w:r>
        <w:rPr>
          <w:rFonts w:ascii="Times New Roman" w:hAnsi="Times New Roman" w:cs="Times New Roman"/>
          <w:sz w:val="20"/>
          <w:szCs w:val="20"/>
          <w:lang w:val="en-GB"/>
        </w:rPr>
        <w:t>;Column</w:t>
      </w:r>
      <w:proofErr w:type="spellEnd"/>
      <w:r>
        <w:rPr>
          <w:rFonts w:ascii="Times New Roman" w:hAnsi="Times New Roman" w:cs="Times New Roman"/>
          <w:sz w:val="20"/>
          <w:szCs w:val="20"/>
          <w:lang w:val="en-GB"/>
        </w:rPr>
        <w:t>}.</w:t>
      </w:r>
    </w:p>
    <w:p w14:paraId="7FE1B334" w14:textId="144A32B1"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In the case of validations inside a template, in which only data points of that template are used, notations do not refer to a template: {</w:t>
      </w:r>
      <w:proofErr w:type="spellStart"/>
      <w:proofErr w:type="gramStart"/>
      <w:r>
        <w:rPr>
          <w:rFonts w:ascii="Times New Roman" w:hAnsi="Times New Roman" w:cs="Times New Roman"/>
          <w:sz w:val="20"/>
          <w:szCs w:val="20"/>
          <w:lang w:val="en-GB"/>
        </w:rPr>
        <w:t>Row;Column</w:t>
      </w:r>
      <w:proofErr w:type="spellEnd"/>
      <w:proofErr w:type="gramEnd"/>
      <w:r>
        <w:rPr>
          <w:rFonts w:ascii="Times New Roman" w:hAnsi="Times New Roman" w:cs="Times New Roman"/>
          <w:sz w:val="20"/>
          <w:szCs w:val="20"/>
          <w:lang w:val="en-GB"/>
        </w:rPr>
        <w:t>}.</w:t>
      </w:r>
    </w:p>
    <w:p w14:paraId="7FE1B335" w14:textId="77777777"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In the case of templates with only one column, only rows are referred to: {</w:t>
      </w:r>
      <w:proofErr w:type="spellStart"/>
      <w:proofErr w:type="gramStart"/>
      <w:r>
        <w:rPr>
          <w:rFonts w:ascii="Times New Roman" w:hAnsi="Times New Roman" w:cs="Times New Roman"/>
          <w:sz w:val="20"/>
          <w:szCs w:val="20"/>
          <w:lang w:val="en-GB"/>
        </w:rPr>
        <w:t>Template;Row</w:t>
      </w:r>
      <w:proofErr w:type="spellEnd"/>
      <w:proofErr w:type="gramEnd"/>
      <w:r>
        <w:rPr>
          <w:rFonts w:ascii="Times New Roman" w:hAnsi="Times New Roman" w:cs="Times New Roman"/>
          <w:sz w:val="20"/>
          <w:szCs w:val="20"/>
          <w:lang w:val="en-GB"/>
        </w:rPr>
        <w:t>}.</w:t>
      </w:r>
    </w:p>
    <w:p w14:paraId="7FE1B336" w14:textId="77777777"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An asterisk sign is used to express that the validation is done for the rows or columns specified before.</w:t>
      </w:r>
    </w:p>
    <w:p w14:paraId="7FE1B337" w14:textId="77777777"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an information item is not applicable to the entities for which the report is submitted, the corresponding field shall be left blank.</w:t>
      </w:r>
    </w:p>
    <w:p w14:paraId="7FE1B338" w14:textId="77777777"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these instructions refer to a primary key, this shall mean a column or combination of columns designated to uniquely identify all the rows of the template. A primary key shall contain a unique value for each row of the template. It may not contain null value.</w:t>
      </w:r>
    </w:p>
    <w:p w14:paraId="7FE1B339" w14:textId="77777777" w:rsidR="00CC0A94" w:rsidRDefault="006C1571">
      <w:pPr>
        <w:pStyle w:val="Instructionsberschrift2"/>
        <w:numPr>
          <w:ilvl w:val="0"/>
          <w:numId w:val="49"/>
        </w:numPr>
        <w:ind w:left="357" w:hanging="357"/>
        <w:rPr>
          <w:rFonts w:ascii="Times New Roman" w:hAnsi="Times New Roman" w:cs="Times New Roman"/>
          <w:szCs w:val="20"/>
        </w:rPr>
      </w:pPr>
      <w:bookmarkStart w:id="16" w:name="_Toc492542319"/>
      <w:bookmarkStart w:id="17" w:name="_Toc81454176"/>
      <w:bookmarkStart w:id="18" w:name="_Toc192249037"/>
      <w:r>
        <w:rPr>
          <w:rFonts w:ascii="Times New Roman" w:hAnsi="Times New Roman" w:cs="Times New Roman"/>
          <w:szCs w:val="20"/>
        </w:rPr>
        <w:t>Template-related instructions</w:t>
      </w:r>
      <w:bookmarkEnd w:id="16"/>
      <w:bookmarkEnd w:id="17"/>
      <w:bookmarkEnd w:id="18"/>
    </w:p>
    <w:p w14:paraId="7FE1B33A" w14:textId="0E76C32D" w:rsidR="00CC0A94" w:rsidRDefault="006C1571">
      <w:pPr>
        <w:pStyle w:val="Instructionsberschrift2"/>
        <w:numPr>
          <w:ilvl w:val="1"/>
          <w:numId w:val="49"/>
        </w:numPr>
        <w:ind w:left="357" w:hanging="357"/>
        <w:rPr>
          <w:rFonts w:ascii="Times New Roman" w:hAnsi="Times New Roman" w:cs="Times New Roman"/>
        </w:rPr>
      </w:pPr>
      <w:bookmarkStart w:id="19" w:name="_Toc493236007"/>
      <w:bookmarkStart w:id="20" w:name="_Toc81454177"/>
      <w:bookmarkStart w:id="21" w:name="_Toc192249038"/>
      <w:bookmarkEnd w:id="19"/>
      <w:r>
        <w:rPr>
          <w:rFonts w:ascii="Times New Roman" w:hAnsi="Times New Roman" w:cs="Times New Roman"/>
        </w:rPr>
        <w:t>Z 01.01 – Legal entities (ORG 1)</w:t>
      </w:r>
      <w:bookmarkEnd w:id="20"/>
      <w:bookmarkEnd w:id="21"/>
    </w:p>
    <w:p w14:paraId="7FE1B33B" w14:textId="77777777" w:rsidR="00CC0A94" w:rsidRDefault="006C1571">
      <w:pPr>
        <w:pStyle w:val="Instructionsberschrift3"/>
        <w:rPr>
          <w:lang w:val="en-GB"/>
        </w:rPr>
      </w:pPr>
      <w:r>
        <w:rPr>
          <w:lang w:val="en-GB"/>
        </w:rPr>
        <w:t>General remarks</w:t>
      </w:r>
    </w:p>
    <w:p w14:paraId="7FE1B33C" w14:textId="73410408" w:rsidR="00CC0A94" w:rsidRDefault="006C1571" w:rsidP="002F61BB">
      <w:pPr>
        <w:pStyle w:val="InstructionsText2"/>
        <w:numPr>
          <w:ilvl w:val="0"/>
          <w:numId w:val="231"/>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A single template shall be submitted in relation to all group entities within the scope of accounting consolidation. Only legal entities shall be identified in this template. </w:t>
      </w:r>
    </w:p>
    <w:p w14:paraId="7FE1B33D" w14:textId="32A49085" w:rsidR="00CC0A94" w:rsidRPr="002F61BB" w:rsidRDefault="006C1571" w:rsidP="002F61BB">
      <w:pPr>
        <w:pStyle w:val="InstructionsText2"/>
        <w:numPr>
          <w:ilvl w:val="0"/>
          <w:numId w:val="231"/>
        </w:numPr>
        <w:spacing w:before="0"/>
        <w:rPr>
          <w:rFonts w:ascii="Times New Roman" w:hAnsi="Times New Roman" w:cs="Times New Roman"/>
          <w:sz w:val="20"/>
          <w:szCs w:val="20"/>
          <w:lang w:val="en-GB"/>
        </w:rPr>
      </w:pPr>
      <w:r w:rsidRPr="002F61BB">
        <w:rPr>
          <w:rFonts w:ascii="Times New Roman" w:hAnsi="Times New Roman" w:cs="Times New Roman"/>
          <w:sz w:val="20"/>
          <w:szCs w:val="20"/>
          <w:lang w:val="en-GB"/>
        </w:rPr>
        <w:t xml:space="preserve">The concept of relevant legal entities is not limited to bank operations </w:t>
      </w:r>
      <w:proofErr w:type="gramStart"/>
      <w:r w:rsidRPr="002F61BB">
        <w:rPr>
          <w:rFonts w:ascii="Times New Roman" w:hAnsi="Times New Roman" w:cs="Times New Roman"/>
          <w:sz w:val="20"/>
          <w:szCs w:val="20"/>
          <w:lang w:val="en-GB"/>
        </w:rPr>
        <w:t>only, but</w:t>
      </w:r>
      <w:proofErr w:type="gramEnd"/>
      <w:r w:rsidRPr="002F61B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also </w:t>
      </w:r>
      <w:r w:rsidRPr="002F61BB">
        <w:rPr>
          <w:rFonts w:ascii="Times New Roman" w:hAnsi="Times New Roman" w:cs="Times New Roman"/>
          <w:sz w:val="20"/>
          <w:szCs w:val="20"/>
          <w:lang w:val="en-GB"/>
        </w:rPr>
        <w:t>include</w:t>
      </w:r>
      <w:r>
        <w:rPr>
          <w:rFonts w:ascii="Times New Roman" w:hAnsi="Times New Roman" w:cs="Times New Roman"/>
          <w:sz w:val="20"/>
          <w:szCs w:val="20"/>
          <w:lang w:val="en-GB"/>
        </w:rPr>
        <w:t>s</w:t>
      </w:r>
      <w:r w:rsidRPr="002F61BB">
        <w:rPr>
          <w:rFonts w:ascii="Times New Roman" w:hAnsi="Times New Roman" w:cs="Times New Roman"/>
          <w:sz w:val="20"/>
          <w:szCs w:val="20"/>
          <w:lang w:val="en-GB"/>
        </w:rPr>
        <w:t xml:space="preserve"> other entities that are needed to support the bank group’s operations in a substantial way. This include service providers for critical functions or/and substantial business lines, funding providing entities and other entities that are highly intertwined (economically) with the group. </w:t>
      </w:r>
      <w:r>
        <w:rPr>
          <w:rFonts w:ascii="Times New Roman" w:hAnsi="Times New Roman" w:cs="Times New Roman"/>
          <w:sz w:val="20"/>
          <w:szCs w:val="20"/>
          <w:lang w:val="en-GB"/>
        </w:rPr>
        <w:t xml:space="preserve">The </w:t>
      </w:r>
      <w:r w:rsidRPr="002F61BB">
        <w:rPr>
          <w:rFonts w:ascii="Times New Roman" w:hAnsi="Times New Roman" w:cs="Times New Roman"/>
          <w:sz w:val="20"/>
          <w:szCs w:val="20"/>
          <w:lang w:val="en-GB"/>
        </w:rPr>
        <w:t xml:space="preserve">identification </w:t>
      </w:r>
      <w:r>
        <w:rPr>
          <w:rFonts w:ascii="Times New Roman" w:hAnsi="Times New Roman" w:cs="Times New Roman"/>
          <w:sz w:val="20"/>
          <w:szCs w:val="20"/>
          <w:lang w:val="en-GB"/>
        </w:rPr>
        <w:t xml:space="preserve">of these additional entities is expected to be </w:t>
      </w:r>
      <w:r w:rsidRPr="002F61BB">
        <w:rPr>
          <w:rFonts w:ascii="Times New Roman" w:hAnsi="Times New Roman" w:cs="Times New Roman"/>
          <w:sz w:val="20"/>
          <w:szCs w:val="20"/>
          <w:lang w:val="en-GB"/>
        </w:rPr>
        <w:t>guided by resolution strategy’s requirements, which are defined by resolution authorities.</w:t>
      </w:r>
    </w:p>
    <w:p w14:paraId="7FE1B33E" w14:textId="77777777" w:rsidR="00CC0A94" w:rsidRDefault="006C1571">
      <w:pPr>
        <w:pStyle w:val="Instructionsberschrift3"/>
        <w:rPr>
          <w:b/>
          <w:lang w:val="en-GB"/>
        </w:rPr>
      </w:pPr>
      <w:r>
        <w:rPr>
          <w:b/>
          <w:lang w:val="en-GB"/>
        </w:rPr>
        <w:t>Instructions concerning specific positions</w:t>
      </w:r>
    </w:p>
    <w:p w14:paraId="7FE1B33F" w14:textId="77777777" w:rsidR="00CC0A94" w:rsidRDefault="00CC0A94">
      <w:pPr>
        <w:spacing w:before="8"/>
        <w:rPr>
          <w:rFonts w:ascii="Times New Roman" w:eastAsia="Cambria" w:hAnsi="Times New Roman" w:cs="Times New Roman"/>
          <w:color w:val="000000" w:themeColor="text1"/>
          <w:sz w:val="20"/>
          <w:szCs w:val="20"/>
          <w:lang w:val="en-GB"/>
        </w:rPr>
      </w:pPr>
    </w:p>
    <w:tbl>
      <w:tblPr>
        <w:tblW w:w="0" w:type="auto"/>
        <w:tblCellMar>
          <w:top w:w="57" w:type="dxa"/>
          <w:left w:w="57" w:type="dxa"/>
          <w:bottom w:w="57" w:type="dxa"/>
          <w:right w:w="0" w:type="dxa"/>
        </w:tblCellMar>
        <w:tblLook w:val="01E0" w:firstRow="1" w:lastRow="1" w:firstColumn="1" w:lastColumn="1" w:noHBand="0" w:noVBand="0"/>
      </w:tblPr>
      <w:tblGrid>
        <w:gridCol w:w="929"/>
        <w:gridCol w:w="8097"/>
      </w:tblGrid>
      <w:tr w:rsidR="00CC0A94" w14:paraId="7FE1B342" w14:textId="77777777" w:rsidTr="002F61BB">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349" w14:textId="77777777" w:rsidTr="029F4E13">
        <w:tc>
          <w:tcPr>
            <w:tcW w:w="0" w:type="auto"/>
            <w:tcBorders>
              <w:top w:val="single" w:sz="4" w:space="0" w:color="1A171C"/>
              <w:left w:val="nil"/>
              <w:bottom w:val="single" w:sz="4" w:space="0" w:color="1A171C"/>
              <w:right w:val="single" w:sz="4" w:space="0" w:color="1A171C"/>
            </w:tcBorders>
          </w:tcPr>
          <w:p w14:paraId="7FE1B346"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2"/>
                <w:sz w:val="20"/>
                <w:szCs w:val="20"/>
                <w:lang w:val="en-GB"/>
              </w:rPr>
              <w:t>0010</w:t>
            </w:r>
          </w:p>
        </w:tc>
        <w:tc>
          <w:tcPr>
            <w:tcW w:w="0" w:type="auto"/>
            <w:tcBorders>
              <w:top w:val="single" w:sz="4" w:space="0" w:color="1A171C"/>
              <w:left w:val="single" w:sz="4" w:space="0" w:color="1A171C"/>
              <w:bottom w:val="single" w:sz="4" w:space="0" w:color="1A171C"/>
              <w:right w:val="nil"/>
            </w:tcBorders>
          </w:tcPr>
          <w:p w14:paraId="7FE1B347" w14:textId="77777777" w:rsidR="00CC0A94" w:rsidRDefault="006C1571">
            <w:pPr>
              <w:pStyle w:val="TableParagraph"/>
              <w:spacing w:before="108"/>
              <w:ind w:left="85"/>
              <w:rPr>
                <w:rFonts w:ascii="Times New Roman" w:hAnsi="Times New Roman" w:cs="Times New Roman"/>
                <w:b/>
                <w:color w:val="000000" w:themeColor="text1"/>
                <w:w w:val="95"/>
                <w:sz w:val="20"/>
                <w:szCs w:val="20"/>
                <w:lang w:val="en-GB"/>
              </w:rPr>
            </w:pPr>
            <w:r>
              <w:rPr>
                <w:rFonts w:ascii="Times New Roman" w:hAnsi="Times New Roman" w:cs="Times New Roman"/>
                <w:b/>
                <w:color w:val="000000" w:themeColor="text1"/>
                <w:w w:val="95"/>
                <w:sz w:val="20"/>
                <w:szCs w:val="20"/>
                <w:lang w:val="en-GB"/>
              </w:rPr>
              <w:t>Name</w:t>
            </w:r>
          </w:p>
          <w:p w14:paraId="7FE1B348" w14:textId="3D2D6D6A" w:rsidR="00CC0A94" w:rsidRDefault="006C1571">
            <w:pPr>
              <w:pStyle w:val="TableParagraph"/>
              <w:spacing w:before="108"/>
              <w:ind w:left="85"/>
              <w:rPr>
                <w:rFonts w:ascii="Times New Roman" w:eastAsia="Book Antiqua" w:hAnsi="Times New Roman" w:cs="Times New Roman"/>
                <w:color w:val="000000" w:themeColor="text1"/>
                <w:sz w:val="20"/>
                <w:szCs w:val="20"/>
                <w:lang w:val="en-GB"/>
              </w:rPr>
            </w:pPr>
            <w:r>
              <w:rPr>
                <w:rFonts w:ascii="Times New Roman" w:eastAsia="Book Antiqua" w:hAnsi="Times New Roman" w:cs="Times New Roman"/>
                <w:color w:val="000000" w:themeColor="text1"/>
                <w:sz w:val="20"/>
                <w:szCs w:val="20"/>
                <w:lang w:val="en-GB"/>
              </w:rPr>
              <w:t>Name of the entity. Official name as it appears in corporate acts, including the indication of the legal form.</w:t>
            </w:r>
          </w:p>
        </w:tc>
      </w:tr>
      <w:tr w:rsidR="00CC0A94" w14:paraId="7FE1B34E" w14:textId="77777777" w:rsidTr="029F4E13">
        <w:tc>
          <w:tcPr>
            <w:tcW w:w="0" w:type="auto"/>
            <w:tcBorders>
              <w:top w:val="single" w:sz="4" w:space="0" w:color="1A171C"/>
              <w:left w:val="nil"/>
              <w:bottom w:val="single" w:sz="4" w:space="0" w:color="1A171C"/>
              <w:right w:val="single" w:sz="4" w:space="0" w:color="1A171C"/>
            </w:tcBorders>
          </w:tcPr>
          <w:p w14:paraId="7FE1B34A"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0020</w:t>
            </w:r>
          </w:p>
        </w:tc>
        <w:tc>
          <w:tcPr>
            <w:tcW w:w="0" w:type="auto"/>
            <w:tcBorders>
              <w:top w:val="single" w:sz="4" w:space="0" w:color="1A171C"/>
              <w:left w:val="single" w:sz="4" w:space="0" w:color="1A171C"/>
              <w:bottom w:val="single" w:sz="4" w:space="0" w:color="1A171C"/>
              <w:right w:val="nil"/>
            </w:tcBorders>
          </w:tcPr>
          <w:p w14:paraId="7FE1B34B" w14:textId="77777777" w:rsidR="00CC0A94" w:rsidRDefault="006C1571">
            <w:pPr>
              <w:pStyle w:val="TableParagraph"/>
              <w:spacing w:before="108"/>
              <w:ind w:left="85"/>
              <w:rPr>
                <w:rFonts w:ascii="Times New Roman" w:hAnsi="Times New Roman" w:cs="Times New Roman"/>
                <w:b/>
                <w:color w:val="000000" w:themeColor="text1"/>
                <w:w w:val="95"/>
                <w:sz w:val="20"/>
                <w:szCs w:val="20"/>
                <w:lang w:val="en-GB"/>
              </w:rPr>
            </w:pPr>
            <w:r>
              <w:rPr>
                <w:rFonts w:ascii="Times New Roman" w:hAnsi="Times New Roman" w:cs="Times New Roman"/>
                <w:b/>
                <w:color w:val="000000" w:themeColor="text1"/>
                <w:w w:val="95"/>
                <w:sz w:val="20"/>
                <w:szCs w:val="20"/>
                <w:lang w:val="en-GB"/>
              </w:rPr>
              <w:t>Code</w:t>
            </w:r>
          </w:p>
          <w:p w14:paraId="7FE1B34C" w14:textId="5527678D" w:rsidR="00CC0A94" w:rsidRDefault="006C1571">
            <w:pPr>
              <w:pStyle w:val="TableParagraph"/>
              <w:spacing w:before="108"/>
              <w:ind w:left="85"/>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Code of the entity. For institutions the code shall be the </w:t>
            </w:r>
            <w:r>
              <w:rPr>
                <w:rFonts w:ascii="Times New Roman" w:hAnsi="Times New Roman" w:cs="Times New Roman"/>
                <w:color w:val="000000" w:themeColor="text1"/>
                <w:spacing w:val="-2"/>
                <w:sz w:val="20"/>
                <w:szCs w:val="20"/>
                <w:lang w:val="en-GB"/>
              </w:rPr>
              <w:t>20-digit,</w:t>
            </w:r>
            <w:r>
              <w:rPr>
                <w:rFonts w:ascii="Times New Roman" w:hAnsi="Times New Roman" w:cs="Times New Roman"/>
                <w:color w:val="000000" w:themeColor="text1"/>
                <w:spacing w:val="17"/>
                <w:sz w:val="20"/>
                <w:szCs w:val="20"/>
                <w:lang w:val="en-GB"/>
              </w:rPr>
              <w:t xml:space="preserve"> </w:t>
            </w:r>
            <w:r>
              <w:rPr>
                <w:rFonts w:ascii="Times New Roman" w:hAnsi="Times New Roman" w:cs="Times New Roman"/>
                <w:color w:val="000000" w:themeColor="text1"/>
                <w:sz w:val="20"/>
                <w:szCs w:val="20"/>
                <w:lang w:val="en-GB"/>
              </w:rPr>
              <w:t>alphanumeric</w:t>
            </w:r>
            <w:r>
              <w:rPr>
                <w:rFonts w:ascii="Times New Roman" w:hAnsi="Times New Roman" w:cs="Times New Roman"/>
                <w:color w:val="000000" w:themeColor="text1"/>
                <w:spacing w:val="-2"/>
                <w:w w:val="95"/>
                <w:sz w:val="20"/>
                <w:szCs w:val="20"/>
                <w:lang w:val="en-GB"/>
              </w:rPr>
              <w:t xml:space="preserve"> LEI code. For other entities the code shall be the </w:t>
            </w:r>
            <w:r>
              <w:rPr>
                <w:rFonts w:ascii="Times New Roman" w:hAnsi="Times New Roman" w:cs="Times New Roman"/>
                <w:color w:val="000000" w:themeColor="text1"/>
                <w:spacing w:val="-2"/>
                <w:sz w:val="20"/>
                <w:szCs w:val="20"/>
                <w:lang w:val="en-GB"/>
              </w:rPr>
              <w:t>20-digit,</w:t>
            </w:r>
            <w:r>
              <w:rPr>
                <w:rFonts w:ascii="Times New Roman" w:hAnsi="Times New Roman" w:cs="Times New Roman"/>
                <w:color w:val="000000" w:themeColor="text1"/>
                <w:spacing w:val="17"/>
                <w:sz w:val="20"/>
                <w:szCs w:val="20"/>
                <w:lang w:val="en-GB"/>
              </w:rPr>
              <w:t xml:space="preserve"> </w:t>
            </w:r>
            <w:r>
              <w:rPr>
                <w:rFonts w:ascii="Times New Roman" w:hAnsi="Times New Roman" w:cs="Times New Roman"/>
                <w:color w:val="000000" w:themeColor="text1"/>
                <w:sz w:val="20"/>
                <w:szCs w:val="20"/>
                <w:lang w:val="en-GB"/>
              </w:rPr>
              <w:t>alphanumeric</w:t>
            </w:r>
            <w:r>
              <w:rPr>
                <w:rFonts w:ascii="Times New Roman" w:hAnsi="Times New Roman" w:cs="Times New Roman"/>
                <w:color w:val="000000" w:themeColor="text1"/>
                <w:spacing w:val="-2"/>
                <w:w w:val="95"/>
                <w:sz w:val="20"/>
                <w:szCs w:val="20"/>
                <w:lang w:val="en-GB"/>
              </w:rPr>
              <w:t xml:space="preserve"> LEI code, or if not available</w:t>
            </w:r>
            <w:r w:rsidR="002C351F">
              <w:rPr>
                <w:rFonts w:ascii="Times New Roman" w:hAnsi="Times New Roman" w:cs="Times New Roman"/>
                <w:color w:val="000000" w:themeColor="text1"/>
                <w:spacing w:val="-2"/>
                <w:w w:val="95"/>
                <w:sz w:val="20"/>
                <w:szCs w:val="20"/>
                <w:lang w:val="en-GB"/>
              </w:rPr>
              <w:t>, the MFI ID or</w:t>
            </w:r>
            <w:r>
              <w:rPr>
                <w:rFonts w:ascii="Times New Roman" w:hAnsi="Times New Roman" w:cs="Times New Roman"/>
                <w:color w:val="000000" w:themeColor="text1"/>
                <w:spacing w:val="-2"/>
                <w:w w:val="95"/>
                <w:sz w:val="20"/>
                <w:szCs w:val="20"/>
                <w:lang w:val="en-GB"/>
              </w:rPr>
              <w:t xml:space="preserve"> a code under a uniform codification applicable in the Union.</w:t>
            </w:r>
          </w:p>
          <w:p w14:paraId="7FE1B34D" w14:textId="77777777" w:rsidR="00CC0A94" w:rsidRDefault="006C1571">
            <w:pPr>
              <w:pStyle w:val="TableParagraph"/>
              <w:spacing w:before="108"/>
              <w:ind w:left="85"/>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The code shall be unique and used consistently across the templates. The code shall always have a value.</w:t>
            </w:r>
          </w:p>
        </w:tc>
      </w:tr>
      <w:tr w:rsidR="00CC0A94" w14:paraId="7FE1B354" w14:textId="77777777" w:rsidTr="029F4E13">
        <w:tc>
          <w:tcPr>
            <w:tcW w:w="0" w:type="auto"/>
            <w:tcBorders>
              <w:top w:val="single" w:sz="4" w:space="0" w:color="1A171C"/>
              <w:left w:val="nil"/>
              <w:bottom w:val="single" w:sz="4" w:space="0" w:color="1A171C"/>
              <w:right w:val="single" w:sz="4" w:space="0" w:color="1A171C"/>
            </w:tcBorders>
          </w:tcPr>
          <w:p w14:paraId="7FE1B34F"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0025</w:t>
            </w:r>
          </w:p>
        </w:tc>
        <w:tc>
          <w:tcPr>
            <w:tcW w:w="0" w:type="auto"/>
            <w:tcBorders>
              <w:top w:val="single" w:sz="4" w:space="0" w:color="1A171C"/>
              <w:left w:val="single" w:sz="4" w:space="0" w:color="1A171C"/>
              <w:bottom w:val="single" w:sz="4" w:space="0" w:color="1A171C"/>
              <w:right w:val="nil"/>
            </w:tcBorders>
          </w:tcPr>
          <w:p w14:paraId="7FE1B350" w14:textId="10E10E31"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Type of code</w:t>
            </w:r>
            <w:r w:rsidR="002C351F">
              <w:rPr>
                <w:rFonts w:ascii="Times New Roman" w:hAnsi="Times New Roman" w:cs="Times New Roman"/>
                <w:b/>
                <w:color w:val="000000" w:themeColor="text1"/>
                <w:spacing w:val="-2"/>
                <w:w w:val="95"/>
                <w:sz w:val="20"/>
                <w:szCs w:val="20"/>
                <w:lang w:val="en-GB"/>
              </w:rPr>
              <w:t>s</w:t>
            </w:r>
          </w:p>
          <w:p w14:paraId="7FE1B352" w14:textId="7C9FB737" w:rsidR="00CC0A94" w:rsidRDefault="002C351F">
            <w:pPr>
              <w:pStyle w:val="TableParagraph"/>
              <w:spacing w:before="108"/>
              <w:rPr>
                <w:rFonts w:ascii="Times New Roman" w:hAnsi="Times New Roman" w:cs="Times New Roman"/>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sidR="006C1571">
              <w:rPr>
                <w:rFonts w:ascii="Times New Roman" w:eastAsia="Cambria" w:hAnsi="Times New Roman" w:cs="Times New Roman"/>
                <w:color w:val="000000" w:themeColor="text1"/>
                <w:spacing w:val="-2"/>
                <w:w w:val="95"/>
                <w:sz w:val="20"/>
                <w:szCs w:val="20"/>
                <w:lang w:val="en-GB"/>
              </w:rPr>
              <w:t>.</w:t>
            </w:r>
          </w:p>
          <w:p w14:paraId="7FE1B353"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Cs/>
                <w:color w:val="000000" w:themeColor="text1"/>
                <w:sz w:val="20"/>
                <w:szCs w:val="20"/>
                <w:lang w:val="en-GB"/>
              </w:rPr>
              <w:t>The identification of entities shall be made in a consistent way across the templates.</w:t>
            </w:r>
          </w:p>
        </w:tc>
      </w:tr>
      <w:tr w:rsidR="00CC0A94" w14:paraId="7FE1B372" w14:textId="77777777" w:rsidTr="029F4E13">
        <w:tc>
          <w:tcPr>
            <w:tcW w:w="0" w:type="auto"/>
            <w:tcBorders>
              <w:top w:val="single" w:sz="4" w:space="0" w:color="1A171C"/>
              <w:left w:val="nil"/>
              <w:bottom w:val="single" w:sz="4" w:space="0" w:color="1A171C"/>
              <w:right w:val="single" w:sz="4" w:space="0" w:color="1A171C"/>
            </w:tcBorders>
          </w:tcPr>
          <w:p w14:paraId="7FE1B359"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0040</w:t>
            </w:r>
          </w:p>
        </w:tc>
        <w:tc>
          <w:tcPr>
            <w:tcW w:w="0" w:type="auto"/>
            <w:tcBorders>
              <w:top w:val="single" w:sz="4" w:space="0" w:color="1A171C"/>
              <w:left w:val="single" w:sz="4" w:space="0" w:color="1A171C"/>
              <w:bottom w:val="single" w:sz="4" w:space="0" w:color="1A171C"/>
              <w:right w:val="nil"/>
            </w:tcBorders>
          </w:tcPr>
          <w:p w14:paraId="7FE1B35A" w14:textId="77777777" w:rsidR="00CC0A94" w:rsidRDefault="006C1571">
            <w:pPr>
              <w:pStyle w:val="TableParagraph"/>
              <w:spacing w:before="108"/>
              <w:ind w:left="85"/>
              <w:rPr>
                <w:rFonts w:ascii="Times New Roman" w:hAnsi="Times New Roman" w:cs="Times New Roman"/>
                <w:b/>
                <w:color w:val="000000" w:themeColor="text1"/>
                <w:spacing w:val="-1"/>
                <w:w w:val="90"/>
                <w:sz w:val="20"/>
                <w:szCs w:val="20"/>
                <w:lang w:val="en-GB"/>
              </w:rPr>
            </w:pPr>
            <w:r>
              <w:rPr>
                <w:rFonts w:ascii="Times New Roman" w:hAnsi="Times New Roman" w:cs="Times New Roman"/>
                <w:b/>
                <w:color w:val="000000" w:themeColor="text1"/>
                <w:spacing w:val="-1"/>
                <w:w w:val="90"/>
                <w:sz w:val="20"/>
                <w:szCs w:val="20"/>
                <w:lang w:val="en-GB"/>
              </w:rPr>
              <w:t>Entity Type</w:t>
            </w:r>
          </w:p>
          <w:p w14:paraId="7FE1B35B" w14:textId="77777777" w:rsidR="00CC0A94" w:rsidRDefault="006C1571">
            <w:pPr>
              <w:pStyle w:val="TableParagraph"/>
              <w:spacing w:before="108"/>
              <w:ind w:left="85"/>
              <w:rPr>
                <w:rFonts w:ascii="Times New Roman" w:hAnsi="Times New Roman" w:cs="Times New Roman"/>
                <w:color w:val="000000" w:themeColor="text1"/>
                <w:spacing w:val="-1"/>
                <w:w w:val="90"/>
                <w:sz w:val="20"/>
                <w:szCs w:val="20"/>
                <w:lang w:val="en-GB"/>
              </w:rPr>
            </w:pPr>
            <w:r>
              <w:rPr>
                <w:rFonts w:ascii="Times New Roman" w:hAnsi="Times New Roman" w:cs="Times New Roman"/>
                <w:color w:val="000000" w:themeColor="text1"/>
                <w:spacing w:val="-1"/>
                <w:w w:val="90"/>
                <w:sz w:val="20"/>
                <w:szCs w:val="20"/>
                <w:lang w:val="en-GB"/>
              </w:rPr>
              <w:t>The entity type, by sequential order of priority, shall be one of the following:</w:t>
            </w:r>
          </w:p>
          <w:p w14:paraId="7FE1B35C" w14:textId="77777777"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‘Credit institution’</w:t>
            </w:r>
          </w:p>
          <w:p w14:paraId="7FE1B35D" w14:textId="653C7762" w:rsidR="00CC0A94" w:rsidRDefault="006C1571" w:rsidP="029F4E13">
            <w:pPr>
              <w:pStyle w:val="TableParagraph"/>
              <w:spacing w:before="108"/>
              <w:ind w:left="445"/>
              <w:rPr>
                <w:rFonts w:ascii="Times New Roman" w:hAnsi="Times New Roman" w:cs="Times New Roman"/>
                <w:color w:val="000000" w:themeColor="text1"/>
                <w:sz w:val="20"/>
                <w:szCs w:val="20"/>
              </w:rPr>
            </w:pPr>
            <w:r w:rsidRPr="029F4E13">
              <w:rPr>
                <w:rFonts w:ascii="Times New Roman" w:hAnsi="Times New Roman" w:cs="Times New Roman"/>
                <w:color w:val="000000" w:themeColor="text1"/>
                <w:sz w:val="20"/>
                <w:szCs w:val="20"/>
              </w:rPr>
              <w:t>This category shall cover credit institutions as defined in point (1) of Article 4(1) of Regulation (EU) No 575/2013, not including the entities referred to in Article 2(5) of Directive (EU) 2013/36/EU</w:t>
            </w:r>
            <w:r w:rsidRPr="029F4E13">
              <w:rPr>
                <w:rStyle w:val="FootnoteReference"/>
                <w:rFonts w:ascii="Times New Roman" w:hAnsi="Times New Roman" w:cs="Times New Roman"/>
                <w:color w:val="000000" w:themeColor="text1"/>
              </w:rPr>
              <w:footnoteReference w:id="7"/>
            </w:r>
            <w:r w:rsidRPr="029F4E13">
              <w:rPr>
                <w:rFonts w:ascii="Times New Roman" w:hAnsi="Times New Roman" w:cs="Times New Roman"/>
                <w:color w:val="000000" w:themeColor="text1"/>
                <w:sz w:val="20"/>
                <w:szCs w:val="20"/>
              </w:rPr>
              <w:t xml:space="preserve">; </w:t>
            </w:r>
          </w:p>
          <w:p w14:paraId="7FE1B35E" w14:textId="74CE88F3"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‘Investment firm subject to the initial capital requirement laid down in Article 9(1) of Directive (EU) 2019/2034’</w:t>
            </w:r>
          </w:p>
          <w:p w14:paraId="7FE1B35F" w14:textId="3246B488" w:rsidR="00CC0A94" w:rsidRDefault="006C1571">
            <w:pPr>
              <w:pStyle w:val="TableParagraph"/>
              <w:spacing w:before="108"/>
              <w:ind w:left="44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category shall cover investment firms as defined in Article 4(1), point (22) of Regulation (EU) 2019/2033</w:t>
            </w:r>
            <w:r w:rsidRPr="002F61BB">
              <w:rPr>
                <w:rStyle w:val="FootnoteReference"/>
                <w:rFonts w:ascii="Times New Roman" w:hAnsi="Times New Roman" w:cs="Times New Roman"/>
                <w:color w:val="000000" w:themeColor="text1"/>
                <w:lang w:val="en-GB"/>
              </w:rPr>
              <w:footnoteReference w:id="8"/>
            </w:r>
            <w:r>
              <w:rPr>
                <w:rFonts w:ascii="Times New Roman" w:hAnsi="Times New Roman" w:cs="Times New Roman"/>
                <w:color w:val="000000" w:themeColor="text1"/>
                <w:sz w:val="20"/>
                <w:szCs w:val="20"/>
                <w:lang w:val="en-GB"/>
              </w:rPr>
              <w:t xml:space="preserve"> that are subject to the initial capital requirement laid down in 9(1) of Directive (EU) 2019/2034</w:t>
            </w:r>
            <w:r w:rsidRPr="002F61BB">
              <w:rPr>
                <w:rStyle w:val="FootnoteReference"/>
                <w:rFonts w:ascii="Times New Roman" w:hAnsi="Times New Roman" w:cs="Times New Roman"/>
                <w:color w:val="000000" w:themeColor="text1"/>
                <w:lang w:val="en-GB"/>
              </w:rPr>
              <w:footnoteReference w:id="9"/>
            </w:r>
            <w:r>
              <w:rPr>
                <w:rFonts w:ascii="Times New Roman" w:hAnsi="Times New Roman" w:cs="Times New Roman"/>
                <w:color w:val="000000" w:themeColor="text1"/>
                <w:sz w:val="20"/>
                <w:szCs w:val="20"/>
                <w:lang w:val="en-GB"/>
              </w:rPr>
              <w:t>.</w:t>
            </w:r>
          </w:p>
          <w:p w14:paraId="7FE1B360" w14:textId="7DAA7575"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‘Investment firm not subject to the initial capital requirement laid down in Article 9(1) of Directive (EU) 2019/2034’</w:t>
            </w:r>
          </w:p>
          <w:p w14:paraId="7FE1B361" w14:textId="77777777"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‘Financial institution’</w:t>
            </w:r>
          </w:p>
          <w:p w14:paraId="7FE1B362" w14:textId="77777777" w:rsidR="00CC0A94" w:rsidRDefault="006C1571">
            <w:pPr>
              <w:pStyle w:val="TableParagraph"/>
              <w:spacing w:before="108"/>
              <w:ind w:left="44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category shall cover financial institutions as defined in point (26) of Article 4(1) of the Regulation (EU) No 575/2013, other than those classified as ‘holding company’ as described in point e) below.</w:t>
            </w:r>
          </w:p>
          <w:p w14:paraId="7FE1B363" w14:textId="77777777"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‘Holding company’</w:t>
            </w:r>
          </w:p>
          <w:p w14:paraId="7FE1B364" w14:textId="77777777" w:rsidR="00CC0A94" w:rsidRDefault="006C1571">
            <w:pPr>
              <w:pStyle w:val="TableParagraph"/>
              <w:spacing w:before="108"/>
              <w:ind w:left="44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category shall cover any of the following:</w:t>
            </w:r>
          </w:p>
          <w:p w14:paraId="7FE1B365"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Financial holding company as defined in point (20) of Article 4(1) of Regulation (EU) No </w:t>
            </w:r>
            <w:proofErr w:type="gramStart"/>
            <w:r>
              <w:rPr>
                <w:rFonts w:ascii="Times New Roman" w:hAnsi="Times New Roman" w:cs="Times New Roman"/>
                <w:color w:val="000000" w:themeColor="text1"/>
                <w:sz w:val="20"/>
                <w:szCs w:val="20"/>
                <w:lang w:val="en-GB"/>
              </w:rPr>
              <w:t>575/2013;</w:t>
            </w:r>
            <w:proofErr w:type="gramEnd"/>
          </w:p>
          <w:p w14:paraId="7FE1B366"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Mixed financial holding company as defined in point (21) of Article 4(1) of Regulation </w:t>
            </w:r>
            <w:r>
              <w:rPr>
                <w:rFonts w:ascii="Times New Roman" w:hAnsi="Times New Roman" w:cs="Times New Roman"/>
                <w:color w:val="000000" w:themeColor="text1"/>
                <w:sz w:val="20"/>
                <w:szCs w:val="20"/>
                <w:lang w:val="en-GB"/>
              </w:rPr>
              <w:lastRenderedPageBreak/>
              <w:t xml:space="preserve">(EU) No </w:t>
            </w:r>
            <w:proofErr w:type="gramStart"/>
            <w:r>
              <w:rPr>
                <w:rFonts w:ascii="Times New Roman" w:hAnsi="Times New Roman" w:cs="Times New Roman"/>
                <w:color w:val="000000" w:themeColor="text1"/>
                <w:sz w:val="20"/>
                <w:szCs w:val="20"/>
                <w:lang w:val="en-GB"/>
              </w:rPr>
              <w:t>575/2013;</w:t>
            </w:r>
            <w:proofErr w:type="gramEnd"/>
          </w:p>
          <w:p w14:paraId="7FE1B367"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Mixed activity holding company as defined in point (22) of Article 4(1) of Regulation (EU) No </w:t>
            </w:r>
            <w:proofErr w:type="gramStart"/>
            <w:r>
              <w:rPr>
                <w:rFonts w:ascii="Times New Roman" w:hAnsi="Times New Roman" w:cs="Times New Roman"/>
                <w:color w:val="000000" w:themeColor="text1"/>
                <w:sz w:val="20"/>
                <w:szCs w:val="20"/>
                <w:lang w:val="en-GB"/>
              </w:rPr>
              <w:t>575/2013;</w:t>
            </w:r>
            <w:proofErr w:type="gramEnd"/>
          </w:p>
          <w:p w14:paraId="7FE1B368"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Parent financial holding companies as defined in point (30) of Article 4(1) of Regulation (EU) No </w:t>
            </w:r>
            <w:proofErr w:type="gramStart"/>
            <w:r>
              <w:rPr>
                <w:rFonts w:ascii="Times New Roman" w:hAnsi="Times New Roman" w:cs="Times New Roman"/>
                <w:color w:val="000000" w:themeColor="text1"/>
                <w:sz w:val="20"/>
                <w:szCs w:val="20"/>
                <w:lang w:val="en-GB"/>
              </w:rPr>
              <w:t>575/2013;</w:t>
            </w:r>
            <w:proofErr w:type="gramEnd"/>
          </w:p>
          <w:p w14:paraId="7FE1B369"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Union parent financial holding company as defined in point (31) of Article 4(1) of Regulation (EU) No </w:t>
            </w:r>
            <w:proofErr w:type="gramStart"/>
            <w:r>
              <w:rPr>
                <w:rFonts w:ascii="Times New Roman" w:hAnsi="Times New Roman" w:cs="Times New Roman"/>
                <w:color w:val="000000" w:themeColor="text1"/>
                <w:sz w:val="20"/>
                <w:szCs w:val="20"/>
                <w:lang w:val="en-GB"/>
              </w:rPr>
              <w:t>575/2013;</w:t>
            </w:r>
            <w:proofErr w:type="gramEnd"/>
          </w:p>
          <w:p w14:paraId="7FE1B36A"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Parent mixed financial holding company in a Member State as defined in point (32) of Article 4(</w:t>
            </w:r>
            <w:proofErr w:type="gramStart"/>
            <w:r>
              <w:rPr>
                <w:rFonts w:ascii="Times New Roman" w:hAnsi="Times New Roman" w:cs="Times New Roman"/>
                <w:color w:val="000000" w:themeColor="text1"/>
                <w:sz w:val="20"/>
                <w:szCs w:val="20"/>
                <w:lang w:val="en-GB"/>
              </w:rPr>
              <w:t>1)of</w:t>
            </w:r>
            <w:proofErr w:type="gramEnd"/>
            <w:r>
              <w:rPr>
                <w:rFonts w:ascii="Times New Roman" w:hAnsi="Times New Roman" w:cs="Times New Roman"/>
                <w:color w:val="000000" w:themeColor="text1"/>
                <w:sz w:val="20"/>
                <w:szCs w:val="20"/>
                <w:lang w:val="en-GB"/>
              </w:rPr>
              <w:t xml:space="preserve"> Regulation (EU) No </w:t>
            </w:r>
            <w:proofErr w:type="gramStart"/>
            <w:r>
              <w:rPr>
                <w:rFonts w:ascii="Times New Roman" w:hAnsi="Times New Roman" w:cs="Times New Roman"/>
                <w:color w:val="000000" w:themeColor="text1"/>
                <w:sz w:val="20"/>
                <w:szCs w:val="20"/>
                <w:lang w:val="en-GB"/>
              </w:rPr>
              <w:t>575/2013;</w:t>
            </w:r>
            <w:proofErr w:type="gramEnd"/>
          </w:p>
          <w:p w14:paraId="7FE1B36B"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Union parent mixed financial holding companies as defined in point (33) of Article 4(1) of Regulation (EU) No 575/2013.</w:t>
            </w:r>
          </w:p>
          <w:p w14:paraId="7FE1B36C" w14:textId="0F68F780"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‘Insurance </w:t>
            </w:r>
            <w:r w:rsidR="009E5123">
              <w:rPr>
                <w:rFonts w:ascii="Times New Roman" w:hAnsi="Times New Roman" w:cs="Times New Roman"/>
                <w:color w:val="000000" w:themeColor="text1"/>
                <w:sz w:val="20"/>
                <w:szCs w:val="20"/>
                <w:lang w:val="en-GB"/>
              </w:rPr>
              <w:t>undertaking</w:t>
            </w:r>
            <w:r>
              <w:rPr>
                <w:rFonts w:ascii="Times New Roman" w:hAnsi="Times New Roman" w:cs="Times New Roman"/>
                <w:color w:val="000000" w:themeColor="text1"/>
                <w:sz w:val="20"/>
                <w:szCs w:val="20"/>
                <w:lang w:val="en-GB"/>
              </w:rPr>
              <w:t>’</w:t>
            </w:r>
          </w:p>
          <w:p w14:paraId="7FE1B36D"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category shall cover insurance undertakings as defined in Article 13 of Directive 2009/138/EC of the European Parliament and of the Council</w:t>
            </w:r>
            <w:r w:rsidRPr="002F61BB">
              <w:rPr>
                <w:rFonts w:ascii="Times New Roman" w:hAnsi="Times New Roman" w:cs="Times New Roman"/>
              </w:rPr>
              <w:footnoteReference w:id="10"/>
            </w:r>
            <w:r>
              <w:rPr>
                <w:rFonts w:ascii="Times New Roman" w:hAnsi="Times New Roman" w:cs="Times New Roman"/>
                <w:color w:val="000000" w:themeColor="text1"/>
                <w:sz w:val="20"/>
                <w:szCs w:val="20"/>
                <w:lang w:val="en-GB"/>
              </w:rPr>
              <w:t>.</w:t>
            </w:r>
          </w:p>
          <w:p w14:paraId="7FE1B36E" w14:textId="15AC498F" w:rsidR="00CC0A94" w:rsidRPr="002F61BB" w:rsidRDefault="006C1571">
            <w:pPr>
              <w:pStyle w:val="TableParagraph"/>
              <w:numPr>
                <w:ilvl w:val="0"/>
                <w:numId w:val="67"/>
              </w:numPr>
              <w:spacing w:before="10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911BEF">
              <w:rPr>
                <w:rFonts w:ascii="Times New Roman" w:hAnsi="Times New Roman" w:cs="Times New Roman"/>
                <w:color w:val="000000" w:themeColor="text1"/>
                <w:sz w:val="20"/>
                <w:szCs w:val="20"/>
              </w:rPr>
              <w:t>Relevant</w:t>
            </w:r>
            <w:r w:rsidRPr="002F61BB">
              <w:rPr>
                <w:rFonts w:ascii="Times New Roman" w:hAnsi="Times New Roman" w:cs="Times New Roman"/>
                <w:color w:val="000000" w:themeColor="text1"/>
                <w:sz w:val="20"/>
                <w:szCs w:val="20"/>
              </w:rPr>
              <w:t xml:space="preserve"> </w:t>
            </w:r>
            <w:r w:rsidRPr="002F61BB">
              <w:rPr>
                <w:rFonts w:ascii="Times New Roman" w:hAnsi="Times New Roman" w:cs="Times New Roman"/>
                <w:color w:val="000000" w:themeColor="text1"/>
                <w:sz w:val="20"/>
                <w:szCs w:val="20"/>
                <w:lang w:val="en-GB"/>
              </w:rPr>
              <w:t>service</w:t>
            </w:r>
            <w:r w:rsidRPr="002F61BB">
              <w:rPr>
                <w:rFonts w:ascii="Times New Roman" w:hAnsi="Times New Roman" w:cs="Times New Roman"/>
                <w:color w:val="000000" w:themeColor="text1"/>
                <w:sz w:val="20"/>
                <w:szCs w:val="20"/>
              </w:rPr>
              <w:t xml:space="preserve"> provider</w:t>
            </w:r>
            <w:r>
              <w:rPr>
                <w:rFonts w:ascii="Times New Roman" w:hAnsi="Times New Roman" w:cs="Times New Roman"/>
                <w:color w:val="000000" w:themeColor="text1"/>
                <w:sz w:val="20"/>
                <w:szCs w:val="20"/>
              </w:rPr>
              <w:t>’ within the group, connected to critical functions and/or significant economic operations.</w:t>
            </w:r>
          </w:p>
          <w:p w14:paraId="7FE1B370"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371" w14:textId="77777777"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‘Other entity type’, where the entity is not captured by any of the </w:t>
            </w:r>
            <w:proofErr w:type="gramStart"/>
            <w:r>
              <w:rPr>
                <w:rFonts w:ascii="Times New Roman" w:hAnsi="Times New Roman" w:cs="Times New Roman"/>
                <w:color w:val="000000" w:themeColor="text1"/>
                <w:sz w:val="20"/>
                <w:szCs w:val="20"/>
                <w:lang w:val="en-GB"/>
              </w:rPr>
              <w:t>above mentioned</w:t>
            </w:r>
            <w:proofErr w:type="gramEnd"/>
            <w:r>
              <w:rPr>
                <w:rFonts w:ascii="Times New Roman" w:hAnsi="Times New Roman" w:cs="Times New Roman"/>
                <w:color w:val="000000" w:themeColor="text1"/>
                <w:sz w:val="20"/>
                <w:szCs w:val="20"/>
                <w:lang w:val="en-GB"/>
              </w:rPr>
              <w:t xml:space="preserve"> categories.</w:t>
            </w:r>
            <w:r w:rsidRPr="002F61BB">
              <w:rPr>
                <w:rFonts w:ascii="Times New Roman" w:hAnsi="Times New Roman" w:cs="Times New Roman"/>
              </w:rPr>
              <w:br/>
            </w:r>
            <w:r>
              <w:rPr>
                <w:rFonts w:ascii="Times New Roman" w:hAnsi="Times New Roman" w:cs="Times New Roman"/>
                <w:color w:val="000000" w:themeColor="text1"/>
                <w:sz w:val="20"/>
                <w:szCs w:val="20"/>
                <w:lang w:val="en-GB"/>
              </w:rPr>
              <w:t>(i.e. important funding provider)</w:t>
            </w:r>
          </w:p>
        </w:tc>
      </w:tr>
      <w:tr w:rsidR="00CC0A94" w14:paraId="7FE1B376" w14:textId="77777777" w:rsidTr="029F4E13">
        <w:tc>
          <w:tcPr>
            <w:tcW w:w="0" w:type="auto"/>
            <w:tcBorders>
              <w:top w:val="single" w:sz="4" w:space="0" w:color="1A171C"/>
              <w:left w:val="nil"/>
              <w:bottom w:val="single" w:sz="4" w:space="0" w:color="1A171C"/>
              <w:right w:val="single" w:sz="4" w:space="0" w:color="1A171C"/>
            </w:tcBorders>
          </w:tcPr>
          <w:p w14:paraId="7FE1B373"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CC0A94" w:rsidRDefault="006C1571">
            <w:pPr>
              <w:pStyle w:val="TableParagraph"/>
              <w:spacing w:before="108"/>
              <w:ind w:left="85"/>
              <w:rPr>
                <w:rFonts w:ascii="Times New Roman" w:hAnsi="Times New Roman" w:cs="Times New Roman"/>
                <w:b/>
                <w:color w:val="000000" w:themeColor="text1"/>
                <w:spacing w:val="-1"/>
                <w:w w:val="90"/>
                <w:sz w:val="20"/>
                <w:szCs w:val="20"/>
                <w:lang w:val="en-GB"/>
              </w:rPr>
            </w:pPr>
            <w:r>
              <w:rPr>
                <w:rFonts w:ascii="Times New Roman" w:hAnsi="Times New Roman" w:cs="Times New Roman"/>
                <w:b/>
                <w:color w:val="000000" w:themeColor="text1"/>
                <w:spacing w:val="-1"/>
                <w:w w:val="90"/>
                <w:sz w:val="20"/>
                <w:szCs w:val="20"/>
                <w:lang w:val="en-GB"/>
              </w:rPr>
              <w:t>Country</w:t>
            </w:r>
          </w:p>
          <w:p w14:paraId="7FE1B375"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The ISO 3166-1-alpha-2 code of the country of incorporation of the entity, which may be a Member State or a third country.</w:t>
            </w:r>
          </w:p>
        </w:tc>
      </w:tr>
      <w:tr w:rsidR="00CC0A94" w14:paraId="7FE1B37A" w14:textId="77777777" w:rsidTr="029F4E13">
        <w:tc>
          <w:tcPr>
            <w:tcW w:w="0" w:type="auto"/>
            <w:tcBorders>
              <w:top w:val="single" w:sz="4" w:space="0" w:color="1A171C"/>
              <w:left w:val="nil"/>
              <w:bottom w:val="single" w:sz="4" w:space="0" w:color="1A171C"/>
              <w:right w:val="single" w:sz="4" w:space="0" w:color="1A171C"/>
            </w:tcBorders>
          </w:tcPr>
          <w:p w14:paraId="7FE1B377"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0055</w:t>
            </w:r>
          </w:p>
        </w:tc>
        <w:tc>
          <w:tcPr>
            <w:tcW w:w="0" w:type="auto"/>
            <w:tcBorders>
              <w:top w:val="single" w:sz="4" w:space="0" w:color="1A171C"/>
              <w:left w:val="single" w:sz="4" w:space="0" w:color="1A171C"/>
              <w:bottom w:val="single" w:sz="4" w:space="0" w:color="1A171C"/>
              <w:right w:val="nil"/>
            </w:tcBorders>
          </w:tcPr>
          <w:p w14:paraId="7FE1B378" w14:textId="77777777" w:rsidR="00CC0A94" w:rsidRDefault="006C1571">
            <w:pPr>
              <w:pStyle w:val="TableParagraph"/>
              <w:spacing w:before="108"/>
              <w:ind w:left="85"/>
              <w:rPr>
                <w:rFonts w:ascii="Times New Roman" w:hAnsi="Times New Roman" w:cs="Times New Roman"/>
                <w:b/>
                <w:color w:val="000000" w:themeColor="text1"/>
                <w:spacing w:val="-1"/>
                <w:w w:val="90"/>
                <w:sz w:val="20"/>
                <w:szCs w:val="20"/>
                <w:lang w:val="en-GB"/>
              </w:rPr>
            </w:pPr>
            <w:r>
              <w:rPr>
                <w:rFonts w:ascii="Times New Roman" w:hAnsi="Times New Roman" w:cs="Times New Roman"/>
                <w:b/>
                <w:color w:val="000000" w:themeColor="text1"/>
                <w:spacing w:val="-1"/>
                <w:w w:val="90"/>
                <w:sz w:val="20"/>
                <w:szCs w:val="20"/>
                <w:lang w:val="en-GB"/>
              </w:rPr>
              <w:t>LEI of POE of Resolution Group</w:t>
            </w:r>
          </w:p>
          <w:p w14:paraId="7FE1B379" w14:textId="77777777" w:rsidR="00CC0A94" w:rsidRPr="002F61BB" w:rsidRDefault="006C1571">
            <w:pPr>
              <w:pStyle w:val="TableParagraph"/>
              <w:spacing w:before="108"/>
              <w:ind w:left="85"/>
              <w:rPr>
                <w:rFonts w:ascii="Times New Roman" w:hAnsi="Times New Roman" w:cs="Times New Roman"/>
                <w:bCs/>
                <w:color w:val="000000" w:themeColor="text1"/>
                <w:spacing w:val="-1"/>
                <w:w w:val="90"/>
                <w:sz w:val="20"/>
                <w:szCs w:val="20"/>
                <w:lang w:val="en-GB"/>
              </w:rPr>
            </w:pPr>
            <w:r>
              <w:rPr>
                <w:rFonts w:ascii="Times New Roman" w:hAnsi="Times New Roman" w:cs="Times New Roman"/>
                <w:bCs/>
                <w:color w:val="000000" w:themeColor="text1"/>
                <w:spacing w:val="-1"/>
                <w:w w:val="90"/>
                <w:sz w:val="20"/>
                <w:szCs w:val="20"/>
                <w:lang w:val="en-GB"/>
              </w:rPr>
              <w:t>LEI code identifying the Point of Entry of the resolution group to which the entity identified in 0010 belongs.</w:t>
            </w:r>
          </w:p>
        </w:tc>
      </w:tr>
      <w:tr w:rsidR="00CC0A94" w14:paraId="7FE1B386" w14:textId="77777777" w:rsidTr="029F4E13">
        <w:tc>
          <w:tcPr>
            <w:tcW w:w="0" w:type="auto"/>
            <w:tcBorders>
              <w:top w:val="single" w:sz="4" w:space="0" w:color="1A171C"/>
              <w:left w:val="nil"/>
              <w:bottom w:val="single" w:sz="4" w:space="0" w:color="1A171C"/>
              <w:right w:val="single" w:sz="4" w:space="0" w:color="1A171C"/>
            </w:tcBorders>
          </w:tcPr>
          <w:p w14:paraId="7FE1B381"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0070</w:t>
            </w:r>
          </w:p>
        </w:tc>
        <w:tc>
          <w:tcPr>
            <w:tcW w:w="0" w:type="auto"/>
            <w:tcBorders>
              <w:top w:val="single" w:sz="4" w:space="0" w:color="1A171C"/>
              <w:left w:val="single" w:sz="4" w:space="0" w:color="1A171C"/>
              <w:bottom w:val="single" w:sz="4" w:space="0" w:color="1A171C"/>
              <w:right w:val="nil"/>
            </w:tcBorders>
          </w:tcPr>
          <w:p w14:paraId="7FE1B382" w14:textId="77777777" w:rsidR="00CC0A94" w:rsidRDefault="006C1571">
            <w:pPr>
              <w:pStyle w:val="TableParagraph"/>
              <w:spacing w:before="108"/>
              <w:ind w:left="85"/>
              <w:jc w:val="both"/>
              <w:rPr>
                <w:rFonts w:ascii="Times New Roman" w:hAnsi="Times New Roman" w:cs="Times New Roman"/>
                <w:b/>
                <w:bCs/>
                <w:color w:val="000000" w:themeColor="text1"/>
                <w:spacing w:val="-2"/>
                <w:w w:val="95"/>
                <w:sz w:val="20"/>
                <w:szCs w:val="20"/>
                <w:lang w:val="en-GB"/>
              </w:rPr>
            </w:pPr>
            <w:r>
              <w:rPr>
                <w:rFonts w:ascii="Times New Roman" w:hAnsi="Times New Roman" w:cs="Times New Roman"/>
                <w:b/>
                <w:bCs/>
                <w:color w:val="000000" w:themeColor="text1"/>
                <w:spacing w:val="-2"/>
                <w:w w:val="95"/>
                <w:sz w:val="20"/>
                <w:szCs w:val="20"/>
                <w:lang w:val="en-GB"/>
              </w:rPr>
              <w:t>Article 7 CRR Waiver</w:t>
            </w:r>
          </w:p>
          <w:p w14:paraId="7FE1B383"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Report the following abbreviations:</w:t>
            </w:r>
          </w:p>
          <w:p w14:paraId="7FE1B384" w14:textId="6DF8D995"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Y</w:t>
            </w:r>
            <w:r w:rsidR="00B9253F">
              <w:rPr>
                <w:rFonts w:ascii="Times New Roman" w:hAnsi="Times New Roman" w:cs="Times New Roman"/>
                <w:color w:val="000000" w:themeColor="text1"/>
                <w:spacing w:val="-2"/>
                <w:w w:val="95"/>
                <w:sz w:val="20"/>
                <w:szCs w:val="20"/>
                <w:lang w:val="en-GB"/>
              </w:rPr>
              <w:t>es</w:t>
            </w:r>
            <w:r>
              <w:rPr>
                <w:rFonts w:ascii="Times New Roman" w:hAnsi="Times New Roman" w:cs="Times New Roman"/>
                <w:color w:val="000000" w:themeColor="text1"/>
                <w:spacing w:val="-2"/>
                <w:w w:val="95"/>
                <w:sz w:val="20"/>
                <w:szCs w:val="20"/>
                <w:lang w:val="en-GB"/>
              </w:rPr>
              <w:t xml:space="preserve"> – if the competent authority has waived the application of Article 6(1) of </w:t>
            </w:r>
            <w:r>
              <w:rPr>
                <w:rFonts w:ascii="Times New Roman" w:hAnsi="Times New Roman" w:cs="Times New Roman"/>
                <w:color w:val="000000" w:themeColor="text1"/>
                <w:sz w:val="20"/>
                <w:szCs w:val="20"/>
                <w:lang w:val="en-GB"/>
              </w:rPr>
              <w:t>Regulation (EU) No 575/2013</w:t>
            </w:r>
            <w:r>
              <w:rPr>
                <w:rFonts w:ascii="Times New Roman" w:hAnsi="Times New Roman" w:cs="Times New Roman"/>
                <w:color w:val="000000" w:themeColor="text1"/>
                <w:spacing w:val="-2"/>
                <w:w w:val="95"/>
                <w:sz w:val="20"/>
                <w:szCs w:val="20"/>
                <w:lang w:val="en-GB"/>
              </w:rPr>
              <w:t xml:space="preserve"> according to Article 7 of </w:t>
            </w:r>
            <w:r>
              <w:rPr>
                <w:rFonts w:ascii="Times New Roman" w:hAnsi="Times New Roman" w:cs="Times New Roman"/>
                <w:color w:val="000000" w:themeColor="text1"/>
                <w:sz w:val="20"/>
                <w:szCs w:val="20"/>
                <w:lang w:val="en-GB"/>
              </w:rPr>
              <w:t xml:space="preserve">Regulation (EU) No </w:t>
            </w:r>
            <w:proofErr w:type="gramStart"/>
            <w:r>
              <w:rPr>
                <w:rFonts w:ascii="Times New Roman" w:hAnsi="Times New Roman" w:cs="Times New Roman"/>
                <w:color w:val="000000" w:themeColor="text1"/>
                <w:sz w:val="20"/>
                <w:szCs w:val="20"/>
                <w:lang w:val="en-GB"/>
              </w:rPr>
              <w:t>575/2013</w:t>
            </w:r>
            <w:r>
              <w:rPr>
                <w:rFonts w:ascii="Times New Roman" w:hAnsi="Times New Roman" w:cs="Times New Roman"/>
                <w:color w:val="000000" w:themeColor="text1"/>
                <w:spacing w:val="-2"/>
                <w:w w:val="95"/>
                <w:sz w:val="20"/>
                <w:szCs w:val="20"/>
                <w:lang w:val="en-GB"/>
              </w:rPr>
              <w:t>;</w:t>
            </w:r>
            <w:proofErr w:type="gramEnd"/>
          </w:p>
          <w:p w14:paraId="7FE1B385" w14:textId="7EC01EC3"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N</w:t>
            </w:r>
            <w:r w:rsidR="00B9253F">
              <w:rPr>
                <w:rFonts w:ascii="Times New Roman" w:hAnsi="Times New Roman" w:cs="Times New Roman"/>
                <w:color w:val="000000" w:themeColor="text1"/>
                <w:spacing w:val="-2"/>
                <w:w w:val="95"/>
                <w:sz w:val="20"/>
                <w:szCs w:val="20"/>
                <w:lang w:val="en-GB"/>
              </w:rPr>
              <w:t>o</w:t>
            </w:r>
            <w:r>
              <w:rPr>
                <w:rFonts w:ascii="Times New Roman" w:hAnsi="Times New Roman" w:cs="Times New Roman"/>
                <w:color w:val="000000" w:themeColor="text1"/>
                <w:spacing w:val="-2"/>
                <w:w w:val="95"/>
                <w:sz w:val="20"/>
                <w:szCs w:val="20"/>
                <w:lang w:val="en-GB"/>
              </w:rPr>
              <w:t xml:space="preserve"> – otherwise.</w:t>
            </w:r>
          </w:p>
        </w:tc>
      </w:tr>
      <w:tr w:rsidR="00CC0A94" w14:paraId="7FE1B38D" w14:textId="77777777" w:rsidTr="002F61BB">
        <w:tc>
          <w:tcPr>
            <w:tcW w:w="1064" w:type="dxa"/>
            <w:tcBorders>
              <w:top w:val="single" w:sz="4" w:space="0" w:color="1A171C"/>
              <w:left w:val="nil"/>
              <w:bottom w:val="single" w:sz="4" w:space="0" w:color="1A171C"/>
              <w:right w:val="single" w:sz="4" w:space="0" w:color="1A171C"/>
            </w:tcBorders>
          </w:tcPr>
          <w:p w14:paraId="7FE1B387" w14:textId="77777777"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pacing w:val="-2"/>
                <w:sz w:val="20"/>
                <w:szCs w:val="20"/>
                <w:lang w:val="en-GB"/>
              </w:rPr>
              <w:t>0080</w:t>
            </w:r>
          </w:p>
        </w:tc>
        <w:tc>
          <w:tcPr>
            <w:tcW w:w="7962" w:type="dxa"/>
            <w:tcBorders>
              <w:top w:val="single" w:sz="4" w:space="0" w:color="1A171C"/>
              <w:left w:val="single" w:sz="4" w:space="0" w:color="1A171C"/>
              <w:bottom w:val="single" w:sz="4" w:space="0" w:color="1A171C"/>
              <w:right w:val="nil"/>
            </w:tcBorders>
          </w:tcPr>
          <w:p w14:paraId="7FE1B388" w14:textId="77777777"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Article 8 CRR Waiver</w:t>
            </w:r>
          </w:p>
          <w:p w14:paraId="7FE1B389" w14:textId="77777777" w:rsidR="00CC0A94" w:rsidRDefault="00CC0A94">
            <w:pPr>
              <w:pStyle w:val="TableParagraph"/>
              <w:jc w:val="both"/>
              <w:rPr>
                <w:rFonts w:ascii="Times New Roman" w:hAnsi="Times New Roman" w:cs="Times New Roman"/>
                <w:b/>
                <w:bCs/>
                <w:color w:val="000000" w:themeColor="text1"/>
                <w:sz w:val="20"/>
                <w:szCs w:val="20"/>
                <w:lang w:val="en-GB"/>
              </w:rPr>
            </w:pPr>
          </w:p>
          <w:p w14:paraId="7FE1B38A" w14:textId="7777777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 the following abbreviations:</w:t>
            </w:r>
          </w:p>
          <w:p w14:paraId="7FE1B38B" w14:textId="7BE12ED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Y</w:t>
            </w:r>
            <w:r w:rsidR="00B9253F">
              <w:rPr>
                <w:rFonts w:ascii="Times New Roman" w:hAnsi="Times New Roman" w:cs="Times New Roman"/>
                <w:color w:val="000000" w:themeColor="text1"/>
                <w:sz w:val="20"/>
                <w:szCs w:val="20"/>
                <w:lang w:val="en-GB"/>
              </w:rPr>
              <w:t>es</w:t>
            </w:r>
            <w:r>
              <w:rPr>
                <w:rFonts w:ascii="Times New Roman" w:hAnsi="Times New Roman" w:cs="Times New Roman"/>
                <w:color w:val="000000" w:themeColor="text1"/>
                <w:sz w:val="20"/>
                <w:szCs w:val="20"/>
                <w:lang w:val="en-GB"/>
              </w:rPr>
              <w:t xml:space="preserve"> – if the competent authority has waived the application of Part Six of Regulation (EU) No 575/2013 according to Article 8 of Regulation (EU) No </w:t>
            </w:r>
            <w:proofErr w:type="gramStart"/>
            <w:r>
              <w:rPr>
                <w:rFonts w:ascii="Times New Roman" w:hAnsi="Times New Roman" w:cs="Times New Roman"/>
                <w:color w:val="000000" w:themeColor="text1"/>
                <w:sz w:val="20"/>
                <w:szCs w:val="20"/>
                <w:lang w:val="en-GB"/>
              </w:rPr>
              <w:t>575/2013;</w:t>
            </w:r>
            <w:proofErr w:type="gramEnd"/>
          </w:p>
          <w:p w14:paraId="7FE1B38C" w14:textId="08CEF953"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N</w:t>
            </w:r>
            <w:r w:rsidR="00B9253F">
              <w:rPr>
                <w:rFonts w:ascii="Times New Roman" w:hAnsi="Times New Roman" w:cs="Times New Roman"/>
                <w:color w:val="000000" w:themeColor="text1"/>
                <w:sz w:val="20"/>
                <w:szCs w:val="20"/>
                <w:lang w:val="en-GB"/>
              </w:rPr>
              <w:t>o</w:t>
            </w:r>
            <w:r>
              <w:rPr>
                <w:rFonts w:ascii="Times New Roman" w:hAnsi="Times New Roman" w:cs="Times New Roman"/>
                <w:color w:val="000000" w:themeColor="text1"/>
                <w:sz w:val="20"/>
                <w:szCs w:val="20"/>
                <w:lang w:val="en-GB"/>
              </w:rPr>
              <w:t xml:space="preserve"> – otherwise.</w:t>
            </w:r>
          </w:p>
        </w:tc>
      </w:tr>
      <w:tr w:rsidR="00CC0A94" w14:paraId="7FE1B395" w14:textId="77777777" w:rsidTr="002F61BB">
        <w:tc>
          <w:tcPr>
            <w:tcW w:w="1064" w:type="dxa"/>
            <w:tcBorders>
              <w:top w:val="single" w:sz="4" w:space="0" w:color="1A171C"/>
              <w:left w:val="nil"/>
              <w:bottom w:val="single" w:sz="4" w:space="0" w:color="1A171C"/>
              <w:right w:val="single" w:sz="4" w:space="0" w:color="1A171C"/>
            </w:tcBorders>
          </w:tcPr>
          <w:p w14:paraId="7FE1B38E" w14:textId="77777777"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0090</w:t>
            </w:r>
          </w:p>
        </w:tc>
        <w:tc>
          <w:tcPr>
            <w:tcW w:w="7962" w:type="dxa"/>
            <w:tcBorders>
              <w:top w:val="single" w:sz="4" w:space="0" w:color="1A171C"/>
              <w:left w:val="single" w:sz="4" w:space="0" w:color="1A171C"/>
              <w:bottom w:val="single" w:sz="4" w:space="0" w:color="1A171C"/>
              <w:right w:val="nil"/>
            </w:tcBorders>
          </w:tcPr>
          <w:p w14:paraId="7FE1B38F" w14:textId="77777777"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Subject to Article 9 CRR</w:t>
            </w:r>
          </w:p>
          <w:p w14:paraId="7FE1B390" w14:textId="77777777" w:rsidR="00CC0A94" w:rsidRDefault="00CC0A94">
            <w:pPr>
              <w:pStyle w:val="TableParagraph"/>
              <w:jc w:val="both"/>
              <w:rPr>
                <w:rFonts w:ascii="Times New Roman" w:hAnsi="Times New Roman" w:cs="Times New Roman"/>
                <w:b/>
                <w:bCs/>
                <w:color w:val="000000" w:themeColor="text1"/>
                <w:sz w:val="20"/>
                <w:szCs w:val="20"/>
                <w:lang w:val="en-GB"/>
              </w:rPr>
            </w:pPr>
          </w:p>
          <w:p w14:paraId="7FE1B391" w14:textId="7777777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 the following abbreviations:</w:t>
            </w:r>
          </w:p>
          <w:p w14:paraId="7FE1B392" w14:textId="30A38992"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Y</w:t>
            </w:r>
            <w:r w:rsidR="00B9253F">
              <w:rPr>
                <w:rFonts w:ascii="Times New Roman" w:hAnsi="Times New Roman" w:cs="Times New Roman"/>
                <w:color w:val="000000" w:themeColor="text1"/>
                <w:sz w:val="20"/>
                <w:szCs w:val="20"/>
                <w:lang w:val="en-GB"/>
              </w:rPr>
              <w:t>es</w:t>
            </w:r>
            <w:r>
              <w:rPr>
                <w:rFonts w:ascii="Times New Roman" w:hAnsi="Times New Roman" w:cs="Times New Roman"/>
                <w:color w:val="000000" w:themeColor="text1"/>
                <w:sz w:val="20"/>
                <w:szCs w:val="20"/>
                <w:lang w:val="en-GB"/>
              </w:rPr>
              <w:t xml:space="preserve"> – if the entity meets the conditions laid down in points (c) and (d) of Article 7(1) and its material exposures or material liabilities are to the parent institution Regulation (EU) No 575/2013 according </w:t>
            </w:r>
            <w:r>
              <w:rPr>
                <w:rFonts w:ascii="Times New Roman" w:hAnsi="Times New Roman" w:cs="Times New Roman"/>
                <w:color w:val="000000" w:themeColor="text1"/>
                <w:sz w:val="20"/>
                <w:szCs w:val="20"/>
                <w:lang w:val="en-GB"/>
              </w:rPr>
              <w:lastRenderedPageBreak/>
              <w:t>to Article 8 of Regulation (EU) No 575/2013 and are therefore incorporated in the calculation of the requirement of the parent institution under article 6(1).</w:t>
            </w:r>
          </w:p>
          <w:p w14:paraId="7FE1B393" w14:textId="0CE17CBC"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N</w:t>
            </w:r>
            <w:r w:rsidR="00B9253F">
              <w:rPr>
                <w:rFonts w:ascii="Times New Roman" w:hAnsi="Times New Roman" w:cs="Times New Roman"/>
                <w:color w:val="000000" w:themeColor="text1"/>
                <w:sz w:val="20"/>
                <w:szCs w:val="20"/>
                <w:lang w:val="en-GB"/>
              </w:rPr>
              <w:t>o</w:t>
            </w:r>
            <w:r>
              <w:rPr>
                <w:rFonts w:ascii="Times New Roman" w:hAnsi="Times New Roman" w:cs="Times New Roman"/>
                <w:color w:val="000000" w:themeColor="text1"/>
                <w:sz w:val="20"/>
                <w:szCs w:val="20"/>
                <w:lang w:val="en-GB"/>
              </w:rPr>
              <w:t xml:space="preserve"> – otherwise.</w:t>
            </w:r>
          </w:p>
          <w:p w14:paraId="7FE1B394" w14:textId="77777777" w:rsidR="00CC0A94" w:rsidRDefault="00CC0A94">
            <w:pPr>
              <w:pStyle w:val="TableParagraph"/>
              <w:jc w:val="both"/>
              <w:rPr>
                <w:rFonts w:ascii="Times New Roman" w:hAnsi="Times New Roman" w:cs="Times New Roman"/>
                <w:b/>
                <w:bCs/>
                <w:color w:val="000000" w:themeColor="text1"/>
                <w:sz w:val="20"/>
                <w:szCs w:val="20"/>
                <w:lang w:val="en-GB"/>
              </w:rPr>
            </w:pPr>
          </w:p>
        </w:tc>
      </w:tr>
      <w:tr w:rsidR="00CC0A94" w14:paraId="7FE1B39B" w14:textId="77777777" w:rsidTr="029F4E13">
        <w:tc>
          <w:tcPr>
            <w:tcW w:w="0" w:type="auto"/>
            <w:tcBorders>
              <w:top w:val="single" w:sz="4" w:space="0" w:color="1A171C"/>
              <w:left w:val="nil"/>
              <w:bottom w:val="single" w:sz="4" w:space="0" w:color="1A171C"/>
              <w:right w:val="single" w:sz="4" w:space="0" w:color="1A171C"/>
            </w:tcBorders>
          </w:tcPr>
          <w:p w14:paraId="7FE1B396" w14:textId="5DE190C9"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lastRenderedPageBreak/>
              <w:t>0100</w:t>
            </w:r>
          </w:p>
        </w:tc>
        <w:tc>
          <w:tcPr>
            <w:tcW w:w="0" w:type="auto"/>
            <w:tcBorders>
              <w:top w:val="single" w:sz="4" w:space="0" w:color="1A171C"/>
              <w:left w:val="single" w:sz="4" w:space="0" w:color="1A171C"/>
              <w:bottom w:val="single" w:sz="4" w:space="0" w:color="1A171C"/>
              <w:right w:val="nil"/>
            </w:tcBorders>
          </w:tcPr>
          <w:p w14:paraId="7FE1B39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Article 10 CRR Waiver</w:t>
            </w:r>
          </w:p>
          <w:p w14:paraId="7FE1B398"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Report the following abbreviations:</w:t>
            </w:r>
          </w:p>
          <w:p w14:paraId="7FE1B399" w14:textId="249CB221"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Y</w:t>
            </w:r>
            <w:r w:rsidR="00B9253F">
              <w:rPr>
                <w:rFonts w:ascii="Times New Roman" w:hAnsi="Times New Roman" w:cs="Times New Roman"/>
                <w:color w:val="000000" w:themeColor="text1"/>
                <w:spacing w:val="-2"/>
                <w:w w:val="95"/>
                <w:sz w:val="20"/>
                <w:szCs w:val="20"/>
                <w:lang w:val="en-GB"/>
              </w:rPr>
              <w:t>es</w:t>
            </w:r>
            <w:r>
              <w:rPr>
                <w:rFonts w:ascii="Times New Roman" w:hAnsi="Times New Roman" w:cs="Times New Roman"/>
                <w:color w:val="000000" w:themeColor="text1"/>
                <w:spacing w:val="-2"/>
                <w:w w:val="95"/>
                <w:sz w:val="20"/>
                <w:szCs w:val="20"/>
                <w:lang w:val="en-GB"/>
              </w:rPr>
              <w:t xml:space="preserve"> – if the competent authority has applied a waiver pursuant to Article 10 of Regulation (EU) No 575/2013.</w:t>
            </w:r>
          </w:p>
          <w:p w14:paraId="7FE1B39A" w14:textId="2A6A5A7B"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N</w:t>
            </w:r>
            <w:r w:rsidR="00B9253F">
              <w:rPr>
                <w:rFonts w:ascii="Times New Roman" w:hAnsi="Times New Roman" w:cs="Times New Roman"/>
                <w:color w:val="000000" w:themeColor="text1"/>
                <w:spacing w:val="-2"/>
                <w:w w:val="95"/>
                <w:sz w:val="20"/>
                <w:szCs w:val="20"/>
                <w:lang w:val="en-GB"/>
              </w:rPr>
              <w:t>o</w:t>
            </w:r>
            <w:r>
              <w:rPr>
                <w:rFonts w:ascii="Times New Roman" w:hAnsi="Times New Roman" w:cs="Times New Roman"/>
                <w:color w:val="000000" w:themeColor="text1"/>
                <w:spacing w:val="-2"/>
                <w:w w:val="95"/>
                <w:sz w:val="20"/>
                <w:szCs w:val="20"/>
                <w:lang w:val="en-GB"/>
              </w:rPr>
              <w:t xml:space="preserve"> – otherwise.</w:t>
            </w:r>
          </w:p>
        </w:tc>
      </w:tr>
      <w:tr w:rsidR="00CC0A94" w14:paraId="7FE1B39F" w14:textId="77777777" w:rsidTr="029F4E13">
        <w:tc>
          <w:tcPr>
            <w:tcW w:w="0" w:type="auto"/>
            <w:tcBorders>
              <w:top w:val="single" w:sz="4" w:space="0" w:color="1A171C"/>
              <w:left w:val="nil"/>
              <w:bottom w:val="single" w:sz="4" w:space="0" w:color="1A171C"/>
              <w:right w:val="single" w:sz="4" w:space="0" w:color="1A171C"/>
            </w:tcBorders>
          </w:tcPr>
          <w:p w14:paraId="7FE1B39C" w14:textId="317C5200"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0110</w:t>
            </w:r>
          </w:p>
        </w:tc>
        <w:tc>
          <w:tcPr>
            <w:tcW w:w="0" w:type="auto"/>
            <w:tcBorders>
              <w:top w:val="single" w:sz="4" w:space="0" w:color="1A171C"/>
              <w:left w:val="single" w:sz="4" w:space="0" w:color="1A171C"/>
              <w:bottom w:val="single" w:sz="4" w:space="0" w:color="1A171C"/>
              <w:right w:val="nil"/>
            </w:tcBorders>
          </w:tcPr>
          <w:p w14:paraId="7FE1B39D"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Total assets</w:t>
            </w:r>
          </w:p>
          <w:p w14:paraId="7FE1B39E"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Total assets as defined for FINREP {F 01.01;380,010}</w:t>
            </w:r>
          </w:p>
        </w:tc>
      </w:tr>
      <w:tr w:rsidR="00CC0A94" w14:paraId="7FE1B3AC" w14:textId="77777777" w:rsidTr="029F4E13">
        <w:tc>
          <w:tcPr>
            <w:tcW w:w="0" w:type="auto"/>
            <w:tcBorders>
              <w:top w:val="single" w:sz="4" w:space="0" w:color="1A171C"/>
              <w:left w:val="nil"/>
              <w:bottom w:val="single" w:sz="4" w:space="0" w:color="1A171C"/>
              <w:right w:val="single" w:sz="4" w:space="0" w:color="1A171C"/>
            </w:tcBorders>
          </w:tcPr>
          <w:p w14:paraId="7FE1B3A8" w14:textId="6999955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0150</w:t>
            </w:r>
          </w:p>
        </w:tc>
        <w:tc>
          <w:tcPr>
            <w:tcW w:w="0" w:type="auto"/>
            <w:tcBorders>
              <w:top w:val="single" w:sz="4" w:space="0" w:color="1A171C"/>
              <w:left w:val="single" w:sz="4" w:space="0" w:color="1A171C"/>
              <w:bottom w:val="single" w:sz="4" w:space="0" w:color="1A171C"/>
              <w:right w:val="nil"/>
            </w:tcBorders>
          </w:tcPr>
          <w:p w14:paraId="7FE1B3A9"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Total Risk Exposure amount</w:t>
            </w:r>
          </w:p>
          <w:p w14:paraId="7FE1B3AA" w14:textId="77777777" w:rsidR="00CC0A94" w:rsidRDefault="006C1571">
            <w:pPr>
              <w:pStyle w:val="TableParagraph"/>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Total risk exposure amount as defined for COREP (OF): {C 02.00;010;010}</w:t>
            </w:r>
          </w:p>
          <w:p w14:paraId="7FE1B3AB"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This item shall not be reported for entities that are not institutions and entities benefitting from a waiver in accordance with Article 7 or Article 10 of Regulation (EU) No 575/2013.</w:t>
            </w:r>
          </w:p>
        </w:tc>
      </w:tr>
      <w:tr w:rsidR="00CC0A94" w14:paraId="7FE1B3B1" w14:textId="77777777" w:rsidTr="029F4E13">
        <w:tc>
          <w:tcPr>
            <w:tcW w:w="0" w:type="auto"/>
            <w:tcBorders>
              <w:top w:val="single" w:sz="4" w:space="0" w:color="1A171C"/>
              <w:left w:val="nil"/>
              <w:bottom w:val="single" w:sz="4" w:space="0" w:color="1A171C"/>
              <w:right w:val="single" w:sz="4" w:space="0" w:color="1A171C"/>
            </w:tcBorders>
          </w:tcPr>
          <w:p w14:paraId="7FE1B3AD" w14:textId="47BF222F"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0160</w:t>
            </w:r>
          </w:p>
        </w:tc>
        <w:tc>
          <w:tcPr>
            <w:tcW w:w="0" w:type="auto"/>
            <w:tcBorders>
              <w:top w:val="single" w:sz="4" w:space="0" w:color="1A171C"/>
              <w:left w:val="single" w:sz="4" w:space="0" w:color="1A171C"/>
              <w:bottom w:val="single" w:sz="4" w:space="0" w:color="1A171C"/>
              <w:right w:val="nil"/>
            </w:tcBorders>
          </w:tcPr>
          <w:p w14:paraId="7FE1B3AE" w14:textId="0A8F344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Total exposure measure</w:t>
            </w:r>
          </w:p>
          <w:p w14:paraId="7FE1B3AF" w14:textId="32D53B0C"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Total exposure measure of the leverage ratio as defined for COREP (LR): {C 47.00;0290;0010}</w:t>
            </w:r>
          </w:p>
          <w:p w14:paraId="7FE1B3B0"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This item shall not be reported for entities that are not institutions and entities benefitting from a waiver in accordance with Article 7 or Article 10 of </w:t>
            </w:r>
            <w:r>
              <w:rPr>
                <w:rFonts w:ascii="Times New Roman" w:hAnsi="Times New Roman" w:cs="Times New Roman"/>
                <w:color w:val="000000" w:themeColor="text1"/>
                <w:sz w:val="20"/>
                <w:szCs w:val="20"/>
                <w:lang w:val="en-GB"/>
              </w:rPr>
              <w:t>Regulation (EU) No 575/2013</w:t>
            </w:r>
            <w:r>
              <w:rPr>
                <w:rFonts w:ascii="Times New Roman" w:hAnsi="Times New Roman" w:cs="Times New Roman"/>
                <w:color w:val="000000" w:themeColor="text1"/>
                <w:spacing w:val="-2"/>
                <w:w w:val="95"/>
                <w:sz w:val="20"/>
                <w:szCs w:val="20"/>
                <w:lang w:val="en-GB"/>
              </w:rPr>
              <w:t>.</w:t>
            </w:r>
          </w:p>
        </w:tc>
      </w:tr>
      <w:tr w:rsidR="00CC0A94" w14:paraId="7FE1B3B7" w14:textId="77777777" w:rsidTr="002F61BB">
        <w:tc>
          <w:tcPr>
            <w:tcW w:w="1064" w:type="dxa"/>
            <w:tcBorders>
              <w:top w:val="single" w:sz="4" w:space="0" w:color="1A171C"/>
              <w:left w:val="nil"/>
              <w:bottom w:val="single" w:sz="4" w:space="0" w:color="1A171C"/>
              <w:right w:val="single" w:sz="4" w:space="0" w:color="1A171C"/>
            </w:tcBorders>
          </w:tcPr>
          <w:p w14:paraId="7FE1B3B2" w14:textId="3946F821"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pacing w:val="-2"/>
                <w:sz w:val="20"/>
                <w:szCs w:val="20"/>
                <w:lang w:val="en-GB"/>
              </w:rPr>
              <w:t>0170</w:t>
            </w:r>
          </w:p>
        </w:tc>
        <w:tc>
          <w:tcPr>
            <w:tcW w:w="7962" w:type="dxa"/>
            <w:tcBorders>
              <w:top w:val="single" w:sz="4" w:space="0" w:color="1A171C"/>
              <w:left w:val="single" w:sz="4" w:space="0" w:color="1A171C"/>
              <w:bottom w:val="single" w:sz="4" w:space="0" w:color="1A171C"/>
              <w:right w:val="nil"/>
            </w:tcBorders>
          </w:tcPr>
          <w:p w14:paraId="7FE1B3B3" w14:textId="77777777"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Total Operating Income</w:t>
            </w:r>
          </w:p>
          <w:p w14:paraId="7FE1B3B4" w14:textId="77777777" w:rsidR="00CC0A94" w:rsidRDefault="00CC0A94">
            <w:pPr>
              <w:pStyle w:val="TableParagraph"/>
              <w:jc w:val="both"/>
              <w:rPr>
                <w:rFonts w:ascii="Times New Roman" w:hAnsi="Times New Roman" w:cs="Times New Roman"/>
                <w:b/>
                <w:bCs/>
                <w:color w:val="000000" w:themeColor="text1"/>
                <w:sz w:val="20"/>
                <w:szCs w:val="20"/>
                <w:lang w:val="en-GB"/>
              </w:rPr>
            </w:pPr>
          </w:p>
          <w:p w14:paraId="7FE1B3B5" w14:textId="77777777" w:rsidR="00CC0A94" w:rsidRDefault="006C1571">
            <w:pPr>
              <w:pStyle w:val="TableParagraph"/>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Total operating income as defined in FINREP {F 02.00;355;010}</w:t>
            </w:r>
          </w:p>
          <w:p w14:paraId="7FE1B3B6" w14:textId="77777777" w:rsidR="00CC0A94" w:rsidRDefault="00CC0A94">
            <w:pPr>
              <w:pStyle w:val="TableParagraph"/>
              <w:jc w:val="both"/>
              <w:rPr>
                <w:rFonts w:ascii="Times New Roman" w:hAnsi="Times New Roman" w:cs="Times New Roman"/>
                <w:b/>
                <w:bCs/>
                <w:color w:val="000000" w:themeColor="text1"/>
                <w:sz w:val="20"/>
                <w:szCs w:val="20"/>
                <w:lang w:val="en-GB"/>
              </w:rPr>
            </w:pPr>
          </w:p>
        </w:tc>
      </w:tr>
      <w:tr w:rsidR="00CC0A94" w14:paraId="7FE1B3C2" w14:textId="77777777" w:rsidTr="029F4E13">
        <w:tc>
          <w:tcPr>
            <w:tcW w:w="0" w:type="auto"/>
            <w:tcBorders>
              <w:top w:val="single" w:sz="4" w:space="0" w:color="1A171C"/>
              <w:left w:val="nil"/>
              <w:bottom w:val="single" w:sz="4" w:space="0" w:color="1A171C"/>
              <w:right w:val="single" w:sz="4" w:space="0" w:color="1A171C"/>
            </w:tcBorders>
          </w:tcPr>
          <w:p w14:paraId="7FE1B3BD" w14:textId="66D829AD"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0210</w:t>
            </w:r>
          </w:p>
        </w:tc>
        <w:tc>
          <w:tcPr>
            <w:tcW w:w="0" w:type="auto"/>
            <w:tcBorders>
              <w:top w:val="single" w:sz="4" w:space="0" w:color="1A171C"/>
              <w:left w:val="single" w:sz="4" w:space="0" w:color="1A171C"/>
              <w:bottom w:val="single" w:sz="4" w:space="0" w:color="1A171C"/>
              <w:right w:val="nil"/>
            </w:tcBorders>
          </w:tcPr>
          <w:p w14:paraId="7FE1B3BE"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Accounting standard</w:t>
            </w:r>
          </w:p>
          <w:p w14:paraId="7FE1B3BF" w14:textId="77777777" w:rsidR="00CC0A94" w:rsidRDefault="006C1571">
            <w:pPr>
              <w:pStyle w:val="TableParagraph"/>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Accounting standards applied by the entity. Report the following abbreviations:</w:t>
            </w:r>
          </w:p>
          <w:p w14:paraId="7FE1B3C0" w14:textId="77777777" w:rsidR="00CC0A94" w:rsidRDefault="006C1571">
            <w:pPr>
              <w:pStyle w:val="TableParagraph"/>
              <w:numPr>
                <w:ilvl w:val="0"/>
                <w:numId w:val="68"/>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IFRS</w:t>
            </w:r>
          </w:p>
          <w:p w14:paraId="7FE1B3C1" w14:textId="77777777" w:rsidR="00CC0A94" w:rsidRDefault="006C1571">
            <w:pPr>
              <w:pStyle w:val="TableParagraph"/>
              <w:numPr>
                <w:ilvl w:val="0"/>
                <w:numId w:val="68"/>
              </w:numPr>
              <w:spacing w:before="108"/>
              <w:jc w:val="both"/>
              <w:rPr>
                <w:rFonts w:ascii="Times New Roman" w:hAnsi="Times New Roman" w:cs="Times New Roman"/>
                <w:color w:val="000000" w:themeColor="text1"/>
                <w:spacing w:val="-2"/>
                <w:w w:val="95"/>
                <w:sz w:val="20"/>
                <w:szCs w:val="20"/>
                <w:lang w:val="en-GB"/>
              </w:rPr>
            </w:pPr>
            <w:proofErr w:type="spellStart"/>
            <w:r>
              <w:rPr>
                <w:rFonts w:ascii="Times New Roman" w:hAnsi="Times New Roman" w:cs="Times New Roman"/>
                <w:color w:val="000000" w:themeColor="text1"/>
                <w:spacing w:val="-2"/>
                <w:w w:val="95"/>
                <w:sz w:val="20"/>
                <w:szCs w:val="20"/>
                <w:lang w:val="en-GB"/>
              </w:rPr>
              <w:t>nGAAP</w:t>
            </w:r>
            <w:proofErr w:type="spellEnd"/>
          </w:p>
        </w:tc>
      </w:tr>
      <w:tr w:rsidR="00CC0A94" w14:paraId="7FE1B3D6" w14:textId="77777777" w:rsidTr="029F4E13">
        <w:tc>
          <w:tcPr>
            <w:tcW w:w="0" w:type="auto"/>
            <w:tcBorders>
              <w:top w:val="single" w:sz="4" w:space="0" w:color="1A171C"/>
              <w:left w:val="nil"/>
              <w:bottom w:val="single" w:sz="4" w:space="0" w:color="1A171C"/>
              <w:right w:val="single" w:sz="4" w:space="0" w:color="1A171C"/>
            </w:tcBorders>
          </w:tcPr>
          <w:p w14:paraId="7FE1B3D3" w14:textId="4630F860"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0260</w:t>
            </w:r>
          </w:p>
        </w:tc>
        <w:tc>
          <w:tcPr>
            <w:tcW w:w="0" w:type="auto"/>
            <w:tcBorders>
              <w:top w:val="single" w:sz="4" w:space="0" w:color="1A171C"/>
              <w:left w:val="single" w:sz="4" w:space="0" w:color="1A171C"/>
              <w:bottom w:val="single" w:sz="4" w:space="0" w:color="1A171C"/>
              <w:right w:val="nil"/>
            </w:tcBorders>
          </w:tcPr>
          <w:p w14:paraId="7FE1B3D4" w14:textId="5FB54654"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 xml:space="preserve">Contribution to consolidated total risk exposure amount </w:t>
            </w:r>
          </w:p>
          <w:p w14:paraId="7FE1B3D5"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The amount that the Entity contributes to the total consolidated risk exposure amount of the group the report refers to. </w:t>
            </w:r>
          </w:p>
        </w:tc>
      </w:tr>
      <w:tr w:rsidR="00CC0A94" w14:paraId="7FE1B3DA" w14:textId="77777777" w:rsidTr="029F4E13">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0270</w:t>
            </w:r>
          </w:p>
        </w:tc>
        <w:tc>
          <w:tcPr>
            <w:tcW w:w="0" w:type="auto"/>
            <w:tcBorders>
              <w:top w:val="single" w:sz="4" w:space="0" w:color="1A171C"/>
              <w:left w:val="single" w:sz="4" w:space="0" w:color="1A171C"/>
              <w:bottom w:val="single" w:sz="4" w:space="0" w:color="1A171C"/>
              <w:right w:val="nil"/>
            </w:tcBorders>
          </w:tcPr>
          <w:p w14:paraId="7FE1B3D8" w14:textId="5A329240"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Contribution to consolidated total exposure measure</w:t>
            </w:r>
          </w:p>
          <w:p w14:paraId="7FE1B3D9" w14:textId="61219862"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The amount that the Entity contributes to the total exposure measure of the group the report refers to.</w:t>
            </w:r>
          </w:p>
        </w:tc>
      </w:tr>
      <w:tr w:rsidR="00CC0A94" w14:paraId="7FE1B3DF" w14:textId="77777777" w:rsidTr="002F61BB">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0280</w:t>
            </w:r>
          </w:p>
        </w:tc>
        <w:tc>
          <w:tcPr>
            <w:tcW w:w="7962" w:type="dxa"/>
            <w:tcBorders>
              <w:top w:val="single" w:sz="4" w:space="0" w:color="1A171C"/>
              <w:left w:val="single" w:sz="4" w:space="0" w:color="1A171C"/>
              <w:bottom w:val="single" w:sz="4" w:space="0" w:color="1A171C"/>
              <w:right w:val="nil"/>
            </w:tcBorders>
          </w:tcPr>
          <w:p w14:paraId="7FE1B3DC" w14:textId="75821A54"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Contribution to consolidated operating income</w:t>
            </w:r>
          </w:p>
          <w:p w14:paraId="7FE1B3DD" w14:textId="77777777" w:rsidR="00CC0A94" w:rsidRDefault="00CC0A94">
            <w:pPr>
              <w:pStyle w:val="TableParagraph"/>
              <w:jc w:val="both"/>
              <w:rPr>
                <w:rFonts w:ascii="Times New Roman" w:hAnsi="Times New Roman" w:cs="Times New Roman"/>
                <w:color w:val="000000" w:themeColor="text1"/>
                <w:sz w:val="20"/>
                <w:szCs w:val="20"/>
                <w:lang w:val="en-GB"/>
              </w:rPr>
            </w:pPr>
          </w:p>
          <w:p w14:paraId="7FE1B3DE" w14:textId="1B38FEC1" w:rsidR="00CC0A94" w:rsidRDefault="006C1571">
            <w:pPr>
              <w:pStyle w:val="TableParagraph"/>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amount that the Entity contributes to the total accounting consolidated operating income amount of the group.</w:t>
            </w:r>
          </w:p>
        </w:tc>
      </w:tr>
      <w:tr w:rsidR="00CC0A94" w14:paraId="7FE1B3F3" w14:textId="77777777" w:rsidTr="029F4E13">
        <w:tc>
          <w:tcPr>
            <w:tcW w:w="0" w:type="auto"/>
            <w:tcBorders>
              <w:top w:val="single" w:sz="4" w:space="0" w:color="1A171C"/>
              <w:left w:val="nil"/>
              <w:bottom w:val="single" w:sz="4" w:space="0" w:color="1A171C"/>
              <w:right w:val="single" w:sz="4" w:space="0" w:color="1A171C"/>
            </w:tcBorders>
          </w:tcPr>
          <w:p w14:paraId="7FE1B3EF" w14:textId="434D8A04"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0320</w:t>
            </w:r>
          </w:p>
        </w:tc>
        <w:tc>
          <w:tcPr>
            <w:tcW w:w="0" w:type="auto"/>
            <w:tcBorders>
              <w:top w:val="single" w:sz="4" w:space="0" w:color="1A171C"/>
              <w:left w:val="single" w:sz="4" w:space="0" w:color="1A171C"/>
              <w:bottom w:val="single" w:sz="4" w:space="0" w:color="1A171C"/>
              <w:right w:val="nil"/>
            </w:tcBorders>
          </w:tcPr>
          <w:p w14:paraId="7FE1B3F0" w14:textId="3CC98567" w:rsidR="00CC0A94" w:rsidRDefault="006C1571">
            <w:pPr>
              <w:pStyle w:val="TableParagraph"/>
              <w:spacing w:before="108"/>
              <w:ind w:left="85"/>
              <w:jc w:val="both"/>
              <w:rPr>
                <w:rFonts w:ascii="Times New Roman" w:hAnsi="Times New Roman" w:cs="Times New Roman"/>
                <w:b/>
                <w:bCs/>
                <w:color w:val="000000" w:themeColor="text1"/>
                <w:spacing w:val="-2"/>
                <w:w w:val="95"/>
                <w:sz w:val="20"/>
                <w:szCs w:val="20"/>
                <w:lang w:val="en-GB"/>
              </w:rPr>
            </w:pPr>
            <w:r>
              <w:rPr>
                <w:rFonts w:ascii="Times New Roman" w:hAnsi="Times New Roman" w:cs="Times New Roman"/>
                <w:b/>
                <w:bCs/>
                <w:color w:val="000000" w:themeColor="text1"/>
                <w:sz w:val="20"/>
                <w:szCs w:val="20"/>
                <w:lang w:val="en-GB"/>
              </w:rPr>
              <w:t xml:space="preserve">Relevant </w:t>
            </w:r>
            <w:r>
              <w:rPr>
                <w:rFonts w:ascii="Times New Roman" w:hAnsi="Times New Roman" w:cs="Times New Roman"/>
                <w:b/>
                <w:bCs/>
                <w:color w:val="000000" w:themeColor="text1"/>
                <w:spacing w:val="-2"/>
                <w:w w:val="95"/>
                <w:sz w:val="20"/>
                <w:szCs w:val="20"/>
                <w:lang w:val="en-GB"/>
              </w:rPr>
              <w:t>Legal Entity</w:t>
            </w:r>
          </w:p>
          <w:p w14:paraId="7FE1B3F1" w14:textId="75C7B029" w:rsidR="00CC0A94" w:rsidRDefault="006C1571">
            <w:pPr>
              <w:pStyle w:val="TableParagraph"/>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Whether the entity constitutes a relevant legal entity pursuant to the definition </w:t>
            </w:r>
            <w:r w:rsidRPr="002F61BB">
              <w:rPr>
                <w:rFonts w:ascii="Times New Roman" w:hAnsi="Times New Roman" w:cs="Times New Roman"/>
                <w:color w:val="000000" w:themeColor="text1"/>
                <w:spacing w:val="-2"/>
                <w:w w:val="95"/>
                <w:sz w:val="20"/>
                <w:szCs w:val="20"/>
                <w:lang w:val="en-GB"/>
              </w:rPr>
              <w:t>in Article 1 of this Regulation</w:t>
            </w:r>
            <w:r>
              <w:rPr>
                <w:rFonts w:ascii="Times New Roman" w:hAnsi="Times New Roman" w:cs="Times New Roman"/>
                <w:color w:val="000000" w:themeColor="text1"/>
                <w:spacing w:val="-2"/>
                <w:w w:val="95"/>
                <w:sz w:val="20"/>
                <w:szCs w:val="20"/>
                <w:lang w:val="en-GB"/>
              </w:rPr>
              <w:t>.</w:t>
            </w:r>
          </w:p>
          <w:p w14:paraId="7FE1B3F2" w14:textId="0E42CD28" w:rsidR="00CC0A94" w:rsidRDefault="00CC0A94">
            <w:pPr>
              <w:pStyle w:val="TableParagraph"/>
              <w:spacing w:before="108"/>
              <w:jc w:val="both"/>
              <w:rPr>
                <w:rFonts w:ascii="Times New Roman" w:hAnsi="Times New Roman" w:cs="Times New Roman"/>
                <w:color w:val="000000" w:themeColor="text1"/>
                <w:spacing w:val="-2"/>
                <w:w w:val="95"/>
                <w:sz w:val="20"/>
                <w:szCs w:val="20"/>
                <w:lang w:val="en-GB"/>
              </w:rPr>
            </w:pPr>
          </w:p>
        </w:tc>
      </w:tr>
    </w:tbl>
    <w:p w14:paraId="7FE1B491" w14:textId="77777777" w:rsidR="00CC0A94" w:rsidRPr="002F61BB" w:rsidRDefault="00CC0A94">
      <w:pPr>
        <w:rPr>
          <w:rFonts w:ascii="Times New Roman" w:hAnsi="Times New Roman" w:cs="Times New Roman"/>
        </w:rPr>
      </w:pPr>
    </w:p>
    <w:p w14:paraId="7FE1B492" w14:textId="77777777" w:rsidR="00CC0A94" w:rsidRDefault="006C1571">
      <w:pPr>
        <w:pStyle w:val="Instructionsberschrift2"/>
        <w:numPr>
          <w:ilvl w:val="1"/>
          <w:numId w:val="49"/>
        </w:numPr>
        <w:ind w:left="357" w:hanging="357"/>
        <w:rPr>
          <w:rFonts w:ascii="Times New Roman" w:hAnsi="Times New Roman" w:cs="Times New Roman"/>
        </w:rPr>
      </w:pPr>
      <w:bookmarkStart w:id="22" w:name="_Toc81454178"/>
      <w:bookmarkStart w:id="23" w:name="_Toc192249039"/>
      <w:r>
        <w:rPr>
          <w:rFonts w:ascii="Times New Roman" w:hAnsi="Times New Roman" w:cs="Times New Roman"/>
        </w:rPr>
        <w:lastRenderedPageBreak/>
        <w:t>Z 01.02 - Ownership structure (ORG 2)</w:t>
      </w:r>
      <w:bookmarkEnd w:id="22"/>
      <w:bookmarkEnd w:id="23"/>
    </w:p>
    <w:p w14:paraId="7FE1B493" w14:textId="77777777" w:rsidR="00CC0A94" w:rsidRDefault="006C1571">
      <w:pPr>
        <w:pStyle w:val="Instructionsberschrift3"/>
        <w:rPr>
          <w:lang w:val="en-GB"/>
        </w:rPr>
      </w:pPr>
      <w:r>
        <w:rPr>
          <w:lang w:val="en-GB"/>
        </w:rPr>
        <w:t>General remarks</w:t>
      </w:r>
    </w:p>
    <w:p w14:paraId="50A00AA9" w14:textId="77777777" w:rsidR="00DB167B" w:rsidRDefault="006C1571">
      <w:pPr>
        <w:pStyle w:val="InstructionsText2"/>
        <w:numPr>
          <w:ilvl w:val="0"/>
          <w:numId w:val="234"/>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This template provides an overview over the group’s legal and ownership structure. A single template shall be submitted in relation to all group entities within the scope of accounting consolidation. </w:t>
      </w:r>
    </w:p>
    <w:p w14:paraId="7FE1B494" w14:textId="57A6BCE4" w:rsidR="00CC0A94" w:rsidRDefault="00DB167B">
      <w:pPr>
        <w:pStyle w:val="InstructionsText2"/>
        <w:numPr>
          <w:ilvl w:val="0"/>
          <w:numId w:val="234"/>
        </w:numPr>
        <w:spacing w:before="0"/>
        <w:rPr>
          <w:rFonts w:ascii="Times New Roman" w:hAnsi="Times New Roman" w:cs="Times New Roman"/>
          <w:sz w:val="20"/>
          <w:szCs w:val="20"/>
          <w:lang w:val="en-GB"/>
        </w:rPr>
      </w:pPr>
      <w:r>
        <w:rPr>
          <w:rFonts w:ascii="Times New Roman" w:hAnsi="Times New Roman" w:cs="Times New Roman"/>
          <w:sz w:val="20"/>
          <w:szCs w:val="20"/>
          <w:lang w:val="en-GB"/>
        </w:rPr>
        <w:t>Resolution entities that are not part of group subject to consolidated supervision are also expected to provide this report.</w:t>
      </w:r>
      <w:r w:rsidR="006C1571">
        <w:rPr>
          <w:rFonts w:ascii="Times New Roman" w:hAnsi="Times New Roman" w:cs="Times New Roman"/>
          <w:sz w:val="20"/>
          <w:szCs w:val="20"/>
          <w:lang w:val="en-GB"/>
        </w:rPr>
        <w:t xml:space="preserve"> </w:t>
      </w:r>
    </w:p>
    <w:p w14:paraId="7FE1B496" w14:textId="77777777" w:rsidR="00CC0A94" w:rsidRDefault="006C1571" w:rsidP="002F61BB">
      <w:pPr>
        <w:pStyle w:val="InstructionsText2"/>
        <w:numPr>
          <w:ilvl w:val="0"/>
          <w:numId w:val="234"/>
        </w:numPr>
        <w:spacing w:before="0"/>
        <w:rPr>
          <w:rFonts w:ascii="Times New Roman" w:hAnsi="Times New Roman" w:cs="Times New Roman"/>
          <w:sz w:val="20"/>
          <w:szCs w:val="20"/>
        </w:rPr>
      </w:pPr>
      <w:r>
        <w:rPr>
          <w:rFonts w:ascii="Times New Roman" w:hAnsi="Times New Roman" w:cs="Times New Roman"/>
          <w:sz w:val="20"/>
          <w:szCs w:val="20"/>
        </w:rPr>
        <w:t xml:space="preserve">This </w:t>
      </w:r>
      <w:r>
        <w:rPr>
          <w:rFonts w:ascii="Times New Roman" w:hAnsi="Times New Roman" w:cs="Times New Roman"/>
          <w:sz w:val="20"/>
          <w:szCs w:val="20"/>
          <w:lang w:val="en-GB"/>
        </w:rPr>
        <w:t>template</w:t>
      </w:r>
      <w:r>
        <w:rPr>
          <w:rFonts w:ascii="Times New Roman" w:hAnsi="Times New Roman" w:cs="Times New Roman"/>
          <w:sz w:val="20"/>
          <w:szCs w:val="20"/>
        </w:rPr>
        <w:t xml:space="preserve"> shall list all the shareholders (or equivalent) of the group’s entities with more than 2% of share capital (or equivalent) or voting rights, and all the shareholdings (or equivalent) held by entities of the group.</w:t>
      </w:r>
    </w:p>
    <w:p w14:paraId="7FE1B497" w14:textId="77777777" w:rsidR="00CC0A94" w:rsidRDefault="006C1571">
      <w:pPr>
        <w:pStyle w:val="Instructionsberschrift3"/>
        <w:rPr>
          <w:b/>
          <w:lang w:val="en-GB"/>
        </w:rPr>
      </w:pPr>
      <w:r>
        <w:rPr>
          <w:b/>
          <w:lang w:val="en-GB"/>
        </w:rPr>
        <w:t>Instructions concerning specific positions</w:t>
      </w:r>
    </w:p>
    <w:tbl>
      <w:tblPr>
        <w:tblW w:w="0" w:type="auto"/>
        <w:tblCellMar>
          <w:top w:w="57" w:type="dxa"/>
          <w:left w:w="57" w:type="dxa"/>
          <w:bottom w:w="57" w:type="dxa"/>
          <w:right w:w="0" w:type="dxa"/>
        </w:tblCellMar>
        <w:tblLook w:val="01E0" w:firstRow="1" w:lastRow="1" w:firstColumn="1" w:lastColumn="1" w:noHBand="0" w:noVBand="0"/>
      </w:tblPr>
      <w:tblGrid>
        <w:gridCol w:w="833"/>
        <w:gridCol w:w="8193"/>
      </w:tblGrid>
      <w:tr w:rsidR="00CC0A94" w14:paraId="7FE1B49B" w14:textId="77777777" w:rsidTr="002F61BB">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b/>
                <w:color w:val="000000" w:themeColor="text1"/>
                <w:spacing w:val="-2"/>
                <w:sz w:val="20"/>
                <w:szCs w:val="20"/>
                <w:lang w:val="en-GB"/>
              </w:rPr>
              <w:t>0010-030</w:t>
            </w:r>
          </w:p>
        </w:tc>
        <w:tc>
          <w:tcPr>
            <w:tcW w:w="0" w:type="auto"/>
            <w:tcBorders>
              <w:top w:val="single" w:sz="4" w:space="0" w:color="1A171C"/>
              <w:left w:val="single" w:sz="4" w:space="0" w:color="1A171C"/>
              <w:bottom w:val="single" w:sz="4" w:space="0" w:color="1A171C"/>
              <w:right w:val="nil"/>
            </w:tcBorders>
          </w:tcPr>
          <w:p w14:paraId="7FE1B49D" w14:textId="77777777" w:rsidR="00CC0A94" w:rsidRDefault="006C1571">
            <w:pPr>
              <w:pStyle w:val="TableParagraph"/>
              <w:spacing w:before="108"/>
              <w:ind w:left="85"/>
              <w:rPr>
                <w:rFonts w:ascii="Times New Roman" w:hAnsi="Times New Roman" w:cs="Times New Roman"/>
                <w:b/>
                <w:color w:val="000000" w:themeColor="text1"/>
                <w:spacing w:val="-1"/>
                <w:w w:val="95"/>
                <w:sz w:val="20"/>
                <w:szCs w:val="20"/>
                <w:lang w:val="en-GB"/>
              </w:rPr>
            </w:pPr>
            <w:r>
              <w:rPr>
                <w:rFonts w:ascii="Times New Roman" w:hAnsi="Times New Roman" w:cs="Times New Roman"/>
                <w:b/>
                <w:color w:val="000000" w:themeColor="text1"/>
                <w:spacing w:val="-1"/>
                <w:w w:val="95"/>
                <w:sz w:val="20"/>
                <w:szCs w:val="20"/>
                <w:lang w:val="en-GB"/>
              </w:rPr>
              <w:t>Investor</w:t>
            </w:r>
          </w:p>
        </w:tc>
      </w:tr>
      <w:tr w:rsidR="00CC0A94"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2"/>
                <w:sz w:val="20"/>
                <w:szCs w:val="20"/>
                <w:lang w:val="en-GB"/>
              </w:rP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Name </w:t>
            </w:r>
          </w:p>
          <w:p w14:paraId="7FE1B4A1" w14:textId="77777777" w:rsidR="00CC0A94" w:rsidRDefault="006C1571">
            <w:pPr>
              <w:pStyle w:val="TableParagraph"/>
              <w:spacing w:before="108"/>
              <w:ind w:left="85"/>
              <w:rPr>
                <w:rFonts w:ascii="Times New Roman" w:eastAsia="Book Antiqu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full name or designation of the Investor.</w:t>
            </w:r>
          </w:p>
        </w:tc>
      </w:tr>
      <w:tr w:rsidR="00CC0A94"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Code </w:t>
            </w:r>
          </w:p>
          <w:p w14:paraId="7FE1B4A5"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Unique identifier of the legal entity or investor referred in column 0010.</w:t>
            </w:r>
          </w:p>
          <w:p w14:paraId="7FE1B4A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investor is a group entity, the code shall be the same as reported in template Z 01.01 (ORG 1). Where the investor is not a group entity, the code shall be:</w:t>
            </w:r>
          </w:p>
          <w:p w14:paraId="7FE1B4A7"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for institutions with a Legal Entity Identifier (LEI), the 20-digit alphanumeric LEI </w:t>
            </w:r>
            <w:proofErr w:type="gramStart"/>
            <w:r>
              <w:rPr>
                <w:rFonts w:ascii="Times New Roman" w:eastAsia="Cambria" w:hAnsi="Times New Roman" w:cs="Times New Roman"/>
                <w:color w:val="000000" w:themeColor="text1"/>
                <w:spacing w:val="-2"/>
                <w:w w:val="95"/>
                <w:sz w:val="20"/>
                <w:szCs w:val="20"/>
                <w:lang w:val="en-GB"/>
              </w:rPr>
              <w:t>code;</w:t>
            </w:r>
            <w:proofErr w:type="gramEnd"/>
          </w:p>
          <w:p w14:paraId="7FE1B4A8" w14:textId="7457E21A"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if not available,</w:t>
            </w:r>
            <w:r w:rsidR="0036700A">
              <w:rPr>
                <w:rFonts w:ascii="Times New Roman" w:eastAsia="Cambria" w:hAnsi="Times New Roman" w:cs="Times New Roman"/>
                <w:color w:val="000000" w:themeColor="text1"/>
                <w:spacing w:val="-2"/>
                <w:w w:val="95"/>
                <w:sz w:val="20"/>
                <w:szCs w:val="20"/>
                <w:lang w:val="en-GB"/>
              </w:rPr>
              <w:t xml:space="preserve"> use the MFI code or</w:t>
            </w:r>
            <w:r>
              <w:rPr>
                <w:rFonts w:ascii="Times New Roman" w:eastAsia="Cambria" w:hAnsi="Times New Roman" w:cs="Times New Roman"/>
                <w:color w:val="000000" w:themeColor="text1"/>
                <w:spacing w:val="-2"/>
                <w:w w:val="95"/>
                <w:sz w:val="20"/>
                <w:szCs w:val="20"/>
                <w:lang w:val="en-GB"/>
              </w:rPr>
              <w:t xml:space="preserve"> a code under a uniform codification applicable in the Union.</w:t>
            </w:r>
          </w:p>
          <w:p w14:paraId="7FE1B4A9" w14:textId="77777777" w:rsidR="00CC0A94" w:rsidRDefault="006C1571">
            <w:pPr>
              <w:pStyle w:val="TableParagraph"/>
              <w:spacing w:before="108"/>
              <w:ind w:left="85"/>
              <w:rPr>
                <w:rFonts w:ascii="Times New Roman"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For both cases, the code shall be unique and used consistently across the templates.</w:t>
            </w:r>
          </w:p>
        </w:tc>
      </w:tr>
      <w:tr w:rsidR="00CC0A94"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560AED27" w14:textId="77777777" w:rsidR="0036700A" w:rsidRDefault="006C1571" w:rsidP="0036700A">
            <w:p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Where the investor is a group entity, the code shall be the same as reported in template Z 01.01 (ORG 1). </w:t>
            </w:r>
          </w:p>
          <w:p w14:paraId="2DC78FBF" w14:textId="77777777" w:rsidR="0036700A" w:rsidRDefault="0036700A" w:rsidP="0036700A">
            <w:pPr>
              <w:rPr>
                <w:rFonts w:ascii="Times New Roman" w:hAnsi="Times New Roman" w:cs="Times New Roman"/>
                <w:sz w:val="20"/>
                <w:szCs w:val="20"/>
                <w:lang w:val="en-GB"/>
              </w:rPr>
            </w:pPr>
          </w:p>
          <w:p w14:paraId="3C91DA4D" w14:textId="535D128A" w:rsidR="0036700A" w:rsidRDefault="0036700A" w:rsidP="0036700A">
            <w:pPr>
              <w:rPr>
                <w:rFonts w:ascii="Times New Roman" w:eastAsiaTheme="minorHAnsi" w:hAnsi="Times New Roman" w:cs="Times New Roman"/>
                <w:sz w:val="20"/>
                <w:szCs w:val="20"/>
              </w:rPr>
            </w:pPr>
            <w:r>
              <w:rPr>
                <w:rFonts w:ascii="Times New Roman" w:hAnsi="Times New Roman" w:cs="Times New Roman"/>
                <w:sz w:val="20"/>
                <w:szCs w:val="20"/>
              </w:rPr>
              <w:t>To be chosen among the following options: “LEI code”, “MFI code” or “Type of identifier, other than LEI or MFI code”.</w:t>
            </w:r>
          </w:p>
          <w:p w14:paraId="7FE1B4B2" w14:textId="77777777" w:rsidR="00CC0A94" w:rsidRDefault="006C1571" w:rsidP="002F61BB">
            <w:pPr>
              <w:pStyle w:val="TableParagraph"/>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For the identification of entities or investors, the pair of Code and Type shall be used consistently across the templates.</w:t>
            </w:r>
          </w:p>
        </w:tc>
      </w:tr>
      <w:tr w:rsidR="00CC0A94"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Investee</w:t>
            </w:r>
          </w:p>
        </w:tc>
      </w:tr>
      <w:tr w:rsidR="00CC0A94"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Name </w:t>
            </w:r>
          </w:p>
          <w:p w14:paraId="7FE1B4B9"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The full name or designation of the Investee.</w:t>
            </w:r>
          </w:p>
        </w:tc>
      </w:tr>
      <w:tr w:rsidR="00CC0A94"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Code </w:t>
            </w:r>
          </w:p>
          <w:p w14:paraId="7FE1B4BD"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Unique identifier of the legal entity or investor referred in column 0010.</w:t>
            </w:r>
          </w:p>
          <w:p w14:paraId="7FE1B4BE"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Where the investee is a group entity, the code shall be the same as reported in template Z 01.01 (ORG 1). Where the investee is not a group entity, the code shall be:</w:t>
            </w:r>
          </w:p>
          <w:p w14:paraId="4B3351AF" w14:textId="77777777" w:rsidR="0036700A" w:rsidRPr="0036700A" w:rsidRDefault="0036700A" w:rsidP="0036700A">
            <w:pPr>
              <w:pStyle w:val="TableParagraph"/>
              <w:numPr>
                <w:ilvl w:val="0"/>
                <w:numId w:val="64"/>
              </w:numPr>
              <w:spacing w:before="108"/>
              <w:rPr>
                <w:rFonts w:ascii="Times New Roman" w:hAnsi="Times New Roman" w:cs="Times New Roman"/>
                <w:bCs/>
                <w:color w:val="000000" w:themeColor="text1"/>
                <w:sz w:val="20"/>
                <w:szCs w:val="20"/>
                <w:lang w:val="en-GB"/>
              </w:rPr>
            </w:pPr>
            <w:r w:rsidRPr="0036700A">
              <w:rPr>
                <w:rFonts w:ascii="Times New Roman" w:hAnsi="Times New Roman" w:cs="Times New Roman"/>
                <w:bCs/>
                <w:color w:val="000000" w:themeColor="text1"/>
                <w:sz w:val="20"/>
                <w:szCs w:val="20"/>
                <w:lang w:val="en-GB"/>
              </w:rPr>
              <w:t xml:space="preserve">for institutions with a Legal Entity Identifier (LEI), the 20-digit alphanumeric LEI </w:t>
            </w:r>
            <w:proofErr w:type="gramStart"/>
            <w:r w:rsidRPr="0036700A">
              <w:rPr>
                <w:rFonts w:ascii="Times New Roman" w:hAnsi="Times New Roman" w:cs="Times New Roman"/>
                <w:bCs/>
                <w:color w:val="000000" w:themeColor="text1"/>
                <w:sz w:val="20"/>
                <w:szCs w:val="20"/>
                <w:lang w:val="en-GB"/>
              </w:rPr>
              <w:t>code;</w:t>
            </w:r>
            <w:proofErr w:type="gramEnd"/>
          </w:p>
          <w:p w14:paraId="7FE1B4C0" w14:textId="1326FF82" w:rsidR="00CC0A94" w:rsidRDefault="0036700A">
            <w:pPr>
              <w:pStyle w:val="TableParagraph"/>
              <w:numPr>
                <w:ilvl w:val="0"/>
                <w:numId w:val="64"/>
              </w:numPr>
              <w:spacing w:before="108"/>
              <w:rPr>
                <w:rFonts w:ascii="Times New Roman" w:hAnsi="Times New Roman" w:cs="Times New Roman"/>
                <w:bCs/>
                <w:color w:val="000000" w:themeColor="text1"/>
                <w:sz w:val="20"/>
                <w:szCs w:val="20"/>
                <w:lang w:val="en-GB"/>
              </w:rPr>
            </w:pPr>
            <w:r w:rsidRPr="0036700A">
              <w:rPr>
                <w:rFonts w:ascii="Times New Roman" w:hAnsi="Times New Roman" w:cs="Times New Roman"/>
                <w:bCs/>
                <w:color w:val="000000" w:themeColor="text1"/>
                <w:sz w:val="20"/>
                <w:szCs w:val="20"/>
                <w:lang w:val="en-GB"/>
              </w:rPr>
              <w:t>-</w:t>
            </w:r>
            <w:r w:rsidRPr="0036700A">
              <w:rPr>
                <w:rFonts w:ascii="Times New Roman" w:hAnsi="Times New Roman" w:cs="Times New Roman"/>
                <w:bCs/>
                <w:color w:val="000000" w:themeColor="text1"/>
                <w:sz w:val="20"/>
                <w:szCs w:val="20"/>
                <w:lang w:val="en-GB"/>
              </w:rPr>
              <w:tab/>
              <w:t>if not available, use the MFI code or a code under a uniform codification applicable in the Union.</w:t>
            </w:r>
          </w:p>
          <w:p w14:paraId="7FE1B4C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lastRenderedPageBreak/>
              <w:t>For both cases, the code shall be unique and used consistently across the templates.</w:t>
            </w:r>
          </w:p>
        </w:tc>
      </w:tr>
      <w:tr w:rsidR="00CC0A94"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lastRenderedPageBreak/>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7FE1B4C5"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 xml:space="preserve">Where the investee is a group entity, the code shall be the same as reported in template Z 01.01 (ORG 1). </w:t>
            </w:r>
          </w:p>
          <w:p w14:paraId="783CEC76" w14:textId="13C64C21" w:rsidR="002C351F" w:rsidRDefault="002C351F">
            <w:pPr>
              <w:pStyle w:val="TableParagraph"/>
              <w:spacing w:before="108"/>
              <w:ind w:left="85"/>
              <w:jc w:val="both"/>
              <w:rPr>
                <w:rFonts w:ascii="Times New Roman" w:hAnsi="Times New Roman" w:cs="Times New Roman"/>
                <w:bCs/>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Pr>
                <w:rFonts w:ascii="Times New Roman" w:hAnsi="Times New Roman" w:cs="Times New Roman"/>
                <w:bCs/>
                <w:color w:val="000000" w:themeColor="text1"/>
                <w:sz w:val="20"/>
                <w:szCs w:val="20"/>
                <w:lang w:val="en-GB"/>
              </w:rPr>
              <w:t>”</w:t>
            </w:r>
            <w:r w:rsidRPr="00F076D7">
              <w:rPr>
                <w:rFonts w:ascii="Times New Roman" w:hAnsi="Times New Roman" w:cs="Times New Roman"/>
                <w:bCs/>
                <w:color w:val="000000" w:themeColor="text1"/>
                <w:sz w:val="20"/>
                <w:szCs w:val="20"/>
                <w:lang w:val="en-GB"/>
              </w:rPr>
              <w:t>.</w:t>
            </w:r>
          </w:p>
          <w:p w14:paraId="7FE1B4CA" w14:textId="092DA599" w:rsidR="00CC0A94" w:rsidRDefault="002C351F" w:rsidP="002F61BB">
            <w:pPr>
              <w:pStyle w:val="TableParagraph"/>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type of code shall always be reported.</w:t>
            </w:r>
          </w:p>
          <w:p w14:paraId="7FE1B4CB" w14:textId="77777777" w:rsidR="00CC0A94" w:rsidRDefault="006C1571">
            <w:pPr>
              <w:pStyle w:val="TableParagraph"/>
              <w:spacing w:before="108"/>
              <w:ind w:left="85"/>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For the identification of entities or investees, the pair of Code and Type shall be used consistently across the templates.</w:t>
            </w:r>
          </w:p>
        </w:tc>
      </w:tr>
      <w:tr w:rsidR="00CC0A94"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CC0A94" w:rsidRDefault="006C1571">
            <w:pPr>
              <w:pStyle w:val="TableParagraph"/>
              <w:spacing w:before="108"/>
              <w:ind w:left="85"/>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International Branch</w:t>
            </w:r>
          </w:p>
          <w:p w14:paraId="7FE1B4CF" w14:textId="7777777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 the following abbreviations:</w:t>
            </w:r>
          </w:p>
          <w:p w14:paraId="7FE1B4D0" w14:textId="0F2F9A3D"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Y</w:t>
            </w:r>
            <w:r w:rsidR="00B9253F">
              <w:rPr>
                <w:rFonts w:ascii="Times New Roman" w:hAnsi="Times New Roman" w:cs="Times New Roman"/>
                <w:color w:val="000000" w:themeColor="text1"/>
                <w:sz w:val="20"/>
                <w:szCs w:val="20"/>
                <w:lang w:val="en-GB"/>
              </w:rPr>
              <w:t>es</w:t>
            </w:r>
            <w:r>
              <w:rPr>
                <w:rFonts w:ascii="Times New Roman" w:hAnsi="Times New Roman" w:cs="Times New Roman"/>
                <w:color w:val="000000" w:themeColor="text1"/>
                <w:sz w:val="20"/>
                <w:szCs w:val="20"/>
                <w:lang w:val="en-GB"/>
              </w:rPr>
              <w:t xml:space="preserve"> – in the case the Investee is an international branch of the Investor.</w:t>
            </w:r>
          </w:p>
          <w:p w14:paraId="7FE1B4D1" w14:textId="303CCEBB"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N</w:t>
            </w:r>
            <w:r w:rsidR="00B9253F">
              <w:rPr>
                <w:rFonts w:ascii="Times New Roman" w:hAnsi="Times New Roman" w:cs="Times New Roman"/>
                <w:color w:val="000000" w:themeColor="text1"/>
                <w:sz w:val="20"/>
                <w:szCs w:val="20"/>
                <w:lang w:val="en-GB"/>
              </w:rPr>
              <w:t>o</w:t>
            </w:r>
            <w:r>
              <w:rPr>
                <w:rFonts w:ascii="Times New Roman" w:hAnsi="Times New Roman" w:cs="Times New Roman"/>
                <w:color w:val="000000" w:themeColor="text1"/>
                <w:sz w:val="20"/>
                <w:szCs w:val="20"/>
                <w:lang w:val="en-GB"/>
              </w:rPr>
              <w:t xml:space="preserve"> – in the case of a legal entity.</w:t>
            </w:r>
          </w:p>
        </w:tc>
      </w:tr>
      <w:tr w:rsidR="00CC0A94"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Ownership</w:t>
            </w:r>
          </w:p>
        </w:tc>
      </w:tr>
      <w:tr w:rsidR="00CC0A94"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0080</w:t>
            </w:r>
          </w:p>
        </w:tc>
        <w:tc>
          <w:tcPr>
            <w:tcW w:w="0" w:type="auto"/>
            <w:tcBorders>
              <w:top w:val="single" w:sz="4" w:space="0" w:color="1A171C"/>
              <w:left w:val="single" w:sz="4" w:space="0" w:color="1A171C"/>
              <w:bottom w:val="single" w:sz="4" w:space="0" w:color="1A171C"/>
              <w:right w:val="nil"/>
            </w:tcBorders>
          </w:tcPr>
          <w:p w14:paraId="7FE1B4D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Share capital</w:t>
            </w:r>
          </w:p>
          <w:p w14:paraId="7FE1B4D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Amount of share capital held by the Investor, excluding reserves. In the case of an international branch, the field shall be empty.</w:t>
            </w:r>
          </w:p>
        </w:tc>
      </w:tr>
      <w:tr w:rsidR="00CC0A94"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0090</w:t>
            </w:r>
          </w:p>
        </w:tc>
        <w:tc>
          <w:tcPr>
            <w:tcW w:w="0" w:type="auto"/>
            <w:tcBorders>
              <w:top w:val="single" w:sz="4" w:space="0" w:color="1A171C"/>
              <w:left w:val="single" w:sz="4" w:space="0" w:color="1A171C"/>
              <w:bottom w:val="single" w:sz="4" w:space="0" w:color="1A171C"/>
              <w:right w:val="nil"/>
            </w:tcBorders>
          </w:tcPr>
          <w:p w14:paraId="7FE1B4DB" w14:textId="77777777" w:rsidR="00CC0A94" w:rsidRDefault="006C1571">
            <w:pPr>
              <w:pStyle w:val="TableParagraph"/>
              <w:spacing w:before="108"/>
              <w:ind w:left="85"/>
              <w:rPr>
                <w:rFonts w:ascii="Times New Roman" w:eastAsia="Book Antiqua" w:hAnsi="Times New Roman" w:cs="Times New Roman"/>
                <w:color w:val="000000" w:themeColor="text1"/>
                <w:sz w:val="20"/>
                <w:szCs w:val="20"/>
                <w:lang w:val="en-GB"/>
              </w:rPr>
            </w:pPr>
            <w:r>
              <w:rPr>
                <w:rFonts w:ascii="Times New Roman" w:hAnsi="Times New Roman" w:cs="Times New Roman"/>
                <w:b/>
                <w:color w:val="000000" w:themeColor="text1"/>
                <w:spacing w:val="-2"/>
                <w:w w:val="95"/>
                <w:sz w:val="20"/>
                <w:szCs w:val="20"/>
                <w:lang w:val="en-GB"/>
              </w:rPr>
              <w:t>Voting</w:t>
            </w:r>
            <w:r>
              <w:rPr>
                <w:rFonts w:ascii="Times New Roman" w:hAnsi="Times New Roman" w:cs="Times New Roman"/>
                <w:b/>
                <w:color w:val="000000" w:themeColor="text1"/>
                <w:spacing w:val="-7"/>
                <w:w w:val="95"/>
                <w:sz w:val="20"/>
                <w:szCs w:val="20"/>
                <w:lang w:val="en-GB"/>
              </w:rPr>
              <w:t xml:space="preserve"> </w:t>
            </w:r>
            <w:r>
              <w:rPr>
                <w:rFonts w:ascii="Times New Roman" w:hAnsi="Times New Roman" w:cs="Times New Roman"/>
                <w:b/>
                <w:color w:val="000000" w:themeColor="text1"/>
                <w:w w:val="95"/>
                <w:sz w:val="20"/>
                <w:szCs w:val="20"/>
                <w:lang w:val="en-GB"/>
              </w:rPr>
              <w:t>rights</w:t>
            </w:r>
            <w:r>
              <w:rPr>
                <w:rFonts w:ascii="Times New Roman" w:hAnsi="Times New Roman" w:cs="Times New Roman"/>
                <w:b/>
                <w:color w:val="000000" w:themeColor="text1"/>
                <w:spacing w:val="-7"/>
                <w:w w:val="95"/>
                <w:sz w:val="20"/>
                <w:szCs w:val="20"/>
                <w:lang w:val="en-GB"/>
              </w:rPr>
              <w:t xml:space="preserve"> in the Entity</w:t>
            </w:r>
          </w:p>
          <w:p w14:paraId="7FE1B4DC"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eastAsia="Cambria" w:hAnsi="Times New Roman" w:cs="Times New Roman"/>
                <w:color w:val="000000" w:themeColor="text1"/>
                <w:spacing w:val="-1"/>
                <w:w w:val="95"/>
                <w:sz w:val="20"/>
                <w:szCs w:val="20"/>
                <w:lang w:val="en-GB"/>
              </w:rPr>
              <w:t xml:space="preserve">Percentage of voting rights held by the </w:t>
            </w:r>
            <w:r>
              <w:rPr>
                <w:rFonts w:ascii="Times New Roman" w:eastAsia="Cambria" w:hAnsi="Times New Roman" w:cs="Times New Roman"/>
                <w:color w:val="000000" w:themeColor="text1"/>
                <w:spacing w:val="-2"/>
                <w:w w:val="95"/>
                <w:sz w:val="20"/>
                <w:szCs w:val="20"/>
                <w:lang w:val="en-GB"/>
              </w:rPr>
              <w:t>Investor</w:t>
            </w:r>
            <w:r>
              <w:rPr>
                <w:rFonts w:ascii="Times New Roman" w:eastAsia="Cambria" w:hAnsi="Times New Roman" w:cs="Times New Roman"/>
                <w:color w:val="000000" w:themeColor="text1"/>
                <w:spacing w:val="-1"/>
                <w:w w:val="95"/>
                <w:sz w:val="20"/>
                <w:szCs w:val="20"/>
                <w:lang w:val="en-GB"/>
              </w:rPr>
              <w:t xml:space="preserve">. This information is only required if one share is not equal to one vote (hence voting rights are not equal to share capital). </w:t>
            </w:r>
            <w:r>
              <w:rPr>
                <w:rFonts w:ascii="Times New Roman" w:eastAsia="Cambria" w:hAnsi="Times New Roman" w:cs="Times New Roman"/>
                <w:color w:val="000000" w:themeColor="text1"/>
                <w:spacing w:val="-2"/>
                <w:w w:val="95"/>
                <w:sz w:val="20"/>
                <w:szCs w:val="20"/>
                <w:lang w:val="en-GB"/>
              </w:rPr>
              <w:t>In the case of an international branch, the field shall be empty.</w:t>
            </w:r>
          </w:p>
        </w:tc>
      </w:tr>
    </w:tbl>
    <w:p w14:paraId="7FE1B4DE" w14:textId="77777777" w:rsidR="00CC0A94" w:rsidRPr="002F61BB" w:rsidRDefault="00CC0A94">
      <w:pPr>
        <w:rPr>
          <w:rFonts w:ascii="Times New Roman" w:hAnsi="Times New Roman" w:cs="Times New Roman"/>
        </w:rPr>
      </w:pPr>
    </w:p>
    <w:p w14:paraId="7FE1B4DF" w14:textId="77777777" w:rsidR="00CC0A94" w:rsidRPr="002F61BB" w:rsidRDefault="00CC0A94">
      <w:pPr>
        <w:rPr>
          <w:rFonts w:ascii="Times New Roman" w:hAnsi="Times New Roman" w:cs="Times New Roman"/>
        </w:rPr>
      </w:pPr>
    </w:p>
    <w:p w14:paraId="7FE1B4E1" w14:textId="77777777" w:rsidR="00CC0A94" w:rsidRDefault="006C1571">
      <w:pPr>
        <w:pStyle w:val="Instructionsberschrift2"/>
        <w:numPr>
          <w:ilvl w:val="1"/>
          <w:numId w:val="49"/>
        </w:numPr>
        <w:ind w:left="357" w:hanging="357"/>
        <w:rPr>
          <w:rFonts w:ascii="Times New Roman" w:hAnsi="Times New Roman" w:cs="Times New Roman"/>
        </w:rPr>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19224904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Times New Roman" w:hAnsi="Times New Roman" w:cs="Times New Roman"/>
        </w:rPr>
        <w:t>Z 02.00 - Liability Structure (LIAB 1)</w:t>
      </w:r>
      <w:bookmarkEnd w:id="54"/>
      <w:bookmarkEnd w:id="55"/>
      <w:bookmarkEnd w:id="56"/>
    </w:p>
    <w:p w14:paraId="7FE1B4E2" w14:textId="77777777" w:rsidR="00CC0A94" w:rsidRDefault="006C1571">
      <w:pPr>
        <w:pStyle w:val="Instructionsberschrift3"/>
        <w:rPr>
          <w:lang w:val="en-GB"/>
        </w:rPr>
      </w:pPr>
      <w:r>
        <w:rPr>
          <w:lang w:val="en-GB"/>
        </w:rPr>
        <w:t>General remarks</w:t>
      </w:r>
    </w:p>
    <w:p w14:paraId="7FE1B4E3" w14:textId="190D578F" w:rsidR="00CC0A94" w:rsidRDefault="006C1571" w:rsidP="002F61BB">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template requires granular information on the liability structure of the entity or group. Liabilities are broken down into liabilities excluded from bail-in and liabilities not excluded from bail-in. Further breakdowns by categories of liability, counterparty and residual maturity are provided.</w:t>
      </w:r>
    </w:p>
    <w:p w14:paraId="7FE1B4E4" w14:textId="77777777" w:rsidR="00CC0A94" w:rsidRDefault="006C1571" w:rsidP="002F61BB">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 maturity breakdown is set out in this template, the residual maturity shall be the time until the contractual maturity. By derogation from that:</w:t>
      </w:r>
    </w:p>
    <w:p w14:paraId="7FE1B4E5" w14:textId="77777777" w:rsidR="00CC0A94" w:rsidRDefault="006C1571" w:rsidP="002F61BB">
      <w:pPr>
        <w:pStyle w:val="InstructionsText2"/>
        <w:numPr>
          <w:ilvl w:val="1"/>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where a liabilities instrument includes a holder redemption option exercisable prior to the original stated maturity of the instrument, the maturity of the instrument shall be defined as the earliest possible date on which the holder can exercise the redemption option and request redemption or repayment of the </w:t>
      </w:r>
      <w:proofErr w:type="gramStart"/>
      <w:r>
        <w:rPr>
          <w:rFonts w:ascii="Times New Roman" w:hAnsi="Times New Roman" w:cs="Times New Roman"/>
          <w:sz w:val="20"/>
          <w:szCs w:val="20"/>
          <w:lang w:val="en-GB"/>
        </w:rPr>
        <w:t>instrument;</w:t>
      </w:r>
      <w:proofErr w:type="gramEnd"/>
    </w:p>
    <w:p w14:paraId="7FE1B4E6" w14:textId="77777777" w:rsidR="00CC0A94" w:rsidRDefault="006C1571" w:rsidP="002F61BB">
      <w:pPr>
        <w:pStyle w:val="InstructionsText2"/>
        <w:numPr>
          <w:ilvl w:val="1"/>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 liabilities instrument includes an incentive for the issuer to call, redeem, repay or repurchase the instrument prior to the original stated maturity of the instrument, the maturity of the instrument shall be defined as the earliest possible date on which the issuer can exercise that option and request redemption or repayment of the instrument.</w:t>
      </w:r>
    </w:p>
    <w:p w14:paraId="7FE1B4E8" w14:textId="77777777" w:rsidR="00CC0A94" w:rsidRDefault="006C1571">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lastRenderedPageBreak/>
        <w:t>In case of interim payments of principal, the principal shall be split and allocated into the corresponding maturity buckets. Where applicable, the maturity shall be considered separately for both the principal amount and accrued interest.</w:t>
      </w:r>
    </w:p>
    <w:p w14:paraId="7FE1B4E9" w14:textId="7225004D" w:rsidR="00CC0A94" w:rsidRDefault="006C1571" w:rsidP="002F61BB">
      <w:pPr>
        <w:pStyle w:val="InstructionsText2"/>
        <w:numPr>
          <w:ilvl w:val="0"/>
          <w:numId w:val="233"/>
        </w:numPr>
        <w:spacing w:before="0"/>
        <w:rPr>
          <w:rFonts w:ascii="Times New Roman" w:hAnsi="Times New Roman" w:cs="Times New Roman"/>
          <w:sz w:val="20"/>
          <w:szCs w:val="20"/>
          <w:lang w:val="en-GB"/>
        </w:rPr>
      </w:pPr>
      <w:r w:rsidRPr="002F61BB">
        <w:rPr>
          <w:rFonts w:ascii="Times New Roman" w:hAnsi="Times New Roman" w:cs="Times New Roman"/>
          <w:sz w:val="20"/>
          <w:szCs w:val="20"/>
          <w:lang w:val="en-GB"/>
        </w:rPr>
        <w:t>In some specific cases, the maturity of a given instrument depend</w:t>
      </w:r>
      <w:r>
        <w:rPr>
          <w:rFonts w:ascii="Times New Roman" w:hAnsi="Times New Roman" w:cs="Times New Roman"/>
          <w:sz w:val="20"/>
          <w:szCs w:val="20"/>
          <w:lang w:val="en-GB"/>
        </w:rPr>
        <w:t>s</w:t>
      </w:r>
      <w:r w:rsidRPr="002F61BB">
        <w:rPr>
          <w:rFonts w:ascii="Times New Roman" w:hAnsi="Times New Roman" w:cs="Times New Roman"/>
          <w:sz w:val="20"/>
          <w:szCs w:val="20"/>
          <w:lang w:val="en-GB"/>
        </w:rPr>
        <w:t xml:space="preserve"> on external factors, on which the</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institution has little or no influence. In such cases, the first date on which such events can lead to</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reimbursement shall be considered the earliest redemption date.</w:t>
      </w:r>
    </w:p>
    <w:p w14:paraId="7FE1B4EA" w14:textId="77777777" w:rsidR="00CC0A94" w:rsidRDefault="006C1571" w:rsidP="002F61BB">
      <w:pPr>
        <w:pStyle w:val="InstructionsText2"/>
        <w:numPr>
          <w:ilvl w:val="0"/>
          <w:numId w:val="233"/>
        </w:numPr>
        <w:spacing w:before="0"/>
        <w:rPr>
          <w:rFonts w:ascii="Times New Roman" w:hAnsi="Times New Roman" w:cs="Times New Roman"/>
          <w:sz w:val="20"/>
          <w:szCs w:val="20"/>
          <w:lang w:val="en-GB"/>
        </w:rPr>
      </w:pPr>
      <w:r w:rsidRPr="002F61BB">
        <w:rPr>
          <w:rFonts w:ascii="Times New Roman" w:hAnsi="Times New Roman" w:cs="Times New Roman"/>
          <w:sz w:val="20"/>
          <w:szCs w:val="20"/>
          <w:lang w:val="en-GB"/>
        </w:rPr>
        <w:t>In other cases, contracts do not foresee any specific maturity date, such as on-sight or overnight deposits.</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In those cases, the liabilities shall be considered as having a possible maturity on the first possible date, i.e.</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next/one day after reporting date.</w:t>
      </w:r>
    </w:p>
    <w:p w14:paraId="7FE1B4EB" w14:textId="7998FDEF" w:rsidR="00CC0A94" w:rsidRDefault="006C1571" w:rsidP="002F61BB">
      <w:pPr>
        <w:pStyle w:val="InstructionsText2"/>
        <w:numPr>
          <w:ilvl w:val="0"/>
          <w:numId w:val="233"/>
        </w:numPr>
        <w:spacing w:before="0"/>
        <w:rPr>
          <w:rFonts w:ascii="Times New Roman" w:hAnsi="Times New Roman" w:cs="Times New Roman"/>
          <w:sz w:val="20"/>
          <w:szCs w:val="20"/>
          <w:lang w:val="en-GB"/>
        </w:rPr>
      </w:pPr>
      <w:r w:rsidRPr="002F61BB">
        <w:rPr>
          <w:rFonts w:ascii="Times New Roman" w:hAnsi="Times New Roman" w:cs="Times New Roman"/>
          <w:sz w:val="20"/>
          <w:szCs w:val="20"/>
          <w:lang w:val="en-GB"/>
        </w:rPr>
        <w:t xml:space="preserve">For deposits, the coverage by DGSD does not necessarily distinguish between the maturities that </w:t>
      </w:r>
      <w:r>
        <w:rPr>
          <w:rFonts w:ascii="Times New Roman" w:hAnsi="Times New Roman" w:cs="Times New Roman"/>
          <w:sz w:val="20"/>
          <w:szCs w:val="20"/>
          <w:lang w:val="en-GB"/>
        </w:rPr>
        <w:t xml:space="preserve">are </w:t>
      </w:r>
      <w:r w:rsidRPr="002F61BB">
        <w:rPr>
          <w:rFonts w:ascii="Times New Roman" w:hAnsi="Times New Roman" w:cs="Times New Roman"/>
          <w:sz w:val="20"/>
          <w:szCs w:val="20"/>
          <w:lang w:val="en-GB"/>
        </w:rPr>
        <w:t>considered as covered if different maturities exist. As such, to split the non-covered part into maturity</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 xml:space="preserve">buckets, institutions </w:t>
      </w:r>
      <w:r>
        <w:rPr>
          <w:rFonts w:ascii="Times New Roman" w:hAnsi="Times New Roman" w:cs="Times New Roman"/>
          <w:sz w:val="20"/>
          <w:szCs w:val="20"/>
          <w:lang w:val="en-GB"/>
        </w:rPr>
        <w:t>are asked to</w:t>
      </w:r>
      <w:r w:rsidRPr="002F61BB">
        <w:rPr>
          <w:rFonts w:ascii="Times New Roman" w:hAnsi="Times New Roman" w:cs="Times New Roman"/>
          <w:sz w:val="20"/>
          <w:szCs w:val="20"/>
          <w:lang w:val="en-GB"/>
        </w:rPr>
        <w:t xml:space="preserve"> apply a pro rata approach for the total coverage and distribute the non-covered</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part accordingly over the maturity of the underlying deposits</w:t>
      </w:r>
      <w:r>
        <w:rPr>
          <w:rFonts w:ascii="Times New Roman" w:hAnsi="Times New Roman" w:cs="Times New Roman"/>
          <w:sz w:val="20"/>
          <w:szCs w:val="20"/>
          <w:lang w:val="en-GB"/>
        </w:rPr>
        <w:t xml:space="preserve">, </w:t>
      </w:r>
      <w:r w:rsidRPr="002F61BB">
        <w:rPr>
          <w:rFonts w:ascii="Times New Roman" w:hAnsi="Times New Roman" w:cs="Times New Roman"/>
          <w:sz w:val="20"/>
          <w:szCs w:val="20"/>
        </w:rPr>
        <w:t>unless specific provisions resulting from the transposition of Directive 2014/49/EU into national law are applicable</w:t>
      </w:r>
    </w:p>
    <w:p w14:paraId="7FE1B4EC" w14:textId="333CC915" w:rsidR="00CC0A94" w:rsidRPr="002F61BB" w:rsidRDefault="006C1571" w:rsidP="002F61BB">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 liability meets multiple criteria and may be reported in several rows in the range of r0110 to r0210, report it only in one row, being the one with the lowest row number in this template.</w:t>
      </w:r>
    </w:p>
    <w:p w14:paraId="7FE1B4ED" w14:textId="0B0F63BC" w:rsidR="00CC0A94" w:rsidRDefault="006C1571">
      <w:pPr>
        <w:pStyle w:val="InstructionsText2"/>
        <w:numPr>
          <w:ilvl w:val="0"/>
          <w:numId w:val="233"/>
        </w:numPr>
        <w:rPr>
          <w:rFonts w:ascii="Times New Roman" w:hAnsi="Times New Roman" w:cs="Times New Roman"/>
          <w:sz w:val="20"/>
          <w:szCs w:val="20"/>
          <w:lang w:val="en-GB"/>
        </w:rPr>
      </w:pPr>
      <w:r>
        <w:rPr>
          <w:rFonts w:ascii="Times New Roman" w:hAnsi="Times New Roman" w:cs="Times New Roman"/>
          <w:sz w:val="20"/>
          <w:szCs w:val="20"/>
          <w:lang w:val="en-GB"/>
        </w:rPr>
        <w:t>Amounts in this template shall be reported as both outstanding and carrying amounts:</w:t>
      </w:r>
    </w:p>
    <w:p w14:paraId="7FE1B4EE" w14:textId="77777777" w:rsidR="00CC0A94" w:rsidRDefault="006C1571" w:rsidP="002F61BB">
      <w:pPr>
        <w:pStyle w:val="InstructionsText2"/>
        <w:numPr>
          <w:ilvl w:val="1"/>
          <w:numId w:val="233"/>
        </w:numPr>
        <w:rPr>
          <w:rFonts w:ascii="Times New Roman" w:hAnsi="Times New Roman" w:cs="Times New Roman"/>
          <w:sz w:val="20"/>
          <w:szCs w:val="20"/>
          <w:lang w:val="en-GB"/>
        </w:rPr>
      </w:pPr>
      <w:r>
        <w:rPr>
          <w:rFonts w:ascii="Times New Roman" w:hAnsi="Times New Roman" w:cs="Times New Roman"/>
          <w:sz w:val="20"/>
          <w:szCs w:val="20"/>
          <w:lang w:val="en-GB"/>
        </w:rPr>
        <w:t xml:space="preserve">The outstanding amount of a claim or instrument is the sum of the principal amount of, and accrued interest on, the claim or instrument. The outstanding amount due is equal to the value of the claim which the creditor files under insolvency proceedings, without considering insolvency set-off provisions, and does not include any premiums or discounts on liability instruments. In those cases where no claim is filed under insolvency proceedings, the outstanding amount is expected to be equal to zero. </w:t>
      </w:r>
    </w:p>
    <w:p w14:paraId="7FE1B4EF" w14:textId="77777777" w:rsidR="00CC0A94" w:rsidRDefault="006C1571" w:rsidP="002F61BB">
      <w:pPr>
        <w:pStyle w:val="InstructionsText2"/>
        <w:numPr>
          <w:ilvl w:val="1"/>
          <w:numId w:val="233"/>
        </w:numPr>
        <w:rPr>
          <w:rFonts w:ascii="Times New Roman" w:hAnsi="Times New Roman" w:cs="Times New Roman"/>
          <w:sz w:val="20"/>
          <w:szCs w:val="20"/>
          <w:lang w:val="en-GB"/>
        </w:rPr>
      </w:pPr>
      <w:r>
        <w:rPr>
          <w:rFonts w:ascii="Times New Roman" w:hAnsi="Times New Roman" w:cs="Times New Roman"/>
          <w:sz w:val="20"/>
          <w:szCs w:val="20"/>
          <w:lang w:val="en-GB"/>
        </w:rPr>
        <w:t xml:space="preserve">The carrying amount shall be the carrying amount as defined for FINREP purposes, either under IFRS or </w:t>
      </w:r>
      <w:proofErr w:type="spellStart"/>
      <w:r>
        <w:rPr>
          <w:rFonts w:ascii="Times New Roman" w:hAnsi="Times New Roman" w:cs="Times New Roman"/>
          <w:sz w:val="20"/>
          <w:szCs w:val="20"/>
          <w:lang w:val="en-GB"/>
        </w:rPr>
        <w:t>nGAAP</w:t>
      </w:r>
      <w:proofErr w:type="spellEnd"/>
      <w:r>
        <w:rPr>
          <w:rFonts w:ascii="Times New Roman" w:hAnsi="Times New Roman" w:cs="Times New Roman"/>
          <w:sz w:val="20"/>
          <w:szCs w:val="20"/>
          <w:lang w:val="en-GB"/>
        </w:rPr>
        <w:t xml:space="preserve">, as applicable. Otherwise, figures under </w:t>
      </w:r>
      <w:proofErr w:type="spellStart"/>
      <w:r>
        <w:rPr>
          <w:rFonts w:ascii="Times New Roman" w:hAnsi="Times New Roman" w:cs="Times New Roman"/>
          <w:sz w:val="20"/>
          <w:szCs w:val="20"/>
          <w:lang w:val="en-GB"/>
        </w:rPr>
        <w:t>nGAAP</w:t>
      </w:r>
      <w:proofErr w:type="spellEnd"/>
      <w:r>
        <w:rPr>
          <w:rFonts w:ascii="Times New Roman" w:hAnsi="Times New Roman" w:cs="Times New Roman"/>
          <w:sz w:val="20"/>
          <w:szCs w:val="20"/>
          <w:lang w:val="en-GB"/>
        </w:rPr>
        <w:t xml:space="preserve"> reporting schemes shall be used. </w:t>
      </w:r>
    </w:p>
    <w:p w14:paraId="7FE1B4F1" w14:textId="1849D60B" w:rsidR="00CC0A94" w:rsidRDefault="006C1571" w:rsidP="002F61BB">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This report references data points that may have already been reported by the entity in FINREP and COREP for the same reference date and reporting scope (see COREP/FINREP references in the instructions). Where this is the case, the reporting entity does not have to report these data points a second time. For instance, COREP/FINREP data points </w:t>
      </w:r>
      <w:proofErr w:type="gramStart"/>
      <w:r>
        <w:rPr>
          <w:rFonts w:ascii="Times New Roman" w:hAnsi="Times New Roman" w:cs="Times New Roman"/>
          <w:sz w:val="20"/>
          <w:szCs w:val="20"/>
          <w:lang w:val="en-GB"/>
        </w:rPr>
        <w:t>have to</w:t>
      </w:r>
      <w:proofErr w:type="gramEnd"/>
      <w:r>
        <w:rPr>
          <w:rFonts w:ascii="Times New Roman" w:hAnsi="Times New Roman" w:cs="Times New Roman"/>
          <w:sz w:val="20"/>
          <w:szCs w:val="20"/>
          <w:lang w:val="en-GB"/>
        </w:rPr>
        <w:t xml:space="preserve"> be reported here where the reporting entity has been waived from financial or prudential reporting obligations, in which case the only data source for resolution authorities for these data points is this report.</w:t>
      </w:r>
    </w:p>
    <w:p w14:paraId="7FE1B4F2" w14:textId="77777777" w:rsidR="00CC0A94" w:rsidRDefault="006C1571">
      <w:pPr>
        <w:pStyle w:val="Instructionsberschrift3"/>
        <w:rPr>
          <w:b/>
          <w:lang w:val="en-GB"/>
        </w:rPr>
      </w:pPr>
      <w:r>
        <w:rPr>
          <w:b/>
          <w:lang w:val="en-GB"/>
        </w:rPr>
        <w:t>Instructions concerning specific positions</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CC0A94"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Households</w:t>
            </w:r>
          </w:p>
          <w:p w14:paraId="7FE1B4F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FINREP, Annex V. Part 1, paragraph 42, point (f) </w:t>
            </w:r>
          </w:p>
          <w:p w14:paraId="7FE1B4F9" w14:textId="77777777" w:rsidR="00CC0A94" w:rsidRDefault="006C1571">
            <w:pPr>
              <w:pStyle w:val="TableParagraph"/>
              <w:spacing w:before="108"/>
              <w:ind w:left="85"/>
              <w:jc w:val="both"/>
              <w:rPr>
                <w:rFonts w:ascii="Times New Roman" w:hAnsi="Times New Roman" w:cs="Times New Roman"/>
                <w:b/>
                <w:color w:val="000000" w:themeColor="text1"/>
                <w:spacing w:val="-1"/>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Individuals or groups of individuals as consumers, and producers of goods and non-financial services exclusively for their own final consumption, and as producers of market goods and non-financial and financial services provided that their activities are not those of quasi-corporations. Non-profit institutions which serve </w:t>
            </w:r>
            <w:proofErr w:type="gramStart"/>
            <w:r>
              <w:rPr>
                <w:rFonts w:ascii="Times New Roman" w:eastAsia="Cambria" w:hAnsi="Times New Roman" w:cs="Times New Roman"/>
                <w:color w:val="000000" w:themeColor="text1"/>
                <w:spacing w:val="-2"/>
                <w:w w:val="95"/>
                <w:sz w:val="20"/>
                <w:szCs w:val="20"/>
                <w:lang w:val="en-GB"/>
              </w:rPr>
              <w:t>households</w:t>
            </w:r>
            <w:proofErr w:type="gramEnd"/>
            <w:r>
              <w:rPr>
                <w:rFonts w:ascii="Times New Roman" w:eastAsia="Cambria" w:hAnsi="Times New Roman" w:cs="Times New Roman"/>
                <w:color w:val="000000" w:themeColor="text1"/>
                <w:spacing w:val="-2"/>
                <w:w w:val="95"/>
                <w:sz w:val="20"/>
                <w:szCs w:val="20"/>
                <w:lang w:val="en-GB"/>
              </w:rPr>
              <w:t xml:space="preserve"> and which are principally engaged in the production of non-market goods and services intended for </w:t>
            </w:r>
            <w:proofErr w:type="gramStart"/>
            <w:r>
              <w:rPr>
                <w:rFonts w:ascii="Times New Roman" w:eastAsia="Cambria" w:hAnsi="Times New Roman" w:cs="Times New Roman"/>
                <w:color w:val="000000" w:themeColor="text1"/>
                <w:spacing w:val="-2"/>
                <w:w w:val="95"/>
                <w:sz w:val="20"/>
                <w:szCs w:val="20"/>
                <w:lang w:val="en-GB"/>
              </w:rPr>
              <w:t>particular groups</w:t>
            </w:r>
            <w:proofErr w:type="gramEnd"/>
            <w:r>
              <w:rPr>
                <w:rFonts w:ascii="Times New Roman" w:eastAsia="Cambria" w:hAnsi="Times New Roman" w:cs="Times New Roman"/>
                <w:color w:val="000000" w:themeColor="text1"/>
                <w:spacing w:val="-2"/>
                <w:w w:val="95"/>
                <w:sz w:val="20"/>
                <w:szCs w:val="20"/>
                <w:lang w:val="en-GB"/>
              </w:rPr>
              <w:t xml:space="preserve"> of households shall be included.</w:t>
            </w:r>
          </w:p>
        </w:tc>
      </w:tr>
      <w:tr w:rsidR="00CC0A94"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0020-</w:t>
            </w:r>
            <w:r>
              <w:rPr>
                <w:rFonts w:ascii="Times New Roman" w:hAnsi="Times New Roman" w:cs="Times New Roman"/>
                <w:color w:val="000000" w:themeColor="text1"/>
                <w:sz w:val="20"/>
                <w:szCs w:val="20"/>
                <w:lang w:val="en-GB"/>
              </w:rPr>
              <w:lastRenderedPageBreak/>
              <w:t>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CC0A94" w:rsidRPr="002F61BB" w:rsidRDefault="006C1571">
            <w:pPr>
              <w:pStyle w:val="TableParagraph"/>
              <w:spacing w:before="108"/>
              <w:ind w:left="85"/>
              <w:jc w:val="both"/>
              <w:rPr>
                <w:rFonts w:ascii="Times New Roman" w:hAnsi="Times New Roman" w:cs="Times New Roman"/>
                <w:b/>
                <w:color w:val="000000" w:themeColor="text1"/>
                <w:spacing w:val="-2"/>
                <w:w w:val="95"/>
                <w:sz w:val="20"/>
                <w:szCs w:val="20"/>
                <w:lang w:val="fr-FR"/>
              </w:rPr>
            </w:pPr>
            <w:r w:rsidRPr="002F61BB">
              <w:rPr>
                <w:rFonts w:ascii="Times New Roman" w:hAnsi="Times New Roman" w:cs="Times New Roman"/>
                <w:b/>
                <w:color w:val="000000" w:themeColor="text1"/>
                <w:spacing w:val="-2"/>
                <w:w w:val="95"/>
                <w:sz w:val="20"/>
                <w:szCs w:val="20"/>
                <w:lang w:val="fr-FR"/>
              </w:rPr>
              <w:lastRenderedPageBreak/>
              <w:t>Non-</w:t>
            </w:r>
            <w:proofErr w:type="spellStart"/>
            <w:r w:rsidRPr="002F61BB">
              <w:rPr>
                <w:rFonts w:ascii="Times New Roman" w:hAnsi="Times New Roman" w:cs="Times New Roman"/>
                <w:b/>
                <w:color w:val="000000" w:themeColor="text1"/>
                <w:spacing w:val="-2"/>
                <w:w w:val="95"/>
                <w:sz w:val="20"/>
                <w:szCs w:val="20"/>
                <w:lang w:val="fr-FR"/>
              </w:rPr>
              <w:t>financial</w:t>
            </w:r>
            <w:proofErr w:type="spellEnd"/>
            <w:r w:rsidRPr="002F61BB">
              <w:rPr>
                <w:rFonts w:ascii="Times New Roman" w:hAnsi="Times New Roman" w:cs="Times New Roman"/>
                <w:b/>
                <w:color w:val="000000" w:themeColor="text1"/>
                <w:spacing w:val="-2"/>
                <w:w w:val="95"/>
                <w:sz w:val="20"/>
                <w:szCs w:val="20"/>
                <w:lang w:val="fr-FR"/>
              </w:rPr>
              <w:t xml:space="preserve"> corporations (</w:t>
            </w:r>
            <w:proofErr w:type="spellStart"/>
            <w:r w:rsidRPr="002F61BB">
              <w:rPr>
                <w:rFonts w:ascii="Times New Roman" w:hAnsi="Times New Roman" w:cs="Times New Roman"/>
                <w:b/>
                <w:color w:val="000000" w:themeColor="text1"/>
                <w:spacing w:val="-2"/>
                <w:w w:val="95"/>
                <w:sz w:val="20"/>
                <w:szCs w:val="20"/>
                <w:lang w:val="fr-FR"/>
              </w:rPr>
              <w:t>SMEs</w:t>
            </w:r>
            <w:proofErr w:type="spellEnd"/>
            <w:r w:rsidRPr="002F61BB">
              <w:rPr>
                <w:rFonts w:ascii="Times New Roman" w:hAnsi="Times New Roman" w:cs="Times New Roman"/>
                <w:b/>
                <w:color w:val="000000" w:themeColor="text1"/>
                <w:spacing w:val="-2"/>
                <w:w w:val="95"/>
                <w:sz w:val="20"/>
                <w:szCs w:val="20"/>
                <w:lang w:val="fr-FR"/>
              </w:rPr>
              <w:t>)</w:t>
            </w:r>
          </w:p>
          <w:p w14:paraId="7FE1B4F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fr-BE"/>
              </w:rPr>
            </w:pPr>
            <w:r>
              <w:rPr>
                <w:rFonts w:ascii="Times New Roman" w:eastAsia="Cambria" w:hAnsi="Times New Roman" w:cs="Times New Roman"/>
                <w:color w:val="000000" w:themeColor="text1"/>
                <w:spacing w:val="-2"/>
                <w:w w:val="95"/>
                <w:sz w:val="20"/>
                <w:szCs w:val="20"/>
                <w:lang w:val="fr-BE"/>
              </w:rPr>
              <w:lastRenderedPageBreak/>
              <w:t xml:space="preserve">FINREP, Annex V. Part 1, </w:t>
            </w:r>
            <w:proofErr w:type="spellStart"/>
            <w:r>
              <w:rPr>
                <w:rFonts w:ascii="Times New Roman" w:eastAsia="Cambria" w:hAnsi="Times New Roman" w:cs="Times New Roman"/>
                <w:color w:val="000000" w:themeColor="text1"/>
                <w:spacing w:val="-2"/>
                <w:w w:val="95"/>
                <w:sz w:val="20"/>
                <w:szCs w:val="20"/>
                <w:lang w:val="fr-BE"/>
              </w:rPr>
              <w:t>paragraph</w:t>
            </w:r>
            <w:proofErr w:type="spellEnd"/>
            <w:r>
              <w:rPr>
                <w:rFonts w:ascii="Times New Roman" w:eastAsia="Cambria" w:hAnsi="Times New Roman" w:cs="Times New Roman"/>
                <w:color w:val="000000" w:themeColor="text1"/>
                <w:spacing w:val="-2"/>
                <w:w w:val="95"/>
                <w:sz w:val="20"/>
                <w:szCs w:val="20"/>
                <w:lang w:val="fr-BE"/>
              </w:rPr>
              <w:t xml:space="preserve"> 42, point (e)</w:t>
            </w:r>
          </w:p>
          <w:p w14:paraId="7FE1B4FE" w14:textId="63A52B7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Corporations and quasi-corporations not engaged in financial intermediation but principally in the production of market goods and non-financial services according to Regulation (EU) No 2021/379 of</w:t>
            </w:r>
            <w:r>
              <w:rPr>
                <w:rFonts w:ascii="Times New Roman" w:hAnsi="Times New Roman" w:cs="Times New Roman"/>
                <w:color w:val="000000" w:themeColor="text1"/>
                <w:sz w:val="20"/>
                <w:szCs w:val="20"/>
                <w:lang w:val="en-GB" w:eastAsia="en-GB"/>
              </w:rPr>
              <w:t xml:space="preserve"> </w:t>
            </w:r>
            <w:r>
              <w:rPr>
                <w:rFonts w:ascii="Times New Roman" w:eastAsia="Cambria" w:hAnsi="Times New Roman" w:cs="Times New Roman"/>
                <w:color w:val="000000" w:themeColor="text1"/>
                <w:spacing w:val="-2"/>
                <w:w w:val="95"/>
                <w:sz w:val="20"/>
                <w:szCs w:val="20"/>
                <w:lang w:val="en-GB"/>
              </w:rPr>
              <w:t>the European Central Bank</w:t>
            </w:r>
            <w:r>
              <w:rPr>
                <w:rFonts w:ascii="Times New Roman" w:hAnsi="Times New Roman" w:cs="Times New Roman"/>
                <w:color w:val="000000" w:themeColor="text1"/>
                <w:sz w:val="20"/>
                <w:szCs w:val="20"/>
                <w:vertAlign w:val="superscript"/>
                <w:lang w:val="en-GB"/>
              </w:rPr>
              <w:footnoteReference w:id="11"/>
            </w:r>
            <w:r>
              <w:rPr>
                <w:rFonts w:ascii="Times New Roman" w:eastAsia="Cambria" w:hAnsi="Times New Roman" w:cs="Times New Roman"/>
                <w:color w:val="000000" w:themeColor="text1"/>
                <w:spacing w:val="-2"/>
                <w:w w:val="95"/>
                <w:sz w:val="20"/>
                <w:szCs w:val="20"/>
                <w:lang w:val="en-GB"/>
              </w:rPr>
              <w:t>, which also meet the following definition of SME:</w:t>
            </w:r>
          </w:p>
          <w:p w14:paraId="7FE1B4F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Annex, Title I, Article 2.1 of Commission Recommendation of 6 May 2003</w:t>
            </w:r>
            <w:r w:rsidRPr="002F61BB">
              <w:rPr>
                <w:rStyle w:val="FootnoteReference"/>
                <w:rFonts w:ascii="Times New Roman" w:eastAsia="Cambria" w:hAnsi="Times New Roman" w:cs="Times New Roman"/>
                <w:color w:val="1A171C"/>
                <w:spacing w:val="-2"/>
                <w:w w:val="95"/>
                <w:lang w:val="en-GB"/>
              </w:rPr>
              <w:footnoteReference w:id="12"/>
            </w:r>
            <w:r>
              <w:rPr>
                <w:rFonts w:ascii="Times New Roman" w:eastAsia="Cambria" w:hAnsi="Times New Roman" w:cs="Times New Roman"/>
                <w:color w:val="000000" w:themeColor="text1"/>
                <w:spacing w:val="-2"/>
                <w:w w:val="95"/>
                <w:sz w:val="20"/>
                <w:szCs w:val="20"/>
                <w:lang w:val="en-GB"/>
              </w:rPr>
              <w:t>; FINREP, Annex V Part 1, paragraph 5(i).</w:t>
            </w:r>
          </w:p>
          <w:p w14:paraId="7FE1B500" w14:textId="77777777" w:rsidR="00CC0A94" w:rsidRDefault="006C1571">
            <w:pPr>
              <w:pStyle w:val="TableParagraph"/>
              <w:spacing w:before="108"/>
              <w:ind w:left="85"/>
              <w:jc w:val="both"/>
              <w:rPr>
                <w:rFonts w:ascii="Times New Roman" w:eastAsia="Book Antiqu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Enterprises which employ fewer than 250 </w:t>
            </w:r>
            <w:proofErr w:type="gramStart"/>
            <w:r>
              <w:rPr>
                <w:rFonts w:ascii="Times New Roman" w:eastAsia="Cambria" w:hAnsi="Times New Roman" w:cs="Times New Roman"/>
                <w:color w:val="000000" w:themeColor="text1"/>
                <w:spacing w:val="-2"/>
                <w:w w:val="95"/>
                <w:sz w:val="20"/>
                <w:szCs w:val="20"/>
                <w:lang w:val="en-GB"/>
              </w:rPr>
              <w:t>persons</w:t>
            </w:r>
            <w:proofErr w:type="gramEnd"/>
            <w:r>
              <w:rPr>
                <w:rFonts w:ascii="Times New Roman" w:eastAsia="Cambria" w:hAnsi="Times New Roman" w:cs="Times New Roman"/>
                <w:color w:val="000000" w:themeColor="text1"/>
                <w:spacing w:val="-2"/>
                <w:w w:val="95"/>
                <w:sz w:val="20"/>
                <w:szCs w:val="20"/>
                <w:lang w:val="en-GB"/>
              </w:rPr>
              <w:t xml:space="preserve"> and which have an annual turnover not exceeding EUR 50 million, and/or an annual balance sheet total not exceeding EUR 43 million.</w:t>
            </w:r>
          </w:p>
        </w:tc>
      </w:tr>
      <w:tr w:rsidR="00CC0A94"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fr-BE"/>
              </w:rPr>
            </w:pPr>
            <w:r>
              <w:rPr>
                <w:rFonts w:ascii="Times New Roman" w:hAnsi="Times New Roman" w:cs="Times New Roman"/>
                <w:b/>
                <w:color w:val="000000" w:themeColor="text1"/>
                <w:spacing w:val="-2"/>
                <w:w w:val="95"/>
                <w:sz w:val="20"/>
                <w:szCs w:val="20"/>
                <w:lang w:val="fr-BE"/>
              </w:rPr>
              <w:t>Non-</w:t>
            </w:r>
            <w:proofErr w:type="spellStart"/>
            <w:r>
              <w:rPr>
                <w:rFonts w:ascii="Times New Roman" w:hAnsi="Times New Roman" w:cs="Times New Roman"/>
                <w:b/>
                <w:color w:val="000000" w:themeColor="text1"/>
                <w:spacing w:val="-2"/>
                <w:w w:val="95"/>
                <w:sz w:val="20"/>
                <w:szCs w:val="20"/>
                <w:lang w:val="fr-BE"/>
              </w:rPr>
              <w:t>financial</w:t>
            </w:r>
            <w:proofErr w:type="spellEnd"/>
            <w:r>
              <w:rPr>
                <w:rFonts w:ascii="Times New Roman" w:hAnsi="Times New Roman" w:cs="Times New Roman"/>
                <w:b/>
                <w:color w:val="000000" w:themeColor="text1"/>
                <w:spacing w:val="-2"/>
                <w:w w:val="95"/>
                <w:sz w:val="20"/>
                <w:szCs w:val="20"/>
                <w:lang w:val="fr-BE"/>
              </w:rPr>
              <w:t xml:space="preserve"> corporations (non-</w:t>
            </w:r>
            <w:proofErr w:type="spellStart"/>
            <w:r>
              <w:rPr>
                <w:rFonts w:ascii="Times New Roman" w:hAnsi="Times New Roman" w:cs="Times New Roman"/>
                <w:b/>
                <w:color w:val="000000" w:themeColor="text1"/>
                <w:spacing w:val="-2"/>
                <w:w w:val="95"/>
                <w:sz w:val="20"/>
                <w:szCs w:val="20"/>
                <w:lang w:val="fr-BE"/>
              </w:rPr>
              <w:t>SMEs</w:t>
            </w:r>
            <w:proofErr w:type="spellEnd"/>
            <w:r>
              <w:rPr>
                <w:rFonts w:ascii="Times New Roman" w:hAnsi="Times New Roman" w:cs="Times New Roman"/>
                <w:b/>
                <w:color w:val="000000" w:themeColor="text1"/>
                <w:spacing w:val="-2"/>
                <w:w w:val="95"/>
                <w:sz w:val="20"/>
                <w:szCs w:val="20"/>
                <w:lang w:val="fr-BE"/>
              </w:rPr>
              <w:t>)</w:t>
            </w:r>
          </w:p>
          <w:p w14:paraId="7FE1B504" w14:textId="77777777" w:rsidR="00CC0A94" w:rsidRPr="00FD0421"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sidRPr="006277CC">
              <w:rPr>
                <w:rFonts w:ascii="Times New Roman" w:eastAsia="Cambria" w:hAnsi="Times New Roman" w:cs="Times New Roman"/>
                <w:color w:val="000000" w:themeColor="text1"/>
                <w:spacing w:val="-2"/>
                <w:w w:val="95"/>
                <w:sz w:val="20"/>
                <w:szCs w:val="20"/>
                <w:lang w:val="en-GB"/>
              </w:rPr>
              <w:t>FINREP, Annex V. Part 1, paragraph 42, point (e)</w:t>
            </w:r>
          </w:p>
          <w:p w14:paraId="7FE1B505" w14:textId="53EEC70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Corporations and quasi-corporations not engaged in financial intermediation but principally in the production of market goods and non-financial services according to Regulation (EU) No 2021/379 of</w:t>
            </w:r>
            <w:r>
              <w:rPr>
                <w:rFonts w:ascii="Times New Roman" w:hAnsi="Times New Roman" w:cs="Times New Roman"/>
                <w:color w:val="000000" w:themeColor="text1"/>
                <w:sz w:val="20"/>
                <w:szCs w:val="20"/>
                <w:lang w:val="en-GB" w:eastAsia="en-GB"/>
              </w:rPr>
              <w:t xml:space="preserve"> </w:t>
            </w:r>
            <w:r>
              <w:rPr>
                <w:rFonts w:ascii="Times New Roman" w:eastAsia="Cambria" w:hAnsi="Times New Roman" w:cs="Times New Roman"/>
                <w:color w:val="000000" w:themeColor="text1"/>
                <w:spacing w:val="-2"/>
                <w:w w:val="95"/>
                <w:sz w:val="20"/>
                <w:szCs w:val="20"/>
                <w:lang w:val="en-GB"/>
              </w:rPr>
              <w:t>the European Central Bank.</w:t>
            </w:r>
          </w:p>
          <w:p w14:paraId="7FE1B50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Excludes 'SMEs' reported in column 0020. </w:t>
            </w:r>
          </w:p>
        </w:tc>
      </w:tr>
      <w:tr w:rsidR="00CC0A94"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Credit institutions</w:t>
            </w:r>
          </w:p>
          <w:p w14:paraId="7FE1B50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FINREP, Annex V. Part 1, paragraph 42, point (c)</w:t>
            </w:r>
          </w:p>
          <w:p w14:paraId="7FE1B50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Credit institutions within the meaning of Article 4 (1) point (1) of </w:t>
            </w:r>
            <w:r>
              <w:rPr>
                <w:rFonts w:ascii="Times New Roman" w:hAnsi="Times New Roman" w:cs="Times New Roman"/>
                <w:color w:val="000000" w:themeColor="text1"/>
                <w:sz w:val="20"/>
                <w:szCs w:val="20"/>
                <w:lang w:val="en-GB"/>
              </w:rPr>
              <w:t>Regulation (EU) No 575/2013</w:t>
            </w:r>
            <w:r>
              <w:rPr>
                <w:rFonts w:ascii="Times New Roman" w:eastAsia="Cambria" w:hAnsi="Times New Roman" w:cs="Times New Roman"/>
                <w:color w:val="000000" w:themeColor="text1"/>
                <w:spacing w:val="-2"/>
                <w:w w:val="95"/>
                <w:sz w:val="20"/>
                <w:szCs w:val="20"/>
                <w:lang w:val="en-GB"/>
              </w:rPr>
              <w:t xml:space="preserve"> and multilateral development banks.</w:t>
            </w:r>
          </w:p>
        </w:tc>
      </w:tr>
      <w:tr w:rsidR="00CC0A94"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0050-005</w:t>
            </w:r>
            <w:r w:rsidR="00E22C47">
              <w:rPr>
                <w:rFonts w:ascii="Times New Roman" w:hAnsi="Times New Roman" w:cs="Times New Roman"/>
                <w:color w:val="000000" w:themeColor="text1"/>
                <w:sz w:val="20"/>
                <w:szCs w:val="20"/>
                <w:lang w:val="en-GB"/>
              </w:rPr>
              <w:t>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Other financial corporations</w:t>
            </w:r>
          </w:p>
          <w:p w14:paraId="7FE1B50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FINREP, Annex V. Part 1, paragraph 42, point (d)</w:t>
            </w:r>
          </w:p>
          <w:p w14:paraId="7FE1B510" w14:textId="06860C4E"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All financial corporations and quasi-corporations other than credit institutions such as investment firms, investment funds, insurance companies, pension funds, collective investment undertakings, and clearing houses as well as remaining financial intermediaries, financial auxiliaries and captive financial institutions and money lenders.</w:t>
            </w:r>
          </w:p>
        </w:tc>
      </w:tr>
      <w:tr w:rsidR="00CC0A94"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Of which Insurance firms &amp; pension funds</w:t>
            </w:r>
          </w:p>
          <w:p w14:paraId="7FE1B514"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Insurance undertakings, reinsurance undertakings firms (as referred to in Article 13(1) to (6) of Directive 2009/138/EC of the European Parliament and of the Council) and pension and retirement funds.</w:t>
            </w:r>
          </w:p>
        </w:tc>
      </w:tr>
      <w:tr w:rsidR="00CC0A94"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General governments &amp; Central banks</w:t>
            </w:r>
          </w:p>
          <w:p w14:paraId="7FE1B51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FINREP, Annex V. Part 1, paragraph 42, points (a) and (b)</w:t>
            </w:r>
          </w:p>
          <w:p w14:paraId="7FE1B51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Central banks and central governments, state or regional governments, and local governments, including administrative bodies and non-commercial undertakings, but excluding public companies and private companies held by these administrations that have a commercial activity (which shall be reported under “credit institutions”, “other financial corporations” or “non-financial corporations” depending on their activity); social security funds; and international organisations, such as the European Union, the International Monetary Fund and the Bank for International Settlements.</w:t>
            </w:r>
          </w:p>
        </w:tc>
      </w:tr>
      <w:tr w:rsidR="00CC0A94"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Non-identified, listed on a trading venue</w:t>
            </w:r>
          </w:p>
          <w:p w14:paraId="7FE1B51D" w14:textId="5F92CBCC"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pacing w:val="-2"/>
                <w:w w:val="95"/>
                <w:sz w:val="20"/>
                <w:szCs w:val="20"/>
                <w:lang w:val="en-GB"/>
              </w:rPr>
              <w:t>Where the identity of the holder of a security is not known due to the instruments being listed on a trading venue, as defined under Directive 2014/65/EU</w:t>
            </w:r>
            <w:r w:rsidR="00B72EA2">
              <w:rPr>
                <w:rStyle w:val="FootnoteReference"/>
                <w:rFonts w:cs="Times New Roman"/>
                <w:color w:val="000000" w:themeColor="text1"/>
                <w:spacing w:val="-2"/>
                <w:w w:val="95"/>
                <w:lang w:val="en-GB"/>
              </w:rPr>
              <w:footnoteReference w:id="13"/>
            </w:r>
            <w:r>
              <w:rPr>
                <w:rFonts w:ascii="Times New Roman" w:hAnsi="Times New Roman" w:cs="Times New Roman"/>
                <w:color w:val="000000" w:themeColor="text1"/>
                <w:spacing w:val="-2"/>
                <w:w w:val="95"/>
                <w:sz w:val="20"/>
                <w:szCs w:val="20"/>
                <w:lang w:val="en-GB"/>
              </w:rPr>
              <w:t>, the amounts shall be attributed to this column.</w:t>
            </w:r>
          </w:p>
        </w:tc>
      </w:tr>
      <w:tr w:rsidR="00CC0A94"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Non-identified, not listed on a trading venue</w:t>
            </w:r>
          </w:p>
          <w:p w14:paraId="7FE1B521" w14:textId="4FDBE5B1"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Where the identity of the holder of a security is not known, without the instruments being listed on a trading venue, the amounts shall be attributed to this </w:t>
            </w:r>
            <w:proofErr w:type="gramStart"/>
            <w:r>
              <w:rPr>
                <w:rFonts w:ascii="Times New Roman" w:eastAsia="Cambria" w:hAnsi="Times New Roman" w:cs="Times New Roman"/>
                <w:color w:val="000000" w:themeColor="text1"/>
                <w:spacing w:val="-2"/>
                <w:w w:val="95"/>
                <w:sz w:val="20"/>
                <w:szCs w:val="20"/>
                <w:lang w:val="en-GB"/>
              </w:rPr>
              <w:t>column</w:t>
            </w:r>
            <w:proofErr w:type="gramEnd"/>
            <w:r>
              <w:rPr>
                <w:rFonts w:ascii="Times New Roman" w:eastAsia="Cambria" w:hAnsi="Times New Roman" w:cs="Times New Roman"/>
                <w:color w:val="000000" w:themeColor="text1"/>
                <w:spacing w:val="-2"/>
                <w:w w:val="95"/>
                <w:sz w:val="20"/>
                <w:szCs w:val="20"/>
                <w:lang w:val="en-GB"/>
              </w:rPr>
              <w:t xml:space="preserve"> and no further counterparty breakdown is required. Reporting entities are encouraged to identify counterparties and limit the use of this column to a minimum.</w:t>
            </w:r>
          </w:p>
        </w:tc>
      </w:tr>
      <w:tr w:rsidR="00CC0A94"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0090-0</w:t>
            </w:r>
            <w:r w:rsidR="00E22C47">
              <w:rPr>
                <w:rFonts w:ascii="Times New Roman" w:hAnsi="Times New Roman" w:cs="Times New Roman"/>
                <w:color w:val="000000" w:themeColor="text1"/>
                <w:sz w:val="20"/>
                <w:szCs w:val="20"/>
                <w:lang w:val="en-GB"/>
              </w:rPr>
              <w:t>11</w:t>
            </w:r>
            <w:r>
              <w:rPr>
                <w:rFonts w:ascii="Times New Roman" w:hAnsi="Times New Roman" w:cs="Times New Roman"/>
                <w:color w:val="000000" w:themeColor="text1"/>
                <w:sz w:val="20"/>
                <w:szCs w:val="20"/>
                <w:lang w:val="en-GB"/>
              </w:rPr>
              <w:t>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Total</w:t>
            </w:r>
          </w:p>
        </w:tc>
      </w:tr>
      <w:tr w:rsidR="00CC0A94"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Of which: intragroup</w:t>
            </w:r>
          </w:p>
          <w:p w14:paraId="7FE1B528" w14:textId="1BF72D2B" w:rsidR="00CC0A94" w:rsidRDefault="006C1571">
            <w:pPr>
              <w:pStyle w:val="TableParagraph"/>
              <w:spacing w:before="108"/>
              <w:ind w:left="85"/>
              <w:jc w:val="both"/>
              <w:rPr>
                <w:rFonts w:ascii="Times New Roman" w:eastAsia="Times New Roman" w:hAnsi="Times New Roman" w:cs="Times New Roman"/>
                <w:sz w:val="20"/>
                <w:szCs w:val="20"/>
                <w:lang w:val="en-GB"/>
              </w:rPr>
            </w:pPr>
            <w:r>
              <w:rPr>
                <w:rFonts w:ascii="Times New Roman" w:eastAsia="Cambria" w:hAnsi="Times New Roman" w:cs="Times New Roman"/>
                <w:color w:val="000000" w:themeColor="text1"/>
                <w:spacing w:val="-2"/>
                <w:w w:val="95"/>
                <w:sz w:val="20"/>
                <w:szCs w:val="20"/>
                <w:lang w:val="en-GB"/>
              </w:rPr>
              <w:t xml:space="preserve">Liabilities towards entities included in the </w:t>
            </w:r>
            <w:r>
              <w:rPr>
                <w:rFonts w:ascii="Times New Roman" w:hAnsi="Times New Roman" w:cs="Times New Roman"/>
                <w:color w:val="000000" w:themeColor="text1"/>
                <w:sz w:val="20"/>
                <w:szCs w:val="20"/>
                <w:lang w:val="en-GB"/>
              </w:rPr>
              <w:t>accounting scope of consolidation</w:t>
            </w:r>
            <w:r>
              <w:rPr>
                <w:rFonts w:ascii="Times New Roman" w:eastAsia="Cambria" w:hAnsi="Times New Roman" w:cs="Times New Roman"/>
                <w:color w:val="000000" w:themeColor="text1"/>
                <w:spacing w:val="-2"/>
                <w:w w:val="95"/>
                <w:sz w:val="20"/>
                <w:szCs w:val="20"/>
                <w:lang w:val="en-GB"/>
              </w:rPr>
              <w:t xml:space="preserve"> of the ultimate parent entity (as opposed to the prudential scope of consolidation). </w:t>
            </w:r>
          </w:p>
        </w:tc>
      </w:tr>
      <w:tr w:rsidR="00CC0A94"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Of which: liabilities governed by the law of a third country, excluding intragroup</w:t>
            </w:r>
          </w:p>
          <w:p w14:paraId="7FE1B52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These shall include the gross amounts of liabilities governed by the law of a </w:t>
            </w:r>
            <w:proofErr w:type="gramStart"/>
            <w:r>
              <w:rPr>
                <w:rFonts w:ascii="Times New Roman" w:eastAsia="Cambria" w:hAnsi="Times New Roman" w:cs="Times New Roman"/>
                <w:color w:val="000000" w:themeColor="text1"/>
                <w:spacing w:val="-2"/>
                <w:w w:val="95"/>
                <w:sz w:val="20"/>
                <w:szCs w:val="20"/>
                <w:lang w:val="en-GB"/>
              </w:rPr>
              <w:t>third-country</w:t>
            </w:r>
            <w:proofErr w:type="gramEnd"/>
            <w:r>
              <w:rPr>
                <w:rFonts w:ascii="Times New Roman" w:eastAsia="Cambria" w:hAnsi="Times New Roman" w:cs="Times New Roman"/>
                <w:color w:val="000000" w:themeColor="text1"/>
                <w:spacing w:val="-2"/>
                <w:w w:val="95"/>
                <w:sz w:val="20"/>
                <w:szCs w:val="20"/>
                <w:lang w:val="en-GB"/>
              </w:rPr>
              <w:t xml:space="preserve"> and/or issued by group entities established in </w:t>
            </w:r>
            <w:proofErr w:type="gramStart"/>
            <w:r>
              <w:rPr>
                <w:rFonts w:ascii="Times New Roman" w:eastAsia="Cambria" w:hAnsi="Times New Roman" w:cs="Times New Roman"/>
                <w:color w:val="000000" w:themeColor="text1"/>
                <w:spacing w:val="-2"/>
                <w:w w:val="95"/>
                <w:sz w:val="20"/>
                <w:szCs w:val="20"/>
                <w:lang w:val="en-GB"/>
              </w:rPr>
              <w:t>third-countries</w:t>
            </w:r>
            <w:proofErr w:type="gramEnd"/>
            <w:r>
              <w:rPr>
                <w:rFonts w:ascii="Times New Roman" w:eastAsia="Cambria" w:hAnsi="Times New Roman" w:cs="Times New Roman"/>
                <w:color w:val="000000" w:themeColor="text1"/>
                <w:spacing w:val="-2"/>
                <w:w w:val="95"/>
                <w:sz w:val="20"/>
                <w:szCs w:val="20"/>
                <w:lang w:val="en-GB"/>
              </w:rPr>
              <w:t>. Intragroup liabilities shall be excluded.</w:t>
            </w:r>
          </w:p>
          <w:p w14:paraId="7FE1B52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Where the resolution authority has confirmed that it is satisfied, pursuant to Article 55 (3) of Directive 2014/59/EU of the European Parliament and of the Council</w:t>
            </w:r>
            <w:r w:rsidRPr="002F61BB">
              <w:rPr>
                <w:rStyle w:val="FootnoteReference"/>
                <w:rFonts w:ascii="Times New Roman" w:eastAsia="Cambria" w:hAnsi="Times New Roman" w:cs="Times New Roman"/>
                <w:color w:val="000000" w:themeColor="text1"/>
                <w:spacing w:val="-2"/>
                <w:w w:val="95"/>
                <w:lang w:val="en-GB"/>
              </w:rPr>
              <w:footnoteReference w:id="14"/>
            </w:r>
            <w:r>
              <w:rPr>
                <w:rFonts w:ascii="Times New Roman" w:eastAsia="Cambria" w:hAnsi="Times New Roman" w:cs="Times New Roman"/>
                <w:color w:val="000000" w:themeColor="text1"/>
                <w:spacing w:val="-2"/>
                <w:w w:val="95"/>
                <w:sz w:val="20"/>
                <w:szCs w:val="20"/>
                <w:lang w:val="en-GB"/>
              </w:rPr>
              <w:t>, that any decision of a resolution authority to write down or convert a liability would be effective under the law of that third country, that liability shall not be reported in this column.</w:t>
            </w:r>
          </w:p>
        </w:tc>
      </w:tr>
    </w:tbl>
    <w:p w14:paraId="7FE1B532" w14:textId="77777777" w:rsidR="00CC0A94" w:rsidRPr="002F61BB" w:rsidRDefault="00CC0A94">
      <w:pPr>
        <w:rPr>
          <w:rFonts w:ascii="Times New Roman" w:hAnsi="Times New Roman" w:cs="Times New Roman"/>
        </w:rPr>
      </w:pPr>
    </w:p>
    <w:p w14:paraId="7FE1B533" w14:textId="77777777" w:rsidR="00CC0A94" w:rsidRDefault="00CC0A94">
      <w:pPr>
        <w:rPr>
          <w:rFonts w:ascii="Times New Roman" w:hAnsi="Times New Roman" w:cs="Times New Roman"/>
          <w:color w:val="000000" w:themeColor="text1"/>
          <w:sz w:val="20"/>
          <w:szCs w:val="20"/>
          <w:lang w:val="en-GB"/>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CC0A94" w14:paraId="7FE1B536" w14:textId="77777777" w:rsidTr="002F61BB">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Rows</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53B" w14:textId="77777777" w:rsidTr="002F61BB">
        <w:tc>
          <w:tcPr>
            <w:tcW w:w="905" w:type="dxa"/>
            <w:tcBorders>
              <w:top w:val="single" w:sz="4" w:space="0" w:color="1A171C"/>
              <w:left w:val="nil"/>
              <w:bottom w:val="single" w:sz="4" w:space="0" w:color="1A171C"/>
              <w:right w:val="single" w:sz="4" w:space="0" w:color="1A171C"/>
            </w:tcBorders>
            <w:vAlign w:val="center"/>
          </w:tcPr>
          <w:p w14:paraId="7FE1B537"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Liabilities excluded from bail-in</w:t>
            </w:r>
          </w:p>
          <w:p w14:paraId="7FE1B53A" w14:textId="5A5F469A" w:rsidR="00CC0A94" w:rsidRDefault="006C1571" w:rsidP="002F61BB">
            <w:pPr>
              <w:pStyle w:val="TableParagraph"/>
              <w:spacing w:before="108"/>
              <w:jc w:val="both"/>
              <w:rPr>
                <w:rFonts w:ascii="Times New Roman" w:eastAsia="Cambria" w:hAnsi="Times New Roman" w:cs="Times New Roman"/>
                <w:color w:val="000000" w:themeColor="text1"/>
                <w:spacing w:val="-1"/>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liabilities for which the resolution authorities shall not exercise the write down or conversion powers in accordance with Article 44 (2) of Directive 2014/59/EU. </w:t>
            </w:r>
          </w:p>
        </w:tc>
      </w:tr>
      <w:tr w:rsidR="00CC0A94" w14:paraId="7FE1B53F" w14:textId="77777777" w:rsidTr="002F61BB">
        <w:tc>
          <w:tcPr>
            <w:tcW w:w="905" w:type="dxa"/>
            <w:tcBorders>
              <w:top w:val="single" w:sz="4" w:space="0" w:color="1A171C"/>
              <w:left w:val="nil"/>
              <w:bottom w:val="single" w:sz="4" w:space="0" w:color="1A171C"/>
              <w:right w:val="single" w:sz="4" w:space="0" w:color="1A171C"/>
            </w:tcBorders>
            <w:vAlign w:val="center"/>
          </w:tcPr>
          <w:p w14:paraId="7FE1B53C"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Covered deposits</w:t>
            </w:r>
          </w:p>
          <w:p w14:paraId="7FE1B53E" w14:textId="77777777" w:rsidR="00CC0A94" w:rsidRDefault="006C1571">
            <w:pPr>
              <w:pStyle w:val="TableParagraph"/>
              <w:spacing w:before="108"/>
              <w:ind w:left="85"/>
              <w:jc w:val="both"/>
              <w:rPr>
                <w:rFonts w:ascii="Times New Roman" w:eastAsia="Book Antiqu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w:t>
            </w:r>
            <w:proofErr w:type="gramStart"/>
            <w:r>
              <w:rPr>
                <w:rFonts w:ascii="Times New Roman" w:eastAsia="Cambria" w:hAnsi="Times New Roman" w:cs="Times New Roman"/>
                <w:color w:val="000000" w:themeColor="text1"/>
                <w:spacing w:val="-2"/>
                <w:w w:val="95"/>
                <w:sz w:val="20"/>
                <w:szCs w:val="20"/>
                <w:lang w:val="en-GB"/>
              </w:rPr>
              <w:t>amount</w:t>
            </w:r>
            <w:proofErr w:type="gramEnd"/>
            <w:r>
              <w:rPr>
                <w:rFonts w:ascii="Times New Roman" w:eastAsia="Cambria" w:hAnsi="Times New Roman" w:cs="Times New Roman"/>
                <w:color w:val="000000" w:themeColor="text1"/>
                <w:spacing w:val="-2"/>
                <w:w w:val="95"/>
                <w:sz w:val="20"/>
                <w:szCs w:val="20"/>
                <w:lang w:val="en-GB"/>
              </w:rPr>
              <w:t xml:space="preserve"> of covered deposits as defined in point (5) of Article 2 (1) of </w:t>
            </w:r>
            <w:r>
              <w:rPr>
                <w:rFonts w:ascii="Times New Roman" w:hAnsi="Times New Roman" w:cs="Times New Roman"/>
                <w:color w:val="000000" w:themeColor="text1"/>
                <w:sz w:val="20"/>
                <w:szCs w:val="20"/>
                <w:lang w:val="en-GB" w:eastAsia="en-GB"/>
              </w:rPr>
              <w:t xml:space="preserve">Directive 2014/49/EU of the </w:t>
            </w:r>
            <w:r>
              <w:rPr>
                <w:rFonts w:ascii="Times New Roman" w:eastAsia="Cambria" w:hAnsi="Times New Roman" w:cs="Times New Roman"/>
                <w:color w:val="000000" w:themeColor="text1"/>
                <w:spacing w:val="-2"/>
                <w:w w:val="95"/>
                <w:sz w:val="20"/>
                <w:szCs w:val="20"/>
                <w:lang w:val="en-GB"/>
              </w:rPr>
              <w:t>European Parliament and of</w:t>
            </w:r>
            <w:r>
              <w:rPr>
                <w:rFonts w:ascii="Times New Roman" w:hAnsi="Times New Roman" w:cs="Times New Roman"/>
                <w:color w:val="000000" w:themeColor="text1"/>
                <w:sz w:val="20"/>
                <w:szCs w:val="20"/>
                <w:lang w:val="en-GB" w:eastAsia="en-GB"/>
              </w:rPr>
              <w:t xml:space="preserve"> the Council</w:t>
            </w:r>
            <w:r w:rsidRPr="002F61BB">
              <w:rPr>
                <w:rStyle w:val="FootnoteReference"/>
                <w:rFonts w:ascii="Times New Roman" w:hAnsi="Times New Roman" w:cs="Times New Roman"/>
                <w:color w:val="000000" w:themeColor="text1"/>
                <w:lang w:val="en-GB" w:eastAsia="en-GB"/>
              </w:rPr>
              <w:footnoteReference w:id="15"/>
            </w:r>
            <w:r>
              <w:rPr>
                <w:rFonts w:ascii="Times New Roman" w:eastAsia="Cambria" w:hAnsi="Times New Roman" w:cs="Times New Roman"/>
                <w:color w:val="000000" w:themeColor="text1"/>
                <w:spacing w:val="-2"/>
                <w:w w:val="95"/>
                <w:sz w:val="20"/>
                <w:szCs w:val="20"/>
                <w:lang w:val="en-GB"/>
              </w:rPr>
              <w:t>, with the exclusion of temporary high balances as defined in Article 6(2) of that Directive.</w:t>
            </w:r>
          </w:p>
        </w:tc>
      </w:tr>
      <w:tr w:rsidR="00CC0A94" w14:paraId="7FE1B546" w14:textId="77777777" w:rsidTr="002F61BB">
        <w:tc>
          <w:tcPr>
            <w:tcW w:w="905" w:type="dxa"/>
            <w:tcBorders>
              <w:top w:val="single" w:sz="4" w:space="0" w:color="1A171C"/>
              <w:left w:val="nil"/>
              <w:bottom w:val="single" w:sz="4" w:space="0" w:color="1A171C"/>
              <w:right w:val="single" w:sz="4" w:space="0" w:color="1A171C"/>
            </w:tcBorders>
            <w:vAlign w:val="center"/>
          </w:tcPr>
          <w:p w14:paraId="7FE1B540"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Secured liabilities – collateralized part</w:t>
            </w:r>
          </w:p>
          <w:p w14:paraId="7FE1B542" w14:textId="14245B0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point b of Article 44 (2) of Directive 2014/59/EU.</w:t>
            </w:r>
          </w:p>
          <w:p w14:paraId="7FE1B54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Secured liabilities including repurchase agreements (repos), covered bonds and liabilities in the form of financial instruments which form an integral part of the cover pool and which according to national law are secured in a way </w:t>
            </w:r>
            <w:proofErr w:type="gramStart"/>
            <w:r>
              <w:rPr>
                <w:rFonts w:ascii="Times New Roman" w:eastAsia="Cambria" w:hAnsi="Times New Roman" w:cs="Times New Roman"/>
                <w:color w:val="000000" w:themeColor="text1"/>
                <w:spacing w:val="-2"/>
                <w:w w:val="95"/>
                <w:sz w:val="20"/>
                <w:szCs w:val="20"/>
                <w:lang w:val="en-GB"/>
              </w:rPr>
              <w:t>similar to</w:t>
            </w:r>
            <w:proofErr w:type="gramEnd"/>
            <w:r>
              <w:rPr>
                <w:rFonts w:ascii="Times New Roman" w:eastAsia="Cambria" w:hAnsi="Times New Roman" w:cs="Times New Roman"/>
                <w:color w:val="000000" w:themeColor="text1"/>
                <w:spacing w:val="-2"/>
                <w:w w:val="95"/>
                <w:sz w:val="20"/>
                <w:szCs w:val="20"/>
                <w:lang w:val="en-GB"/>
              </w:rPr>
              <w:t xml:space="preserve"> covered bonds.</w:t>
            </w:r>
          </w:p>
          <w:p w14:paraId="7FE1B54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Neither the requirement to ensure that all secured assets relating to a covered bond cover pool remain unaffected, segregated and with enough funding, nor the exclusion of Article 44 (2) point b of Directive 2014/59/EU shall prevent resolution authorities, where appropriate, from exercising those powers in relation to any part of a secured liability or a liability for which collateral has been pledged that exceeds the value of the assets, pledge, lien or collateral against which it is secured. Such an uncovered amount of these secured liabilities shall not be reported in this row, but reported in row 0340, subject to additional breakdown.</w:t>
            </w:r>
          </w:p>
          <w:p w14:paraId="7FE1B54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Central Bank liabilities which are covered by a collateral pool (</w:t>
            </w:r>
            <w:r>
              <w:rPr>
                <w:rFonts w:ascii="Times New Roman" w:eastAsia="Cambria" w:hAnsi="Times New Roman" w:cs="Times New Roman"/>
                <w:color w:val="1A171C"/>
                <w:spacing w:val="-2"/>
                <w:w w:val="95"/>
                <w:sz w:val="20"/>
                <w:szCs w:val="20"/>
                <w:lang w:val="en-GB"/>
              </w:rPr>
              <w:t xml:space="preserve">for example main refinancing operations, </w:t>
            </w:r>
            <w:r>
              <w:rPr>
                <w:rFonts w:ascii="Times New Roman" w:eastAsia="Cambria" w:hAnsi="Times New Roman" w:cs="Times New Roman"/>
                <w:color w:val="1A171C"/>
                <w:spacing w:val="-2"/>
                <w:w w:val="95"/>
                <w:sz w:val="20"/>
                <w:szCs w:val="20"/>
                <w:lang w:val="en-GB"/>
              </w:rPr>
              <w:lastRenderedPageBreak/>
              <w:t>long term refinancing operation, target longer-term refinancing operations, etc</w:t>
            </w:r>
            <w:r>
              <w:rPr>
                <w:rFonts w:ascii="Times New Roman" w:eastAsia="Cambria" w:hAnsi="Times New Roman" w:cs="Times New Roman"/>
                <w:color w:val="000000" w:themeColor="text1"/>
                <w:spacing w:val="-2"/>
                <w:w w:val="95"/>
                <w:sz w:val="20"/>
                <w:szCs w:val="20"/>
                <w:lang w:val="en-GB"/>
              </w:rPr>
              <w:t xml:space="preserve">) shall be regarded as secured liabilities. </w:t>
            </w:r>
          </w:p>
        </w:tc>
      </w:tr>
      <w:tr w:rsidR="00CC0A94" w14:paraId="7FE1B54B" w14:textId="77777777" w:rsidTr="002F61BB">
        <w:tc>
          <w:tcPr>
            <w:tcW w:w="905" w:type="dxa"/>
            <w:tcBorders>
              <w:top w:val="single" w:sz="4" w:space="0" w:color="1A171C"/>
              <w:left w:val="nil"/>
              <w:bottom w:val="single" w:sz="4" w:space="0" w:color="1A171C"/>
              <w:right w:val="single" w:sz="4" w:space="0" w:color="1A171C"/>
            </w:tcBorders>
            <w:vAlign w:val="center"/>
          </w:tcPr>
          <w:p w14:paraId="7FE1B547"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Client liabilities, if protected in insolvency</w:t>
            </w:r>
          </w:p>
          <w:p w14:paraId="7FE1B54A" w14:textId="2F60701C"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c of Directive 2014/59/EU.</w:t>
            </w:r>
          </w:p>
        </w:tc>
      </w:tr>
      <w:tr w:rsidR="00CC0A94" w14:paraId="7FE1B550" w14:textId="77777777" w:rsidTr="002F61BB">
        <w:tc>
          <w:tcPr>
            <w:tcW w:w="905" w:type="dxa"/>
            <w:tcBorders>
              <w:top w:val="single" w:sz="4" w:space="0" w:color="1A171C"/>
              <w:left w:val="nil"/>
              <w:bottom w:val="single" w:sz="4" w:space="0" w:color="1A171C"/>
              <w:right w:val="single" w:sz="4" w:space="0" w:color="1A171C"/>
            </w:tcBorders>
            <w:vAlign w:val="center"/>
          </w:tcPr>
          <w:p w14:paraId="7FE1B54C"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Fiduciary liabilities, if protected in insolvency</w:t>
            </w:r>
          </w:p>
          <w:p w14:paraId="7FE1B54F" w14:textId="76B21996"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d of Directive 2014/59/EU.</w:t>
            </w:r>
          </w:p>
        </w:tc>
      </w:tr>
      <w:tr w:rsidR="00CC0A94" w14:paraId="7FE1B555" w14:textId="77777777" w:rsidTr="002F61BB">
        <w:tc>
          <w:tcPr>
            <w:tcW w:w="905" w:type="dxa"/>
            <w:tcBorders>
              <w:top w:val="single" w:sz="4" w:space="0" w:color="1A171C"/>
              <w:left w:val="nil"/>
              <w:bottom w:val="single" w:sz="4" w:space="0" w:color="1A171C"/>
              <w:right w:val="single" w:sz="4" w:space="0" w:color="1A171C"/>
            </w:tcBorders>
            <w:vAlign w:val="center"/>
          </w:tcPr>
          <w:p w14:paraId="7FE1B551"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 xml:space="preserve">Institution liabilities &lt; 7 days </w:t>
            </w:r>
          </w:p>
          <w:p w14:paraId="7FE1B554" w14:textId="175AD873"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e of Directive 2014/59/EU.</w:t>
            </w:r>
          </w:p>
        </w:tc>
      </w:tr>
      <w:tr w:rsidR="00CC0A94" w14:paraId="7FE1B559" w14:textId="77777777" w:rsidTr="002F61BB">
        <w:tc>
          <w:tcPr>
            <w:tcW w:w="905" w:type="dxa"/>
            <w:tcBorders>
              <w:top w:val="single" w:sz="4" w:space="0" w:color="1A171C"/>
              <w:left w:val="nil"/>
              <w:bottom w:val="single" w:sz="4" w:space="0" w:color="1A171C"/>
              <w:right w:val="single" w:sz="4" w:space="0" w:color="1A171C"/>
            </w:tcBorders>
            <w:vAlign w:val="center"/>
          </w:tcPr>
          <w:p w14:paraId="7FE1B55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System (operator) and CCP liabilities &lt; 7 days</w:t>
            </w:r>
          </w:p>
          <w:p w14:paraId="7FE1B558" w14:textId="79B15273"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liabilities as referenced in Article 44 (2) point f of Directive 2014/59/EU, including payment and security settlement systems and clearing houses, as well as CCP-cleared derivatives with maturity below 7 days. </w:t>
            </w:r>
          </w:p>
        </w:tc>
      </w:tr>
      <w:tr w:rsidR="00CC0A94" w14:paraId="7FE1B55E" w14:textId="77777777" w:rsidTr="002F61BB">
        <w:tc>
          <w:tcPr>
            <w:tcW w:w="905" w:type="dxa"/>
            <w:tcBorders>
              <w:top w:val="single" w:sz="4" w:space="0" w:color="1A171C"/>
              <w:left w:val="nil"/>
              <w:bottom w:val="single" w:sz="4" w:space="0" w:color="1A171C"/>
              <w:right w:val="single" w:sz="4" w:space="0" w:color="1A171C"/>
            </w:tcBorders>
            <w:vAlign w:val="center"/>
          </w:tcPr>
          <w:p w14:paraId="7FE1B55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Employee liabilities</w:t>
            </w:r>
          </w:p>
          <w:p w14:paraId="7FE1B55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g (i) of Directive 2014/59/EU.</w:t>
            </w:r>
          </w:p>
          <w:p w14:paraId="7FE1B55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Liabilities to an employee, in relation to accrued salary, pension benefits or other fixed remuneration, except for the variable component of remuneration that is not regulated by a collective bargaining agreement. This shall however not apply to the variable component of the remuneration of material risk takers as identified in Article 92 (2) of Directive 2013/36/EU.</w:t>
            </w:r>
          </w:p>
        </w:tc>
      </w:tr>
      <w:tr w:rsidR="00CC0A94" w14:paraId="7FE1B563" w14:textId="77777777" w:rsidTr="002F61BB">
        <w:tc>
          <w:tcPr>
            <w:tcW w:w="905" w:type="dxa"/>
            <w:tcBorders>
              <w:top w:val="single" w:sz="4" w:space="0" w:color="1A171C"/>
              <w:left w:val="nil"/>
              <w:bottom w:val="single" w:sz="4" w:space="0" w:color="1A171C"/>
              <w:right w:val="single" w:sz="4" w:space="0" w:color="1A171C"/>
            </w:tcBorders>
            <w:vAlign w:val="center"/>
          </w:tcPr>
          <w:p w14:paraId="7FE1B55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Liabilities critical to operational daily functioning</w:t>
            </w:r>
          </w:p>
          <w:p w14:paraId="7FE1B562" w14:textId="61C90413"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g (ii) of Directive 2014/59/EU.</w:t>
            </w:r>
          </w:p>
        </w:tc>
      </w:tr>
      <w:tr w:rsidR="00CC0A94" w14:paraId="7FE1B568" w14:textId="77777777" w:rsidTr="002F61BB">
        <w:tc>
          <w:tcPr>
            <w:tcW w:w="905" w:type="dxa"/>
            <w:tcBorders>
              <w:top w:val="single" w:sz="4" w:space="0" w:color="1A171C"/>
              <w:left w:val="nil"/>
              <w:bottom w:val="single" w:sz="4" w:space="0" w:color="1A171C"/>
              <w:right w:val="single" w:sz="4" w:space="0" w:color="1A171C"/>
            </w:tcBorders>
            <w:vAlign w:val="center"/>
          </w:tcPr>
          <w:p w14:paraId="7FE1B56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 xml:space="preserve">Tax and social security </w:t>
            </w:r>
            <w:proofErr w:type="gramStart"/>
            <w:r>
              <w:rPr>
                <w:rFonts w:ascii="Times New Roman" w:hAnsi="Times New Roman" w:cs="Times New Roman"/>
                <w:b/>
                <w:color w:val="000000" w:themeColor="text1"/>
                <w:spacing w:val="-2"/>
                <w:w w:val="95"/>
                <w:sz w:val="20"/>
                <w:szCs w:val="20"/>
                <w:lang w:val="en-GB"/>
              </w:rPr>
              <w:t>authorities</w:t>
            </w:r>
            <w:proofErr w:type="gramEnd"/>
            <w:r>
              <w:rPr>
                <w:rFonts w:ascii="Times New Roman" w:hAnsi="Times New Roman" w:cs="Times New Roman"/>
                <w:b/>
                <w:color w:val="000000" w:themeColor="text1"/>
                <w:spacing w:val="-2"/>
                <w:w w:val="95"/>
                <w:sz w:val="20"/>
                <w:szCs w:val="20"/>
                <w:lang w:val="en-GB"/>
              </w:rPr>
              <w:t xml:space="preserve"> liabilities, if preferred</w:t>
            </w:r>
          </w:p>
          <w:p w14:paraId="7FE1B567" w14:textId="46841715"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g (iii) of Directive 2014/59/EU.</w:t>
            </w:r>
          </w:p>
        </w:tc>
      </w:tr>
      <w:tr w:rsidR="00CC0A94" w14:paraId="7FE1B56D" w14:textId="77777777" w:rsidTr="002F61BB">
        <w:tc>
          <w:tcPr>
            <w:tcW w:w="905" w:type="dxa"/>
            <w:tcBorders>
              <w:top w:val="single" w:sz="4" w:space="0" w:color="1A171C"/>
              <w:left w:val="nil"/>
              <w:bottom w:val="single" w:sz="4" w:space="0" w:color="1A171C"/>
              <w:right w:val="single" w:sz="4" w:space="0" w:color="1A171C"/>
            </w:tcBorders>
            <w:vAlign w:val="center"/>
          </w:tcPr>
          <w:p w14:paraId="7FE1B569"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DGS liabilities</w:t>
            </w:r>
          </w:p>
          <w:p w14:paraId="7FE1B56C" w14:textId="69555433"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g (iv) of Directive 2014/59/EU.</w:t>
            </w:r>
          </w:p>
        </w:tc>
      </w:tr>
      <w:tr w:rsidR="00CC0A94" w14:paraId="7FE1B574" w14:textId="77777777" w:rsidTr="002F61BB">
        <w:tc>
          <w:tcPr>
            <w:tcW w:w="905" w:type="dxa"/>
            <w:tcBorders>
              <w:top w:val="single" w:sz="4" w:space="0" w:color="1A171C"/>
              <w:left w:val="nil"/>
              <w:bottom w:val="single" w:sz="4" w:space="0" w:color="1A171C"/>
              <w:right w:val="single" w:sz="4" w:space="0" w:color="1A171C"/>
            </w:tcBorders>
            <w:vAlign w:val="center"/>
          </w:tcPr>
          <w:p w14:paraId="7FE1B56E"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Liabilities towards other entities of the resolution group</w:t>
            </w:r>
          </w:p>
          <w:p w14:paraId="7FE1B57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(h) of Directive 2014/59/EU</w:t>
            </w:r>
          </w:p>
          <w:p w14:paraId="7FE1B571" w14:textId="098C1D7E"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Where the excluded liability is a derivatives liability, the net liability positions </w:t>
            </w:r>
            <w:proofErr w:type="gramStart"/>
            <w:r>
              <w:rPr>
                <w:rFonts w:ascii="Times New Roman" w:eastAsia="Cambria" w:hAnsi="Times New Roman" w:cs="Times New Roman"/>
                <w:color w:val="000000" w:themeColor="text1"/>
                <w:spacing w:val="-2"/>
                <w:w w:val="95"/>
                <w:sz w:val="20"/>
                <w:szCs w:val="20"/>
                <w:lang w:val="en-GB"/>
              </w:rPr>
              <w:t>taking into account</w:t>
            </w:r>
            <w:proofErr w:type="gramEnd"/>
            <w:r>
              <w:rPr>
                <w:rFonts w:ascii="Times New Roman" w:eastAsia="Cambria" w:hAnsi="Times New Roman" w:cs="Times New Roman"/>
                <w:color w:val="000000" w:themeColor="text1"/>
                <w:spacing w:val="-2"/>
                <w:w w:val="95"/>
                <w:sz w:val="20"/>
                <w:szCs w:val="20"/>
                <w:lang w:val="en-GB"/>
              </w:rPr>
              <w:t xml:space="preserve"> the prudential netting rules of Article 429c of Regulation (EU) No 575/2013 shall be reported</w:t>
            </w:r>
            <w:r w:rsidR="00AD694F">
              <w:rPr>
                <w:rFonts w:ascii="Times New Roman" w:eastAsia="Cambria" w:hAnsi="Times New Roman" w:cs="Times New Roman"/>
                <w:color w:val="000000" w:themeColor="text1"/>
                <w:spacing w:val="-2"/>
                <w:w w:val="95"/>
                <w:sz w:val="20"/>
                <w:szCs w:val="20"/>
                <w:lang w:val="en-GB"/>
              </w:rPr>
              <w:t xml:space="preserve"> </w:t>
            </w:r>
            <w:r w:rsidR="00AD694F" w:rsidRPr="00AD694F">
              <w:rPr>
                <w:rFonts w:ascii="Times New Roman" w:eastAsia="Cambria" w:hAnsi="Times New Roman" w:cs="Times New Roman"/>
                <w:color w:val="000000" w:themeColor="text1"/>
                <w:spacing w:val="-2"/>
                <w:w w:val="95"/>
                <w:sz w:val="20"/>
                <w:szCs w:val="20"/>
                <w:lang w:val="en-GB"/>
              </w:rPr>
              <w:t>for the columns relating to the “outstanding amount” (as in row r0334). For the columns relating to the “carrying amount”, the balance sheet liabilities arising from derivatives shall be reported (as in row r0330)</w:t>
            </w:r>
            <w:r w:rsidR="00AD694F">
              <w:rPr>
                <w:rFonts w:ascii="Times New Roman" w:eastAsia="Cambria" w:hAnsi="Times New Roman" w:cs="Times New Roman"/>
                <w:color w:val="000000" w:themeColor="text1"/>
                <w:spacing w:val="-2"/>
                <w:w w:val="95"/>
                <w:sz w:val="20"/>
                <w:szCs w:val="20"/>
                <w:lang w:val="en-GB"/>
              </w:rPr>
              <w:t>.</w:t>
            </w:r>
          </w:p>
          <w:p w14:paraId="7FE1B572" w14:textId="5F54330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When the reporting entity is not identified as resolution entity itself, it must report in only those liabilities falling under Article 44(2)(h) BRRD that are held by its subsidiaries that are also not resolution entities but are part of the same resolution group as the reporting entity.</w:t>
            </w:r>
          </w:p>
          <w:p w14:paraId="7FE1B573" w14:textId="0A9C3B4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Intra-group liabilities for entities established outside the EU shall not be reported in this row, as per Article 1(1) of BRRD, points (b), (c) or (d), as referred to in BRRD Article 44(2) (h). </w:t>
            </w:r>
          </w:p>
        </w:tc>
      </w:tr>
      <w:tr w:rsidR="00CC0A94" w14:paraId="7FE1B578" w14:textId="77777777" w:rsidTr="002F61BB">
        <w:tc>
          <w:tcPr>
            <w:tcW w:w="905" w:type="dxa"/>
            <w:tcBorders>
              <w:top w:val="single" w:sz="4" w:space="0" w:color="1A171C"/>
              <w:left w:val="nil"/>
              <w:bottom w:val="single" w:sz="4" w:space="0" w:color="1A171C"/>
              <w:right w:val="single" w:sz="4" w:space="0" w:color="1A171C"/>
            </w:tcBorders>
            <w:vAlign w:val="center"/>
          </w:tcPr>
          <w:p w14:paraId="7FE1B575"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Liabilities not excluded from bail-in</w:t>
            </w:r>
          </w:p>
          <w:p w14:paraId="7FE1B577" w14:textId="06299840"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bail-</w:t>
            </w:r>
            <w:proofErr w:type="spellStart"/>
            <w:r>
              <w:rPr>
                <w:rFonts w:ascii="Times New Roman" w:eastAsia="Cambria" w:hAnsi="Times New Roman" w:cs="Times New Roman"/>
                <w:color w:val="000000" w:themeColor="text1"/>
                <w:spacing w:val="-2"/>
                <w:w w:val="95"/>
                <w:sz w:val="20"/>
                <w:szCs w:val="20"/>
                <w:lang w:val="en-GB"/>
              </w:rPr>
              <w:t>inable</w:t>
            </w:r>
            <w:proofErr w:type="spellEnd"/>
            <w:r>
              <w:rPr>
                <w:rFonts w:ascii="Times New Roman" w:eastAsia="Cambria" w:hAnsi="Times New Roman" w:cs="Times New Roman"/>
                <w:color w:val="000000" w:themeColor="text1"/>
                <w:spacing w:val="-2"/>
                <w:w w:val="95"/>
                <w:sz w:val="20"/>
                <w:szCs w:val="20"/>
                <w:lang w:val="en-GB"/>
              </w:rPr>
              <w:t xml:space="preserve"> liabilities, as defined in Article 2(1 of Directive 2014/59/EU, point (71). This is the sum of rows 0310, 0320,</w:t>
            </w:r>
            <w:r w:rsidR="006E1646">
              <w:rPr>
                <w:rFonts w:ascii="Times New Roman" w:eastAsia="Cambria" w:hAnsi="Times New Roman" w:cs="Times New Roman"/>
                <w:color w:val="000000" w:themeColor="text1"/>
                <w:spacing w:val="-2"/>
                <w:w w:val="95"/>
                <w:sz w:val="20"/>
                <w:szCs w:val="20"/>
                <w:lang w:val="en-GB"/>
              </w:rPr>
              <w:t xml:space="preserve"> 0330,</w:t>
            </w:r>
            <w:r>
              <w:rPr>
                <w:rFonts w:ascii="Times New Roman" w:eastAsia="Cambria" w:hAnsi="Times New Roman" w:cs="Times New Roman"/>
                <w:color w:val="000000" w:themeColor="text1"/>
                <w:spacing w:val="-2"/>
                <w:w w:val="95"/>
                <w:sz w:val="20"/>
                <w:szCs w:val="20"/>
                <w:lang w:val="en-GB"/>
              </w:rPr>
              <w:t xml:space="preserve"> 0334, 0340, 0350, 0360, 0365, 0370, 0380, 0390 and 0400.</w:t>
            </w:r>
          </w:p>
        </w:tc>
      </w:tr>
      <w:tr w:rsidR="00CC0A94" w14:paraId="7FE1B57D" w14:textId="77777777" w:rsidTr="002F61BB">
        <w:tc>
          <w:tcPr>
            <w:tcW w:w="905" w:type="dxa"/>
            <w:tcBorders>
              <w:top w:val="single" w:sz="4" w:space="0" w:color="1A171C"/>
              <w:left w:val="nil"/>
              <w:bottom w:val="single" w:sz="4" w:space="0" w:color="1A171C"/>
              <w:right w:val="single" w:sz="4" w:space="0" w:color="1A171C"/>
            </w:tcBorders>
            <w:vAlign w:val="center"/>
          </w:tcPr>
          <w:p w14:paraId="7FE1B579"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0310 – </w:t>
            </w:r>
            <w:r>
              <w:rPr>
                <w:rFonts w:ascii="Times New Roman" w:hAnsi="Times New Roman" w:cs="Times New Roman"/>
                <w:color w:val="000000" w:themeColor="text1"/>
                <w:sz w:val="20"/>
                <w:szCs w:val="20"/>
                <w:lang w:val="en-GB"/>
              </w:rPr>
              <w:lastRenderedPageBreak/>
              <w:t>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lastRenderedPageBreak/>
              <w:t>Deposits, not covered but preferential</w:t>
            </w:r>
          </w:p>
          <w:p w14:paraId="7FE1B57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Article 108 of Directive 2014/59/EU</w:t>
            </w:r>
          </w:p>
          <w:p w14:paraId="7FE1B57C" w14:textId="32E4C4DA"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Deposits as defined in Article 2 (1) point 3 of Directive 2014/49/EU that do not qualify for exclusion from bail-in (Article 44 (2) point a) of Directive 2014/59/EU), yet for which a preferential treatment is foreseen in line with Article 108 of Directive 2014/59/EU. </w:t>
            </w:r>
          </w:p>
        </w:tc>
      </w:tr>
      <w:tr w:rsidR="00CC0A94" w14:paraId="7FE1B581" w14:textId="77777777" w:rsidTr="002F61BB">
        <w:tc>
          <w:tcPr>
            <w:tcW w:w="905" w:type="dxa"/>
            <w:tcBorders>
              <w:top w:val="single" w:sz="4" w:space="0" w:color="1A171C"/>
              <w:left w:val="nil"/>
              <w:bottom w:val="single" w:sz="4" w:space="0" w:color="1A171C"/>
              <w:right w:val="single" w:sz="4" w:space="0" w:color="1A171C"/>
            </w:tcBorders>
            <w:vAlign w:val="center"/>
          </w:tcPr>
          <w:p w14:paraId="7FE1B57E"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0320 - 0324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Deposits, not covered and not preferential</w:t>
            </w:r>
          </w:p>
          <w:p w14:paraId="7FE1B580" w14:textId="0D609C91"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Deposits as defined in Article 2 (1) point 3 of Directive 2014/49/EU that do not qualify for exclusion from bail-in or preferential treatment in application of Articles 44 (2) point </w:t>
            </w:r>
            <w:proofErr w:type="gramStart"/>
            <w:r>
              <w:rPr>
                <w:rFonts w:ascii="Times New Roman" w:eastAsia="Cambria" w:hAnsi="Times New Roman" w:cs="Times New Roman"/>
                <w:color w:val="000000" w:themeColor="text1"/>
                <w:spacing w:val="-2"/>
                <w:w w:val="95"/>
                <w:sz w:val="20"/>
                <w:szCs w:val="20"/>
                <w:lang w:val="en-GB"/>
              </w:rPr>
              <w:t>a or</w:t>
            </w:r>
            <w:proofErr w:type="gramEnd"/>
            <w:r>
              <w:rPr>
                <w:rFonts w:ascii="Times New Roman" w:eastAsia="Cambria" w:hAnsi="Times New Roman" w:cs="Times New Roman"/>
                <w:color w:val="000000" w:themeColor="text1"/>
                <w:spacing w:val="-2"/>
                <w:w w:val="95"/>
                <w:sz w:val="20"/>
                <w:szCs w:val="20"/>
                <w:lang w:val="en-GB"/>
              </w:rPr>
              <w:t xml:space="preserve"> 108 of Directive 2014/59/EU.</w:t>
            </w:r>
          </w:p>
        </w:tc>
      </w:tr>
      <w:tr w:rsidR="00CC0A94" w14:paraId="7FE1B585" w14:textId="77777777" w:rsidTr="002F61BB">
        <w:tc>
          <w:tcPr>
            <w:tcW w:w="905" w:type="dxa"/>
            <w:tcBorders>
              <w:top w:val="single" w:sz="4" w:space="0" w:color="1A171C"/>
              <w:left w:val="nil"/>
              <w:bottom w:val="single" w:sz="4" w:space="0" w:color="1A171C"/>
              <w:right w:val="single" w:sz="4" w:space="0" w:color="1A171C"/>
            </w:tcBorders>
            <w:vAlign w:val="center"/>
          </w:tcPr>
          <w:p w14:paraId="7FE1B58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Balance sheet liabilities arising from derivatives</w:t>
            </w:r>
          </w:p>
          <w:p w14:paraId="625CF84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Accounting value of liabilities arising from derivatives</w:t>
            </w:r>
            <w:r w:rsidR="00304D62">
              <w:rPr>
                <w:rFonts w:ascii="Times New Roman" w:eastAsia="Cambria" w:hAnsi="Times New Roman" w:cs="Times New Roman"/>
                <w:color w:val="000000" w:themeColor="text1"/>
                <w:spacing w:val="-2"/>
                <w:w w:val="95"/>
                <w:sz w:val="20"/>
                <w:szCs w:val="20"/>
                <w:lang w:val="en-GB"/>
              </w:rPr>
              <w:t xml:space="preserve">. </w:t>
            </w:r>
          </w:p>
          <w:p w14:paraId="7FE1B584" w14:textId="17111D9E" w:rsidR="00304D62" w:rsidRDefault="00304D62">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Only report values in the “carrying amount” field.</w:t>
            </w:r>
          </w:p>
        </w:tc>
      </w:tr>
      <w:tr w:rsidR="00CC0A94" w14:paraId="7FE1B589" w14:textId="77777777" w:rsidTr="002F61BB">
        <w:tc>
          <w:tcPr>
            <w:tcW w:w="905" w:type="dxa"/>
            <w:tcBorders>
              <w:top w:val="single" w:sz="4" w:space="0" w:color="1A171C"/>
              <w:left w:val="nil"/>
              <w:bottom w:val="single" w:sz="4" w:space="0" w:color="1A171C"/>
              <w:right w:val="single" w:sz="4" w:space="0" w:color="1A171C"/>
            </w:tcBorders>
            <w:vAlign w:val="center"/>
          </w:tcPr>
          <w:p w14:paraId="7FE1B58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 xml:space="preserve">Sum of net liability positions </w:t>
            </w:r>
            <w:proofErr w:type="gramStart"/>
            <w:r>
              <w:rPr>
                <w:rFonts w:ascii="Times New Roman" w:hAnsi="Times New Roman" w:cs="Times New Roman"/>
                <w:b/>
                <w:color w:val="000000" w:themeColor="text1"/>
                <w:spacing w:val="-2"/>
                <w:w w:val="95"/>
                <w:sz w:val="20"/>
                <w:szCs w:val="20"/>
                <w:lang w:val="en-GB"/>
              </w:rPr>
              <w:t>taking into account</w:t>
            </w:r>
            <w:proofErr w:type="gramEnd"/>
            <w:r>
              <w:rPr>
                <w:rFonts w:ascii="Times New Roman" w:hAnsi="Times New Roman" w:cs="Times New Roman"/>
                <w:b/>
                <w:color w:val="000000" w:themeColor="text1"/>
                <w:spacing w:val="-2"/>
                <w:w w:val="95"/>
                <w:sz w:val="20"/>
                <w:szCs w:val="20"/>
                <w:lang w:val="en-GB"/>
              </w:rPr>
              <w:t xml:space="preserve"> contractual netting sets, after mark-to-market adjustments, prior to collateral offset</w:t>
            </w:r>
          </w:p>
          <w:p w14:paraId="43E2EAD9" w14:textId="77777777" w:rsidR="00304D62"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By </w:t>
            </w:r>
            <w:proofErr w:type="gramStart"/>
            <w:r>
              <w:rPr>
                <w:rFonts w:ascii="Times New Roman" w:eastAsia="Cambria" w:hAnsi="Times New Roman" w:cs="Times New Roman"/>
                <w:color w:val="000000" w:themeColor="text1"/>
                <w:spacing w:val="-2"/>
                <w:w w:val="95"/>
                <w:sz w:val="20"/>
                <w:szCs w:val="20"/>
                <w:lang w:val="en-GB"/>
              </w:rPr>
              <w:t>default</w:t>
            </w:r>
            <w:proofErr w:type="gramEnd"/>
            <w:r>
              <w:rPr>
                <w:rFonts w:ascii="Times New Roman" w:eastAsia="Cambria" w:hAnsi="Times New Roman" w:cs="Times New Roman"/>
                <w:color w:val="000000" w:themeColor="text1"/>
                <w:spacing w:val="-2"/>
                <w:w w:val="95"/>
                <w:sz w:val="20"/>
                <w:szCs w:val="20"/>
                <w:lang w:val="en-GB"/>
              </w:rPr>
              <w:t xml:space="preserve"> the sum of all net market values of derivative liabilities per contractual netting set. Only where the net market value of a netting set is a liability, the netting set shall be reported. To this end, derivatives which are not subject to netting arrangements shall be treated as a single contract, i.e. as if it were a netting set with only one derivative.</w:t>
            </w:r>
            <w:r w:rsidR="00304D62">
              <w:rPr>
                <w:rFonts w:ascii="Times New Roman" w:eastAsia="Cambria" w:hAnsi="Times New Roman" w:cs="Times New Roman"/>
                <w:color w:val="000000" w:themeColor="text1"/>
                <w:spacing w:val="-2"/>
                <w:w w:val="95"/>
                <w:sz w:val="20"/>
                <w:szCs w:val="20"/>
                <w:lang w:val="en-GB"/>
              </w:rPr>
              <w:t xml:space="preserve"> </w:t>
            </w:r>
          </w:p>
          <w:p w14:paraId="7FE1B588" w14:textId="07C2ADA5" w:rsidR="00CC0A94" w:rsidRDefault="00304D62">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Only report values in the “outstanding amount” field.</w:t>
            </w:r>
          </w:p>
        </w:tc>
      </w:tr>
      <w:tr w:rsidR="00CC0A94" w14:paraId="7FE1B58D" w14:textId="77777777" w:rsidTr="002F61BB">
        <w:tc>
          <w:tcPr>
            <w:tcW w:w="905" w:type="dxa"/>
            <w:tcBorders>
              <w:top w:val="single" w:sz="4" w:space="0" w:color="1A171C"/>
              <w:left w:val="nil"/>
              <w:bottom w:val="single" w:sz="4" w:space="0" w:color="1A171C"/>
              <w:right w:val="single" w:sz="4" w:space="0" w:color="1A171C"/>
            </w:tcBorders>
            <w:vAlign w:val="center"/>
          </w:tcPr>
          <w:p w14:paraId="7FE1B58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 xml:space="preserve">Sum of net liability positions </w:t>
            </w:r>
            <w:proofErr w:type="gramStart"/>
            <w:r>
              <w:rPr>
                <w:rFonts w:ascii="Times New Roman" w:hAnsi="Times New Roman" w:cs="Times New Roman"/>
                <w:b/>
                <w:color w:val="000000" w:themeColor="text1"/>
                <w:spacing w:val="-2"/>
                <w:w w:val="95"/>
                <w:sz w:val="20"/>
                <w:szCs w:val="20"/>
                <w:lang w:val="en-GB"/>
              </w:rPr>
              <w:t>taking into account</w:t>
            </w:r>
            <w:proofErr w:type="gramEnd"/>
            <w:r>
              <w:rPr>
                <w:rFonts w:ascii="Times New Roman" w:hAnsi="Times New Roman" w:cs="Times New Roman"/>
                <w:b/>
                <w:color w:val="000000" w:themeColor="text1"/>
                <w:spacing w:val="-2"/>
                <w:w w:val="95"/>
                <w:sz w:val="20"/>
                <w:szCs w:val="20"/>
                <w:lang w:val="en-GB"/>
              </w:rPr>
              <w:t xml:space="preserve"> contractual netting sets, after mark-to-market adjustments, post collateral offset</w:t>
            </w:r>
          </w:p>
          <w:p w14:paraId="5A26CA7C" w14:textId="1D9E4DD4" w:rsidR="00304D62"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valuation in row 0331 is subject to an adjustment for collateral posted to secure this exposure, which results in the sum of these net market values after offsetting collateral at its market value. Only those contractual netting sets for which the liability position after mark-to-market adjustments and post collateral offset is a positive amount should be reported in this row (i.e. only when Net Mark-to-Market Value (c0120 of Z1</w:t>
            </w:r>
            <w:r w:rsidR="00E22C47">
              <w:rPr>
                <w:rFonts w:ascii="Times New Roman" w:eastAsia="Cambria" w:hAnsi="Times New Roman" w:cs="Times New Roman"/>
                <w:color w:val="000000" w:themeColor="text1"/>
                <w:spacing w:val="-2"/>
                <w:w w:val="95"/>
                <w:sz w:val="20"/>
                <w:szCs w:val="20"/>
                <w:lang w:val="en-GB"/>
              </w:rPr>
              <w:t>5</w:t>
            </w:r>
            <w:r>
              <w:rPr>
                <w:rFonts w:ascii="Times New Roman" w:eastAsia="Cambria" w:hAnsi="Times New Roman" w:cs="Times New Roman"/>
                <w:color w:val="000000" w:themeColor="text1"/>
                <w:spacing w:val="-2"/>
                <w:w w:val="95"/>
                <w:sz w:val="20"/>
                <w:szCs w:val="20"/>
                <w:lang w:val="en-GB"/>
              </w:rPr>
              <w:t>.0</w:t>
            </w:r>
            <w:r w:rsidR="00E22C47">
              <w:rPr>
                <w:rFonts w:ascii="Times New Roman" w:eastAsia="Cambria" w:hAnsi="Times New Roman" w:cs="Times New Roman"/>
                <w:color w:val="000000" w:themeColor="text1"/>
                <w:spacing w:val="-2"/>
                <w:w w:val="95"/>
                <w:sz w:val="20"/>
                <w:szCs w:val="20"/>
                <w:lang w:val="en-GB"/>
              </w:rPr>
              <w:t>0</w:t>
            </w:r>
            <w:r>
              <w:rPr>
                <w:rFonts w:ascii="Times New Roman" w:eastAsia="Cambria" w:hAnsi="Times New Roman" w:cs="Times New Roman"/>
                <w:color w:val="000000" w:themeColor="text1"/>
                <w:spacing w:val="-2"/>
                <w:w w:val="95"/>
                <w:sz w:val="20"/>
                <w:szCs w:val="20"/>
                <w:lang w:val="en-GB"/>
              </w:rPr>
              <w:t>) is higher than Value of Net Collateral Posted (c0130 of Z1</w:t>
            </w:r>
            <w:r w:rsidR="00E22C47">
              <w:rPr>
                <w:rFonts w:ascii="Times New Roman" w:eastAsia="Cambria" w:hAnsi="Times New Roman" w:cs="Times New Roman"/>
                <w:color w:val="000000" w:themeColor="text1"/>
                <w:spacing w:val="-2"/>
                <w:w w:val="95"/>
                <w:sz w:val="20"/>
                <w:szCs w:val="20"/>
                <w:lang w:val="en-GB"/>
              </w:rPr>
              <w:t>5</w:t>
            </w:r>
            <w:r>
              <w:rPr>
                <w:rFonts w:ascii="Times New Roman" w:eastAsia="Cambria" w:hAnsi="Times New Roman" w:cs="Times New Roman"/>
                <w:color w:val="000000" w:themeColor="text1"/>
                <w:spacing w:val="-2"/>
                <w:w w:val="95"/>
                <w:sz w:val="20"/>
                <w:szCs w:val="20"/>
                <w:lang w:val="en-GB"/>
              </w:rPr>
              <w:t>.0</w:t>
            </w:r>
            <w:r w:rsidR="00E22C47">
              <w:rPr>
                <w:rFonts w:ascii="Times New Roman" w:eastAsia="Cambria" w:hAnsi="Times New Roman" w:cs="Times New Roman"/>
                <w:color w:val="000000" w:themeColor="text1"/>
                <w:spacing w:val="-2"/>
                <w:w w:val="95"/>
                <w:sz w:val="20"/>
                <w:szCs w:val="20"/>
                <w:lang w:val="en-GB"/>
              </w:rPr>
              <w:t>0</w:t>
            </w:r>
            <w:r>
              <w:rPr>
                <w:rFonts w:ascii="Times New Roman" w:eastAsia="Cambria" w:hAnsi="Times New Roman" w:cs="Times New Roman"/>
                <w:color w:val="000000" w:themeColor="text1"/>
                <w:spacing w:val="-2"/>
                <w:w w:val="95"/>
                <w:sz w:val="20"/>
                <w:szCs w:val="20"/>
                <w:lang w:val="en-GB"/>
              </w:rPr>
              <w:t>)).</w:t>
            </w:r>
            <w:r w:rsidR="00304D62">
              <w:rPr>
                <w:rFonts w:ascii="Times New Roman" w:eastAsia="Cambria" w:hAnsi="Times New Roman" w:cs="Times New Roman"/>
                <w:color w:val="000000" w:themeColor="text1"/>
                <w:spacing w:val="-2"/>
                <w:w w:val="95"/>
                <w:sz w:val="20"/>
                <w:szCs w:val="20"/>
                <w:lang w:val="en-GB"/>
              </w:rPr>
              <w:t xml:space="preserve"> </w:t>
            </w:r>
          </w:p>
          <w:p w14:paraId="7FE1B58C" w14:textId="453C45AE" w:rsidR="00CC0A94" w:rsidRPr="002F61BB" w:rsidRDefault="00304D62">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Only report values in the “outstanding amount” field.</w:t>
            </w:r>
          </w:p>
        </w:tc>
      </w:tr>
      <w:tr w:rsidR="00CC0A94" w14:paraId="7FE1B592" w14:textId="77777777" w:rsidTr="002F61BB">
        <w:tc>
          <w:tcPr>
            <w:tcW w:w="905" w:type="dxa"/>
            <w:tcBorders>
              <w:top w:val="single" w:sz="4" w:space="0" w:color="1A171C"/>
              <w:left w:val="nil"/>
              <w:bottom w:val="single" w:sz="4" w:space="0" w:color="1A171C"/>
              <w:right w:val="single" w:sz="4" w:space="0" w:color="1A171C"/>
            </w:tcBorders>
            <w:vAlign w:val="center"/>
          </w:tcPr>
          <w:p w14:paraId="7FE1B58E"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 xml:space="preserve">Sum of net liability positions </w:t>
            </w:r>
            <w:proofErr w:type="gramStart"/>
            <w:r>
              <w:rPr>
                <w:rFonts w:ascii="Times New Roman" w:hAnsi="Times New Roman" w:cs="Times New Roman"/>
                <w:b/>
                <w:color w:val="000000" w:themeColor="text1"/>
                <w:spacing w:val="-2"/>
                <w:w w:val="95"/>
                <w:sz w:val="20"/>
                <w:szCs w:val="20"/>
                <w:lang w:val="en-GB"/>
              </w:rPr>
              <w:t>taking into account</w:t>
            </w:r>
            <w:proofErr w:type="gramEnd"/>
            <w:r>
              <w:rPr>
                <w:rFonts w:ascii="Times New Roman" w:hAnsi="Times New Roman" w:cs="Times New Roman"/>
                <w:b/>
                <w:color w:val="000000" w:themeColor="text1"/>
                <w:spacing w:val="-2"/>
                <w:w w:val="95"/>
                <w:sz w:val="20"/>
                <w:szCs w:val="20"/>
                <w:lang w:val="en-GB"/>
              </w:rPr>
              <w:t xml:space="preserve"> contractual netting sets, after mark-to-market adjustments, post collateral offset, incorporating estimated close-out amounts</w:t>
            </w:r>
          </w:p>
          <w:p w14:paraId="7FE1B59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 line with Commission Delegated Regulation 2016/1401</w:t>
            </w:r>
            <w:r w:rsidRPr="002F61BB">
              <w:rPr>
                <w:rStyle w:val="FootnoteReference"/>
                <w:rFonts w:ascii="Times New Roman" w:eastAsia="Cambria" w:hAnsi="Times New Roman" w:cs="Times New Roman"/>
                <w:color w:val="1A171C"/>
                <w:spacing w:val="-2"/>
                <w:w w:val="95"/>
                <w:lang w:val="en-GB"/>
              </w:rPr>
              <w:footnoteReference w:id="16"/>
            </w:r>
            <w:r>
              <w:rPr>
                <w:rFonts w:ascii="Times New Roman" w:eastAsia="Cambria" w:hAnsi="Times New Roman" w:cs="Times New Roman"/>
                <w:color w:val="000000" w:themeColor="text1"/>
                <w:spacing w:val="-2"/>
                <w:w w:val="95"/>
                <w:sz w:val="20"/>
                <w:szCs w:val="20"/>
                <w:lang w:val="en-GB"/>
              </w:rPr>
              <w:t xml:space="preserve"> on the valuation of liabilities arising from derivatives, an additional close-out amount covering the </w:t>
            </w:r>
            <w:proofErr w:type="gramStart"/>
            <w:r>
              <w:rPr>
                <w:rFonts w:ascii="Times New Roman" w:eastAsia="Cambria" w:hAnsi="Times New Roman" w:cs="Times New Roman"/>
                <w:color w:val="000000" w:themeColor="text1"/>
                <w:spacing w:val="-2"/>
                <w:w w:val="95"/>
                <w:sz w:val="20"/>
                <w:szCs w:val="20"/>
                <w:lang w:val="en-GB"/>
              </w:rPr>
              <w:t>amount</w:t>
            </w:r>
            <w:proofErr w:type="gramEnd"/>
            <w:r>
              <w:rPr>
                <w:rFonts w:ascii="Times New Roman" w:eastAsia="Cambria" w:hAnsi="Times New Roman" w:cs="Times New Roman"/>
                <w:color w:val="000000" w:themeColor="text1"/>
                <w:spacing w:val="-2"/>
                <w:w w:val="95"/>
                <w:sz w:val="20"/>
                <w:szCs w:val="20"/>
                <w:lang w:val="en-GB"/>
              </w:rPr>
              <w:t xml:space="preserve"> of losses or costs incurred by derivative counterparties, or gains realised by them, in replacing or obtaining the economic equivalent on material terms of the contracts and the option rights of the parties in respect of the terminated contracts.</w:t>
            </w:r>
          </w:p>
          <w:p w14:paraId="00480641" w14:textId="2B7C2F6F" w:rsidR="00304D62"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estimations required to determine a close-out amount in line with the abovementioned Regulation can prove quite difficult on an individual basis. Therefore, proxy values, which may be based on available data such as the prudential requirements for market risk, can be used instead. If it proves impossible to calculate the close-out amount for the derivative liabilities, the amount reported shall be equal to the amount reported in row 0332.</w:t>
            </w:r>
            <w:r>
              <w:t xml:space="preserve"> </w:t>
            </w:r>
            <w:r>
              <w:rPr>
                <w:rFonts w:ascii="Times New Roman" w:eastAsia="Cambria" w:hAnsi="Times New Roman" w:cs="Times New Roman"/>
                <w:color w:val="000000" w:themeColor="text1"/>
                <w:spacing w:val="-2"/>
                <w:w w:val="95"/>
                <w:sz w:val="20"/>
                <w:szCs w:val="20"/>
                <w:lang w:val="en-GB"/>
              </w:rPr>
              <w:t>Only those contractual netting sets for which the liability position after mark-to-market adjustments, post collateral offset and incorporating estimated close-out amounts is a positive amount should be reported in this row (i.e. only when Estimated Early Termination Amount (c0150 of Z1</w:t>
            </w:r>
            <w:r w:rsidR="00376C55">
              <w:rPr>
                <w:rFonts w:ascii="Times New Roman" w:eastAsia="Cambria" w:hAnsi="Times New Roman" w:cs="Times New Roman"/>
                <w:color w:val="000000" w:themeColor="text1"/>
                <w:spacing w:val="-2"/>
                <w:w w:val="95"/>
                <w:sz w:val="20"/>
                <w:szCs w:val="20"/>
                <w:lang w:val="en-GB"/>
              </w:rPr>
              <w:t>5</w:t>
            </w:r>
            <w:r>
              <w:rPr>
                <w:rFonts w:ascii="Times New Roman" w:eastAsia="Cambria" w:hAnsi="Times New Roman" w:cs="Times New Roman"/>
                <w:color w:val="000000" w:themeColor="text1"/>
                <w:spacing w:val="-2"/>
                <w:w w:val="95"/>
                <w:sz w:val="20"/>
                <w:szCs w:val="20"/>
                <w:lang w:val="en-GB"/>
              </w:rPr>
              <w:t>.</w:t>
            </w:r>
            <w:r w:rsidR="00376C55">
              <w:rPr>
                <w:rFonts w:ascii="Times New Roman" w:eastAsia="Cambria" w:hAnsi="Times New Roman" w:cs="Times New Roman"/>
                <w:color w:val="000000" w:themeColor="text1"/>
                <w:spacing w:val="-2"/>
                <w:w w:val="95"/>
                <w:sz w:val="20"/>
                <w:szCs w:val="20"/>
                <w:lang w:val="en-GB"/>
              </w:rPr>
              <w:t>00</w:t>
            </w:r>
            <w:r>
              <w:rPr>
                <w:rFonts w:ascii="Times New Roman" w:eastAsia="Cambria" w:hAnsi="Times New Roman" w:cs="Times New Roman"/>
                <w:color w:val="000000" w:themeColor="text1"/>
                <w:spacing w:val="-2"/>
                <w:w w:val="95"/>
                <w:sz w:val="20"/>
                <w:szCs w:val="20"/>
                <w:lang w:val="en-GB"/>
              </w:rPr>
              <w:t>) is positive).</w:t>
            </w:r>
          </w:p>
          <w:p w14:paraId="7FE1B591" w14:textId="3F2EA3D4" w:rsidR="00CC0A94" w:rsidRPr="002F61BB" w:rsidRDefault="00304D62">
            <w:pPr>
              <w:pStyle w:val="TableParagraph"/>
              <w:spacing w:before="108"/>
              <w:ind w:left="85"/>
              <w:jc w:val="both"/>
              <w:rPr>
                <w:rFonts w:ascii="Times New Roman" w:eastAsia="Cambria" w:hAnsi="Times New Roman" w:cs="Times New Roman"/>
                <w:color w:val="000000" w:themeColor="text1"/>
                <w:spacing w:val="-2"/>
                <w:w w:val="95"/>
                <w:sz w:val="20"/>
                <w:szCs w:val="20"/>
              </w:rPr>
            </w:pPr>
            <w:r>
              <w:rPr>
                <w:rFonts w:ascii="Times New Roman" w:eastAsia="Cambria" w:hAnsi="Times New Roman" w:cs="Times New Roman"/>
                <w:color w:val="000000" w:themeColor="text1"/>
                <w:spacing w:val="-2"/>
                <w:w w:val="95"/>
                <w:sz w:val="20"/>
                <w:szCs w:val="20"/>
                <w:lang w:val="en-GB"/>
              </w:rPr>
              <w:t>Only report values in the “outstanding amount” field.</w:t>
            </w:r>
          </w:p>
        </w:tc>
      </w:tr>
      <w:tr w:rsidR="00CC0A94" w14:paraId="7FE1B596" w14:textId="77777777" w:rsidTr="002F61BB">
        <w:tc>
          <w:tcPr>
            <w:tcW w:w="905" w:type="dxa"/>
            <w:tcBorders>
              <w:top w:val="single" w:sz="4" w:space="0" w:color="1A171C"/>
              <w:left w:val="nil"/>
              <w:bottom w:val="single" w:sz="4" w:space="0" w:color="1A171C"/>
              <w:right w:val="single" w:sz="4" w:space="0" w:color="1A171C"/>
            </w:tcBorders>
            <w:vAlign w:val="center"/>
          </w:tcPr>
          <w:p w14:paraId="7FE1B593"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Sum of net liability positions </w:t>
            </w:r>
            <w:proofErr w:type="gramStart"/>
            <w:r>
              <w:rPr>
                <w:rFonts w:ascii="Times New Roman" w:hAnsi="Times New Roman" w:cs="Times New Roman"/>
                <w:b/>
                <w:bCs/>
                <w:color w:val="000000" w:themeColor="text1"/>
                <w:sz w:val="20"/>
                <w:szCs w:val="20"/>
                <w:lang w:val="en-GB"/>
              </w:rPr>
              <w:t>taking into account</w:t>
            </w:r>
            <w:proofErr w:type="gramEnd"/>
            <w:r>
              <w:rPr>
                <w:rFonts w:ascii="Times New Roman" w:hAnsi="Times New Roman" w:cs="Times New Roman"/>
                <w:b/>
                <w:bCs/>
                <w:color w:val="000000" w:themeColor="text1"/>
                <w:sz w:val="20"/>
                <w:szCs w:val="20"/>
                <w:lang w:val="en-GB"/>
              </w:rPr>
              <w:t xml:space="preserve"> prudential netting rules</w:t>
            </w:r>
          </w:p>
          <w:p w14:paraId="225BC2D2" w14:textId="5634735D"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 xml:space="preserve">The net liability positions for derivatives </w:t>
            </w:r>
            <w:proofErr w:type="gramStart"/>
            <w:r>
              <w:rPr>
                <w:rFonts w:ascii="Times New Roman" w:eastAsia="Cambria" w:hAnsi="Times New Roman" w:cs="Times New Roman"/>
                <w:color w:val="000000" w:themeColor="text1"/>
                <w:spacing w:val="-2"/>
                <w:w w:val="95"/>
                <w:sz w:val="20"/>
                <w:szCs w:val="20"/>
                <w:lang w:val="en-GB"/>
              </w:rPr>
              <w:t>taking into account</w:t>
            </w:r>
            <w:proofErr w:type="gramEnd"/>
            <w:r>
              <w:rPr>
                <w:rFonts w:ascii="Times New Roman" w:eastAsia="Cambria" w:hAnsi="Times New Roman" w:cs="Times New Roman"/>
                <w:color w:val="000000" w:themeColor="text1"/>
                <w:spacing w:val="-2"/>
                <w:w w:val="95"/>
                <w:sz w:val="20"/>
                <w:szCs w:val="20"/>
                <w:lang w:val="en-GB"/>
              </w:rPr>
              <w:t xml:space="preserve"> the prudential netting rules of Article 429 of Regulation (EU) No 575/2013 (related to the calculation of the leverage ratio total exposure measure) shall be reported.</w:t>
            </w:r>
          </w:p>
          <w:p w14:paraId="7FE1B595" w14:textId="1E8C2F86" w:rsidR="00304D62" w:rsidRDefault="00304D62">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Only report values in the “outstanding amount” field.</w:t>
            </w:r>
          </w:p>
        </w:tc>
      </w:tr>
      <w:tr w:rsidR="00CC0A94" w14:paraId="7FE1B59A" w14:textId="77777777" w:rsidTr="002F61BB">
        <w:tc>
          <w:tcPr>
            <w:tcW w:w="905" w:type="dxa"/>
            <w:tcBorders>
              <w:top w:val="single" w:sz="4" w:space="0" w:color="1A171C"/>
              <w:left w:val="nil"/>
              <w:bottom w:val="single" w:sz="4" w:space="0" w:color="1A171C"/>
              <w:right w:val="single" w:sz="4" w:space="0" w:color="1A171C"/>
            </w:tcBorders>
            <w:vAlign w:val="center"/>
          </w:tcPr>
          <w:p w14:paraId="7FE1B597"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0340 - 0344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Uncollateralised</w:t>
            </w:r>
            <w:r>
              <w:rPr>
                <w:rFonts w:ascii="Times New Roman" w:hAnsi="Times New Roman" w:cs="Times New Roman"/>
                <w:b/>
                <w:bCs/>
                <w:color w:val="000000" w:themeColor="text1"/>
                <w:sz w:val="20"/>
                <w:szCs w:val="20"/>
                <w:lang w:val="en-GB"/>
              </w:rPr>
              <w:t xml:space="preserve"> secured liabilities</w:t>
            </w:r>
          </w:p>
          <w:p w14:paraId="7FE1B59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secured liabilities or liabilities for which collateral has been pledged that exceeds the value of the assets, pledge, lien or collateral against which it is secured. This shall capture the 'undercollateralized' part of any collateralized liability, for example the </w:t>
            </w:r>
            <w:proofErr w:type="spellStart"/>
            <w:r>
              <w:rPr>
                <w:rFonts w:ascii="Times New Roman" w:eastAsia="Cambria" w:hAnsi="Times New Roman" w:cs="Times New Roman"/>
                <w:color w:val="000000" w:themeColor="text1"/>
                <w:spacing w:val="-2"/>
                <w:w w:val="95"/>
                <w:sz w:val="20"/>
                <w:szCs w:val="20"/>
                <w:lang w:val="en-GB"/>
              </w:rPr>
              <w:t>undercollateralised</w:t>
            </w:r>
            <w:proofErr w:type="spellEnd"/>
            <w:r>
              <w:rPr>
                <w:rFonts w:ascii="Times New Roman" w:eastAsia="Cambria" w:hAnsi="Times New Roman" w:cs="Times New Roman"/>
                <w:color w:val="000000" w:themeColor="text1"/>
                <w:spacing w:val="-2"/>
                <w:w w:val="95"/>
                <w:sz w:val="20"/>
                <w:szCs w:val="20"/>
                <w:lang w:val="en-GB"/>
              </w:rPr>
              <w:t xml:space="preserve"> part of </w:t>
            </w:r>
            <w:r>
              <w:rPr>
                <w:rFonts w:ascii="Times New Roman" w:hAnsi="Times New Roman" w:cs="Times New Roman"/>
                <w:bCs/>
                <w:color w:val="000000" w:themeColor="text1"/>
                <w:sz w:val="20"/>
                <w:szCs w:val="20"/>
                <w:lang w:val="en-GB"/>
              </w:rPr>
              <w:t>covered bonds or repurchase operations.</w:t>
            </w:r>
          </w:p>
        </w:tc>
      </w:tr>
      <w:tr w:rsidR="00CC0A94" w14:paraId="7FE1B59E" w14:textId="77777777" w:rsidTr="002F61BB">
        <w:tc>
          <w:tcPr>
            <w:tcW w:w="905" w:type="dxa"/>
            <w:tcBorders>
              <w:top w:val="single" w:sz="4" w:space="0" w:color="1A171C"/>
              <w:left w:val="nil"/>
              <w:bottom w:val="single" w:sz="4" w:space="0" w:color="1A171C"/>
              <w:right w:val="single" w:sz="4" w:space="0" w:color="1A171C"/>
            </w:tcBorders>
            <w:vAlign w:val="center"/>
          </w:tcPr>
          <w:p w14:paraId="7FE1B59B"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0350 – 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Structured</w:t>
            </w:r>
            <w:r>
              <w:rPr>
                <w:rFonts w:ascii="Times New Roman" w:hAnsi="Times New Roman" w:cs="Times New Roman"/>
                <w:b/>
                <w:bCs/>
                <w:color w:val="000000" w:themeColor="text1"/>
                <w:sz w:val="20"/>
                <w:szCs w:val="20"/>
                <w:lang w:val="en-GB"/>
              </w:rPr>
              <w:t xml:space="preserve"> notes</w:t>
            </w:r>
          </w:p>
          <w:p w14:paraId="7FE1B59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Structured notes are defined for this purpose as debt obligations that contain an embedded derivative component, with returns linked to an underlying security or index (public or bespoke, such as equities or bonds, fixed income rates or credit, FX, commodities etc.). Structured notes do not include debt instruments that include call or put options only, i.e. the value of the instrument does not depend on any embedded derivative component.</w:t>
            </w:r>
          </w:p>
        </w:tc>
      </w:tr>
      <w:tr w:rsidR="00CC0A94" w14:paraId="7FE1B5A2" w14:textId="77777777" w:rsidTr="002F61BB">
        <w:tc>
          <w:tcPr>
            <w:tcW w:w="905" w:type="dxa"/>
            <w:tcBorders>
              <w:top w:val="single" w:sz="4" w:space="0" w:color="1A171C"/>
              <w:left w:val="nil"/>
              <w:bottom w:val="single" w:sz="4" w:space="0" w:color="1A171C"/>
              <w:right w:val="single" w:sz="4" w:space="0" w:color="1A171C"/>
            </w:tcBorders>
            <w:vAlign w:val="center"/>
          </w:tcPr>
          <w:p w14:paraId="7FE1B59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0360 – 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Senior</w:t>
            </w:r>
            <w:r>
              <w:rPr>
                <w:rFonts w:ascii="Times New Roman" w:hAnsi="Times New Roman" w:cs="Times New Roman"/>
                <w:b/>
                <w:bCs/>
                <w:color w:val="000000" w:themeColor="text1"/>
                <w:sz w:val="20"/>
                <w:szCs w:val="20"/>
                <w:lang w:val="en-GB"/>
              </w:rPr>
              <w:t xml:space="preserve"> unsecured liabilities</w:t>
            </w:r>
          </w:p>
          <w:p w14:paraId="7FE1B5A1" w14:textId="2515816B"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This includes all senior, unsecured instruments that are not included in other categories above.</w:t>
            </w:r>
          </w:p>
        </w:tc>
      </w:tr>
      <w:tr w:rsidR="00CC0A94" w14:paraId="7FE1B5A9" w14:textId="77777777" w:rsidTr="002F61BB">
        <w:tc>
          <w:tcPr>
            <w:tcW w:w="905" w:type="dxa"/>
            <w:tcBorders>
              <w:top w:val="single" w:sz="4" w:space="0" w:color="1A171C"/>
              <w:left w:val="nil"/>
              <w:bottom w:val="single" w:sz="4" w:space="0" w:color="1A171C"/>
              <w:right w:val="single" w:sz="4" w:space="0" w:color="1A171C"/>
            </w:tcBorders>
            <w:vAlign w:val="center"/>
          </w:tcPr>
          <w:p w14:paraId="7FE1B5A3"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0365 – 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Senior non-preferred liabilities</w:t>
            </w:r>
          </w:p>
          <w:p w14:paraId="7FE1B5A5"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Amount of any of the following liabilities:</w:t>
            </w:r>
          </w:p>
          <w:p w14:paraId="7FE1B5A6" w14:textId="51806099" w:rsidR="00CC0A94" w:rsidRDefault="006C1571">
            <w:pPr>
              <w:pStyle w:val="TableParagraph"/>
              <w:numPr>
                <w:ilvl w:val="0"/>
                <w:numId w:val="69"/>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Unsecured claims resulting from debt instruments that meet the conditions laid down in Article 108 of Directive 2014/59/</w:t>
            </w:r>
            <w:proofErr w:type="gramStart"/>
            <w:r>
              <w:rPr>
                <w:rFonts w:ascii="Times New Roman" w:hAnsi="Times New Roman" w:cs="Times New Roman"/>
                <w:color w:val="000000" w:themeColor="text1"/>
                <w:spacing w:val="-2"/>
                <w:w w:val="95"/>
                <w:sz w:val="20"/>
                <w:szCs w:val="20"/>
                <w:lang w:val="en-GB"/>
              </w:rPr>
              <w:t>EU,  paragraph</w:t>
            </w:r>
            <w:proofErr w:type="gramEnd"/>
            <w:r>
              <w:rPr>
                <w:rFonts w:ascii="Times New Roman" w:hAnsi="Times New Roman" w:cs="Times New Roman"/>
                <w:color w:val="000000" w:themeColor="text1"/>
                <w:spacing w:val="-2"/>
                <w:w w:val="95"/>
                <w:sz w:val="20"/>
                <w:szCs w:val="20"/>
                <w:lang w:val="en-GB"/>
              </w:rPr>
              <w:t xml:space="preserve"> 2 points (a), (b) and (c) of and paragraph </w:t>
            </w:r>
            <w:proofErr w:type="gramStart"/>
            <w:r>
              <w:rPr>
                <w:rFonts w:ascii="Times New Roman" w:hAnsi="Times New Roman" w:cs="Times New Roman"/>
                <w:color w:val="000000" w:themeColor="text1"/>
                <w:spacing w:val="-2"/>
                <w:w w:val="95"/>
                <w:sz w:val="20"/>
                <w:szCs w:val="20"/>
                <w:lang w:val="en-GB"/>
              </w:rPr>
              <w:t>3;</w:t>
            </w:r>
            <w:proofErr w:type="gramEnd"/>
            <w:r>
              <w:rPr>
                <w:rFonts w:ascii="Times New Roman" w:hAnsi="Times New Roman" w:cs="Times New Roman"/>
                <w:color w:val="000000" w:themeColor="text1"/>
                <w:spacing w:val="-2"/>
                <w:w w:val="95"/>
                <w:sz w:val="20"/>
                <w:szCs w:val="20"/>
                <w:lang w:val="en-GB"/>
              </w:rPr>
              <w:t xml:space="preserve"> </w:t>
            </w:r>
          </w:p>
          <w:p w14:paraId="7FE1B5A7" w14:textId="77777777" w:rsidR="00CC0A94" w:rsidRDefault="006C1571">
            <w:pPr>
              <w:pStyle w:val="TableParagraph"/>
              <w:numPr>
                <w:ilvl w:val="0"/>
                <w:numId w:val="69"/>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Unsecured claims resulting from debt instruments referred to in point (b) of the first subparagraph of Article 108(5) of Directive 2014/59/EU; or</w:t>
            </w:r>
          </w:p>
          <w:p w14:paraId="7FE1B5A8" w14:textId="77777777" w:rsidR="00CC0A94" w:rsidRDefault="006C1571">
            <w:pPr>
              <w:pStyle w:val="TableParagraph"/>
              <w:numPr>
                <w:ilvl w:val="0"/>
                <w:numId w:val="69"/>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Debt instruments with the lowest priority ranking among the ordinary unsecured claims resulting from debt instruments referred to in Article 108(7) of Directive 2014/59/EU, for which a Member State has provided, in accordance with that paragraph, that they have the same ranking as that of claims that meet the conditions of points (a), (b) and (c) of paragraph 2 and of paragraph 3 of Article 108 of Directive 2014/59/EU.</w:t>
            </w:r>
          </w:p>
        </w:tc>
      </w:tr>
      <w:tr w:rsidR="00CC0A94" w14:paraId="7FE1B5AF" w14:textId="77777777" w:rsidTr="002F61BB">
        <w:tc>
          <w:tcPr>
            <w:tcW w:w="905" w:type="dxa"/>
            <w:tcBorders>
              <w:top w:val="single" w:sz="4" w:space="0" w:color="1A171C"/>
              <w:left w:val="nil"/>
              <w:bottom w:val="single" w:sz="4" w:space="0" w:color="1A171C"/>
              <w:right w:val="single" w:sz="4" w:space="0" w:color="1A171C"/>
            </w:tcBorders>
            <w:vAlign w:val="center"/>
          </w:tcPr>
          <w:p w14:paraId="7FE1B5A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0370 – 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Subordinated</w:t>
            </w:r>
            <w:r>
              <w:rPr>
                <w:rFonts w:ascii="Times New Roman" w:hAnsi="Times New Roman" w:cs="Times New Roman"/>
                <w:b/>
                <w:bCs/>
                <w:color w:val="000000" w:themeColor="text1"/>
                <w:sz w:val="20"/>
                <w:szCs w:val="20"/>
                <w:lang w:val="en-GB"/>
              </w:rPr>
              <w:t xml:space="preserve"> liabilities (not recognised as own funds)</w:t>
            </w:r>
          </w:p>
          <w:p w14:paraId="7FE1B5A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Liabilities which will only be repaid under national insolvency law after all classes of ordinary creditors and senior non-preferred creditors have been repaid in full. This includes both contractually and statutorily subordinated liabilities. In the case of holding companies, unsubordinated debt securities may also be reported in this category (i.e. structural subordination).</w:t>
            </w:r>
          </w:p>
          <w:p w14:paraId="7FE1B5A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Only subordinated instruments that are not recognized as own funds shall be included in this category. </w:t>
            </w:r>
          </w:p>
          <w:p w14:paraId="7FE1B5A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This row shall also include that part of subordinated liabilities that qualifies in principle as own </w:t>
            </w:r>
            <w:proofErr w:type="gramStart"/>
            <w:r>
              <w:rPr>
                <w:rFonts w:ascii="Times New Roman" w:eastAsia="Cambria" w:hAnsi="Times New Roman" w:cs="Times New Roman"/>
                <w:color w:val="000000" w:themeColor="text1"/>
                <w:spacing w:val="-2"/>
                <w:w w:val="95"/>
                <w:sz w:val="20"/>
                <w:szCs w:val="20"/>
                <w:lang w:val="en-GB"/>
              </w:rPr>
              <w:t>funds, but</w:t>
            </w:r>
            <w:proofErr w:type="gramEnd"/>
            <w:r>
              <w:rPr>
                <w:rFonts w:ascii="Times New Roman" w:eastAsia="Cambria" w:hAnsi="Times New Roman" w:cs="Times New Roman"/>
                <w:color w:val="000000" w:themeColor="text1"/>
                <w:spacing w:val="-2"/>
                <w:w w:val="95"/>
                <w:sz w:val="20"/>
                <w:szCs w:val="20"/>
                <w:lang w:val="en-GB"/>
              </w:rPr>
              <w:t xml:space="preserve"> is not included in own funds due to phase-out provisions such as Article 64 of Regulation (EU) No 575/2013 (remaining maturity) or Part 10 of the Regulation (EU) No 575/2013 (grandfathering impact). </w:t>
            </w:r>
          </w:p>
        </w:tc>
      </w:tr>
      <w:tr w:rsidR="00CC0A94" w14:paraId="7FE1B5B3" w14:textId="77777777" w:rsidTr="002F61BB">
        <w:tc>
          <w:tcPr>
            <w:tcW w:w="905" w:type="dxa"/>
            <w:tcBorders>
              <w:top w:val="single" w:sz="4" w:space="0" w:color="1A171C"/>
              <w:left w:val="nil"/>
              <w:bottom w:val="single" w:sz="4" w:space="0" w:color="1A171C"/>
              <w:right w:val="single" w:sz="4" w:space="0" w:color="1A171C"/>
            </w:tcBorders>
            <w:vAlign w:val="center"/>
          </w:tcPr>
          <w:p w14:paraId="7FE1B5B0"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0380 – 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Other MREL eligible liabilities</w:t>
            </w:r>
          </w:p>
          <w:p w14:paraId="7FE1B5B2" w14:textId="4506AA1E"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liabilities that is eligible for the purposes of meeting by the reporting entity the requirement of Article 45 of </w:t>
            </w:r>
            <w:r>
              <w:rPr>
                <w:rFonts w:ascii="Times New Roman" w:hAnsi="Times New Roman" w:cs="Times New Roman"/>
                <w:color w:val="000000" w:themeColor="text1"/>
                <w:spacing w:val="-2"/>
                <w:w w:val="95"/>
                <w:sz w:val="20"/>
                <w:szCs w:val="20"/>
                <w:lang w:val="en-GB"/>
              </w:rPr>
              <w:t>Directive 2014/59/EU</w:t>
            </w:r>
            <w:r>
              <w:rPr>
                <w:rFonts w:ascii="Times New Roman" w:eastAsia="Cambria" w:hAnsi="Times New Roman" w:cs="Times New Roman"/>
                <w:color w:val="000000" w:themeColor="text1"/>
                <w:spacing w:val="-2"/>
                <w:w w:val="95"/>
                <w:sz w:val="20"/>
                <w:szCs w:val="20"/>
                <w:lang w:val="en-GB"/>
              </w:rPr>
              <w:t xml:space="preserve"> in accordance with Articles 45e or 45f thereof, as applicable, but is not captured in rows 0320 and 0340 to 0370.</w:t>
            </w:r>
          </w:p>
        </w:tc>
      </w:tr>
      <w:tr w:rsidR="00CC0A94" w14:paraId="7FE1B5B7" w14:textId="77777777" w:rsidTr="002F61BB">
        <w:tc>
          <w:tcPr>
            <w:tcW w:w="905" w:type="dxa"/>
            <w:tcBorders>
              <w:top w:val="single" w:sz="4" w:space="0" w:color="1A171C"/>
              <w:left w:val="nil"/>
              <w:bottom w:val="single" w:sz="4" w:space="0" w:color="1A171C"/>
              <w:right w:val="single" w:sz="4" w:space="0" w:color="1A171C"/>
            </w:tcBorders>
            <w:vAlign w:val="center"/>
          </w:tcPr>
          <w:p w14:paraId="7FE1B5B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Non-</w:t>
            </w:r>
            <w:r>
              <w:rPr>
                <w:rFonts w:ascii="Times New Roman" w:hAnsi="Times New Roman" w:cs="Times New Roman"/>
                <w:b/>
                <w:color w:val="000000" w:themeColor="text1"/>
                <w:spacing w:val="-2"/>
                <w:w w:val="95"/>
                <w:sz w:val="20"/>
                <w:szCs w:val="20"/>
                <w:lang w:val="en-GB"/>
              </w:rPr>
              <w:t>financial</w:t>
            </w:r>
            <w:r>
              <w:rPr>
                <w:rFonts w:ascii="Times New Roman" w:hAnsi="Times New Roman" w:cs="Times New Roman"/>
                <w:b/>
                <w:bCs/>
                <w:color w:val="000000" w:themeColor="text1"/>
                <w:sz w:val="20"/>
                <w:szCs w:val="20"/>
                <w:lang w:val="en-GB"/>
              </w:rPr>
              <w:t xml:space="preserve"> liabilities</w:t>
            </w:r>
          </w:p>
          <w:p w14:paraId="7FE1B5B6" w14:textId="2BB92741"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liabilities that are not considered financial liabilities in line with applicable accounting </w:t>
            </w:r>
            <w:r>
              <w:rPr>
                <w:rFonts w:ascii="Times New Roman" w:eastAsia="Cambria" w:hAnsi="Times New Roman" w:cs="Times New Roman"/>
                <w:color w:val="000000" w:themeColor="text1"/>
                <w:spacing w:val="-2"/>
                <w:w w:val="95"/>
                <w:sz w:val="20"/>
                <w:szCs w:val="20"/>
                <w:lang w:val="en-GB"/>
              </w:rPr>
              <w:lastRenderedPageBreak/>
              <w:t xml:space="preserve">framework, such as provisions related to litigations to which the entity is subject. </w:t>
            </w:r>
          </w:p>
        </w:tc>
      </w:tr>
      <w:tr w:rsidR="00CC0A94" w14:paraId="7FE1B5BB" w14:textId="77777777" w:rsidTr="002F61BB">
        <w:tc>
          <w:tcPr>
            <w:tcW w:w="905" w:type="dxa"/>
            <w:tcBorders>
              <w:top w:val="single" w:sz="4" w:space="0" w:color="1A171C"/>
              <w:left w:val="nil"/>
              <w:bottom w:val="single" w:sz="4" w:space="0" w:color="1A171C"/>
              <w:right w:val="single" w:sz="4" w:space="0" w:color="1A171C"/>
            </w:tcBorders>
            <w:vAlign w:val="center"/>
          </w:tcPr>
          <w:p w14:paraId="7FE1B5B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Residual</w:t>
            </w:r>
            <w:r>
              <w:rPr>
                <w:rFonts w:ascii="Times New Roman" w:hAnsi="Times New Roman" w:cs="Times New Roman"/>
                <w:b/>
                <w:bCs/>
                <w:color w:val="000000" w:themeColor="text1"/>
                <w:sz w:val="20"/>
                <w:szCs w:val="20"/>
                <w:lang w:val="en-GB"/>
              </w:rPr>
              <w:t xml:space="preserve"> liabilities</w:t>
            </w:r>
          </w:p>
          <w:p w14:paraId="7FE1B5BA" w14:textId="66DA2802"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Amount of liabilities that is not reported in rows 0100 to 0390. </w:t>
            </w:r>
          </w:p>
        </w:tc>
      </w:tr>
      <w:tr w:rsidR="00CC0A94" w14:paraId="7FE1B5C0" w14:textId="77777777" w:rsidTr="002F61BB">
        <w:tc>
          <w:tcPr>
            <w:tcW w:w="905" w:type="dxa"/>
            <w:tcBorders>
              <w:top w:val="single" w:sz="4" w:space="0" w:color="1A171C"/>
              <w:left w:val="nil"/>
              <w:bottom w:val="single" w:sz="4" w:space="0" w:color="1A171C"/>
              <w:right w:val="single" w:sz="4" w:space="0" w:color="1A171C"/>
            </w:tcBorders>
            <w:vAlign w:val="center"/>
          </w:tcPr>
          <w:p w14:paraId="7FE1B5BC"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bCs/>
                <w:color w:val="000000" w:themeColor="text1"/>
                <w:sz w:val="20"/>
                <w:szCs w:val="20"/>
                <w:lang w:val="en-GB"/>
              </w:rPr>
              <w:t xml:space="preserve">Own </w:t>
            </w:r>
            <w:r>
              <w:rPr>
                <w:rFonts w:ascii="Times New Roman" w:hAnsi="Times New Roman" w:cs="Times New Roman"/>
                <w:b/>
                <w:color w:val="000000" w:themeColor="text1"/>
                <w:spacing w:val="-2"/>
                <w:w w:val="95"/>
                <w:sz w:val="20"/>
                <w:szCs w:val="20"/>
                <w:lang w:val="en-GB"/>
              </w:rPr>
              <w:t>funds</w:t>
            </w:r>
          </w:p>
          <w:p w14:paraId="7FE1B5B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Articles 4(</w:t>
            </w:r>
            <w:proofErr w:type="gramStart"/>
            <w:r>
              <w:rPr>
                <w:rFonts w:ascii="Times New Roman" w:eastAsia="Cambria" w:hAnsi="Times New Roman" w:cs="Times New Roman"/>
                <w:color w:val="000000" w:themeColor="text1"/>
                <w:spacing w:val="-2"/>
                <w:w w:val="95"/>
                <w:sz w:val="20"/>
                <w:szCs w:val="20"/>
                <w:lang w:val="en-GB"/>
              </w:rPr>
              <w:t>1)(</w:t>
            </w:r>
            <w:proofErr w:type="gramEnd"/>
            <w:r>
              <w:rPr>
                <w:rFonts w:ascii="Times New Roman" w:eastAsia="Cambria" w:hAnsi="Times New Roman" w:cs="Times New Roman"/>
                <w:color w:val="000000" w:themeColor="text1"/>
                <w:spacing w:val="-2"/>
                <w:w w:val="95"/>
                <w:sz w:val="20"/>
                <w:szCs w:val="20"/>
                <w:lang w:val="en-GB"/>
              </w:rPr>
              <w:t>118) and 72 of Regulation (EU) No 575/2013</w:t>
            </w:r>
          </w:p>
          <w:p w14:paraId="7FE1B5B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Same definition as COREP (OF): {C 01.00;010;010}</w:t>
            </w:r>
          </w:p>
        </w:tc>
      </w:tr>
      <w:tr w:rsidR="00CC0A94" w14:paraId="7FE1B5C5" w14:textId="77777777" w:rsidTr="002F61BB">
        <w:tc>
          <w:tcPr>
            <w:tcW w:w="905" w:type="dxa"/>
            <w:tcBorders>
              <w:top w:val="single" w:sz="4" w:space="0" w:color="1A171C"/>
              <w:left w:val="nil"/>
              <w:bottom w:val="single" w:sz="4" w:space="0" w:color="1A171C"/>
              <w:right w:val="single" w:sz="4" w:space="0" w:color="1A171C"/>
            </w:tcBorders>
            <w:vAlign w:val="center"/>
          </w:tcPr>
          <w:p w14:paraId="7FE1B5C1"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Common</w:t>
            </w:r>
            <w:r>
              <w:rPr>
                <w:rFonts w:ascii="Times New Roman" w:hAnsi="Times New Roman" w:cs="Times New Roman"/>
                <w:b/>
                <w:bCs/>
                <w:color w:val="000000" w:themeColor="text1"/>
                <w:sz w:val="20"/>
                <w:szCs w:val="20"/>
                <w:lang w:val="en-GB"/>
              </w:rPr>
              <w:t xml:space="preserve"> Equity Tier 1 Capital</w:t>
            </w:r>
          </w:p>
          <w:p w14:paraId="7FE1B5C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50 of Regulation (EU) No 575/2013</w:t>
            </w:r>
          </w:p>
          <w:p w14:paraId="7FE1B5C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Same definition as COREP (OF): {C 01.00;020;010}</w:t>
            </w:r>
          </w:p>
        </w:tc>
      </w:tr>
      <w:tr w:rsidR="00CC0A94" w14:paraId="7FE1B5CA" w14:textId="77777777" w:rsidTr="002F61BB">
        <w:tc>
          <w:tcPr>
            <w:tcW w:w="905" w:type="dxa"/>
            <w:tcBorders>
              <w:top w:val="single" w:sz="4" w:space="0" w:color="1A171C"/>
              <w:left w:val="nil"/>
              <w:bottom w:val="single" w:sz="4" w:space="0" w:color="1A171C"/>
              <w:right w:val="single" w:sz="4" w:space="0" w:color="1A171C"/>
            </w:tcBorders>
            <w:vAlign w:val="center"/>
          </w:tcPr>
          <w:p w14:paraId="7FE1B5C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capital instruments/share capital</w:t>
            </w:r>
          </w:p>
          <w:p w14:paraId="7FE1B5C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Legal instruments that constitute (part of) CET1 capital in the form of capital instruments/share capital</w:t>
            </w:r>
          </w:p>
          <w:p w14:paraId="7FE1B5C9" w14:textId="5A3DBB2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w:t>
            </w:r>
            <w:r w:rsidRPr="002F61BB">
              <w:rPr>
                <w:rFonts w:ascii="Times New Roman" w:hAnsi="Times New Roman" w:cs="Times New Roman"/>
                <w:color w:val="000000" w:themeColor="text1"/>
                <w:sz w:val="20"/>
                <w:szCs w:val="20"/>
                <w:lang w:val="en-GB"/>
              </w:rPr>
              <w:t>he carrying amount</w:t>
            </w:r>
            <w:r>
              <w:rPr>
                <w:rFonts w:ascii="Times New Roman" w:hAnsi="Times New Roman" w:cs="Times New Roman"/>
                <w:color w:val="000000" w:themeColor="text1"/>
                <w:sz w:val="20"/>
                <w:szCs w:val="20"/>
                <w:lang w:val="en-GB"/>
              </w:rPr>
              <w:t xml:space="preserve"> (FINREP F01.03-020-010 + F01.03-040-010)</w:t>
            </w:r>
            <w:r w:rsidRPr="002F61BB">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is</w:t>
            </w:r>
            <w:r w:rsidRPr="002F61BB">
              <w:rPr>
                <w:rFonts w:ascii="Times New Roman" w:hAnsi="Times New Roman" w:cs="Times New Roman"/>
                <w:color w:val="000000" w:themeColor="text1"/>
                <w:sz w:val="20"/>
                <w:szCs w:val="20"/>
                <w:lang w:val="en-GB"/>
              </w:rPr>
              <w:t xml:space="preserve"> understood as the face value of the instruments, whereas the outstanding amount represents the residual claim of shares on total accounting equity, i.e. including the reserves of the entity/group.</w:t>
            </w:r>
          </w:p>
        </w:tc>
      </w:tr>
      <w:tr w:rsidR="00CC0A94" w14:paraId="7FE1B5CE" w14:textId="77777777" w:rsidTr="002F61BB">
        <w:tc>
          <w:tcPr>
            <w:tcW w:w="905" w:type="dxa"/>
            <w:tcBorders>
              <w:top w:val="single" w:sz="4" w:space="0" w:color="1A171C"/>
              <w:left w:val="nil"/>
              <w:bottom w:val="single" w:sz="4" w:space="0" w:color="1A171C"/>
              <w:right w:val="single" w:sz="4" w:space="0" w:color="1A171C"/>
            </w:tcBorders>
            <w:vAlign w:val="center"/>
          </w:tcPr>
          <w:p w14:paraId="7FE1B5CB"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Of </w:t>
            </w:r>
            <w:r>
              <w:rPr>
                <w:rFonts w:ascii="Times New Roman" w:hAnsi="Times New Roman" w:cs="Times New Roman"/>
                <w:b/>
                <w:color w:val="000000" w:themeColor="text1"/>
                <w:spacing w:val="-2"/>
                <w:w w:val="95"/>
                <w:sz w:val="20"/>
                <w:szCs w:val="20"/>
                <w:lang w:val="en-GB"/>
              </w:rPr>
              <w:t>which</w:t>
            </w:r>
            <w:r>
              <w:rPr>
                <w:rFonts w:ascii="Times New Roman" w:hAnsi="Times New Roman" w:cs="Times New Roman"/>
                <w:b/>
                <w:bCs/>
                <w:color w:val="000000" w:themeColor="text1"/>
                <w:sz w:val="20"/>
                <w:szCs w:val="20"/>
                <w:lang w:val="en-GB"/>
              </w:rPr>
              <w:t xml:space="preserve">: instruments ranking </w:t>
            </w:r>
            <w:proofErr w:type="spellStart"/>
            <w:r>
              <w:rPr>
                <w:rFonts w:ascii="Times New Roman" w:hAnsi="Times New Roman" w:cs="Times New Roman"/>
                <w:b/>
                <w:bCs/>
                <w:color w:val="000000" w:themeColor="text1"/>
                <w:sz w:val="20"/>
                <w:szCs w:val="20"/>
                <w:lang w:val="en-GB"/>
              </w:rPr>
              <w:t>pari</w:t>
            </w:r>
            <w:proofErr w:type="spellEnd"/>
            <w:r>
              <w:rPr>
                <w:rFonts w:ascii="Times New Roman" w:hAnsi="Times New Roman" w:cs="Times New Roman"/>
                <w:b/>
                <w:bCs/>
                <w:color w:val="000000" w:themeColor="text1"/>
                <w:sz w:val="20"/>
                <w:szCs w:val="20"/>
                <w:lang w:val="en-GB"/>
              </w:rPr>
              <w:t xml:space="preserve"> passu with ordinary shares</w:t>
            </w:r>
          </w:p>
          <w:p w14:paraId="7FE1B5CD" w14:textId="0D41ACA0"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Legal instruments that constitute (part of) CET1 own funds in the form of instruments other than capital instruments/share capital, but ranking </w:t>
            </w:r>
            <w:proofErr w:type="spellStart"/>
            <w:r>
              <w:rPr>
                <w:rFonts w:ascii="Times New Roman" w:eastAsia="Cambria" w:hAnsi="Times New Roman" w:cs="Times New Roman"/>
                <w:color w:val="000000" w:themeColor="text1"/>
                <w:spacing w:val="-2"/>
                <w:w w:val="95"/>
                <w:sz w:val="20"/>
                <w:szCs w:val="20"/>
                <w:lang w:val="en-GB"/>
              </w:rPr>
              <w:t>pari</w:t>
            </w:r>
            <w:proofErr w:type="spellEnd"/>
            <w:r>
              <w:rPr>
                <w:rFonts w:ascii="Times New Roman" w:eastAsia="Cambria" w:hAnsi="Times New Roman" w:cs="Times New Roman"/>
                <w:color w:val="000000" w:themeColor="text1"/>
                <w:spacing w:val="-2"/>
                <w:w w:val="95"/>
                <w:sz w:val="20"/>
                <w:szCs w:val="20"/>
                <w:lang w:val="en-GB"/>
              </w:rPr>
              <w:t xml:space="preserve"> passu with this category.</w:t>
            </w:r>
            <w:r w:rsidRPr="002F61BB">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pacing w:val="-2"/>
                <w:w w:val="95"/>
                <w:sz w:val="20"/>
                <w:szCs w:val="20"/>
                <w:lang w:val="en-GB"/>
              </w:rPr>
              <w:t>Retained earnings and Reserves are not to be reported in this row.</w:t>
            </w:r>
            <w:bookmarkEnd w:id="57"/>
          </w:p>
        </w:tc>
      </w:tr>
      <w:tr w:rsidR="00CC0A94" w14:paraId="7FE1B5D3" w14:textId="77777777" w:rsidTr="002F61BB">
        <w:tc>
          <w:tcPr>
            <w:tcW w:w="905" w:type="dxa"/>
            <w:tcBorders>
              <w:top w:val="single" w:sz="4" w:space="0" w:color="1A171C"/>
              <w:left w:val="nil"/>
              <w:bottom w:val="single" w:sz="4" w:space="0" w:color="1A171C"/>
              <w:right w:val="single" w:sz="4" w:space="0" w:color="1A171C"/>
            </w:tcBorders>
            <w:vAlign w:val="center"/>
          </w:tcPr>
          <w:p w14:paraId="7FE1B5C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Additional</w:t>
            </w:r>
            <w:r>
              <w:rPr>
                <w:rFonts w:ascii="Times New Roman" w:hAnsi="Times New Roman" w:cs="Times New Roman"/>
                <w:b/>
                <w:bCs/>
                <w:color w:val="000000" w:themeColor="text1"/>
                <w:sz w:val="20"/>
                <w:szCs w:val="20"/>
                <w:lang w:val="en-GB"/>
              </w:rPr>
              <w:t xml:space="preserve"> Tier 1 capital</w:t>
            </w:r>
          </w:p>
          <w:p w14:paraId="7FE1B5D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61 of Regulation (EU) No 575/2013</w:t>
            </w:r>
          </w:p>
          <w:p w14:paraId="7FE1B5D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Same definition as COREP (OF): {C 01.00;530;010}</w:t>
            </w:r>
          </w:p>
        </w:tc>
      </w:tr>
      <w:tr w:rsidR="00CC0A94" w14:paraId="7FE1B5D7" w14:textId="77777777" w:rsidTr="002F61BB">
        <w:tc>
          <w:tcPr>
            <w:tcW w:w="905" w:type="dxa"/>
            <w:tcBorders>
              <w:top w:val="single" w:sz="4" w:space="0" w:color="1A171C"/>
              <w:left w:val="nil"/>
              <w:bottom w:val="single" w:sz="4" w:space="0" w:color="1A171C"/>
              <w:right w:val="single" w:sz="4" w:space="0" w:color="1A171C"/>
            </w:tcBorders>
            <w:vAlign w:val="center"/>
          </w:tcPr>
          <w:p w14:paraId="7FE1B5D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w:t>
            </w:r>
            <w:r>
              <w:rPr>
                <w:rFonts w:ascii="Times New Roman" w:hAnsi="Times New Roman" w:cs="Times New Roman"/>
                <w:b/>
                <w:color w:val="000000" w:themeColor="text1"/>
                <w:spacing w:val="-2"/>
                <w:w w:val="95"/>
                <w:sz w:val="20"/>
                <w:szCs w:val="20"/>
                <w:lang w:val="en-GB"/>
              </w:rPr>
              <w:t>part</w:t>
            </w:r>
            <w:r>
              <w:rPr>
                <w:rFonts w:ascii="Times New Roman" w:hAnsi="Times New Roman" w:cs="Times New Roman"/>
                <w:b/>
                <w:bCs/>
                <w:color w:val="000000" w:themeColor="text1"/>
                <w:sz w:val="20"/>
                <w:szCs w:val="20"/>
                <w:lang w:val="en-GB"/>
              </w:rPr>
              <w:t xml:space="preserve"> of) subordinated liabilities recognised as own funds</w:t>
            </w:r>
          </w:p>
          <w:p w14:paraId="7FE1B5D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Legal instruments that constitute (part of) Additional Tier 1.</w:t>
            </w:r>
          </w:p>
        </w:tc>
      </w:tr>
      <w:tr w:rsidR="00CC0A94" w14:paraId="7FE1B5DC" w14:textId="77777777" w:rsidTr="002F61BB">
        <w:tc>
          <w:tcPr>
            <w:tcW w:w="905" w:type="dxa"/>
            <w:tcBorders>
              <w:top w:val="single" w:sz="4" w:space="0" w:color="1A171C"/>
              <w:left w:val="nil"/>
              <w:bottom w:val="single" w:sz="4" w:space="0" w:color="1A171C"/>
              <w:right w:val="single" w:sz="4" w:space="0" w:color="1A171C"/>
            </w:tcBorders>
            <w:vAlign w:val="center"/>
          </w:tcPr>
          <w:p w14:paraId="7FE1B5D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Tier 2 </w:t>
            </w:r>
            <w:r>
              <w:rPr>
                <w:rFonts w:ascii="Times New Roman" w:hAnsi="Times New Roman" w:cs="Times New Roman"/>
                <w:b/>
                <w:color w:val="000000" w:themeColor="text1"/>
                <w:spacing w:val="-2"/>
                <w:w w:val="95"/>
                <w:sz w:val="20"/>
                <w:szCs w:val="20"/>
                <w:lang w:val="en-GB"/>
              </w:rPr>
              <w:t>Capital</w:t>
            </w:r>
          </w:p>
          <w:p w14:paraId="7FE1B5D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71 of Regulation (EU) No 575/2013</w:t>
            </w:r>
          </w:p>
          <w:p w14:paraId="7FE1B5D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Same definition as COREP (OF): {C 01.00;750;010}</w:t>
            </w:r>
          </w:p>
        </w:tc>
      </w:tr>
      <w:tr w:rsidR="00CC0A94" w14:paraId="7FE1B5E0" w14:textId="77777777" w:rsidTr="002F61BB">
        <w:tc>
          <w:tcPr>
            <w:tcW w:w="905" w:type="dxa"/>
            <w:tcBorders>
              <w:top w:val="single" w:sz="4" w:space="0" w:color="1A171C"/>
              <w:left w:val="nil"/>
              <w:bottom w:val="single" w:sz="4" w:space="0" w:color="1A171C"/>
              <w:right w:val="single" w:sz="4" w:space="0" w:color="1A171C"/>
            </w:tcBorders>
            <w:vAlign w:val="center"/>
          </w:tcPr>
          <w:p w14:paraId="7FE1B5DD"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(part of) subordinated liabilities recognised as own funds</w:t>
            </w:r>
          </w:p>
          <w:p w14:paraId="7FE1B5D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This breakdown identifies the legal instruments that constitute (part of) Tier 2 own funds.</w:t>
            </w:r>
          </w:p>
        </w:tc>
      </w:tr>
      <w:tr w:rsidR="00CC0A94" w14:paraId="7FE1B5E4" w14:textId="77777777" w:rsidTr="002F61BB">
        <w:tc>
          <w:tcPr>
            <w:tcW w:w="905" w:type="dxa"/>
            <w:tcBorders>
              <w:top w:val="single" w:sz="4" w:space="0" w:color="1A171C"/>
              <w:left w:val="nil"/>
              <w:bottom w:val="single" w:sz="4" w:space="0" w:color="1A171C"/>
              <w:right w:val="single" w:sz="4" w:space="0" w:color="1A171C"/>
            </w:tcBorders>
            <w:vAlign w:val="center"/>
          </w:tcPr>
          <w:p w14:paraId="7FE1B5E1"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Total </w:t>
            </w:r>
            <w:r>
              <w:rPr>
                <w:rFonts w:ascii="Times New Roman" w:hAnsi="Times New Roman" w:cs="Times New Roman"/>
                <w:b/>
                <w:color w:val="000000" w:themeColor="text1"/>
                <w:spacing w:val="-2"/>
                <w:w w:val="95"/>
                <w:sz w:val="20"/>
                <w:szCs w:val="20"/>
                <w:lang w:val="en-GB"/>
              </w:rPr>
              <w:t>liabilities</w:t>
            </w:r>
            <w:r>
              <w:rPr>
                <w:rFonts w:ascii="Times New Roman" w:hAnsi="Times New Roman" w:cs="Times New Roman"/>
                <w:b/>
                <w:bCs/>
                <w:color w:val="000000" w:themeColor="text1"/>
                <w:sz w:val="20"/>
                <w:szCs w:val="20"/>
                <w:lang w:val="en-GB"/>
              </w:rPr>
              <w:t xml:space="preserve"> and own funds including derivative liabilities</w:t>
            </w:r>
          </w:p>
          <w:p w14:paraId="7FE1B5E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Sum of all the liabilities reported in this template and the amount of regulatory own funds. To this end, all the amounts from the above lines shall be added. With respect to derivatives, the value to be used shall be row 0334 ‘Sum of net liability positions </w:t>
            </w:r>
            <w:proofErr w:type="gramStart"/>
            <w:r>
              <w:rPr>
                <w:rFonts w:ascii="Times New Roman" w:eastAsia="Cambria" w:hAnsi="Times New Roman" w:cs="Times New Roman"/>
                <w:color w:val="000000" w:themeColor="text1"/>
                <w:spacing w:val="-2"/>
                <w:w w:val="95"/>
                <w:sz w:val="20"/>
                <w:szCs w:val="20"/>
                <w:lang w:val="en-GB"/>
              </w:rPr>
              <w:t>taking into account</w:t>
            </w:r>
            <w:proofErr w:type="gramEnd"/>
            <w:r>
              <w:rPr>
                <w:rFonts w:ascii="Times New Roman" w:eastAsia="Cambria" w:hAnsi="Times New Roman" w:cs="Times New Roman"/>
                <w:color w:val="000000" w:themeColor="text1"/>
                <w:spacing w:val="-2"/>
                <w:w w:val="95"/>
                <w:sz w:val="20"/>
                <w:szCs w:val="20"/>
                <w:lang w:val="en-GB"/>
              </w:rPr>
              <w:t xml:space="preserve"> prudential netting rules'.</w:t>
            </w:r>
          </w:p>
        </w:tc>
      </w:tr>
      <w:tr w:rsidR="00CC0A94"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Total Equity</w:t>
            </w:r>
          </w:p>
          <w:p w14:paraId="7FE1B604" w14:textId="77777777" w:rsidR="00CC0A94" w:rsidRPr="002F61BB" w:rsidRDefault="006C1571">
            <w:pPr>
              <w:spacing w:line="276" w:lineRule="auto"/>
              <w:jc w:val="both"/>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(FINREP F01.03-300-010) for the carrying amount.</w:t>
            </w:r>
          </w:p>
          <w:p w14:paraId="7FE1B605" w14:textId="44D71F77" w:rsidR="00CC0A94" w:rsidRPr="002F61BB" w:rsidRDefault="006C1571">
            <w:pPr>
              <w:spacing w:line="276" w:lineRule="auto"/>
              <w:jc w:val="both"/>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This total equal</w:t>
            </w:r>
            <w:r>
              <w:rPr>
                <w:rFonts w:ascii="Times New Roman" w:eastAsia="Cambria" w:hAnsi="Times New Roman" w:cs="Times New Roman"/>
                <w:sz w:val="20"/>
                <w:szCs w:val="20"/>
                <w:lang w:val="en-GB"/>
              </w:rPr>
              <w:t>s</w:t>
            </w:r>
            <w:r w:rsidRPr="002F61BB">
              <w:rPr>
                <w:rFonts w:ascii="Times New Roman" w:eastAsia="Cambria" w:hAnsi="Times New Roman" w:cs="Times New Roman"/>
                <w:sz w:val="20"/>
                <w:szCs w:val="20"/>
                <w:lang w:val="en-GB"/>
              </w:rPr>
              <w:t xml:space="preserve"> the total equity of the balance sheet.</w:t>
            </w:r>
          </w:p>
          <w:p w14:paraId="7FE1B606" w14:textId="77777777" w:rsidR="00CC0A94" w:rsidRDefault="00CC0A94">
            <w:pPr>
              <w:pStyle w:val="TableParagraph"/>
              <w:jc w:val="both"/>
              <w:rPr>
                <w:rFonts w:ascii="Times New Roman" w:hAnsi="Times New Roman" w:cs="Times New Roman"/>
                <w:b/>
                <w:bCs/>
                <w:color w:val="000000" w:themeColor="text1"/>
                <w:sz w:val="20"/>
                <w:szCs w:val="20"/>
                <w:lang w:val="en-GB"/>
              </w:rPr>
            </w:pPr>
          </w:p>
        </w:tc>
      </w:tr>
    </w:tbl>
    <w:p w14:paraId="7FE1B60E" w14:textId="77777777" w:rsidR="00CC0A94" w:rsidRPr="002F61BB" w:rsidRDefault="00CC0A94">
      <w:pPr>
        <w:rPr>
          <w:rFonts w:ascii="Times New Roman" w:hAnsi="Times New Roman" w:cs="Times New Roman"/>
        </w:rPr>
      </w:pPr>
    </w:p>
    <w:p w14:paraId="7FE1B60F" w14:textId="1DD0504B" w:rsidR="00CC0A94" w:rsidRDefault="006C1571">
      <w:pPr>
        <w:pStyle w:val="Instructionsberschrift2"/>
        <w:numPr>
          <w:ilvl w:val="1"/>
          <w:numId w:val="49"/>
        </w:numPr>
        <w:ind w:left="357" w:hanging="357"/>
        <w:rPr>
          <w:rFonts w:ascii="Times New Roman" w:hAnsi="Times New Roman" w:cs="Times New Roman"/>
        </w:rPr>
      </w:pPr>
      <w:bookmarkStart w:id="58" w:name="_Toc492542323"/>
      <w:bookmarkStart w:id="59" w:name="_Toc81454181"/>
      <w:bookmarkStart w:id="60" w:name="_Toc192249041"/>
      <w:r>
        <w:rPr>
          <w:rFonts w:ascii="Times New Roman" w:hAnsi="Times New Roman" w:cs="Times New Roman"/>
        </w:rPr>
        <w:lastRenderedPageBreak/>
        <w:t>Z 03.01 - Own funds requirements – Credit Institutions (LIAB 2)</w:t>
      </w:r>
      <w:bookmarkEnd w:id="58"/>
      <w:bookmarkEnd w:id="59"/>
      <w:bookmarkEnd w:id="60"/>
    </w:p>
    <w:p w14:paraId="7FE1B610" w14:textId="77777777" w:rsidR="00CC0A94" w:rsidRDefault="006C1571">
      <w:pPr>
        <w:pStyle w:val="Instructionsberschrift3"/>
        <w:rPr>
          <w:lang w:val="en-GB"/>
        </w:rPr>
      </w:pPr>
      <w:r>
        <w:rPr>
          <w:lang w:val="en-GB"/>
        </w:rPr>
        <w:t>General remarks</w:t>
      </w:r>
    </w:p>
    <w:p w14:paraId="7FE1B611"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This template gathers information on the own </w:t>
      </w:r>
      <w:proofErr w:type="gramStart"/>
      <w:r>
        <w:rPr>
          <w:rFonts w:ascii="Times New Roman" w:hAnsi="Times New Roman" w:cs="Times New Roman"/>
          <w:sz w:val="20"/>
          <w:szCs w:val="20"/>
          <w:lang w:val="en-GB"/>
        </w:rPr>
        <w:t>funds</w:t>
      </w:r>
      <w:proofErr w:type="gramEnd"/>
      <w:r>
        <w:rPr>
          <w:rFonts w:ascii="Times New Roman" w:hAnsi="Times New Roman" w:cs="Times New Roman"/>
          <w:sz w:val="20"/>
          <w:szCs w:val="20"/>
          <w:lang w:val="en-GB"/>
        </w:rPr>
        <w:t xml:space="preserve"> requirements for an entity or group.</w:t>
      </w:r>
    </w:p>
    <w:p w14:paraId="7FE1B612"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All information reported shall reflect the own funds requirements applicable at the reporting reference date.</w:t>
      </w:r>
    </w:p>
    <w:p w14:paraId="7FE1B613" w14:textId="1B7809D4"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As an exception, the information on 0300-Total SREP capital requirement (TSCR) ratio reported in this template shall be based on the latest available official SREP decision communicated until the remittance date of this report by the competent authority.</w:t>
      </w:r>
    </w:p>
    <w:p w14:paraId="7FE1B614"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For reporting on a consolidated or individual basis, if these data points have already been reported by the entity in FINREP or COREP for the same reference date and reporting scope (see COREP/FINREP references in the instructions), the reporting entity does not have to report these data points a second time. Data only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be reported, for instance, where the reporting entity has been waived from financial or prudential reporting obligations, in which case the only data source for resolution authorities for these data points is this report.</w:t>
      </w:r>
    </w:p>
    <w:p w14:paraId="7FE1B615" w14:textId="77777777" w:rsidR="00CC0A94" w:rsidRDefault="00CC0A94" w:rsidP="002F61BB">
      <w:pPr>
        <w:pStyle w:val="InstructionsText2"/>
        <w:numPr>
          <w:ilvl w:val="0"/>
          <w:numId w:val="0"/>
        </w:numPr>
        <w:spacing w:before="0"/>
        <w:ind w:left="1440"/>
        <w:rPr>
          <w:rFonts w:ascii="Times New Roman" w:hAnsi="Times New Roman" w:cs="Times New Roman"/>
          <w:sz w:val="20"/>
          <w:szCs w:val="20"/>
          <w:lang w:val="en-GB"/>
        </w:rPr>
      </w:pPr>
    </w:p>
    <w:p w14:paraId="7FE1B61B" w14:textId="77777777" w:rsidR="00CC0A94" w:rsidRDefault="006C1571">
      <w:pPr>
        <w:pStyle w:val="Instructionsberschrift3"/>
        <w:rPr>
          <w:lang w:val="en-GB"/>
        </w:rPr>
      </w:pPr>
      <w:r>
        <w:rPr>
          <w:lang w:val="en-GB"/>
        </w:rPr>
        <w:t>Instructions concerning specific positions</w:t>
      </w:r>
    </w:p>
    <w:p w14:paraId="7FE1B61C" w14:textId="77777777" w:rsidR="00CC0A94" w:rsidRDefault="00CC0A94">
      <w:pPr>
        <w:pStyle w:val="Instructionsberschrift3"/>
        <w:numPr>
          <w:ilvl w:val="0"/>
          <w:numId w:val="0"/>
        </w:numPr>
        <w:rPr>
          <w:lang w:val="en-GB"/>
        </w:r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CC0A94"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Rows</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Total Risk Exposure Amount</w:t>
            </w:r>
          </w:p>
          <w:p w14:paraId="7FE1B622" w14:textId="77777777" w:rsidR="00CC0A94" w:rsidRDefault="006C1571">
            <w:pPr>
              <w:pStyle w:val="TableParagraph"/>
              <w:spacing w:before="108"/>
              <w:rPr>
                <w:rFonts w:ascii="Times New Roman"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referred to in Point (a) of Article 45(2) of Directive 2014/59/EU, calculated in accordance with Article 92(3) of Regulation (EU) No 575/2013.</w:t>
            </w:r>
          </w:p>
        </w:tc>
      </w:tr>
      <w:tr w:rsidR="00CC0A94"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Total exposure measure</w:t>
            </w:r>
          </w:p>
          <w:p w14:paraId="7FE1B62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referred to in Point (b) of Article 45(2) of Directive 2014/59/EU, calculated in accordance with Articles 429(4) and 429a of Regulation (EU) No 575/2013.</w:t>
            </w:r>
          </w:p>
        </w:tc>
      </w:tr>
      <w:tr w:rsidR="00CC0A94"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0210 - 0220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Initial capital and Leverage Ratio requirements</w:t>
            </w:r>
          </w:p>
        </w:tc>
      </w:tr>
      <w:tr w:rsidR="00CC0A94"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Initial capital</w:t>
            </w:r>
          </w:p>
          <w:p w14:paraId="7FE1B62D"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referred to in Articles 12 of Directive 2013/36/EU, Article 93 of Regulation (EU) No 575/2013.</w:t>
            </w:r>
          </w:p>
          <w:p w14:paraId="7FE1B62E"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initial capital required as a precondition for the authorization to commence the activity of an institution.</w:t>
            </w:r>
          </w:p>
        </w:tc>
      </w:tr>
      <w:tr w:rsidR="00CC0A94"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Leverage Ratio Requirement</w:t>
            </w:r>
          </w:p>
          <w:p w14:paraId="7FE1B632" w14:textId="77777777" w:rsidR="00CC0A94" w:rsidRDefault="006C1571">
            <w:pPr>
              <w:pStyle w:val="TableParagraph"/>
              <w:spacing w:before="108"/>
              <w:jc w:val="both"/>
              <w:rPr>
                <w:rFonts w:ascii="Times New Roman"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Leverage ratio requirement, excluding the requirement specified in Article 92(1a) of </w:t>
            </w:r>
            <w:r>
              <w:rPr>
                <w:rFonts w:ascii="Times New Roman" w:hAnsi="Times New Roman" w:cs="Times New Roman"/>
                <w:color w:val="000000" w:themeColor="text1"/>
                <w:sz w:val="20"/>
                <w:szCs w:val="20"/>
                <w:lang w:val="en-GB"/>
              </w:rPr>
              <w:t>Regulation (EU) No 575/2013,</w:t>
            </w:r>
            <w:r>
              <w:rPr>
                <w:rFonts w:ascii="Times New Roman" w:eastAsia="Cambria" w:hAnsi="Times New Roman" w:cs="Times New Roman"/>
                <w:color w:val="000000" w:themeColor="text1"/>
                <w:spacing w:val="-2"/>
                <w:w w:val="95"/>
                <w:sz w:val="20"/>
                <w:szCs w:val="20"/>
                <w:lang w:val="en-GB"/>
              </w:rPr>
              <w:t xml:space="preserve"> as applicable to the entity or group, expressed as a percentage of the total exposure measure. If no formal requirement is in place, entities shall leave this cell empty.</w:t>
            </w:r>
          </w:p>
        </w:tc>
      </w:tr>
      <w:tr w:rsidR="00CC0A94"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Total SREP capital requirement (TSCR) ratio </w:t>
            </w:r>
          </w:p>
          <w:p w14:paraId="7FE1B636"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COREP (OF): {C 03.00;130;010}</w:t>
            </w:r>
          </w:p>
          <w:p w14:paraId="7FE1B637" w14:textId="77777777" w:rsidR="00CC0A94" w:rsidRDefault="006C1571">
            <w:pPr>
              <w:pStyle w:val="InstructionsText"/>
              <w:ind w:firstLine="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sum of (i) and (ii) as follows:</w:t>
            </w:r>
          </w:p>
          <w:p w14:paraId="7FE1B638" w14:textId="77777777" w:rsidR="00CC0A94" w:rsidRDefault="006C1571">
            <w:pPr>
              <w:pStyle w:val="InstructionsText"/>
              <w:numPr>
                <w:ilvl w:val="3"/>
                <w:numId w:val="4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the total capital ratio (8%) as specified in Article 92(1)(c) of Regulation (EU) No </w:t>
            </w:r>
            <w:proofErr w:type="gramStart"/>
            <w:r>
              <w:rPr>
                <w:rFonts w:ascii="Times New Roman" w:hAnsi="Times New Roman" w:cs="Times New Roman"/>
                <w:color w:val="000000" w:themeColor="text1"/>
                <w:sz w:val="20"/>
                <w:szCs w:val="20"/>
                <w:lang w:val="en-GB"/>
              </w:rPr>
              <w:t>575/2013;</w:t>
            </w:r>
            <w:proofErr w:type="gramEnd"/>
            <w:r>
              <w:rPr>
                <w:rFonts w:ascii="Times New Roman" w:hAnsi="Times New Roman" w:cs="Times New Roman"/>
                <w:color w:val="000000" w:themeColor="text1"/>
                <w:sz w:val="20"/>
                <w:szCs w:val="20"/>
                <w:lang w:val="en-GB"/>
              </w:rPr>
              <w:t xml:space="preserve"> </w:t>
            </w:r>
          </w:p>
          <w:p w14:paraId="7FE1B639" w14:textId="77777777" w:rsidR="00CC0A94" w:rsidRDefault="006C1571">
            <w:pPr>
              <w:pStyle w:val="InstructionsText"/>
              <w:numPr>
                <w:ilvl w:val="3"/>
                <w:numId w:val="4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 xml:space="preserve">the additional own funds requirements (Pillar 2 Requirements – P2R) ratio determined in accordance with the criteria specified in the </w:t>
            </w:r>
            <w:r>
              <w:rPr>
                <w:rFonts w:ascii="Times New Roman" w:hAnsi="Times New Roman" w:cs="Times New Roman"/>
                <w:i/>
                <w:color w:val="000000" w:themeColor="text1"/>
                <w:sz w:val="20"/>
                <w:szCs w:val="20"/>
                <w:lang w:val="en-GB"/>
              </w:rPr>
              <w:t xml:space="preserve">EBA Guidelines on common procedures and methodologies for the supervisory review and evaluation process and supervisory stress testing </w:t>
            </w:r>
            <w:r>
              <w:rPr>
                <w:rFonts w:ascii="Times New Roman" w:hAnsi="Times New Roman" w:cs="Times New Roman"/>
                <w:color w:val="000000" w:themeColor="text1"/>
                <w:sz w:val="20"/>
                <w:szCs w:val="20"/>
                <w:lang w:val="en-GB"/>
              </w:rPr>
              <w:t>(EBA SREP GL).</w:t>
            </w:r>
          </w:p>
          <w:p w14:paraId="7FE1B63A" w14:textId="77777777" w:rsidR="00CC0A94" w:rsidRDefault="006C1571">
            <w:pPr>
              <w:pStyle w:val="InstructionsText"/>
              <w:ind w:firstLine="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item shall reflect the latest, as of remittance date, total SREP capital requirement (TSCR) ratio as communicated to the institution by the competent authority, i.e. for submission with ref. date of 31 December of a given year, report the P2R applicable in the following year. The TSCR is defined in Section 1.2 of the EBA SREP GL.</w:t>
            </w:r>
          </w:p>
          <w:p w14:paraId="7FE1B63B" w14:textId="77777777" w:rsidR="00CC0A94" w:rsidRDefault="006C1571">
            <w:pPr>
              <w:pStyle w:val="InstructionsText"/>
              <w:ind w:firstLine="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Where a reporting entity is a resolution entity that has not been subject to an additional own funds requirement as referred to in Article 104a of Directive 2013/36/EU at the resolution group consolidated level, the reported value for (ii) above is expected to be the result of the estimation referred to in Article 1 of the Commission Delegated Regulation (EU) 2021/1118, but conducted preliminary by the reporting entity.</w:t>
            </w:r>
          </w:p>
          <w:p w14:paraId="7FE1B63C"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If no additional own funds requirements were communicated by the competent authority and the paragraph above does not apply, then only point (i) shall be reported.</w:t>
            </w:r>
          </w:p>
        </w:tc>
      </w:tr>
      <w:tr w:rsidR="00CC0A94"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Combined Buffer Requirement</w:t>
            </w:r>
          </w:p>
          <w:p w14:paraId="7FE1B640" w14:textId="7A5205D6"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COREP (OF): {C 04.00;7</w:t>
            </w:r>
            <w:r>
              <w:rPr>
                <w:rFonts w:ascii="Times New Roman" w:hAnsi="Times New Roman" w:cs="Times New Roman"/>
                <w:color w:val="000000" w:themeColor="text1"/>
                <w:sz w:val="20"/>
                <w:szCs w:val="20"/>
                <w:lang w:val="en-GB"/>
              </w:rPr>
              <w:t>4</w:t>
            </w:r>
            <w:r w:rsidRPr="002F61BB">
              <w:rPr>
                <w:rFonts w:ascii="Times New Roman" w:hAnsi="Times New Roman" w:cs="Times New Roman"/>
                <w:color w:val="000000" w:themeColor="text1"/>
                <w:sz w:val="20"/>
                <w:szCs w:val="20"/>
                <w:lang w:val="en-GB"/>
              </w:rPr>
              <w:t>0;010}).</w:t>
            </w:r>
          </w:p>
          <w:p w14:paraId="7FE1B641"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Requirement referred to in</w:t>
            </w:r>
            <w:r>
              <w:rPr>
                <w:rStyle w:val="InstructionsTabelleberschrift"/>
                <w:rFonts w:ascii="Times New Roman" w:hAnsi="Times New Roman"/>
                <w:b w:val="0"/>
                <w:color w:val="000000" w:themeColor="text1"/>
                <w:szCs w:val="20"/>
                <w:u w:val="none"/>
                <w:lang w:val="en-GB"/>
              </w:rPr>
              <w:t xml:space="preserve"> </w:t>
            </w:r>
            <w:r>
              <w:rPr>
                <w:rStyle w:val="InstructionsTabelleberschrift"/>
                <w:rFonts w:ascii="Times New Roman" w:hAnsi="Times New Roman"/>
                <w:b w:val="0"/>
                <w:color w:val="000000" w:themeColor="text1"/>
                <w:szCs w:val="20"/>
                <w:u w:val="none"/>
              </w:rPr>
              <w:t>p</w:t>
            </w:r>
            <w:proofErr w:type="spellStart"/>
            <w:r>
              <w:rPr>
                <w:rFonts w:ascii="Times New Roman" w:eastAsia="Cambria" w:hAnsi="Times New Roman" w:cs="Times New Roman"/>
                <w:color w:val="000000" w:themeColor="text1"/>
                <w:spacing w:val="-2"/>
                <w:w w:val="95"/>
                <w:sz w:val="20"/>
                <w:szCs w:val="20"/>
                <w:lang w:val="en-GB"/>
              </w:rPr>
              <w:t>oint</w:t>
            </w:r>
            <w:proofErr w:type="spellEnd"/>
            <w:r>
              <w:rPr>
                <w:rFonts w:ascii="Times New Roman" w:eastAsia="Cambria" w:hAnsi="Times New Roman" w:cs="Times New Roman"/>
                <w:color w:val="000000" w:themeColor="text1"/>
                <w:spacing w:val="-2"/>
                <w:w w:val="95"/>
                <w:sz w:val="20"/>
                <w:szCs w:val="20"/>
                <w:lang w:val="en-GB"/>
              </w:rPr>
              <w:t xml:space="preserve"> (6) of the first subparagraph of Article 128 of Directive 2013/36/EU.</w:t>
            </w:r>
          </w:p>
          <w:p w14:paraId="7FE1B642" w14:textId="37B6D09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In case the resolution perimeter differs from the prudential one, the estimation of the elements comprising the combined buffer requirement of the resolution entity at the resolution group consolidated level follows the Article 3 (1) of the Commission Delegated Regulation (EU) </w:t>
            </w:r>
            <w:proofErr w:type="gramStart"/>
            <w:r>
              <w:rPr>
                <w:rFonts w:ascii="Times New Roman" w:hAnsi="Times New Roman" w:cs="Times New Roman"/>
                <w:color w:val="000000" w:themeColor="text1"/>
                <w:sz w:val="20"/>
                <w:szCs w:val="20"/>
                <w:lang w:val="en-GB"/>
              </w:rPr>
              <w:t>2021/1118, but</w:t>
            </w:r>
            <w:proofErr w:type="gramEnd"/>
            <w:r>
              <w:rPr>
                <w:rFonts w:ascii="Times New Roman" w:hAnsi="Times New Roman" w:cs="Times New Roman"/>
                <w:color w:val="000000" w:themeColor="text1"/>
                <w:sz w:val="20"/>
                <w:szCs w:val="20"/>
                <w:lang w:val="en-GB"/>
              </w:rPr>
              <w:t xml:space="preserve"> should be conducted preliminary by the reporting entity. </w:t>
            </w:r>
          </w:p>
        </w:tc>
      </w:tr>
      <w:tr w:rsidR="00CC0A94"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Capital Conservation Buffer</w:t>
            </w:r>
          </w:p>
          <w:p w14:paraId="7FE1B646" w14:textId="7B6CEF6B"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COREP (OF): {C 04.00;7</w:t>
            </w:r>
            <w:r>
              <w:rPr>
                <w:rFonts w:ascii="Times New Roman" w:hAnsi="Times New Roman" w:cs="Times New Roman"/>
                <w:color w:val="000000" w:themeColor="text1"/>
                <w:sz w:val="20"/>
                <w:szCs w:val="20"/>
                <w:lang w:val="en-GB"/>
              </w:rPr>
              <w:t>5</w:t>
            </w:r>
            <w:r w:rsidRPr="002F61BB">
              <w:rPr>
                <w:rFonts w:ascii="Times New Roman" w:hAnsi="Times New Roman" w:cs="Times New Roman"/>
                <w:color w:val="000000" w:themeColor="text1"/>
                <w:sz w:val="20"/>
                <w:szCs w:val="20"/>
                <w:lang w:val="en-GB"/>
              </w:rPr>
              <w:t>0;010}).</w:t>
            </w:r>
          </w:p>
          <w:p w14:paraId="7FE1B647"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Requirement referred to in</w:t>
            </w:r>
            <w:r>
              <w:rPr>
                <w:rStyle w:val="InstructionsTabelleberschrift"/>
                <w:rFonts w:ascii="Times New Roman" w:hAnsi="Times New Roman"/>
                <w:b w:val="0"/>
                <w:color w:val="000000" w:themeColor="text1"/>
                <w:szCs w:val="20"/>
                <w:u w:val="none"/>
                <w:lang w:val="en-GB"/>
              </w:rPr>
              <w:t xml:space="preserve"> </w:t>
            </w:r>
            <w:r>
              <w:rPr>
                <w:rFonts w:ascii="Times New Roman" w:eastAsia="Cambria" w:hAnsi="Times New Roman" w:cs="Times New Roman"/>
                <w:color w:val="000000" w:themeColor="text1"/>
                <w:spacing w:val="-2"/>
                <w:w w:val="95"/>
                <w:sz w:val="20"/>
                <w:szCs w:val="20"/>
                <w:lang w:val="en-GB"/>
              </w:rPr>
              <w:t>Articles 128 point (1) and 129 of Directive 2013/36/EU.</w:t>
            </w:r>
          </w:p>
          <w:p w14:paraId="7FE1B648"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 xml:space="preserve">In case the resolution perimeter differs from the prudential one, the estimation of this buffer requirement of the resolution entity at the resolution group consolidated level follows the Article 3 (2) of the Commission Delegated Regulation (EU) </w:t>
            </w:r>
            <w:proofErr w:type="gramStart"/>
            <w:r>
              <w:rPr>
                <w:rFonts w:ascii="Times New Roman" w:hAnsi="Times New Roman" w:cs="Times New Roman"/>
                <w:color w:val="000000" w:themeColor="text1"/>
                <w:sz w:val="20"/>
                <w:szCs w:val="20"/>
                <w:lang w:val="en-GB"/>
              </w:rPr>
              <w:t>2021/1118, but</w:t>
            </w:r>
            <w:proofErr w:type="gramEnd"/>
            <w:r>
              <w:rPr>
                <w:rFonts w:ascii="Times New Roman" w:hAnsi="Times New Roman" w:cs="Times New Roman"/>
                <w:color w:val="000000" w:themeColor="text1"/>
                <w:sz w:val="20"/>
                <w:szCs w:val="20"/>
                <w:lang w:val="en-GB"/>
              </w:rPr>
              <w:t xml:space="preserve"> should be conducted preliminary by the reporting entity.</w:t>
            </w:r>
          </w:p>
        </w:tc>
      </w:tr>
      <w:tr w:rsidR="00CC0A94"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CC0A94" w:rsidRDefault="006C1571">
            <w:pPr>
              <w:rPr>
                <w:rStyle w:val="InstructionsTabelleberschrift"/>
                <w:rFonts w:ascii="Times New Roman" w:hAnsi="Times New Roman"/>
                <w:color w:val="000000" w:themeColor="text1"/>
                <w:szCs w:val="20"/>
                <w:u w:val="none"/>
                <w:lang w:val="en-GB"/>
              </w:rPr>
            </w:pPr>
            <w:r>
              <w:rPr>
                <w:rStyle w:val="InstructionsTabelleberschrift"/>
                <w:rFonts w:ascii="Times New Roman" w:hAnsi="Times New Roman"/>
                <w:color w:val="000000" w:themeColor="text1"/>
                <w:szCs w:val="20"/>
                <w:u w:val="none"/>
                <w:lang w:val="en-GB"/>
              </w:rPr>
              <w:t>Conservation buffer due to macro-prudential or systemic risk identified at the level of a Member State</w:t>
            </w:r>
          </w:p>
          <w:p w14:paraId="7FE1B64C" w14:textId="77777777" w:rsidR="00CC0A94" w:rsidRPr="002F61BB" w:rsidRDefault="006C1571">
            <w:pPr>
              <w:rPr>
                <w:rStyle w:val="InstructionsTabelleberschrift"/>
                <w:rFonts w:ascii="Times New Roman" w:hAnsi="Times New Roman"/>
                <w:b w:val="0"/>
                <w:bCs w:val="0"/>
                <w:color w:val="000000" w:themeColor="text1"/>
                <w:szCs w:val="20"/>
                <w:u w:val="none"/>
                <w:lang w:val="en-GB"/>
              </w:rPr>
            </w:pPr>
            <w:r w:rsidRPr="002F61BB">
              <w:rPr>
                <w:rStyle w:val="InstructionsTabelleberschrift"/>
                <w:rFonts w:ascii="Times New Roman" w:hAnsi="Times New Roman"/>
                <w:b w:val="0"/>
                <w:bCs w:val="0"/>
                <w:color w:val="000000" w:themeColor="text1"/>
                <w:szCs w:val="20"/>
                <w:u w:val="none"/>
                <w:lang w:val="en-GB"/>
              </w:rPr>
              <w:t>COREP (OF): {C 04.00;760;010}).</w:t>
            </w:r>
          </w:p>
          <w:p w14:paraId="7FE1B64D" w14:textId="1D29CF6A" w:rsidR="00CC0A94" w:rsidRDefault="006C1571">
            <w:pPr>
              <w:rPr>
                <w:rStyle w:val="InstructionsTabelleberschrift"/>
                <w:rFonts w:ascii="Times New Roman" w:hAnsi="Times New Roman"/>
                <w:b w:val="0"/>
                <w:color w:val="000000" w:themeColor="text1"/>
                <w:szCs w:val="20"/>
                <w:u w:val="none"/>
                <w:lang w:val="en-GB"/>
              </w:rPr>
            </w:pPr>
            <w:r>
              <w:rPr>
                <w:rFonts w:ascii="Times New Roman" w:eastAsia="Cambria" w:hAnsi="Times New Roman" w:cs="Times New Roman"/>
                <w:color w:val="000000" w:themeColor="text1"/>
                <w:spacing w:val="-2"/>
                <w:w w:val="95"/>
                <w:sz w:val="20"/>
                <w:szCs w:val="20"/>
                <w:lang w:val="en-GB"/>
              </w:rPr>
              <w:t>Requirement referred to in</w:t>
            </w:r>
            <w:r>
              <w:rPr>
                <w:rStyle w:val="InstructionsTabelleberschrift"/>
                <w:rFonts w:ascii="Times New Roman" w:hAnsi="Times New Roman"/>
                <w:b w:val="0"/>
                <w:color w:val="000000" w:themeColor="text1"/>
                <w:szCs w:val="20"/>
                <w:u w:val="none"/>
                <w:lang w:val="en-GB"/>
              </w:rPr>
              <w:t xml:space="preserve"> Article 458 (2) point d (vi)</w:t>
            </w:r>
            <w:r>
              <w:rPr>
                <w:rStyle w:val="FootnoteReference"/>
                <w:rFonts w:cs="Times New Roman"/>
                <w:bCs/>
                <w:color w:val="000000" w:themeColor="text1"/>
                <w:lang w:val="en-GB"/>
              </w:rPr>
              <w:footnoteReference w:id="17"/>
            </w:r>
            <w:r>
              <w:rPr>
                <w:rStyle w:val="InstructionsTabelleberschrift"/>
                <w:rFonts w:ascii="Times New Roman" w:hAnsi="Times New Roman"/>
                <w:b w:val="0"/>
                <w:color w:val="000000" w:themeColor="text1"/>
                <w:szCs w:val="20"/>
                <w:u w:val="none"/>
                <w:lang w:val="en-GB"/>
              </w:rPr>
              <w:t xml:space="preserve"> of Regulation (EU) No 575/2013</w:t>
            </w:r>
          </w:p>
          <w:p w14:paraId="7FE1B64E"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In case the resolution perimeter differs from the prudential one, the reported amount corresponds to the buffer applicable to the exposures of the resolution group.</w:t>
            </w:r>
          </w:p>
        </w:tc>
      </w:tr>
      <w:tr w:rsidR="00CC0A94"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Institution-Specific Countercyclical Capital Buffer </w:t>
            </w:r>
          </w:p>
          <w:p w14:paraId="7FE1B652" w14:textId="77777777" w:rsidR="00CC0A94" w:rsidRDefault="006C1571">
            <w:pPr>
              <w:rPr>
                <w:rStyle w:val="InstructionsTabelleberschrift"/>
                <w:rFonts w:ascii="Times New Roman" w:hAnsi="Times New Roman"/>
                <w:b w:val="0"/>
                <w:bCs w:val="0"/>
                <w:color w:val="000000" w:themeColor="text1"/>
                <w:szCs w:val="20"/>
                <w:u w:val="none"/>
                <w:lang w:val="en-GB"/>
              </w:rPr>
            </w:pPr>
            <w:r>
              <w:rPr>
                <w:rStyle w:val="InstructionsTabelleberschrift"/>
                <w:rFonts w:ascii="Times New Roman" w:hAnsi="Times New Roman"/>
                <w:b w:val="0"/>
                <w:bCs w:val="0"/>
                <w:color w:val="000000" w:themeColor="text1"/>
                <w:szCs w:val="20"/>
                <w:u w:val="none"/>
                <w:lang w:val="en-GB"/>
              </w:rPr>
              <w:t>(see COREP (OF): {C 04.00;770;010}).</w:t>
            </w:r>
          </w:p>
          <w:p w14:paraId="7FE1B653"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Requirement referred to in Articles 128 point (2), 130, 135-140 of Directive 2013/36/EU.</w:t>
            </w:r>
          </w:p>
          <w:p w14:paraId="7FE1B654"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In case the resolution perimeter differs from the prudential one, the reported amount corresponds to the buffer requirement applicable to the exposures of the resolution group.</w:t>
            </w:r>
          </w:p>
        </w:tc>
      </w:tr>
      <w:tr w:rsidR="00CC0A94"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Systemic Risk Buffer</w:t>
            </w:r>
          </w:p>
          <w:p w14:paraId="7FE1B658"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w:t>
            </w:r>
            <w:r w:rsidRPr="002F61BB">
              <w:rPr>
                <w:rFonts w:ascii="Times New Roman" w:hAnsi="Times New Roman" w:cs="Times New Roman"/>
                <w:color w:val="000000" w:themeColor="text1"/>
                <w:sz w:val="20"/>
                <w:szCs w:val="20"/>
                <w:lang w:val="en-GB"/>
              </w:rPr>
              <w:t>see COREP (OF): {C 04.00;780;010})</w:t>
            </w:r>
          </w:p>
          <w:p w14:paraId="7FE1B65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Requirement referred to in Articles 128 point (5), 133 and 134 of Directive 2013/36/EU</w:t>
            </w:r>
          </w:p>
          <w:p w14:paraId="7FE1B65A"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 xml:space="preserve">In case the resolution perimeter differs from the prudential one, the estimation of this buffer requirement of the resolution entity at the resolution group consolidated level follows the Article 3 (5) of the Commission Delegated Regulation (EU) </w:t>
            </w:r>
            <w:proofErr w:type="gramStart"/>
            <w:r>
              <w:rPr>
                <w:rFonts w:ascii="Times New Roman" w:hAnsi="Times New Roman" w:cs="Times New Roman"/>
                <w:color w:val="000000" w:themeColor="text1"/>
                <w:sz w:val="20"/>
                <w:szCs w:val="20"/>
                <w:lang w:val="en-GB"/>
              </w:rPr>
              <w:t>2021/1118,</w:t>
            </w:r>
            <w:r>
              <w:t xml:space="preserve"> </w:t>
            </w:r>
            <w:r>
              <w:rPr>
                <w:rFonts w:ascii="Times New Roman" w:hAnsi="Times New Roman" w:cs="Times New Roman"/>
                <w:color w:val="000000" w:themeColor="text1"/>
                <w:sz w:val="20"/>
                <w:szCs w:val="20"/>
                <w:lang w:val="en-GB"/>
              </w:rPr>
              <w:t>but</w:t>
            </w:r>
            <w:proofErr w:type="gramEnd"/>
            <w:r>
              <w:rPr>
                <w:rFonts w:ascii="Times New Roman" w:hAnsi="Times New Roman" w:cs="Times New Roman"/>
                <w:color w:val="000000" w:themeColor="text1"/>
                <w:sz w:val="20"/>
                <w:szCs w:val="20"/>
                <w:lang w:val="en-GB"/>
              </w:rPr>
              <w:t xml:space="preserve"> should be conducted preliminary by the reporting entity. </w:t>
            </w:r>
          </w:p>
        </w:tc>
      </w:tr>
      <w:tr w:rsidR="00CC0A94"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Global Systemically Important Institution Buffer</w:t>
            </w:r>
          </w:p>
          <w:p w14:paraId="7FE1B65E"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COREP (OF): {C 04.00;800;010}</w:t>
            </w:r>
          </w:p>
          <w:p w14:paraId="7FE1B65F"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Requirement referred to in Articles 128 point (3) and 131 of Directive 2013/36/EU.</w:t>
            </w:r>
          </w:p>
          <w:p w14:paraId="7FE1B660"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 xml:space="preserve">In case the resolution perimeter differs from the prudential one, the estimation of this buffer requirement of the resolution entity at the resolution group consolidated level follows the Article 3 (3) of the Commission Delegated Regulation (EU) </w:t>
            </w:r>
            <w:proofErr w:type="gramStart"/>
            <w:r>
              <w:rPr>
                <w:rFonts w:ascii="Times New Roman" w:hAnsi="Times New Roman" w:cs="Times New Roman"/>
                <w:color w:val="000000" w:themeColor="text1"/>
                <w:sz w:val="20"/>
                <w:szCs w:val="20"/>
                <w:lang w:val="en-GB"/>
              </w:rPr>
              <w:t>2021/1118,</w:t>
            </w:r>
            <w:r>
              <w:t xml:space="preserve"> </w:t>
            </w:r>
            <w:r>
              <w:rPr>
                <w:rFonts w:ascii="Times New Roman" w:hAnsi="Times New Roman" w:cs="Times New Roman"/>
                <w:color w:val="000000" w:themeColor="text1"/>
                <w:sz w:val="20"/>
                <w:szCs w:val="20"/>
                <w:lang w:val="en-GB"/>
              </w:rPr>
              <w:t>but</w:t>
            </w:r>
            <w:proofErr w:type="gramEnd"/>
            <w:r>
              <w:rPr>
                <w:rFonts w:ascii="Times New Roman" w:hAnsi="Times New Roman" w:cs="Times New Roman"/>
                <w:color w:val="000000" w:themeColor="text1"/>
                <w:sz w:val="20"/>
                <w:szCs w:val="20"/>
                <w:lang w:val="en-GB"/>
              </w:rPr>
              <w:t xml:space="preserve"> should be conducted preliminary by the reporting entity. </w:t>
            </w:r>
          </w:p>
        </w:tc>
      </w:tr>
      <w:tr w:rsidR="00CC0A94"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b/>
                <w:bCs/>
                <w:color w:val="000000" w:themeColor="text1"/>
                <w:sz w:val="20"/>
                <w:szCs w:val="20"/>
                <w:lang w:val="en-GB"/>
              </w:rPr>
              <w:t xml:space="preserve">Other Systemically Important Institution </w:t>
            </w:r>
            <w:proofErr w:type="spellStart"/>
            <w:r>
              <w:rPr>
                <w:rFonts w:ascii="Times New Roman" w:hAnsi="Times New Roman" w:cs="Times New Roman"/>
                <w:b/>
                <w:bCs/>
                <w:color w:val="000000" w:themeColor="text1"/>
                <w:sz w:val="20"/>
                <w:szCs w:val="20"/>
                <w:lang w:val="en-GB"/>
              </w:rPr>
              <w:t>Buffer</w:t>
            </w:r>
            <w:r w:rsidRPr="002F61BB">
              <w:rPr>
                <w:rFonts w:ascii="Times New Roman" w:hAnsi="Times New Roman" w:cs="Times New Roman"/>
                <w:color w:val="000000" w:themeColor="text1"/>
                <w:sz w:val="20"/>
                <w:szCs w:val="20"/>
                <w:lang w:val="en-GB"/>
              </w:rPr>
              <w:t>Articles</w:t>
            </w:r>
            <w:proofErr w:type="spellEnd"/>
            <w:r w:rsidRPr="002F61BB">
              <w:rPr>
                <w:rFonts w:ascii="Times New Roman" w:hAnsi="Times New Roman" w:cs="Times New Roman"/>
                <w:color w:val="000000" w:themeColor="text1"/>
                <w:sz w:val="20"/>
                <w:szCs w:val="20"/>
                <w:lang w:val="en-GB"/>
              </w:rPr>
              <w:t xml:space="preserve"> 128 point (4) and 131 of Directive 2013/36/EU </w:t>
            </w:r>
          </w:p>
          <w:p w14:paraId="7FE1B665"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COREP (OF): {C 04.00;810;010} </w:t>
            </w:r>
          </w:p>
          <w:p w14:paraId="7FE1B66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The amount reported shall represent the amount of own funds needed to fulfil the respective capital buffer requirements at the reporting date.</w:t>
            </w:r>
          </w:p>
        </w:tc>
      </w:tr>
      <w:tr w:rsidR="00CC0A94"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Overall capital requirement (OCR) ratio </w:t>
            </w:r>
          </w:p>
          <w:p w14:paraId="7FE1B66A"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COREP (OF): {C 03.00;160;010} </w:t>
            </w:r>
          </w:p>
          <w:p w14:paraId="7FE1B66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sum of (i) and (ii) as follows: </w:t>
            </w:r>
          </w:p>
          <w:p w14:paraId="7FE1B66C" w14:textId="77777777" w:rsidR="00CC0A94" w:rsidRPr="002F61BB" w:rsidRDefault="006C1571" w:rsidP="002F61BB">
            <w:pPr>
              <w:pStyle w:val="TableParagraph"/>
              <w:numPr>
                <w:ilvl w:val="3"/>
                <w:numId w:val="211"/>
              </w:numPr>
              <w:spacing w:before="108"/>
              <w:ind w:left="931" w:hanging="567"/>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TSCR ratio referred to in row </w:t>
            </w:r>
            <w:proofErr w:type="gramStart"/>
            <w:r w:rsidRPr="002F61BB">
              <w:rPr>
                <w:rFonts w:ascii="Times New Roman" w:hAnsi="Times New Roman" w:cs="Times New Roman"/>
                <w:color w:val="000000" w:themeColor="text1"/>
                <w:sz w:val="20"/>
                <w:szCs w:val="20"/>
                <w:lang w:val="en-GB"/>
              </w:rPr>
              <w:t>0300;</w:t>
            </w:r>
            <w:proofErr w:type="gramEnd"/>
            <w:r w:rsidRPr="002F61BB">
              <w:rPr>
                <w:rFonts w:ascii="Times New Roman" w:hAnsi="Times New Roman" w:cs="Times New Roman"/>
                <w:color w:val="000000" w:themeColor="text1"/>
                <w:sz w:val="20"/>
                <w:szCs w:val="20"/>
                <w:lang w:val="en-GB"/>
              </w:rPr>
              <w:t xml:space="preserve"> </w:t>
            </w:r>
          </w:p>
          <w:p w14:paraId="7FE1B66D" w14:textId="77777777" w:rsidR="00CC0A94" w:rsidRPr="002F61BB" w:rsidRDefault="006C1571" w:rsidP="002F61BB">
            <w:pPr>
              <w:pStyle w:val="TableParagraph"/>
              <w:numPr>
                <w:ilvl w:val="3"/>
                <w:numId w:val="211"/>
              </w:numPr>
              <w:spacing w:before="108"/>
              <w:ind w:left="931" w:hanging="567"/>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to the extent it is legally applicable, the combined buffer requirement ratio referred to in Article 128 point (6) of Directive 2013/36/EU. </w:t>
            </w:r>
          </w:p>
          <w:p w14:paraId="7FE1B66E"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item shall reflect the Overall capital requirement (OCR) ratio as defined in Section 1.2 of the EBA SREP Guidelines. </w:t>
            </w:r>
          </w:p>
          <w:p w14:paraId="7FE1B66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If no buffer requirement is applicable, only point (i) shall be reported.</w:t>
            </w:r>
          </w:p>
        </w:tc>
      </w:tr>
    </w:tbl>
    <w:p w14:paraId="7FE1B712" w14:textId="77777777" w:rsidR="00CC0A94" w:rsidRPr="002F61BB" w:rsidRDefault="00CC0A94">
      <w:pPr>
        <w:rPr>
          <w:rFonts w:ascii="Times New Roman" w:hAnsi="Times New Roman" w:cs="Times New Roman"/>
        </w:rPr>
      </w:pPr>
    </w:p>
    <w:p w14:paraId="7FE1B713" w14:textId="77777777" w:rsidR="00CC0A94" w:rsidRPr="002F61BB" w:rsidRDefault="00CC0A94">
      <w:pPr>
        <w:rPr>
          <w:rFonts w:ascii="Times New Roman" w:hAnsi="Times New Roman" w:cs="Times New Roman"/>
        </w:rPr>
      </w:pPr>
    </w:p>
    <w:p w14:paraId="7FE1B714" w14:textId="77777777" w:rsidR="00CC0A94" w:rsidRDefault="006C1571">
      <w:pPr>
        <w:pStyle w:val="Instructionsberschrift2"/>
        <w:numPr>
          <w:ilvl w:val="1"/>
          <w:numId w:val="49"/>
        </w:numPr>
        <w:ind w:left="357" w:hanging="357"/>
        <w:rPr>
          <w:rFonts w:ascii="Times New Roman" w:hAnsi="Times New Roman" w:cs="Times New Roman"/>
        </w:rPr>
      </w:pPr>
      <w:bookmarkStart w:id="61" w:name="_Toc192249042"/>
      <w:r>
        <w:rPr>
          <w:rFonts w:ascii="Times New Roman" w:hAnsi="Times New Roman" w:cs="Times New Roman"/>
        </w:rPr>
        <w:t>Z 03.02 - Own funds requirements – Investment Firms (LIAB 3)</w:t>
      </w:r>
      <w:bookmarkEnd w:id="61"/>
    </w:p>
    <w:p w14:paraId="7FE1B715" w14:textId="77777777" w:rsidR="00CC0A94" w:rsidRDefault="006C1571">
      <w:pPr>
        <w:pStyle w:val="Instructionsberschrift3"/>
        <w:rPr>
          <w:lang w:val="en-GB"/>
        </w:rPr>
      </w:pPr>
      <w:r>
        <w:rPr>
          <w:lang w:val="en-GB"/>
        </w:rPr>
        <w:t>General remarks</w:t>
      </w:r>
    </w:p>
    <w:p w14:paraId="7FE1B716" w14:textId="77777777" w:rsidR="00CC0A94" w:rsidRDefault="006C1571" w:rsidP="002F61BB">
      <w:pPr>
        <w:pStyle w:val="Instructionsberschrift3"/>
        <w:numPr>
          <w:ilvl w:val="4"/>
          <w:numId w:val="260"/>
        </w:numPr>
        <w:rPr>
          <w:lang w:val="en-GB"/>
        </w:rPr>
      </w:pPr>
      <w:r>
        <w:rPr>
          <w:lang w:val="en-GB"/>
        </w:rPr>
        <w:t xml:space="preserve">This template gathers information on the own </w:t>
      </w:r>
      <w:proofErr w:type="gramStart"/>
      <w:r>
        <w:rPr>
          <w:lang w:val="en-GB"/>
        </w:rPr>
        <w:t>funds</w:t>
      </w:r>
      <w:proofErr w:type="gramEnd"/>
      <w:r>
        <w:rPr>
          <w:lang w:val="en-GB"/>
        </w:rPr>
        <w:t xml:space="preserve"> requirements for an entity or group.</w:t>
      </w:r>
    </w:p>
    <w:p w14:paraId="7FE1B717" w14:textId="1213D388" w:rsidR="00CC0A94" w:rsidRDefault="006C1571">
      <w:pPr>
        <w:pStyle w:val="Instructionsberschrift3"/>
        <w:numPr>
          <w:ilvl w:val="4"/>
          <w:numId w:val="260"/>
        </w:numPr>
        <w:rPr>
          <w:lang w:val="en-GB"/>
        </w:rPr>
      </w:pPr>
      <w:r>
        <w:rPr>
          <w:lang w:val="en-GB"/>
        </w:rPr>
        <w:t>All information reported shall reflect the own funds requirements applicable at the reporting reference date.</w:t>
      </w:r>
    </w:p>
    <w:p w14:paraId="666AF7EE" w14:textId="2B6DCE12" w:rsidR="00A953AC" w:rsidRPr="00A953AC" w:rsidRDefault="00A953AC" w:rsidP="00A953AC">
      <w:pPr>
        <w:pStyle w:val="ListParagraph"/>
        <w:numPr>
          <w:ilvl w:val="4"/>
          <w:numId w:val="260"/>
        </w:numPr>
        <w:rPr>
          <w:rFonts w:ascii="Times New Roman" w:eastAsiaTheme="minorEastAsia" w:hAnsi="Times New Roman"/>
          <w:color w:val="000000" w:themeColor="text1"/>
          <w:sz w:val="20"/>
          <w:szCs w:val="20"/>
          <w:u w:val="single"/>
        </w:rPr>
      </w:pPr>
      <w:r w:rsidRPr="00A953AC">
        <w:rPr>
          <w:rFonts w:ascii="Times New Roman" w:eastAsiaTheme="minorEastAsia" w:hAnsi="Times New Roman"/>
          <w:color w:val="000000" w:themeColor="text1"/>
          <w:sz w:val="20"/>
          <w:szCs w:val="20"/>
          <w:u w:val="single"/>
        </w:rPr>
        <w:t xml:space="preserve">For reporting on a consolidated or individual basis, if these data points have already been reported by the entity in </w:t>
      </w:r>
      <w:r>
        <w:rPr>
          <w:rFonts w:ascii="Times New Roman" w:eastAsiaTheme="minorEastAsia" w:hAnsi="Times New Roman"/>
          <w:color w:val="000000" w:themeColor="text1"/>
          <w:sz w:val="20"/>
          <w:szCs w:val="20"/>
          <w:u w:val="single"/>
        </w:rPr>
        <w:t>IF</w:t>
      </w:r>
      <w:r w:rsidRPr="00A953AC">
        <w:rPr>
          <w:rFonts w:ascii="Times New Roman" w:eastAsiaTheme="minorEastAsia" w:hAnsi="Times New Roman"/>
          <w:color w:val="000000" w:themeColor="text1"/>
          <w:sz w:val="20"/>
          <w:szCs w:val="20"/>
          <w:u w:val="single"/>
        </w:rPr>
        <w:t xml:space="preserve">REP for the same reference date and reporting scope (see </w:t>
      </w:r>
      <w:r>
        <w:rPr>
          <w:rFonts w:ascii="Times New Roman" w:eastAsiaTheme="minorEastAsia" w:hAnsi="Times New Roman"/>
          <w:color w:val="000000" w:themeColor="text1"/>
          <w:sz w:val="20"/>
          <w:szCs w:val="20"/>
          <w:u w:val="single"/>
        </w:rPr>
        <w:t>IF</w:t>
      </w:r>
      <w:r w:rsidRPr="00A953AC">
        <w:rPr>
          <w:rFonts w:ascii="Times New Roman" w:eastAsiaTheme="minorEastAsia" w:hAnsi="Times New Roman"/>
          <w:color w:val="000000" w:themeColor="text1"/>
          <w:sz w:val="20"/>
          <w:szCs w:val="20"/>
          <w:u w:val="single"/>
        </w:rPr>
        <w:t xml:space="preserve">REP references in the instructions), the reporting entity does not have to report these data points a second time. Data only </w:t>
      </w:r>
      <w:proofErr w:type="gramStart"/>
      <w:r w:rsidRPr="00A953AC">
        <w:rPr>
          <w:rFonts w:ascii="Times New Roman" w:eastAsiaTheme="minorEastAsia" w:hAnsi="Times New Roman"/>
          <w:color w:val="000000" w:themeColor="text1"/>
          <w:sz w:val="20"/>
          <w:szCs w:val="20"/>
          <w:u w:val="single"/>
        </w:rPr>
        <w:t>has to</w:t>
      </w:r>
      <w:proofErr w:type="gramEnd"/>
      <w:r w:rsidRPr="00A953AC">
        <w:rPr>
          <w:rFonts w:ascii="Times New Roman" w:eastAsiaTheme="minorEastAsia" w:hAnsi="Times New Roman"/>
          <w:color w:val="000000" w:themeColor="text1"/>
          <w:sz w:val="20"/>
          <w:szCs w:val="20"/>
          <w:u w:val="single"/>
        </w:rPr>
        <w:t xml:space="preserve"> be reported, for instance, where the reporting entity has been waived from financial or prudential reporting obligations, in which case the only data source for resolution authorities for these data points is this report.</w:t>
      </w:r>
    </w:p>
    <w:p w14:paraId="1DA6CBB2" w14:textId="77777777" w:rsidR="00A953AC" w:rsidRDefault="00A953AC" w:rsidP="002F61BB">
      <w:pPr>
        <w:pStyle w:val="Instructionsberschrift3"/>
        <w:numPr>
          <w:ilvl w:val="4"/>
          <w:numId w:val="260"/>
        </w:numPr>
        <w:rPr>
          <w:lang w:val="en-GB"/>
        </w:rPr>
      </w:pPr>
    </w:p>
    <w:p w14:paraId="7FE1B718" w14:textId="4C8CE473" w:rsidR="00CC0A94" w:rsidRPr="002F61BB" w:rsidRDefault="00CC0A94" w:rsidP="002F61BB">
      <w:pPr>
        <w:pStyle w:val="InstructionsText2"/>
        <w:numPr>
          <w:ilvl w:val="0"/>
          <w:numId w:val="0"/>
        </w:numPr>
        <w:spacing w:before="0"/>
        <w:ind w:left="1440"/>
        <w:rPr>
          <w:rFonts w:ascii="Times New Roman" w:hAnsi="Times New Roman" w:cs="Times New Roman"/>
          <w:sz w:val="20"/>
          <w:szCs w:val="20"/>
          <w:lang w:val="en-GB"/>
        </w:rPr>
      </w:pPr>
    </w:p>
    <w:p w14:paraId="7FE1B719" w14:textId="77777777" w:rsidR="00CC0A94" w:rsidRDefault="006C1571">
      <w:pPr>
        <w:pStyle w:val="Instructionsberschrift3"/>
        <w:rPr>
          <w:lang w:val="en-GB"/>
        </w:rPr>
      </w:pPr>
      <w:r>
        <w:rPr>
          <w:lang w:val="en-GB"/>
        </w:rPr>
        <w:lastRenderedPageBreak/>
        <w:t>Instructions concerning specific positions</w:t>
      </w:r>
    </w:p>
    <w:p w14:paraId="7FE1B71A" w14:textId="77777777" w:rsidR="00CC0A94" w:rsidRDefault="00CC0A94">
      <w:pPr>
        <w:pStyle w:val="Instructionsberschrift3"/>
        <w:numPr>
          <w:ilvl w:val="0"/>
          <w:numId w:val="0"/>
        </w:numPr>
        <w:ind w:left="720" w:hanging="432"/>
        <w:rPr>
          <w:lang w:val="en-GB"/>
        </w:r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CC0A94"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Rows</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956AFD" w:rsidRDefault="00956AFD" w:rsidP="00956AFD">
            <w:pPr>
              <w:rPr>
                <w:rStyle w:val="InstructionsTabelleberschrift"/>
                <w:rFonts w:ascii="Times New Roman" w:hAnsi="Times New Roman"/>
                <w:color w:val="000000" w:themeColor="text1"/>
                <w:szCs w:val="20"/>
                <w:u w:val="none"/>
                <w:lang w:val="en-GB"/>
              </w:rPr>
            </w:pPr>
            <w:r>
              <w:rPr>
                <w:rStyle w:val="InstructionsTabelleberschrift"/>
                <w:rFonts w:ascii="Times New Roman" w:hAnsi="Times New Roman"/>
                <w:color w:val="000000" w:themeColor="text1"/>
                <w:szCs w:val="20"/>
                <w:u w:val="none"/>
                <w:lang w:val="en-GB"/>
              </w:rPr>
              <w:t>Total own funds requirement</w:t>
            </w:r>
            <w:r w:rsidR="00231332">
              <w:rPr>
                <w:rStyle w:val="InstructionsTabelleberschrift"/>
                <w:rFonts w:ascii="Times New Roman" w:hAnsi="Times New Roman"/>
                <w:color w:val="000000" w:themeColor="text1"/>
                <w:szCs w:val="20"/>
                <w:u w:val="none"/>
                <w:lang w:val="en-GB"/>
              </w:rPr>
              <w:t xml:space="preserve"> </w:t>
            </w:r>
            <w:r w:rsidR="00231332">
              <w:rPr>
                <w:rStyle w:val="InstructionsTabelleberschrift"/>
                <w:rFonts w:ascii="Times New Roman" w:hAnsi="Times New Roman"/>
                <w:color w:val="000000" w:themeColor="text1"/>
                <w:szCs w:val="20"/>
              </w:rPr>
              <w:t>(IFREP I 02.01 r0130)</w:t>
            </w:r>
          </w:p>
          <w:p w14:paraId="29B1A135" w14:textId="77777777" w:rsidR="00956AFD" w:rsidRDefault="00956AFD" w:rsidP="00956AFD">
            <w:pPr>
              <w:rPr>
                <w:rStyle w:val="InstructionsTabelleberschrift"/>
                <w:rFonts w:ascii="Times New Roman" w:hAnsi="Times New Roman"/>
                <w:color w:val="000000" w:themeColor="text1"/>
                <w:szCs w:val="20"/>
                <w:u w:val="none"/>
                <w:lang w:val="en-GB"/>
              </w:rPr>
            </w:pPr>
          </w:p>
          <w:p w14:paraId="4F8C79FA" w14:textId="210F9E6A"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total own funds requirement of an investment firm shall consist of the sum of its own </w:t>
            </w:r>
            <w:proofErr w:type="gramStart"/>
            <w:r>
              <w:rPr>
                <w:rFonts w:ascii="Times New Roman" w:eastAsia="Cambria" w:hAnsi="Times New Roman" w:cs="Times New Roman"/>
                <w:color w:val="000000" w:themeColor="text1"/>
                <w:spacing w:val="-2"/>
                <w:w w:val="95"/>
                <w:sz w:val="20"/>
                <w:szCs w:val="20"/>
                <w:lang w:val="en-GB"/>
              </w:rPr>
              <w:t>funds</w:t>
            </w:r>
            <w:proofErr w:type="gramEnd"/>
            <w:r>
              <w:rPr>
                <w:rFonts w:ascii="Times New Roman" w:eastAsia="Cambria" w:hAnsi="Times New Roman" w:cs="Times New Roman"/>
                <w:color w:val="000000" w:themeColor="text1"/>
                <w:spacing w:val="-2"/>
                <w:w w:val="95"/>
                <w:sz w:val="20"/>
                <w:szCs w:val="20"/>
                <w:lang w:val="en-GB"/>
              </w:rPr>
              <w:t xml:space="preserve"> requirements applicable at the reference date, the additional own funds requirement as reported in row 01</w:t>
            </w:r>
            <w:r w:rsidR="00A953AC">
              <w:rPr>
                <w:rFonts w:ascii="Times New Roman" w:eastAsia="Cambria" w:hAnsi="Times New Roman" w:cs="Times New Roman"/>
                <w:color w:val="000000" w:themeColor="text1"/>
                <w:spacing w:val="-2"/>
                <w:w w:val="95"/>
                <w:sz w:val="20"/>
                <w:szCs w:val="20"/>
                <w:lang w:val="en-GB"/>
              </w:rPr>
              <w:t>2</w:t>
            </w:r>
            <w:r>
              <w:rPr>
                <w:rFonts w:ascii="Times New Roman" w:eastAsia="Cambria" w:hAnsi="Times New Roman" w:cs="Times New Roman"/>
                <w:color w:val="000000" w:themeColor="text1"/>
                <w:spacing w:val="-2"/>
                <w:w w:val="95"/>
                <w:sz w:val="20"/>
                <w:szCs w:val="20"/>
                <w:lang w:val="en-GB"/>
              </w:rPr>
              <w:t>0 and the additional own funds guidance as reported in row 01</w:t>
            </w:r>
            <w:r w:rsidR="00A953AC">
              <w:rPr>
                <w:rFonts w:ascii="Times New Roman" w:eastAsia="Cambria" w:hAnsi="Times New Roman" w:cs="Times New Roman"/>
                <w:color w:val="000000" w:themeColor="text1"/>
                <w:spacing w:val="-2"/>
                <w:w w:val="95"/>
                <w:sz w:val="20"/>
                <w:szCs w:val="20"/>
                <w:lang w:val="en-GB"/>
              </w:rPr>
              <w:t>3</w:t>
            </w:r>
            <w:r>
              <w:rPr>
                <w:rFonts w:ascii="Times New Roman" w:eastAsia="Cambria" w:hAnsi="Times New Roman" w:cs="Times New Roman"/>
                <w:color w:val="000000" w:themeColor="text1"/>
                <w:spacing w:val="-2"/>
                <w:w w:val="95"/>
                <w:sz w:val="20"/>
                <w:szCs w:val="20"/>
                <w:lang w:val="en-GB"/>
              </w:rPr>
              <w:t>0.</w:t>
            </w:r>
          </w:p>
          <w:p w14:paraId="7FE1B721" w14:textId="77777777" w:rsidR="00CC0A94" w:rsidRDefault="00CC0A94" w:rsidP="00956AFD">
            <w:pPr>
              <w:pStyle w:val="TableParagraph"/>
              <w:spacing w:before="108"/>
              <w:rPr>
                <w:rFonts w:ascii="Times New Roman" w:hAnsi="Times New Roman" w:cs="Times New Roman"/>
                <w:color w:val="000000" w:themeColor="text1"/>
                <w:spacing w:val="-2"/>
                <w:w w:val="95"/>
                <w:sz w:val="20"/>
                <w:szCs w:val="20"/>
                <w:lang w:val="en-GB"/>
              </w:rPr>
            </w:pPr>
          </w:p>
        </w:tc>
      </w:tr>
      <w:tr w:rsidR="00CC0A94"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CC0A94" w:rsidRDefault="00D31247">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956AFD" w:rsidRDefault="00956AFD" w:rsidP="00956AFD">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Own Funds Requirement</w:t>
            </w:r>
            <w:r w:rsidR="00231332">
              <w:rPr>
                <w:rFonts w:ascii="Times New Roman" w:hAnsi="Times New Roman" w:cs="Times New Roman"/>
                <w:b/>
                <w:bCs/>
                <w:color w:val="000000" w:themeColor="text1"/>
                <w:sz w:val="20"/>
                <w:szCs w:val="20"/>
                <w:lang w:val="en-GB"/>
              </w:rPr>
              <w:t xml:space="preserve"> </w:t>
            </w:r>
            <w:r w:rsidR="00231332">
              <w:rPr>
                <w:rStyle w:val="InstructionsTabelleberschrift"/>
                <w:rFonts w:ascii="Times New Roman" w:hAnsi="Times New Roman"/>
                <w:color w:val="000000" w:themeColor="text1"/>
                <w:szCs w:val="20"/>
              </w:rPr>
              <w:t>(IFREP I 02.01 r0010)</w:t>
            </w:r>
          </w:p>
          <w:p w14:paraId="74086713" w14:textId="7F827C2E"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11.1 of Regulation (EU) 2019/2033.</w:t>
            </w:r>
          </w:p>
          <w:p w14:paraId="016729EC" w14:textId="77777777"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shall be the amount without application of Article 57(3), (4) or (6) of Regulation (EU) 2019/2033.</w:t>
            </w:r>
          </w:p>
          <w:p w14:paraId="7FE1B727" w14:textId="77777777" w:rsidR="00CC0A94" w:rsidRDefault="00CC0A94" w:rsidP="00956AFD">
            <w:pPr>
              <w:pStyle w:val="TableParagraph"/>
              <w:spacing w:before="108"/>
              <w:jc w:val="both"/>
              <w:rPr>
                <w:rFonts w:ascii="Times New Roman" w:eastAsia="Cambria" w:hAnsi="Times New Roman" w:cs="Times New Roman"/>
                <w:color w:val="000000" w:themeColor="text1"/>
                <w:spacing w:val="-2"/>
                <w:w w:val="95"/>
                <w:sz w:val="20"/>
                <w:szCs w:val="20"/>
                <w:lang w:val="en-GB"/>
              </w:rPr>
            </w:pPr>
          </w:p>
        </w:tc>
      </w:tr>
      <w:tr w:rsidR="00CC0A94"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r w:rsidR="00D31247">
              <w:rPr>
                <w:rFonts w:ascii="Times New Roman" w:hAnsi="Times New Roman" w:cs="Times New Roman"/>
                <w:color w:val="000000" w:themeColor="text1"/>
                <w:sz w:val="20"/>
                <w:szCs w:val="20"/>
                <w:lang w:val="en-GB"/>
              </w:rPr>
              <w:t>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956AFD" w:rsidRDefault="00956AFD" w:rsidP="00956AFD">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Additional own funds requirement</w:t>
            </w:r>
            <w:r w:rsidR="00231332">
              <w:rPr>
                <w:rFonts w:ascii="Times New Roman" w:hAnsi="Times New Roman" w:cs="Times New Roman"/>
                <w:b/>
                <w:bCs/>
                <w:color w:val="000000" w:themeColor="text1"/>
                <w:sz w:val="20"/>
                <w:szCs w:val="20"/>
                <w:lang w:val="en-GB"/>
              </w:rPr>
              <w:t xml:space="preserve"> </w:t>
            </w:r>
            <w:r w:rsidR="00231332">
              <w:rPr>
                <w:rStyle w:val="InstructionsTabelleberschrift"/>
                <w:rFonts w:ascii="Times New Roman" w:hAnsi="Times New Roman"/>
                <w:color w:val="000000" w:themeColor="text1"/>
                <w:szCs w:val="20"/>
              </w:rPr>
              <w:t>(IFREP I 02.01 r0110)</w:t>
            </w:r>
          </w:p>
          <w:p w14:paraId="05BFD23E" w14:textId="06165C78" w:rsidR="00956AFD" w:rsidRDefault="00956AFD" w:rsidP="00956AFD">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40 Directive (EU) 2019/2034.</w:t>
            </w:r>
          </w:p>
          <w:p w14:paraId="2AF15530" w14:textId="77777777" w:rsidR="00956AFD" w:rsidRDefault="00956AFD" w:rsidP="00956AFD">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Additional own funds required following the SREP </w:t>
            </w:r>
          </w:p>
          <w:p w14:paraId="7FE1B72E" w14:textId="77777777" w:rsidR="00CC0A94" w:rsidRDefault="00CC0A94" w:rsidP="00956AFD">
            <w:pPr>
              <w:pStyle w:val="TableParagraph"/>
              <w:spacing w:before="108"/>
              <w:rPr>
                <w:rFonts w:ascii="Times New Roman" w:eastAsia="Cambria" w:hAnsi="Times New Roman" w:cs="Times New Roman"/>
                <w:color w:val="000000" w:themeColor="text1"/>
                <w:spacing w:val="-2"/>
                <w:w w:val="95"/>
                <w:sz w:val="20"/>
                <w:szCs w:val="20"/>
                <w:lang w:val="en-GB"/>
              </w:rPr>
            </w:pPr>
          </w:p>
        </w:tc>
      </w:tr>
      <w:tr w:rsidR="00CC0A94"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r w:rsidR="00D31247">
              <w:rPr>
                <w:rFonts w:ascii="Times New Roman" w:hAnsi="Times New Roman" w:cs="Times New Roman"/>
                <w:color w:val="000000" w:themeColor="text1"/>
                <w:sz w:val="20"/>
                <w:szCs w:val="20"/>
                <w:lang w:val="en-GB"/>
              </w:rPr>
              <w:t>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956AFD" w:rsidRDefault="00956AFD" w:rsidP="00956AFD">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Additional own funds guidance</w:t>
            </w:r>
            <w:r w:rsidR="00231332">
              <w:rPr>
                <w:rFonts w:ascii="Times New Roman" w:hAnsi="Times New Roman" w:cs="Times New Roman"/>
                <w:b/>
                <w:bCs/>
                <w:color w:val="000000" w:themeColor="text1"/>
                <w:sz w:val="20"/>
                <w:szCs w:val="20"/>
                <w:lang w:val="en-GB"/>
              </w:rPr>
              <w:t xml:space="preserve"> </w:t>
            </w:r>
            <w:r w:rsidR="00231332">
              <w:rPr>
                <w:rStyle w:val="InstructionsTabelleberschrift"/>
                <w:rFonts w:ascii="Times New Roman" w:hAnsi="Times New Roman"/>
                <w:color w:val="000000" w:themeColor="text1"/>
                <w:szCs w:val="20"/>
              </w:rPr>
              <w:t>(IFREP I 02.01 r0120)</w:t>
            </w:r>
          </w:p>
          <w:p w14:paraId="4094919F" w14:textId="67C4E4FA"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41 of Directive (EU)2019/2034.</w:t>
            </w:r>
          </w:p>
          <w:p w14:paraId="1EA34579" w14:textId="77777777"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Additional own funds required as additional own funds guidance.</w:t>
            </w:r>
          </w:p>
          <w:p w14:paraId="7FE1B736" w14:textId="77777777" w:rsidR="00CC0A94" w:rsidRDefault="00CC0A94">
            <w:pPr>
              <w:pStyle w:val="TableParagraph"/>
              <w:spacing w:before="108"/>
              <w:jc w:val="both"/>
              <w:rPr>
                <w:rStyle w:val="InstructionsTabelleberschrift"/>
                <w:rFonts w:ascii="Times New Roman" w:eastAsia="Cambria" w:hAnsi="Times New Roman"/>
                <w:b w:val="0"/>
                <w:bCs w:val="0"/>
                <w:color w:val="000000" w:themeColor="text1"/>
                <w:spacing w:val="-2"/>
                <w:w w:val="95"/>
                <w:szCs w:val="20"/>
                <w:u w:val="none"/>
                <w:lang w:val="en-GB"/>
              </w:rPr>
            </w:pPr>
          </w:p>
          <w:p w14:paraId="7FE1B737" w14:textId="77777777" w:rsidR="00CC0A94" w:rsidRDefault="00CC0A94">
            <w:pPr>
              <w:pStyle w:val="TableParagraph"/>
              <w:spacing w:before="108"/>
              <w:jc w:val="both"/>
              <w:rPr>
                <w:rFonts w:ascii="Times New Roman" w:hAnsi="Times New Roman" w:cs="Times New Roman"/>
                <w:b/>
                <w:bCs/>
                <w:color w:val="000000" w:themeColor="text1"/>
                <w:sz w:val="20"/>
                <w:szCs w:val="20"/>
                <w:lang w:val="en-GB"/>
              </w:rPr>
            </w:pPr>
          </w:p>
        </w:tc>
      </w:tr>
    </w:tbl>
    <w:p w14:paraId="7FE1B741" w14:textId="77777777" w:rsidR="00CC0A94" w:rsidRPr="002F61BB" w:rsidRDefault="00CC0A94">
      <w:pPr>
        <w:pStyle w:val="Instructionsberschrift3"/>
        <w:numPr>
          <w:ilvl w:val="0"/>
          <w:numId w:val="0"/>
        </w:numPr>
        <w:ind w:left="720" w:hanging="432"/>
      </w:pPr>
    </w:p>
    <w:p w14:paraId="7FE1B742" w14:textId="77777777" w:rsidR="00CC0A94" w:rsidRDefault="00CC0A94">
      <w:pPr>
        <w:pStyle w:val="Instructionsberschrift3"/>
        <w:numPr>
          <w:ilvl w:val="0"/>
          <w:numId w:val="0"/>
        </w:numPr>
        <w:ind w:left="720" w:hanging="432"/>
        <w:rPr>
          <w:lang w:val="en-GB"/>
        </w:rPr>
      </w:pPr>
    </w:p>
    <w:p w14:paraId="7FE1B743" w14:textId="77777777" w:rsidR="00CC0A94" w:rsidRDefault="00CC0A94" w:rsidP="002F61BB">
      <w:pPr>
        <w:pStyle w:val="Instructionsberschrift3"/>
        <w:numPr>
          <w:ilvl w:val="0"/>
          <w:numId w:val="0"/>
        </w:numPr>
        <w:ind w:left="720" w:hanging="432"/>
        <w:rPr>
          <w:lang w:val="en-GB"/>
        </w:rPr>
      </w:pPr>
    </w:p>
    <w:p w14:paraId="7FE1B744" w14:textId="49BA0C03" w:rsidR="00CC0A94" w:rsidRPr="002F61BB" w:rsidRDefault="00CC0A94">
      <w:pPr>
        <w:rPr>
          <w:rFonts w:ascii="Times New Roman" w:hAnsi="Times New Roman" w:cs="Times New Roman"/>
          <w:color w:val="000000" w:themeColor="text1"/>
          <w:sz w:val="20"/>
          <w:szCs w:val="20"/>
        </w:rPr>
      </w:pPr>
    </w:p>
    <w:p w14:paraId="7FE1B745" w14:textId="016BA1E4" w:rsidR="00CC0A94" w:rsidRPr="002F61BB" w:rsidRDefault="006C1571">
      <w:pPr>
        <w:pStyle w:val="Instructionsberschrift2"/>
        <w:numPr>
          <w:ilvl w:val="1"/>
          <w:numId w:val="49"/>
        </w:numPr>
        <w:ind w:left="357" w:hanging="357"/>
        <w:rPr>
          <w:rFonts w:ascii="Times New Roman" w:hAnsi="Times New Roman" w:cs="Times New Roman"/>
          <w:lang w:val="fr-BE"/>
        </w:rPr>
      </w:pPr>
      <w:bookmarkStart w:id="62" w:name="_Toc492542324"/>
      <w:bookmarkStart w:id="63" w:name="_Toc81454182"/>
      <w:bookmarkStart w:id="64" w:name="_Toc192249043"/>
      <w:r w:rsidRPr="002F61BB">
        <w:rPr>
          <w:rFonts w:ascii="Times New Roman" w:hAnsi="Times New Roman" w:cs="Times New Roman"/>
          <w:lang w:val="fr-BE"/>
        </w:rPr>
        <w:t xml:space="preserve">Z 04.00 - </w:t>
      </w:r>
      <w:proofErr w:type="spellStart"/>
      <w:r w:rsidRPr="002F61BB">
        <w:rPr>
          <w:rFonts w:ascii="Times New Roman" w:hAnsi="Times New Roman" w:cs="Times New Roman"/>
          <w:lang w:val="fr-BE"/>
        </w:rPr>
        <w:t>Intragroup</w:t>
      </w:r>
      <w:proofErr w:type="spellEnd"/>
      <w:r w:rsidRPr="002F61BB">
        <w:rPr>
          <w:rFonts w:ascii="Times New Roman" w:hAnsi="Times New Roman" w:cs="Times New Roman"/>
          <w:lang w:val="fr-BE"/>
        </w:rPr>
        <w:t xml:space="preserve"> </w:t>
      </w:r>
      <w:proofErr w:type="spellStart"/>
      <w:r w:rsidRPr="002F61BB">
        <w:rPr>
          <w:rFonts w:ascii="Times New Roman" w:hAnsi="Times New Roman" w:cs="Times New Roman"/>
          <w:lang w:val="fr-BE"/>
        </w:rPr>
        <w:t>financial</w:t>
      </w:r>
      <w:proofErr w:type="spellEnd"/>
      <w:r w:rsidRPr="002F61BB">
        <w:rPr>
          <w:rFonts w:ascii="Times New Roman" w:hAnsi="Times New Roman" w:cs="Times New Roman"/>
          <w:lang w:val="fr-BE"/>
        </w:rPr>
        <w:t xml:space="preserve"> interconnections (</w:t>
      </w:r>
      <w:r>
        <w:rPr>
          <w:rFonts w:ascii="Times New Roman" w:hAnsi="Times New Roman" w:cs="Times New Roman"/>
          <w:lang w:val="fr-BE"/>
        </w:rPr>
        <w:t>LIAB 4</w:t>
      </w:r>
      <w:r w:rsidRPr="002F61BB">
        <w:rPr>
          <w:rFonts w:ascii="Times New Roman" w:hAnsi="Times New Roman" w:cs="Times New Roman"/>
          <w:lang w:val="fr-BE"/>
        </w:rPr>
        <w:t>)</w:t>
      </w:r>
      <w:bookmarkEnd w:id="62"/>
      <w:bookmarkEnd w:id="63"/>
      <w:bookmarkEnd w:id="64"/>
    </w:p>
    <w:p w14:paraId="7FE1B746" w14:textId="77777777" w:rsidR="00CC0A94" w:rsidRDefault="006C1571">
      <w:pPr>
        <w:pStyle w:val="Instructionsberschrift3"/>
        <w:rPr>
          <w:lang w:val="en-GB"/>
        </w:rPr>
      </w:pPr>
      <w:r>
        <w:rPr>
          <w:lang w:val="en-GB"/>
        </w:rPr>
        <w:t>General remarks</w:t>
      </w:r>
    </w:p>
    <w:p w14:paraId="7FE1B747" w14:textId="3BB98E0B"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This template requires information on intragroup liabilities, capital instruments and guarantees. </w:t>
      </w:r>
    </w:p>
    <w:p w14:paraId="7FE1B748" w14:textId="588B1EC0"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All financial interconnections between legal entities that are included in the consolidated financial statements shall be reported. Reported amounts shall be aggregated where they pertain to the same counterparties (both </w:t>
      </w:r>
      <w:proofErr w:type="spellStart"/>
      <w:r>
        <w:rPr>
          <w:rFonts w:ascii="Times New Roman" w:hAnsi="Times New Roman" w:cs="Times New Roman"/>
          <w:sz w:val="20"/>
          <w:szCs w:val="20"/>
          <w:lang w:val="en-GB"/>
        </w:rPr>
        <w:t>issuer</w:t>
      </w:r>
      <w:proofErr w:type="spellEnd"/>
      <w:r>
        <w:rPr>
          <w:rFonts w:ascii="Times New Roman" w:hAnsi="Times New Roman" w:cs="Times New Roman"/>
          <w:sz w:val="20"/>
          <w:szCs w:val="20"/>
          <w:lang w:val="en-GB"/>
        </w:rPr>
        <w:t xml:space="preserve"> or guaranteed entity, and creditor, holder or guarantee provider) and the same type of liabilities, capital instruments or guarantees.</w:t>
      </w:r>
    </w:p>
    <w:p w14:paraId="7FE1B749"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The combination of values reported in columns 0020, 0040 and 0050 of this </w:t>
      </w:r>
      <w:proofErr w:type="gramStart"/>
      <w:r>
        <w:rPr>
          <w:rFonts w:ascii="Times New Roman" w:hAnsi="Times New Roman" w:cs="Times New Roman"/>
          <w:sz w:val="20"/>
          <w:szCs w:val="20"/>
          <w:lang w:val="en-GB"/>
        </w:rPr>
        <w:t>template</w:t>
      </w:r>
      <w:proofErr w:type="gramEnd"/>
      <w:r>
        <w:rPr>
          <w:rFonts w:ascii="Times New Roman" w:hAnsi="Times New Roman" w:cs="Times New Roman"/>
          <w:sz w:val="20"/>
          <w:szCs w:val="20"/>
          <w:lang w:val="en-GB"/>
        </w:rPr>
        <w:t xml:space="preserve"> forms a primary key which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be unique for each row of the template.</w:t>
      </w:r>
    </w:p>
    <w:p w14:paraId="7FE1B74A" w14:textId="77777777" w:rsidR="00CC0A94" w:rsidRDefault="006C1571">
      <w:pPr>
        <w:pStyle w:val="Instructionsberschrift3"/>
        <w:rPr>
          <w:b/>
          <w:lang w:val="en-GB"/>
        </w:rPr>
      </w:pPr>
      <w:r>
        <w:rPr>
          <w:b/>
          <w:lang w:val="en-GB"/>
        </w:rPr>
        <w:lastRenderedPageBreak/>
        <w:t>Instructions concerning specific positions</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CC0A94" w14:paraId="7FE1B74D" w14:textId="77777777" w:rsidTr="002F61BB">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Issuer or guaranteed entity</w:t>
            </w:r>
          </w:p>
          <w:p w14:paraId="7FE1B75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Legal entity that issues the liabilities or capital </w:t>
            </w:r>
            <w:proofErr w:type="gramStart"/>
            <w:r>
              <w:rPr>
                <w:rFonts w:ascii="Times New Roman" w:eastAsia="Cambria" w:hAnsi="Times New Roman" w:cs="Times New Roman"/>
                <w:color w:val="000000" w:themeColor="text1"/>
                <w:spacing w:val="-2"/>
                <w:w w:val="95"/>
                <w:sz w:val="20"/>
                <w:szCs w:val="20"/>
                <w:lang w:val="en-GB"/>
              </w:rPr>
              <w:t>instrument, or</w:t>
            </w:r>
            <w:proofErr w:type="gramEnd"/>
            <w:r>
              <w:rPr>
                <w:rFonts w:ascii="Times New Roman" w:eastAsia="Cambria" w:hAnsi="Times New Roman" w:cs="Times New Roman"/>
                <w:color w:val="000000" w:themeColor="text1"/>
                <w:spacing w:val="-2"/>
                <w:w w:val="95"/>
                <w:sz w:val="20"/>
                <w:szCs w:val="20"/>
                <w:lang w:val="en-GB"/>
              </w:rPr>
              <w:t xml:space="preserve"> is the guaranteed entity.</w:t>
            </w:r>
          </w:p>
        </w:tc>
      </w:tr>
      <w:tr w:rsidR="00CC0A94"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Entity name </w:t>
            </w:r>
          </w:p>
          <w:p w14:paraId="7FE1B75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Must be different from the Entity name listed in column 0030. </w:t>
            </w:r>
          </w:p>
        </w:tc>
      </w:tr>
      <w:tr w:rsidR="00CC0A94"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22E99FB3" w14:textId="77777777" w:rsidR="002C351F" w:rsidRDefault="006C1571" w:rsidP="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code of the issuer or guarantee recipient. </w:t>
            </w:r>
          </w:p>
          <w:p w14:paraId="4BE5BA2E" w14:textId="5E7AE5A4" w:rsidR="002C351F" w:rsidRPr="002C351F" w:rsidRDefault="002C351F" w:rsidP="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w:t>
            </w:r>
            <w:r w:rsidRPr="002C351F">
              <w:rPr>
                <w:rFonts w:ascii="Times New Roman" w:eastAsia="Cambria" w:hAnsi="Times New Roman" w:cs="Times New Roman"/>
                <w:color w:val="000000" w:themeColor="text1"/>
                <w:spacing w:val="-2"/>
                <w:w w:val="95"/>
                <w:sz w:val="20"/>
                <w:szCs w:val="20"/>
                <w:lang w:val="en-GB"/>
              </w:rPr>
              <w:t xml:space="preserve">or institutions with a Legal Entity Identifier (LEI), the 20-digit alphanumeric LEI </w:t>
            </w:r>
            <w:proofErr w:type="gramStart"/>
            <w:r w:rsidRPr="002C351F">
              <w:rPr>
                <w:rFonts w:ascii="Times New Roman" w:eastAsia="Cambria" w:hAnsi="Times New Roman" w:cs="Times New Roman"/>
                <w:color w:val="000000" w:themeColor="text1"/>
                <w:spacing w:val="-2"/>
                <w:w w:val="95"/>
                <w:sz w:val="20"/>
                <w:szCs w:val="20"/>
                <w:lang w:val="en-GB"/>
              </w:rPr>
              <w:t>code;</w:t>
            </w:r>
            <w:proofErr w:type="gramEnd"/>
          </w:p>
          <w:p w14:paraId="7FE1B758" w14:textId="458CE8E3" w:rsidR="00CC0A94" w:rsidRDefault="002C351F" w:rsidP="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w:t>
            </w:r>
            <w:r w:rsidRPr="002C351F">
              <w:rPr>
                <w:rFonts w:ascii="Times New Roman" w:eastAsia="Cambria" w:hAnsi="Times New Roman" w:cs="Times New Roman"/>
                <w:color w:val="000000" w:themeColor="text1"/>
                <w:spacing w:val="-2"/>
                <w:w w:val="95"/>
                <w:sz w:val="20"/>
                <w:szCs w:val="20"/>
                <w:lang w:val="en-GB"/>
              </w:rPr>
              <w:t>f not available, use the MFI code or a code under a uniform codification applicable in the Union</w:t>
            </w:r>
            <w:r w:rsidR="006C1571">
              <w:rPr>
                <w:rFonts w:ascii="Times New Roman" w:eastAsia="Cambria" w:hAnsi="Times New Roman" w:cs="Times New Roman"/>
                <w:color w:val="000000" w:themeColor="text1"/>
                <w:spacing w:val="-2"/>
                <w:w w:val="95"/>
                <w:sz w:val="20"/>
                <w:szCs w:val="20"/>
                <w:lang w:val="en-GB"/>
              </w:rPr>
              <w:t>.</w:t>
            </w:r>
          </w:p>
          <w:p w14:paraId="7FE1B75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shall be unique and used consistently across the templates.</w:t>
            </w:r>
          </w:p>
          <w:p w14:paraId="7FE1B75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must be different from the code listed in column 0040.</w:t>
            </w:r>
          </w:p>
          <w:p w14:paraId="7FE1B75B"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
        </w:tc>
      </w:tr>
      <w:tr w:rsidR="00CC0A94"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7FE1B75F" w14:textId="2A2E5952" w:rsidR="00CC0A94" w:rsidRDefault="008A0CAD">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T</w:t>
            </w:r>
            <w:r w:rsidR="006C1571">
              <w:rPr>
                <w:rFonts w:ascii="Times New Roman" w:hAnsi="Times New Roman" w:cs="Times New Roman"/>
                <w:bCs/>
                <w:color w:val="000000" w:themeColor="text1"/>
                <w:sz w:val="20"/>
                <w:szCs w:val="20"/>
                <w:lang w:val="en-GB"/>
              </w:rPr>
              <w:t xml:space="preserve">he code shall be the same as reported in template Z 01.01 (ORG 1). </w:t>
            </w:r>
          </w:p>
          <w:p w14:paraId="7FE1B761" w14:textId="635A8A91" w:rsidR="00CC0A94" w:rsidRPr="002F61BB" w:rsidRDefault="002C351F">
            <w:pPr>
              <w:pStyle w:val="TableParagraph"/>
              <w:spacing w:before="108"/>
              <w:ind w:left="85"/>
              <w:jc w:val="both"/>
              <w:rPr>
                <w:rFonts w:ascii="Times New Roman" w:hAnsi="Times New Roman" w:cs="Times New Roman"/>
                <w:bCs/>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sidR="006C1571" w:rsidRPr="002F61BB">
              <w:rPr>
                <w:rFonts w:ascii="Times New Roman" w:hAnsi="Times New Roman" w:cs="Times New Roman"/>
                <w:bCs/>
                <w:color w:val="000000" w:themeColor="text1"/>
                <w:sz w:val="20"/>
                <w:szCs w:val="20"/>
                <w:lang w:val="en-GB"/>
              </w:rPr>
              <w:t>.</w:t>
            </w:r>
          </w:p>
          <w:p w14:paraId="7FE1B76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For the identification of entities or investees, the pair of Code and Type shall be</w:t>
            </w:r>
            <w:r>
              <w:rPr>
                <w:rFonts w:ascii="Times New Roman" w:hAnsi="Times New Roman" w:cs="Times New Roman"/>
                <w:color w:val="000000" w:themeColor="text1"/>
                <w:sz w:val="20"/>
                <w:szCs w:val="20"/>
                <w:lang w:val="en-GB"/>
              </w:rPr>
              <w:t xml:space="preserve"> used consistently across the templates.</w:t>
            </w:r>
          </w:p>
        </w:tc>
      </w:tr>
      <w:tr w:rsidR="00CC0A94"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Creditor, holder or guarantee provider</w:t>
            </w:r>
          </w:p>
          <w:p w14:paraId="7FE1B76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Legal entity that is the creditor to the liability, holds the capital instrument or provides the guarantee.</w:t>
            </w:r>
          </w:p>
        </w:tc>
      </w:tr>
      <w:tr w:rsidR="00CC0A94"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Entity name </w:t>
            </w:r>
          </w:p>
          <w:p w14:paraId="7FE1B76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Must be different from the entity name listed in column 0010. </w:t>
            </w:r>
          </w:p>
        </w:tc>
      </w:tr>
      <w:tr w:rsidR="00CC0A94"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07AEB6DE" w14:textId="77777777" w:rsidR="00B9253F"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code of the Creditor, holder or guarantee provider. </w:t>
            </w:r>
          </w:p>
          <w:p w14:paraId="706B20DB" w14:textId="77777777" w:rsidR="002C351F" w:rsidRPr="002C351F" w:rsidRDefault="002C351F" w:rsidP="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w:t>
            </w:r>
            <w:r w:rsidRPr="002C351F">
              <w:rPr>
                <w:rFonts w:ascii="Times New Roman" w:eastAsia="Cambria" w:hAnsi="Times New Roman" w:cs="Times New Roman"/>
                <w:color w:val="000000" w:themeColor="text1"/>
                <w:spacing w:val="-2"/>
                <w:w w:val="95"/>
                <w:sz w:val="20"/>
                <w:szCs w:val="20"/>
                <w:lang w:val="en-GB"/>
              </w:rPr>
              <w:t xml:space="preserve">or institutions with a Legal Entity Identifier (LEI), the 20-digit alphanumeric LEI </w:t>
            </w:r>
            <w:proofErr w:type="gramStart"/>
            <w:r w:rsidRPr="002C351F">
              <w:rPr>
                <w:rFonts w:ascii="Times New Roman" w:eastAsia="Cambria" w:hAnsi="Times New Roman" w:cs="Times New Roman"/>
                <w:color w:val="000000" w:themeColor="text1"/>
                <w:spacing w:val="-2"/>
                <w:w w:val="95"/>
                <w:sz w:val="20"/>
                <w:szCs w:val="20"/>
                <w:lang w:val="en-GB"/>
              </w:rPr>
              <w:t>code;</w:t>
            </w:r>
            <w:proofErr w:type="gramEnd"/>
          </w:p>
          <w:p w14:paraId="69DCA339" w14:textId="67781040" w:rsidR="002C351F" w:rsidRDefault="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w:t>
            </w:r>
            <w:r w:rsidRPr="002C351F">
              <w:rPr>
                <w:rFonts w:ascii="Times New Roman" w:eastAsia="Cambria" w:hAnsi="Times New Roman" w:cs="Times New Roman"/>
                <w:color w:val="000000" w:themeColor="text1"/>
                <w:spacing w:val="-2"/>
                <w:w w:val="95"/>
                <w:sz w:val="20"/>
                <w:szCs w:val="20"/>
                <w:lang w:val="en-GB"/>
              </w:rPr>
              <w:t>f not available, use the MFI code or a code under a uniform codification applicable in the Union</w:t>
            </w:r>
            <w:r>
              <w:rPr>
                <w:rFonts w:ascii="Times New Roman" w:eastAsia="Cambria" w:hAnsi="Times New Roman" w:cs="Times New Roman"/>
                <w:color w:val="000000" w:themeColor="text1"/>
                <w:spacing w:val="-2"/>
                <w:w w:val="95"/>
                <w:sz w:val="20"/>
                <w:szCs w:val="20"/>
                <w:lang w:val="en-GB"/>
              </w:rPr>
              <w:t>.</w:t>
            </w:r>
          </w:p>
          <w:p w14:paraId="7FE1B76F" w14:textId="02D6147D"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shall be unique and used consistently across the templates.</w:t>
            </w:r>
          </w:p>
          <w:p w14:paraId="1E86BFA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Must be different from the code listed in column 0020.</w:t>
            </w:r>
          </w:p>
          <w:p w14:paraId="7FE1B770" w14:textId="276B100A" w:rsidR="00B9253F" w:rsidRDefault="00B9253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spacing w:val="-2"/>
                <w:sz w:val="20"/>
                <w:szCs w:val="20"/>
              </w:rPr>
              <w:t>Where the Creditor, holder or guarantee provider is a group entity, the code shall be the same as reported in template Z 01.01 (ORG 1). For the identification of entities or investees, the pair of Code and Type shall be used consistently across the templates.</w:t>
            </w:r>
          </w:p>
        </w:tc>
      </w:tr>
      <w:tr w:rsidR="00CC0A94"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00DFF190" w14:textId="04144C55" w:rsidR="008A0CAD" w:rsidRDefault="008A0CAD" w:rsidP="008A0CAD">
            <w:pPr>
              <w:pStyle w:val="TableParagraph"/>
              <w:spacing w:before="108"/>
              <w:ind w:left="85"/>
              <w:jc w:val="both"/>
              <w:rPr>
                <w:rFonts w:ascii="Times New Roman" w:hAnsi="Times New Roman" w:cs="Times New Roman"/>
                <w:bCs/>
                <w:color w:val="000000" w:themeColor="text1"/>
                <w:sz w:val="20"/>
                <w:szCs w:val="20"/>
                <w:lang w:val="en-GB"/>
              </w:rPr>
            </w:pPr>
          </w:p>
          <w:p w14:paraId="1CBCA0DC" w14:textId="04764F45" w:rsidR="002C351F" w:rsidRDefault="002C351F" w:rsidP="00B9253F">
            <w:pPr>
              <w:pStyle w:val="TableParagraph"/>
              <w:spacing w:before="108" w:line="276" w:lineRule="auto"/>
              <w:ind w:left="85"/>
              <w:jc w:val="both"/>
              <w:rPr>
                <w:rFonts w:ascii="Times New Roman" w:hAnsi="Times New Roman" w:cs="Times New Roman"/>
                <w:color w:val="000000"/>
                <w:sz w:val="20"/>
                <w:szCs w:val="20"/>
                <w:lang w:val="en-GB"/>
              </w:rPr>
            </w:pPr>
            <w:bookmarkStart w:id="65" w:name="_Hlk191377037"/>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Pr>
                <w:rFonts w:ascii="Times New Roman" w:hAnsi="Times New Roman" w:cs="Times New Roman"/>
                <w:bCs/>
                <w:color w:val="000000" w:themeColor="text1"/>
                <w:sz w:val="20"/>
                <w:szCs w:val="20"/>
                <w:lang w:val="en-GB"/>
              </w:rPr>
              <w:t>”</w:t>
            </w:r>
            <w:r w:rsidRPr="00F076D7">
              <w:rPr>
                <w:rFonts w:ascii="Times New Roman" w:hAnsi="Times New Roman" w:cs="Times New Roman"/>
                <w:bCs/>
                <w:color w:val="000000" w:themeColor="text1"/>
                <w:sz w:val="20"/>
                <w:szCs w:val="20"/>
                <w:lang w:val="en-GB"/>
              </w:rPr>
              <w:t>.</w:t>
            </w:r>
            <w:bookmarkEnd w:id="65"/>
          </w:p>
          <w:p w14:paraId="072CFC22" w14:textId="7B94F65F" w:rsidR="00B9253F" w:rsidRDefault="00B9253F" w:rsidP="00B9253F">
            <w:pPr>
              <w:pStyle w:val="TableParagraph"/>
              <w:spacing w:before="108" w:line="276" w:lineRule="auto"/>
              <w:ind w:left="85"/>
              <w:jc w:val="both"/>
              <w:rPr>
                <w:rFonts w:ascii="Times New Roman" w:hAnsi="Times New Roman" w:cs="Times New Roman"/>
                <w:color w:val="000000"/>
                <w:sz w:val="20"/>
                <w:szCs w:val="20"/>
              </w:rPr>
            </w:pPr>
            <w:r>
              <w:rPr>
                <w:rFonts w:ascii="Times New Roman" w:hAnsi="Times New Roman" w:cs="Times New Roman"/>
                <w:color w:val="000000"/>
                <w:sz w:val="20"/>
                <w:szCs w:val="20"/>
              </w:rPr>
              <w:t>The type of code shall always be reported.</w:t>
            </w:r>
          </w:p>
          <w:p w14:paraId="63D16443" w14:textId="77777777" w:rsidR="00B9253F" w:rsidRDefault="00B9253F" w:rsidP="00B9253F">
            <w:pPr>
              <w:pStyle w:val="TableParagraph"/>
              <w:spacing w:before="108" w:line="276" w:lineRule="auto"/>
              <w:ind w:left="85"/>
              <w:jc w:val="both"/>
              <w:rPr>
                <w:rFonts w:ascii="Times New Roman" w:hAnsi="Times New Roman" w:cs="Times New Roman"/>
                <w:color w:val="000000"/>
                <w:spacing w:val="-2"/>
                <w:sz w:val="20"/>
                <w:szCs w:val="20"/>
              </w:rPr>
            </w:pPr>
            <w:r>
              <w:rPr>
                <w:rFonts w:ascii="Times New Roman" w:hAnsi="Times New Roman" w:cs="Times New Roman"/>
                <w:color w:val="000000"/>
                <w:sz w:val="20"/>
                <w:szCs w:val="20"/>
              </w:rPr>
              <w:t xml:space="preserve">Where the </w:t>
            </w:r>
            <w:r>
              <w:rPr>
                <w:rFonts w:ascii="Times New Roman" w:hAnsi="Times New Roman" w:cs="Times New Roman"/>
                <w:color w:val="000000"/>
                <w:spacing w:val="-2"/>
                <w:sz w:val="20"/>
                <w:szCs w:val="20"/>
              </w:rPr>
              <w:t>Creditor, holder or guarantee provider</w:t>
            </w:r>
            <w:r>
              <w:rPr>
                <w:rFonts w:ascii="Times New Roman" w:hAnsi="Times New Roman" w:cs="Times New Roman"/>
                <w:color w:val="000000"/>
                <w:sz w:val="20"/>
                <w:szCs w:val="20"/>
              </w:rPr>
              <w:t xml:space="preserve"> is not a group entity, the type of code shall be</w:t>
            </w:r>
            <w:r>
              <w:rPr>
                <w:rFonts w:ascii="Times New Roman" w:hAnsi="Times New Roman" w:cs="Times New Roman"/>
                <w:color w:val="000000"/>
                <w:spacing w:val="-2"/>
                <w:sz w:val="20"/>
                <w:szCs w:val="20"/>
              </w:rPr>
              <w:t xml:space="preserve"> </w:t>
            </w:r>
            <w:r>
              <w:rPr>
                <w:rFonts w:ascii="Times New Roman" w:hAnsi="Times New Roman" w:cs="Times New Roman"/>
                <w:color w:val="000000"/>
                <w:spacing w:val="-2"/>
                <w:sz w:val="20"/>
                <w:szCs w:val="20"/>
              </w:rPr>
              <w:lastRenderedPageBreak/>
              <w:t>preferably the LEI code.</w:t>
            </w:r>
          </w:p>
          <w:p w14:paraId="7FE1B777" w14:textId="69660BC3"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 xml:space="preserve">0050- 0080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Financial interconnection</w:t>
            </w:r>
          </w:p>
          <w:p w14:paraId="7FE1B77B" w14:textId="079D8C4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This field describes the financial interconnection between </w:t>
            </w:r>
            <w:r w:rsidR="00A968A9">
              <w:rPr>
                <w:rFonts w:ascii="Times New Roman" w:eastAsia="Cambria" w:hAnsi="Times New Roman" w:cs="Times New Roman"/>
                <w:color w:val="000000" w:themeColor="text1"/>
                <w:spacing w:val="-2"/>
                <w:w w:val="95"/>
                <w:sz w:val="20"/>
                <w:szCs w:val="20"/>
                <w:lang w:val="en-GB"/>
              </w:rPr>
              <w:t>all</w:t>
            </w:r>
            <w:r>
              <w:rPr>
                <w:rFonts w:ascii="Times New Roman" w:eastAsia="Cambria" w:hAnsi="Times New Roman" w:cs="Times New Roman"/>
                <w:color w:val="000000" w:themeColor="text1"/>
                <w:spacing w:val="-2"/>
                <w:w w:val="95"/>
                <w:sz w:val="20"/>
                <w:szCs w:val="20"/>
                <w:lang w:val="en-GB"/>
              </w:rPr>
              <w:t xml:space="preserve"> legal entities.</w:t>
            </w:r>
          </w:p>
        </w:tc>
      </w:tr>
      <w:tr w:rsidR="00CC0A94"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w:t>
            </w:r>
          </w:p>
          <w:p w14:paraId="7FE1B77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To be chosen from the following list:</w:t>
            </w:r>
          </w:p>
          <w:p w14:paraId="7FE1B78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u w:val="single"/>
                <w:lang w:val="en-GB"/>
              </w:rPr>
            </w:pPr>
            <w:r>
              <w:rPr>
                <w:rFonts w:ascii="Times New Roman" w:eastAsia="Cambria" w:hAnsi="Times New Roman" w:cs="Times New Roman"/>
                <w:color w:val="000000" w:themeColor="text1"/>
                <w:spacing w:val="-2"/>
                <w:w w:val="95"/>
                <w:sz w:val="20"/>
                <w:szCs w:val="20"/>
                <w:u w:val="single"/>
                <w:lang w:val="en-GB"/>
              </w:rPr>
              <w:t>Intragroup Liabilities</w:t>
            </w:r>
          </w:p>
          <w:p w14:paraId="7FE1B781"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u w:val="single"/>
                <w:lang w:val="en-GB"/>
              </w:rPr>
            </w:pPr>
          </w:p>
          <w:p w14:paraId="7FE1B782" w14:textId="421A42AD"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Liabilities excluded from bail-in </w:t>
            </w:r>
          </w:p>
          <w:p w14:paraId="7FE1B783" w14:textId="047CAF02" w:rsidR="00CC0A94" w:rsidRDefault="006C1571">
            <w:pPr>
              <w:pStyle w:val="ListParagraph"/>
              <w:autoSpaceDE w:val="0"/>
              <w:autoSpaceDN w:val="0"/>
              <w:adjustRightInd w:val="0"/>
              <w:ind w:left="539"/>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8A0CA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0100</w:t>
            </w:r>
          </w:p>
          <w:p w14:paraId="7FE1B784"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Deposits, not covered but preferential</w:t>
            </w:r>
          </w:p>
          <w:p w14:paraId="7FE1B785" w14:textId="69E9007C"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0310</w:t>
            </w:r>
          </w:p>
          <w:p w14:paraId="7FE1B786"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Deposits, not covered and not preferential</w:t>
            </w:r>
          </w:p>
          <w:p w14:paraId="7FE1B787" w14:textId="4FA7AC10"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0320</w:t>
            </w:r>
          </w:p>
          <w:p w14:paraId="7FE1B788"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Liabilities arising from derivatives (Close-Out Amounts)</w:t>
            </w:r>
          </w:p>
          <w:p w14:paraId="7FE1B789" w14:textId="5DAB7051"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0330</w:t>
            </w:r>
          </w:p>
          <w:p w14:paraId="7FE1B78A"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Uncollateralised secured liabilities</w:t>
            </w:r>
          </w:p>
          <w:p w14:paraId="7FE1B78B" w14:textId="5B0021F4"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0340</w:t>
            </w:r>
          </w:p>
          <w:p w14:paraId="7FE1B78C"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Structured notes</w:t>
            </w:r>
          </w:p>
          <w:p w14:paraId="7FE1B78D" w14:textId="7DF4D7F4"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0350</w:t>
            </w:r>
          </w:p>
          <w:p w14:paraId="7FE1B78E"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Senior unsecured liabilities</w:t>
            </w:r>
          </w:p>
          <w:p w14:paraId="7FE1B78F" w14:textId="67CE577E"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0360</w:t>
            </w:r>
          </w:p>
          <w:p w14:paraId="7FE1B790"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Senior non-preferred liabilities</w:t>
            </w:r>
          </w:p>
          <w:p w14:paraId="7FE1B791" w14:textId="6BECB3BB" w:rsidR="00CC0A94" w:rsidRDefault="006C1571">
            <w:pPr>
              <w:pStyle w:val="ListParagraph"/>
              <w:autoSpaceDE w:val="0"/>
              <w:autoSpaceDN w:val="0"/>
              <w:adjustRightInd w:val="0"/>
              <w:ind w:left="539"/>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0365</w:t>
            </w:r>
          </w:p>
          <w:p w14:paraId="7FE1B792"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Subordinated liabilities</w:t>
            </w:r>
          </w:p>
          <w:p w14:paraId="7FE1B793" w14:textId="1719A94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0370</w:t>
            </w:r>
          </w:p>
          <w:p w14:paraId="7FE1B794"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Other MREL eligible liabilities</w:t>
            </w:r>
          </w:p>
          <w:p w14:paraId="7FE1B795" w14:textId="18D60D2B"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0380</w:t>
            </w:r>
          </w:p>
          <w:p w14:paraId="7FE1B796"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Non-financial liabilities</w:t>
            </w:r>
          </w:p>
          <w:p w14:paraId="7FE1B797" w14:textId="03D8AF00"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0390</w:t>
            </w:r>
          </w:p>
          <w:p w14:paraId="7FE1B798"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Residual liabilities</w:t>
            </w:r>
          </w:p>
          <w:p w14:paraId="7FE1B799" w14:textId="5E01E641"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0400. Any liability not captured by any of the preceding items.</w:t>
            </w:r>
          </w:p>
          <w:p w14:paraId="7FE1B79A"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Tier 2 Capital</w:t>
            </w:r>
          </w:p>
          <w:p w14:paraId="7FE1B79B" w14:textId="1DC09C8A"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0530</w:t>
            </w:r>
          </w:p>
          <w:p w14:paraId="7FE1B79C"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Additional Tier 1 Capital</w:t>
            </w:r>
          </w:p>
          <w:p w14:paraId="7FE1B79D" w14:textId="5EB7A3D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0520</w:t>
            </w:r>
          </w:p>
          <w:p w14:paraId="7FE1B79E"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Common Equity Tier 1 Capital</w:t>
            </w:r>
          </w:p>
          <w:p w14:paraId="7FE1B79F" w14:textId="3DF796DF"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0510</w:t>
            </w:r>
          </w:p>
          <w:p w14:paraId="7FE1B7A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u w:val="single"/>
                <w:lang w:val="en-GB"/>
              </w:rPr>
            </w:pPr>
            <w:r>
              <w:rPr>
                <w:rFonts w:ascii="Times New Roman" w:eastAsia="Cambria" w:hAnsi="Times New Roman" w:cs="Times New Roman"/>
                <w:color w:val="000000" w:themeColor="text1"/>
                <w:spacing w:val="-2"/>
                <w:w w:val="95"/>
                <w:sz w:val="20"/>
                <w:szCs w:val="20"/>
                <w:u w:val="single"/>
                <w:lang w:val="en-GB"/>
              </w:rPr>
              <w:t>Intragroup Guarantees</w:t>
            </w:r>
          </w:p>
          <w:p w14:paraId="7FE1B7A1" w14:textId="426DD2CE" w:rsidR="00CC0A94" w:rsidRDefault="006C1571">
            <w:pPr>
              <w:pStyle w:val="ListParagraph"/>
              <w:numPr>
                <w:ilvl w:val="0"/>
                <w:numId w:val="55"/>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Issuance </w:t>
            </w:r>
            <w:r w:rsidR="00DD34EA">
              <w:rPr>
                <w:rFonts w:ascii="Times New Roman" w:eastAsia="Cambria" w:hAnsi="Times New Roman"/>
                <w:color w:val="000000" w:themeColor="text1"/>
                <w:spacing w:val="-2"/>
                <w:w w:val="95"/>
                <w:sz w:val="20"/>
                <w:szCs w:val="20"/>
              </w:rPr>
              <w:t>Guarantees</w:t>
            </w:r>
          </w:p>
          <w:p w14:paraId="7FE1B7A2" w14:textId="7777777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Guarantees on specific instruments/liabilities that have been issued</w:t>
            </w:r>
          </w:p>
          <w:p w14:paraId="7FE1B7A3" w14:textId="71CD6004" w:rsidR="00CC0A94" w:rsidRDefault="006C1571">
            <w:pPr>
              <w:pStyle w:val="ListParagraph"/>
              <w:numPr>
                <w:ilvl w:val="0"/>
                <w:numId w:val="55"/>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Counterparty </w:t>
            </w:r>
            <w:r w:rsidR="00DD34EA">
              <w:rPr>
                <w:rFonts w:ascii="Times New Roman" w:eastAsia="Cambria" w:hAnsi="Times New Roman"/>
                <w:color w:val="000000" w:themeColor="text1"/>
                <w:spacing w:val="-2"/>
                <w:w w:val="95"/>
                <w:sz w:val="20"/>
                <w:szCs w:val="20"/>
              </w:rPr>
              <w:t>Guarantees</w:t>
            </w:r>
          </w:p>
          <w:p w14:paraId="7FE1B7A4" w14:textId="7777777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Guarantees granted to a specific counterparty of the institution</w:t>
            </w:r>
          </w:p>
          <w:p w14:paraId="7FE1B7A5" w14:textId="50A984E1" w:rsidR="00CC0A94" w:rsidRDefault="006C1571">
            <w:pPr>
              <w:pStyle w:val="ListParagraph"/>
              <w:numPr>
                <w:ilvl w:val="0"/>
                <w:numId w:val="55"/>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Unlimited</w:t>
            </w:r>
            <w:r w:rsidR="00DD34EA">
              <w:rPr>
                <w:rFonts w:ascii="Times New Roman" w:eastAsia="Cambria" w:hAnsi="Times New Roman"/>
                <w:color w:val="000000" w:themeColor="text1"/>
                <w:spacing w:val="-2"/>
                <w:w w:val="95"/>
                <w:sz w:val="20"/>
                <w:szCs w:val="20"/>
              </w:rPr>
              <w:t xml:space="preserve"> Guarantees</w:t>
            </w:r>
          </w:p>
          <w:p w14:paraId="7FE1B7A6" w14:textId="7777777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General guarantees not limited to a fixed amount </w:t>
            </w:r>
          </w:p>
          <w:p w14:paraId="7FE1B7A7" w14:textId="391BAF8D" w:rsidR="00CC0A94" w:rsidRDefault="006C1571">
            <w:pPr>
              <w:pStyle w:val="ListParagraph"/>
              <w:numPr>
                <w:ilvl w:val="0"/>
                <w:numId w:val="55"/>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Other </w:t>
            </w:r>
            <w:r w:rsidR="00DD34EA">
              <w:rPr>
                <w:rFonts w:ascii="Times New Roman" w:eastAsia="Cambria" w:hAnsi="Times New Roman"/>
                <w:color w:val="000000" w:themeColor="text1"/>
                <w:spacing w:val="-2"/>
                <w:w w:val="95"/>
                <w:sz w:val="20"/>
                <w:szCs w:val="20"/>
              </w:rPr>
              <w:t>Guarantees</w:t>
            </w:r>
          </w:p>
          <w:p w14:paraId="7FE1B7A8" w14:textId="7777777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Any type of guarantee not covered by the previous types. </w:t>
            </w:r>
          </w:p>
        </w:tc>
      </w:tr>
      <w:tr w:rsidR="00CC0A94"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0060</w:t>
            </w:r>
            <w:r w:rsidR="008A0CAD">
              <w:rPr>
                <w:rFonts w:ascii="Times New Roman" w:hAnsi="Times New Roman" w:cs="Times New Roman"/>
                <w:color w:val="000000" w:themeColor="text1"/>
                <w:sz w:val="20"/>
                <w:szCs w:val="20"/>
                <w:lang w:val="en-GB"/>
              </w:rPr>
              <w:t>-0080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Outstanding amount</w:t>
            </w:r>
          </w:p>
          <w:p w14:paraId="7FE1B7AC" w14:textId="0BB5F57D"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 xml:space="preserve">For liabilities </w:t>
            </w:r>
            <w:r w:rsidR="000C0E67">
              <w:rPr>
                <w:rFonts w:ascii="Times New Roman" w:eastAsia="Cambria" w:hAnsi="Times New Roman" w:cs="Times New Roman"/>
                <w:color w:val="000000" w:themeColor="text1"/>
                <w:spacing w:val="-2"/>
                <w:w w:val="95"/>
                <w:sz w:val="20"/>
                <w:szCs w:val="20"/>
                <w:lang w:val="en-GB"/>
              </w:rPr>
              <w:t xml:space="preserve">in </w:t>
            </w:r>
            <w:r>
              <w:rPr>
                <w:rFonts w:ascii="Times New Roman" w:eastAsia="Cambria" w:hAnsi="Times New Roman" w:cs="Times New Roman"/>
                <w:color w:val="000000" w:themeColor="text1"/>
                <w:spacing w:val="-2"/>
                <w:w w:val="95"/>
                <w:sz w:val="20"/>
                <w:szCs w:val="20"/>
                <w:lang w:val="en-GB"/>
              </w:rPr>
              <w:t>column 0050, the outstanding amount of the intragroup liabilities; for liabilities arising from derivatives, the close-out amounts as defined for the purposes of template Z 02.00 (LIAB</w:t>
            </w:r>
            <w:r w:rsidR="008A0CAD">
              <w:rPr>
                <w:rFonts w:ascii="Times New Roman" w:eastAsia="Cambria" w:hAnsi="Times New Roman" w:cs="Times New Roman"/>
                <w:color w:val="000000" w:themeColor="text1"/>
                <w:spacing w:val="-2"/>
                <w:w w:val="95"/>
                <w:sz w:val="20"/>
                <w:szCs w:val="20"/>
                <w:lang w:val="en-GB"/>
              </w:rPr>
              <w:t xml:space="preserve"> 1</w:t>
            </w:r>
            <w:r>
              <w:rPr>
                <w:rFonts w:ascii="Times New Roman" w:eastAsia="Cambria" w:hAnsi="Times New Roman" w:cs="Times New Roman"/>
                <w:color w:val="000000" w:themeColor="text1"/>
                <w:spacing w:val="-2"/>
                <w:w w:val="95"/>
                <w:sz w:val="20"/>
                <w:szCs w:val="20"/>
                <w:lang w:val="en-GB"/>
              </w:rPr>
              <w:t>), row 0333.</w:t>
            </w:r>
          </w:p>
          <w:p w14:paraId="7FE1B7AD" w14:textId="75442B42"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For guarantees </w:t>
            </w:r>
            <w:r w:rsidR="000C0E67">
              <w:rPr>
                <w:rFonts w:ascii="Times New Roman" w:eastAsia="Cambria" w:hAnsi="Times New Roman" w:cs="Times New Roman"/>
                <w:color w:val="000000" w:themeColor="text1"/>
                <w:spacing w:val="-2"/>
                <w:w w:val="95"/>
                <w:sz w:val="20"/>
                <w:szCs w:val="20"/>
                <w:lang w:val="en-GB"/>
              </w:rPr>
              <w:t xml:space="preserve">in </w:t>
            </w:r>
            <w:r>
              <w:rPr>
                <w:rFonts w:ascii="Times New Roman" w:eastAsia="Cambria" w:hAnsi="Times New Roman" w:cs="Times New Roman"/>
                <w:color w:val="000000" w:themeColor="text1"/>
                <w:spacing w:val="-2"/>
                <w:w w:val="95"/>
                <w:sz w:val="20"/>
                <w:szCs w:val="20"/>
                <w:lang w:val="en-GB"/>
              </w:rPr>
              <w:t xml:space="preserve">column 0050, the maximum potential </w:t>
            </w:r>
            <w:proofErr w:type="gramStart"/>
            <w:r>
              <w:rPr>
                <w:rFonts w:ascii="Times New Roman" w:eastAsia="Cambria" w:hAnsi="Times New Roman" w:cs="Times New Roman"/>
                <w:color w:val="000000" w:themeColor="text1"/>
                <w:spacing w:val="-2"/>
                <w:w w:val="95"/>
                <w:sz w:val="20"/>
                <w:szCs w:val="20"/>
                <w:lang w:val="en-GB"/>
              </w:rPr>
              <w:t>amount</w:t>
            </w:r>
            <w:proofErr w:type="gramEnd"/>
            <w:r>
              <w:rPr>
                <w:rFonts w:ascii="Times New Roman" w:eastAsia="Cambria" w:hAnsi="Times New Roman" w:cs="Times New Roman"/>
                <w:color w:val="000000" w:themeColor="text1"/>
                <w:spacing w:val="-2"/>
                <w:w w:val="95"/>
                <w:sz w:val="20"/>
                <w:szCs w:val="20"/>
                <w:lang w:val="en-GB"/>
              </w:rPr>
              <w:t xml:space="preserve"> of future payments under the guarantee </w:t>
            </w:r>
          </w:p>
        </w:tc>
      </w:tr>
      <w:tr w:rsidR="00CC0A94"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issued under 3rd country law</w:t>
            </w:r>
          </w:p>
          <w:p w14:paraId="7FE1B7B1"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The share, in monetary amount, of the outstanding amount that is governed by the law of a third country.</w:t>
            </w:r>
          </w:p>
        </w:tc>
      </w:tr>
      <w:tr w:rsidR="00CC0A94"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of which: MREL eligible</w:t>
            </w:r>
          </w:p>
          <w:p w14:paraId="7FE1B7B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own funds and liabilities eligible to meet the requirement of Article 45 of Directive 2014/59/EU in accordance with Article 45e or 45f of that Directive, as applicable.</w:t>
            </w:r>
            <w:r w:rsidRPr="002F61BB">
              <w:rPr>
                <w:rFonts w:ascii="Times New Roman" w:hAnsi="Times New Roman" w:cs="Times New Roman"/>
              </w:rPr>
              <w:t xml:space="preserve"> </w:t>
            </w:r>
            <w:r>
              <w:rPr>
                <w:rFonts w:ascii="Times New Roman" w:eastAsia="Cambria" w:hAnsi="Times New Roman" w:cs="Times New Roman"/>
                <w:color w:val="000000" w:themeColor="text1"/>
                <w:spacing w:val="-2"/>
                <w:w w:val="95"/>
                <w:sz w:val="20"/>
                <w:szCs w:val="20"/>
                <w:lang w:val="en-GB"/>
              </w:rPr>
              <w:t xml:space="preserve">Only those own funds and liabilities that meet the criteria of Article 45b or Article 45f (2) of Directive 2014/59/EU, as applicable, considering, where relevant, Article 89 (2) BRRD, and Article 55 BRRD shall be reported. </w:t>
            </w:r>
          </w:p>
        </w:tc>
      </w:tr>
    </w:tbl>
    <w:p w14:paraId="7FE1B7B7" w14:textId="77777777" w:rsidR="00CC0A94" w:rsidRDefault="00CC0A94">
      <w:pPr>
        <w:jc w:val="both"/>
        <w:rPr>
          <w:rFonts w:ascii="Times New Roman" w:hAnsi="Times New Roman" w:cs="Times New Roman"/>
          <w:color w:val="000000" w:themeColor="text1"/>
          <w:sz w:val="20"/>
          <w:szCs w:val="20"/>
          <w:lang w:val="en-GB"/>
        </w:rPr>
      </w:pPr>
    </w:p>
    <w:p w14:paraId="7FE1B7B8" w14:textId="548121DF" w:rsidR="00CC0A94" w:rsidRDefault="006C1571">
      <w:pPr>
        <w:pStyle w:val="Instructionsberschrift2"/>
        <w:numPr>
          <w:ilvl w:val="1"/>
          <w:numId w:val="49"/>
        </w:numPr>
        <w:ind w:left="357" w:hanging="357"/>
        <w:rPr>
          <w:rFonts w:ascii="Times New Roman" w:hAnsi="Times New Roman" w:cs="Times New Roman"/>
        </w:rPr>
      </w:pPr>
      <w:bookmarkStart w:id="66" w:name="_Toc192249044"/>
      <w:bookmarkStart w:id="67" w:name="_Toc492542325"/>
      <w:bookmarkStart w:id="68" w:name="_Toc81454183"/>
      <w:r>
        <w:rPr>
          <w:rFonts w:ascii="Times New Roman" w:hAnsi="Times New Roman" w:cs="Times New Roman"/>
        </w:rPr>
        <w:t>Major Counterparties (LIAB 5 &amp; 6)</w:t>
      </w:r>
      <w:bookmarkEnd w:id="66"/>
      <w:bookmarkEnd w:id="67"/>
      <w:bookmarkEnd w:id="68"/>
    </w:p>
    <w:p w14:paraId="7FE1B7B9" w14:textId="77777777" w:rsidR="00CC0A94" w:rsidRDefault="006C1571">
      <w:pPr>
        <w:pStyle w:val="Instructionsberschrift3"/>
        <w:rPr>
          <w:lang w:val="en-GB"/>
        </w:rPr>
      </w:pPr>
      <w:r>
        <w:rPr>
          <w:lang w:val="en-GB"/>
        </w:rPr>
        <w:t>General remarks</w:t>
      </w:r>
    </w:p>
    <w:p w14:paraId="7FE1B7BA"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These templates collect information on liabilities towards major counterparties (Z 05.01) and off-balance sheet items received from major counterparties (Z 05.02). Reported amounts shall be aggregated where they belong to the same counterparty and the same type of liabilities or off-balance sheet items.</w:t>
      </w:r>
    </w:p>
    <w:p w14:paraId="7FE1B7BB"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Liabilities and off-balance sheet items for which the counterparty cannot be identified shall not be reported in these templates. Liabilities and </w:t>
      </w:r>
      <w:proofErr w:type="gramStart"/>
      <w:r>
        <w:rPr>
          <w:rFonts w:ascii="Times New Roman" w:hAnsi="Times New Roman" w:cs="Times New Roman"/>
          <w:sz w:val="20"/>
          <w:szCs w:val="20"/>
          <w:lang w:val="en-GB"/>
        </w:rPr>
        <w:t>off balance</w:t>
      </w:r>
      <w:proofErr w:type="gramEnd"/>
      <w:r>
        <w:rPr>
          <w:rFonts w:ascii="Times New Roman" w:hAnsi="Times New Roman" w:cs="Times New Roman"/>
          <w:sz w:val="20"/>
          <w:szCs w:val="20"/>
          <w:lang w:val="en-GB"/>
        </w:rPr>
        <w:t xml:space="preserve"> sheet items for which the counterparty is an entity included in the consolidated financial statements shall not be reported.</w:t>
      </w:r>
    </w:p>
    <w:p w14:paraId="7FE1B7BC" w14:textId="04BE316A" w:rsidR="00CC0A94" w:rsidRDefault="00CC0A94" w:rsidP="002F61BB">
      <w:pPr>
        <w:pStyle w:val="InstructionsText2"/>
        <w:numPr>
          <w:ilvl w:val="0"/>
          <w:numId w:val="0"/>
        </w:numPr>
        <w:spacing w:before="0"/>
        <w:ind w:left="753" w:hanging="720"/>
        <w:rPr>
          <w:rFonts w:ascii="Times New Roman" w:hAnsi="Times New Roman" w:cs="Times New Roman"/>
          <w:sz w:val="20"/>
          <w:szCs w:val="20"/>
          <w:lang w:val="en-GB"/>
        </w:rPr>
      </w:pPr>
    </w:p>
    <w:p w14:paraId="7FE1B7BD" w14:textId="77777777" w:rsidR="00CC0A94" w:rsidRDefault="006C1571">
      <w:pPr>
        <w:pStyle w:val="Instructionsberschrift2"/>
        <w:numPr>
          <w:ilvl w:val="1"/>
          <w:numId w:val="49"/>
        </w:numPr>
        <w:ind w:left="357" w:hanging="357"/>
        <w:rPr>
          <w:rFonts w:ascii="Times New Roman" w:hAnsi="Times New Roman" w:cs="Times New Roman"/>
        </w:rPr>
      </w:pPr>
      <w:bookmarkStart w:id="69" w:name="_Toc192249045"/>
      <w:bookmarkStart w:id="70" w:name="_Toc81454184"/>
      <w:r>
        <w:rPr>
          <w:rFonts w:ascii="Times New Roman" w:hAnsi="Times New Roman" w:cs="Times New Roman"/>
        </w:rPr>
        <w:t>Z 05.01 – Major liabilities counterparties (LIAB 5)</w:t>
      </w:r>
      <w:bookmarkEnd w:id="69"/>
    </w:p>
    <w:p w14:paraId="7FE1B7BE" w14:textId="0F7A6C34" w:rsidR="00CC0A94" w:rsidRDefault="006C1571" w:rsidP="002F61BB">
      <w:pPr>
        <w:pStyle w:val="body"/>
      </w:pPr>
      <w:r>
        <w:rPr>
          <w:u w:val="single"/>
        </w:rPr>
        <w:t>Instructions concerning specific positions</w:t>
      </w:r>
      <w:bookmarkEnd w:id="70"/>
    </w:p>
    <w:p w14:paraId="7FE1B7BF"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The combination of values reported in columns 0020 and 0060 of this template forms a primary key which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be unique for each row of the template.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CC0A94" w14:paraId="7FE1B7C2" w14:textId="77777777" w:rsidTr="002F61BB">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Counterparty</w:t>
            </w:r>
          </w:p>
          <w:p w14:paraId="7FE1B7C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Information on the major counterparty in relation to which the liability arises </w:t>
            </w:r>
          </w:p>
          <w:p w14:paraId="7FE1B7C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Major counterparties shall be identified by summing up the outstanding amounts of all liabilities of the entity or group for which the template is reported, to each counterparty or group of connected clients, excluding liabilities to entities included in the consolidated financial statements.</w:t>
            </w:r>
          </w:p>
          <w:p w14:paraId="7FE1B7C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counterparties and groups of connected counterparties are then ranked by aggregate outstanding amount </w:t>
            </w:r>
            <w:proofErr w:type="gramStart"/>
            <w:r>
              <w:rPr>
                <w:rFonts w:ascii="Times New Roman" w:eastAsia="Cambria" w:hAnsi="Times New Roman" w:cs="Times New Roman"/>
                <w:color w:val="000000" w:themeColor="text1"/>
                <w:spacing w:val="-2"/>
                <w:w w:val="95"/>
                <w:sz w:val="20"/>
                <w:szCs w:val="20"/>
                <w:lang w:val="en-GB"/>
              </w:rPr>
              <w:t>in order to</w:t>
            </w:r>
            <w:proofErr w:type="gramEnd"/>
            <w:r>
              <w:rPr>
                <w:rFonts w:ascii="Times New Roman" w:eastAsia="Cambria" w:hAnsi="Times New Roman" w:cs="Times New Roman"/>
                <w:color w:val="000000" w:themeColor="text1"/>
                <w:spacing w:val="-2"/>
                <w:w w:val="95"/>
                <w:sz w:val="20"/>
                <w:szCs w:val="20"/>
                <w:lang w:val="en-GB"/>
              </w:rPr>
              <w:t xml:space="preserve"> identify the top 10 major counterparties, on which information shall be provided in this template.</w:t>
            </w:r>
          </w:p>
          <w:p w14:paraId="7FE1B7CB" w14:textId="1879B990"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definition of ‘group of connected counterparties’ shall follow the definition of ‘group of connected clients’ laid down in Article 4(1) point 39 of Regulation (EU) No 575/2013. </w:t>
            </w:r>
          </w:p>
        </w:tc>
      </w:tr>
      <w:tr w:rsidR="00CC0A94"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B7CF" w14:textId="77777777" w:rsidR="00CC0A94" w:rsidRDefault="006C1571">
            <w:pPr>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major counterparty or, where applicable, name of a group of connected clients.</w:t>
            </w:r>
          </w:p>
          <w:p w14:paraId="7FE1B7D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The name of a group of connected clients shall be the name of the parent company or, when the group of connected clients does not have a parent, the group’s commercial name.</w:t>
            </w:r>
          </w:p>
        </w:tc>
      </w:tr>
      <w:tr w:rsidR="00CC0A94"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188AB748" w14:textId="77777777" w:rsidR="002C351F" w:rsidRDefault="006C1571" w:rsidP="007C64F6">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code of the major counterparty or group of connected clients. </w:t>
            </w:r>
          </w:p>
          <w:p w14:paraId="0DD02B7A" w14:textId="4FE17D24" w:rsidR="002C351F" w:rsidRPr="0036700A" w:rsidRDefault="002C351F" w:rsidP="002F61BB">
            <w:pPr>
              <w:pStyle w:val="TableParagraph"/>
              <w:spacing w:before="108"/>
              <w:rPr>
                <w:rFonts w:ascii="Times New Roman" w:hAnsi="Times New Roman" w:cs="Times New Roman"/>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F</w:t>
            </w:r>
            <w:r w:rsidRPr="0036700A">
              <w:rPr>
                <w:rFonts w:ascii="Times New Roman" w:hAnsi="Times New Roman" w:cs="Times New Roman"/>
                <w:bCs/>
                <w:color w:val="000000" w:themeColor="text1"/>
                <w:sz w:val="20"/>
                <w:szCs w:val="20"/>
                <w:lang w:val="en-GB"/>
              </w:rPr>
              <w:t xml:space="preserve">or institutions with a Legal Entity Identifier (LEI), the 20-digit alphanumeric LEI </w:t>
            </w:r>
            <w:proofErr w:type="gramStart"/>
            <w:r w:rsidRPr="0036700A">
              <w:rPr>
                <w:rFonts w:ascii="Times New Roman" w:hAnsi="Times New Roman" w:cs="Times New Roman"/>
                <w:bCs/>
                <w:color w:val="000000" w:themeColor="text1"/>
                <w:sz w:val="20"/>
                <w:szCs w:val="20"/>
                <w:lang w:val="en-GB"/>
              </w:rPr>
              <w:t>code;</w:t>
            </w:r>
            <w:proofErr w:type="gramEnd"/>
          </w:p>
          <w:p w14:paraId="7FE1B7D4" w14:textId="10D08A5A" w:rsidR="00CC0A94" w:rsidRDefault="002C351F" w:rsidP="002F61BB">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Cs/>
                <w:color w:val="000000" w:themeColor="text1"/>
                <w:sz w:val="20"/>
                <w:szCs w:val="20"/>
                <w:lang w:val="en-GB"/>
              </w:rPr>
              <w:t>I</w:t>
            </w:r>
            <w:r w:rsidRPr="0036700A">
              <w:rPr>
                <w:rFonts w:ascii="Times New Roman" w:hAnsi="Times New Roman" w:cs="Times New Roman"/>
                <w:bCs/>
                <w:color w:val="000000" w:themeColor="text1"/>
                <w:sz w:val="20"/>
                <w:szCs w:val="20"/>
                <w:lang w:val="en-GB"/>
              </w:rPr>
              <w:t xml:space="preserve">f not available, use the MFI code or a code under a uniform codification applicable in the </w:t>
            </w:r>
            <w:proofErr w:type="gramStart"/>
            <w:r w:rsidRPr="0036700A">
              <w:rPr>
                <w:rFonts w:ascii="Times New Roman" w:hAnsi="Times New Roman" w:cs="Times New Roman"/>
                <w:bCs/>
                <w:color w:val="000000" w:themeColor="text1"/>
                <w:sz w:val="20"/>
                <w:szCs w:val="20"/>
                <w:lang w:val="en-GB"/>
              </w:rPr>
              <w:t>Union.</w:t>
            </w:r>
            <w:r w:rsidR="006C1571">
              <w:rPr>
                <w:rFonts w:ascii="Times New Roman" w:eastAsia="Cambria" w:hAnsi="Times New Roman" w:cs="Times New Roman"/>
                <w:color w:val="000000" w:themeColor="text1"/>
                <w:spacing w:val="-2"/>
                <w:w w:val="95"/>
                <w:sz w:val="20"/>
                <w:szCs w:val="20"/>
                <w:lang w:val="en-GB"/>
              </w:rPr>
              <w:t>.</w:t>
            </w:r>
            <w:proofErr w:type="gramEnd"/>
          </w:p>
          <w:p w14:paraId="7FE1B7D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shall be unique and used consistently across the templates.</w:t>
            </w:r>
          </w:p>
        </w:tc>
      </w:tr>
      <w:tr w:rsidR="00CC0A94"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2BEBBD8E" w14:textId="55A001F3" w:rsidR="00235542" w:rsidRDefault="002C351F">
            <w:pPr>
              <w:pStyle w:val="TableParagraph"/>
              <w:spacing w:before="108"/>
              <w:rPr>
                <w:rFonts w:ascii="Times New Roman" w:hAnsi="Times New Roman" w:cs="Times New Roman"/>
                <w:bCs/>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Pr>
                <w:rFonts w:ascii="Times New Roman" w:hAnsi="Times New Roman" w:cs="Times New Roman"/>
                <w:bCs/>
                <w:color w:val="000000" w:themeColor="text1"/>
                <w:sz w:val="20"/>
                <w:szCs w:val="20"/>
                <w:lang w:val="en-GB"/>
              </w:rPr>
              <w:t>”</w:t>
            </w:r>
            <w:r w:rsidRPr="00F076D7">
              <w:rPr>
                <w:rFonts w:ascii="Times New Roman" w:hAnsi="Times New Roman" w:cs="Times New Roman"/>
                <w:bCs/>
                <w:color w:val="000000" w:themeColor="text1"/>
                <w:sz w:val="20"/>
                <w:szCs w:val="20"/>
                <w:lang w:val="en-GB"/>
              </w:rPr>
              <w:t>.</w:t>
            </w:r>
          </w:p>
          <w:p w14:paraId="5CA49443" w14:textId="30D8A3AF" w:rsidR="00235542" w:rsidRDefault="00235542" w:rsidP="00483AA9">
            <w:pPr>
              <w:pStyle w:val="TableParagraph"/>
              <w:spacing w:before="108" w:line="276" w:lineRule="auto"/>
              <w:ind w:left="85"/>
              <w:jc w:val="both"/>
              <w:rPr>
                <w:rFonts w:ascii="Times New Roman" w:hAnsi="Times New Roman" w:cs="Times New Roman"/>
                <w:color w:val="000000"/>
                <w:sz w:val="20"/>
                <w:szCs w:val="20"/>
                <w:lang w:val="en-GB"/>
              </w:rPr>
            </w:pPr>
            <w:r>
              <w:rPr>
                <w:rFonts w:ascii="Times New Roman" w:hAnsi="Times New Roman" w:cs="Times New Roman"/>
                <w:bCs/>
                <w:color w:val="000000" w:themeColor="text1"/>
                <w:sz w:val="20"/>
                <w:szCs w:val="20"/>
                <w:lang w:val="en-GB"/>
              </w:rPr>
              <w:t>The identification of entities shall be made in a consistent way across the templates.</w:t>
            </w:r>
          </w:p>
          <w:p w14:paraId="7FE1B7DA" w14:textId="4204707F" w:rsidR="00CC0A94" w:rsidRPr="002F61BB" w:rsidRDefault="00CC0A94" w:rsidP="002F61BB">
            <w:pPr>
              <w:pStyle w:val="TableParagraph"/>
              <w:spacing w:before="108"/>
              <w:rPr>
                <w:rFonts w:ascii="Times New Roman" w:hAnsi="Times New Roman" w:cs="Times New Roman"/>
                <w:color w:val="000000" w:themeColor="text1"/>
                <w:sz w:val="20"/>
                <w:szCs w:val="20"/>
                <w:lang w:val="en-GB"/>
              </w:rPr>
            </w:pPr>
          </w:p>
        </w:tc>
      </w:tr>
      <w:tr w:rsidR="00CC0A94"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Group or individual</w:t>
            </w:r>
          </w:p>
          <w:p w14:paraId="4E4D0057" w14:textId="77777777" w:rsidR="00483AA9" w:rsidRDefault="006C1571">
            <w:pPr>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institution shall report</w:t>
            </w:r>
            <w:r w:rsidR="00483AA9">
              <w:rPr>
                <w:rFonts w:ascii="Times New Roman" w:eastAsia="Cambria" w:hAnsi="Times New Roman" w:cs="Times New Roman"/>
                <w:color w:val="000000" w:themeColor="text1"/>
                <w:spacing w:val="-2"/>
                <w:w w:val="95"/>
                <w:sz w:val="20"/>
                <w:szCs w:val="20"/>
                <w:lang w:val="en-GB"/>
              </w:rPr>
              <w:t>:</w:t>
            </w:r>
          </w:p>
          <w:p w14:paraId="0242F822" w14:textId="5242FFA2" w:rsidR="00483AA9" w:rsidRPr="002F61BB" w:rsidRDefault="00483AA9" w:rsidP="002F61BB">
            <w:pPr>
              <w:pStyle w:val="ListParagraph"/>
              <w:numPr>
                <w:ilvl w:val="0"/>
                <w:numId w:val="297"/>
              </w:numPr>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I</w:t>
            </w:r>
            <w:r w:rsidR="006C1571" w:rsidRPr="002F61BB">
              <w:rPr>
                <w:rFonts w:ascii="Times New Roman" w:eastAsia="Cambria" w:hAnsi="Times New Roman"/>
                <w:color w:val="000000" w:themeColor="text1"/>
                <w:spacing w:val="-2"/>
                <w:w w:val="95"/>
                <w:sz w:val="20"/>
                <w:szCs w:val="20"/>
              </w:rPr>
              <w:t>ndividual counterparties</w:t>
            </w:r>
          </w:p>
          <w:p w14:paraId="7FE1B7DE" w14:textId="6F55D54C" w:rsidR="00CC0A94" w:rsidRPr="002F61BB" w:rsidRDefault="00483AA9" w:rsidP="002F61BB">
            <w:pPr>
              <w:pStyle w:val="ListParagraph"/>
              <w:numPr>
                <w:ilvl w:val="0"/>
                <w:numId w:val="297"/>
              </w:numPr>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G</w:t>
            </w:r>
            <w:r w:rsidR="006C1571" w:rsidRPr="002F61BB">
              <w:rPr>
                <w:rFonts w:ascii="Times New Roman" w:eastAsia="Cambria" w:hAnsi="Times New Roman"/>
                <w:color w:val="000000" w:themeColor="text1"/>
                <w:spacing w:val="-2"/>
                <w:w w:val="95"/>
                <w:sz w:val="20"/>
                <w:szCs w:val="20"/>
              </w:rPr>
              <w:t>roups of connected clients.</w:t>
            </w:r>
          </w:p>
        </w:tc>
      </w:tr>
      <w:tr w:rsidR="00CC0A94"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Country</w:t>
            </w:r>
          </w:p>
          <w:p w14:paraId="7FE1B7E2" w14:textId="77777777" w:rsidR="00CC0A94" w:rsidRDefault="006C1571">
            <w:pPr>
              <w:spacing w:before="108"/>
              <w:ind w:left="85"/>
              <w:contextualSpacing/>
              <w:jc w:val="both"/>
              <w:rPr>
                <w:rFonts w:ascii="Times New Roman" w:eastAsia="Cambria" w:hAnsi="Times New Roman" w:cs="Times New Roman"/>
                <w:color w:val="000000" w:themeColor="text1"/>
                <w:spacing w:val="-2"/>
                <w:w w:val="95"/>
                <w:sz w:val="20"/>
                <w:szCs w:val="20"/>
              </w:rPr>
            </w:pPr>
            <w:r>
              <w:rPr>
                <w:rFonts w:ascii="Times New Roman" w:eastAsia="Cambria" w:hAnsi="Times New Roman" w:cs="Times New Roman"/>
                <w:color w:val="000000" w:themeColor="text1"/>
                <w:spacing w:val="-2"/>
                <w:w w:val="95"/>
                <w:sz w:val="20"/>
                <w:szCs w:val="20"/>
              </w:rPr>
              <w:t xml:space="preserve">The ISO 3166-1-alpha-2 code of the country of incorporation of the counterparty. This includes pseudo-ISO codes for international </w:t>
            </w:r>
            <w:proofErr w:type="spellStart"/>
            <w:r>
              <w:rPr>
                <w:rFonts w:ascii="Times New Roman" w:eastAsia="Cambria" w:hAnsi="Times New Roman" w:cs="Times New Roman"/>
                <w:color w:val="000000" w:themeColor="text1"/>
                <w:spacing w:val="-2"/>
                <w:w w:val="95"/>
                <w:sz w:val="20"/>
                <w:szCs w:val="20"/>
              </w:rPr>
              <w:t>organisations</w:t>
            </w:r>
            <w:proofErr w:type="spellEnd"/>
            <w:r>
              <w:rPr>
                <w:rFonts w:ascii="Times New Roman" w:eastAsia="Cambria" w:hAnsi="Times New Roman" w:cs="Times New Roman"/>
                <w:color w:val="000000" w:themeColor="text1"/>
                <w:spacing w:val="-2"/>
                <w:w w:val="95"/>
                <w:sz w:val="20"/>
                <w:szCs w:val="20"/>
              </w:rPr>
              <w:t xml:space="preserve">, available in the last edition of the Eurostat`s “Balance of Payments </w:t>
            </w:r>
            <w:proofErr w:type="spellStart"/>
            <w:r>
              <w:rPr>
                <w:rFonts w:ascii="Times New Roman" w:eastAsia="Cambria" w:hAnsi="Times New Roman" w:cs="Times New Roman"/>
                <w:color w:val="000000" w:themeColor="text1"/>
                <w:spacing w:val="-2"/>
                <w:w w:val="95"/>
                <w:sz w:val="20"/>
                <w:szCs w:val="20"/>
              </w:rPr>
              <w:t>Vademecum</w:t>
            </w:r>
            <w:proofErr w:type="spellEnd"/>
            <w:r>
              <w:rPr>
                <w:rFonts w:ascii="Times New Roman" w:eastAsia="Cambria" w:hAnsi="Times New Roman" w:cs="Times New Roman"/>
                <w:color w:val="000000" w:themeColor="text1"/>
                <w:spacing w:val="-2"/>
                <w:w w:val="95"/>
                <w:sz w:val="20"/>
                <w:szCs w:val="20"/>
              </w:rPr>
              <w:t xml:space="preserve">”. </w:t>
            </w:r>
          </w:p>
          <w:p w14:paraId="7FE1B7E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country is determined by reference to counterparty’s registered office. For groups of connected clients, the country of incorporation of the parent company. </w:t>
            </w:r>
          </w:p>
        </w:tc>
      </w:tr>
      <w:tr w:rsidR="00CC0A94"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Sector</w:t>
            </w:r>
          </w:p>
          <w:p w14:paraId="7FE1B7E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One sector shall be allocated to every counterparty </w:t>
            </w:r>
            <w:proofErr w:type="gramStart"/>
            <w:r>
              <w:rPr>
                <w:rFonts w:ascii="Times New Roman" w:eastAsia="Cambria" w:hAnsi="Times New Roman" w:cs="Times New Roman"/>
                <w:color w:val="000000" w:themeColor="text1"/>
                <w:spacing w:val="-2"/>
                <w:w w:val="95"/>
                <w:sz w:val="20"/>
                <w:szCs w:val="20"/>
                <w:lang w:val="en-GB"/>
              </w:rPr>
              <w:t>on the basis of</w:t>
            </w:r>
            <w:proofErr w:type="gramEnd"/>
            <w:r>
              <w:rPr>
                <w:rFonts w:ascii="Times New Roman" w:eastAsia="Cambria" w:hAnsi="Times New Roman" w:cs="Times New Roman"/>
                <w:color w:val="000000" w:themeColor="text1"/>
                <w:spacing w:val="-2"/>
                <w:w w:val="95"/>
                <w:sz w:val="20"/>
                <w:szCs w:val="20"/>
                <w:lang w:val="en-GB"/>
              </w:rPr>
              <w:t xml:space="preserve"> FINREP economic sector classes (FINREP, Annex V, Part 1, chapter 6):</w:t>
            </w:r>
          </w:p>
          <w:p w14:paraId="7FE1B7E8"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Central Banks</w:t>
            </w:r>
          </w:p>
          <w:p w14:paraId="7FE1B7E9"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General Governments</w:t>
            </w:r>
          </w:p>
          <w:p w14:paraId="7FE1B7EA"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Credit institutions: </w:t>
            </w:r>
          </w:p>
          <w:p w14:paraId="7FE1B7EB"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Other financial corporations</w:t>
            </w:r>
          </w:p>
          <w:p w14:paraId="7FE1B7EC"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Non-financial corporations</w:t>
            </w:r>
          </w:p>
          <w:p w14:paraId="7FE1B7ED"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Households</w:t>
            </w:r>
          </w:p>
          <w:p w14:paraId="7FE1B7E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For groups of connected clients, no sector shall be reported.</w:t>
            </w:r>
          </w:p>
        </w:tc>
      </w:tr>
      <w:tr w:rsidR="00CC0A94"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w:t>
            </w:r>
          </w:p>
          <w:p w14:paraId="7FE1B7F2" w14:textId="43CE2DD3" w:rsidR="00CC0A94" w:rsidRDefault="006C1571">
            <w:pPr>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liability type shall be one of the liability types listed in template Z 02.00 - Liability Structure (LIAB</w:t>
            </w:r>
            <w:r w:rsidR="003932C1">
              <w:rPr>
                <w:rFonts w:ascii="Times New Roman" w:eastAsia="Cambria" w:hAnsi="Times New Roman" w:cs="Times New Roman"/>
                <w:color w:val="000000" w:themeColor="text1"/>
                <w:spacing w:val="-2"/>
                <w:w w:val="95"/>
                <w:sz w:val="20"/>
                <w:szCs w:val="20"/>
                <w:lang w:val="en-GB"/>
              </w:rPr>
              <w:t xml:space="preserve"> 1</w:t>
            </w:r>
            <w:r>
              <w:rPr>
                <w:rFonts w:ascii="Times New Roman" w:eastAsia="Cambria" w:hAnsi="Times New Roman" w:cs="Times New Roman"/>
                <w:color w:val="000000" w:themeColor="text1"/>
                <w:spacing w:val="-2"/>
                <w:w w:val="95"/>
                <w:sz w:val="20"/>
                <w:szCs w:val="20"/>
                <w:lang w:val="en-GB"/>
              </w:rPr>
              <w:t>), namely:</w:t>
            </w:r>
          </w:p>
          <w:p w14:paraId="7FE1B7F3" w14:textId="4AE4B095"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Liabilities excluded from bail-</w:t>
            </w:r>
            <w:proofErr w:type="gramStart"/>
            <w:r w:rsidRPr="002F61BB">
              <w:rPr>
                <w:rFonts w:ascii="Times New Roman" w:eastAsia="Cambria" w:hAnsi="Times New Roman"/>
                <w:color w:val="000000" w:themeColor="text1"/>
                <w:spacing w:val="-2"/>
                <w:w w:val="95"/>
                <w:sz w:val="20"/>
                <w:szCs w:val="20"/>
              </w:rPr>
              <w:t>in;</w:t>
            </w:r>
            <w:proofErr w:type="gramEnd"/>
          </w:p>
          <w:p w14:paraId="7FE1B7F4" w14:textId="4257143A"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 xml:space="preserve">Deposits, not covered but </w:t>
            </w:r>
            <w:proofErr w:type="gramStart"/>
            <w:r w:rsidRPr="002F61BB">
              <w:rPr>
                <w:rFonts w:ascii="Times New Roman" w:eastAsia="Cambria" w:hAnsi="Times New Roman"/>
                <w:color w:val="000000" w:themeColor="text1"/>
                <w:spacing w:val="-2"/>
                <w:w w:val="95"/>
                <w:sz w:val="20"/>
                <w:szCs w:val="20"/>
              </w:rPr>
              <w:t>preferential;</w:t>
            </w:r>
            <w:proofErr w:type="gramEnd"/>
          </w:p>
          <w:p w14:paraId="7FE1B7F5" w14:textId="21AFD595"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 xml:space="preserve">Deposits, not covered and not </w:t>
            </w:r>
            <w:proofErr w:type="gramStart"/>
            <w:r w:rsidRPr="002F61BB">
              <w:rPr>
                <w:rFonts w:ascii="Times New Roman" w:eastAsia="Cambria" w:hAnsi="Times New Roman"/>
                <w:color w:val="000000" w:themeColor="text1"/>
                <w:spacing w:val="-2"/>
                <w:w w:val="95"/>
                <w:sz w:val="20"/>
                <w:szCs w:val="20"/>
              </w:rPr>
              <w:t>preferential;</w:t>
            </w:r>
            <w:proofErr w:type="gramEnd"/>
          </w:p>
          <w:p w14:paraId="7FE1B7F6" w14:textId="71A166CE"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Liabilities arising from derivatives</w:t>
            </w:r>
          </w:p>
          <w:p w14:paraId="7FE1B7F7" w14:textId="57F1D715"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Uncollateralized secured liabilities</w:t>
            </w:r>
          </w:p>
          <w:p w14:paraId="7FE1B7F8" w14:textId="73D53058"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Structured notes</w:t>
            </w:r>
          </w:p>
          <w:p w14:paraId="7FE1B7F9" w14:textId="54AC9980"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lastRenderedPageBreak/>
              <w:t>Senior unsecured liabilities</w:t>
            </w:r>
          </w:p>
          <w:p w14:paraId="7FE1B7FA" w14:textId="7C89B550" w:rsidR="00CC0A94" w:rsidRPr="002F61BB" w:rsidRDefault="00483AA9"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N</w:t>
            </w:r>
            <w:r w:rsidR="006C1571" w:rsidRPr="002F61BB">
              <w:rPr>
                <w:rFonts w:ascii="Times New Roman" w:eastAsia="Cambria" w:hAnsi="Times New Roman"/>
                <w:color w:val="000000" w:themeColor="text1"/>
                <w:spacing w:val="-2"/>
                <w:w w:val="95"/>
                <w:sz w:val="20"/>
                <w:szCs w:val="20"/>
              </w:rPr>
              <w:t>on-preferred senior liabilities</w:t>
            </w:r>
          </w:p>
          <w:p w14:paraId="7FE1B7FB" w14:textId="49FDBAE5"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Subordinated liabilities (not recognised as own funds)</w:t>
            </w:r>
          </w:p>
          <w:p w14:paraId="7FE1B7FC" w14:textId="25F7AE59"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Other MREL eligible liabilities</w:t>
            </w:r>
          </w:p>
          <w:p w14:paraId="7FE1B7FD" w14:textId="29E846ED"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Non-financial liabilities</w:t>
            </w:r>
          </w:p>
          <w:p w14:paraId="7FE1B7FE" w14:textId="4EF5CD96"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Residual liabilities</w:t>
            </w:r>
          </w:p>
          <w:p w14:paraId="7FE1B7FF" w14:textId="77777777" w:rsidR="00CC0A94" w:rsidRDefault="006C1571">
            <w:pPr>
              <w:pStyle w:val="TableParagraph"/>
              <w:spacing w:before="108"/>
              <w:ind w:left="85"/>
              <w:jc w:val="both"/>
              <w:rPr>
                <w:rFonts w:ascii="Times New Roman" w:hAnsi="Times New Roman" w:cs="Times New Roman"/>
                <w:color w:val="000000" w:themeColor="text1"/>
                <w:w w:val="95"/>
                <w:sz w:val="20"/>
                <w:szCs w:val="20"/>
                <w:lang w:val="en-GB"/>
              </w:rPr>
            </w:pPr>
            <w:r>
              <w:rPr>
                <w:rFonts w:ascii="Times New Roman" w:eastAsia="Cambria" w:hAnsi="Times New Roman" w:cs="Times New Roman"/>
                <w:color w:val="000000" w:themeColor="text1"/>
                <w:spacing w:val="-2"/>
                <w:w w:val="95"/>
                <w:sz w:val="20"/>
                <w:szCs w:val="20"/>
                <w:lang w:val="en-GB"/>
              </w:rPr>
              <w:t>If the liabilities towards a major counterparty consist of more than one of the types mentioned above, each liability type shall be reported in a separate row.</w:t>
            </w:r>
          </w:p>
        </w:tc>
      </w:tr>
      <w:tr w:rsidR="00CC0A94"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Amount</w:t>
            </w:r>
          </w:p>
          <w:p w14:paraId="7FE1B803" w14:textId="46DCC504"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shall be equivalent to the definition of an ‘outstanding amount’ as prescribed for in template Z 02.00 - Liability Structure. In case of liabilities arising from derivatives, the close-out amounts as defined for the purposes of row 0333 template Z 02.00</w:t>
            </w:r>
            <w:r w:rsidR="000B3ECD">
              <w:rPr>
                <w:rFonts w:ascii="Times New Roman" w:eastAsia="Cambria" w:hAnsi="Times New Roman" w:cs="Times New Roman"/>
                <w:color w:val="000000" w:themeColor="text1"/>
                <w:spacing w:val="-2"/>
                <w:w w:val="95"/>
                <w:sz w:val="20"/>
                <w:szCs w:val="20"/>
                <w:lang w:val="en-GB"/>
              </w:rPr>
              <w:t xml:space="preserve"> (LIAB 1)</w:t>
            </w:r>
            <w:r>
              <w:rPr>
                <w:rFonts w:ascii="Times New Roman" w:eastAsia="Cambria" w:hAnsi="Times New Roman" w:cs="Times New Roman"/>
                <w:color w:val="000000" w:themeColor="text1"/>
                <w:spacing w:val="-2"/>
                <w:w w:val="95"/>
                <w:sz w:val="20"/>
                <w:szCs w:val="20"/>
                <w:lang w:val="en-GB"/>
              </w:rPr>
              <w:t xml:space="preserve"> shall be reported.</w:t>
            </w:r>
          </w:p>
        </w:tc>
      </w:tr>
    </w:tbl>
    <w:p w14:paraId="7FE1B805" w14:textId="77777777" w:rsidR="00CC0A94" w:rsidRDefault="00CC0A94">
      <w:pPr>
        <w:pStyle w:val="body"/>
        <w:rPr>
          <w:rFonts w:ascii="Times New Roman" w:hAnsi="Times New Roman" w:cs="Times New Roman"/>
          <w:color w:val="000000" w:themeColor="text1"/>
          <w:sz w:val="20"/>
          <w:szCs w:val="20"/>
          <w:lang w:val="en-GB"/>
        </w:rPr>
      </w:pPr>
    </w:p>
    <w:p w14:paraId="7FE1B806" w14:textId="1E7EF5E9" w:rsidR="00CC0A94" w:rsidRDefault="006C1571">
      <w:pPr>
        <w:pStyle w:val="Instructionsberschrift2"/>
        <w:numPr>
          <w:ilvl w:val="1"/>
          <w:numId w:val="49"/>
        </w:numPr>
        <w:ind w:left="357" w:hanging="357"/>
        <w:rPr>
          <w:rFonts w:ascii="Times New Roman" w:hAnsi="Times New Roman" w:cs="Times New Roman"/>
        </w:rPr>
      </w:pPr>
      <w:bookmarkStart w:id="71" w:name="_Toc192249046"/>
      <w:bookmarkStart w:id="72" w:name="_Toc81454185"/>
      <w:r>
        <w:rPr>
          <w:rFonts w:ascii="Times New Roman" w:hAnsi="Times New Roman" w:cs="Times New Roman"/>
        </w:rPr>
        <w:t>Z 05.02 – Major off-balance sheet counterparties (LIAB 6)</w:t>
      </w:r>
      <w:bookmarkEnd w:id="71"/>
    </w:p>
    <w:p w14:paraId="7FE1B807" w14:textId="77777777" w:rsidR="00CC0A94" w:rsidRDefault="006C1571" w:rsidP="002F61BB">
      <w:pPr>
        <w:pStyle w:val="body"/>
      </w:pPr>
      <w:r>
        <w:rPr>
          <w:u w:val="single"/>
        </w:rPr>
        <w:t>Instructions concerning specific positions</w:t>
      </w:r>
      <w:bookmarkEnd w:id="72"/>
    </w:p>
    <w:p w14:paraId="7FE1B808"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The combination of values reported in columns 0020 and 0060 of this template forms a primary key which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be unique for each row of the template.</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CC0A94" w14:paraId="7FE1B80B" w14:textId="77777777" w:rsidTr="002F61BB">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Counterparty</w:t>
            </w:r>
          </w:p>
          <w:p w14:paraId="7FE1B80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Information on the major off-balance sheet counterparties.</w:t>
            </w:r>
          </w:p>
          <w:p w14:paraId="7FE1B80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Major off-balance sheet counterparties shall be identified by summing up the total nominal </w:t>
            </w:r>
            <w:proofErr w:type="gramStart"/>
            <w:r>
              <w:rPr>
                <w:rFonts w:ascii="Times New Roman" w:eastAsia="Cambria" w:hAnsi="Times New Roman" w:cs="Times New Roman"/>
                <w:color w:val="000000" w:themeColor="text1"/>
                <w:spacing w:val="-2"/>
                <w:w w:val="95"/>
                <w:sz w:val="20"/>
                <w:szCs w:val="20"/>
                <w:lang w:val="en-GB"/>
              </w:rPr>
              <w:t>amount</w:t>
            </w:r>
            <w:proofErr w:type="gramEnd"/>
            <w:r>
              <w:rPr>
                <w:rFonts w:ascii="Times New Roman" w:eastAsia="Cambria" w:hAnsi="Times New Roman" w:cs="Times New Roman"/>
                <w:color w:val="000000" w:themeColor="text1"/>
                <w:spacing w:val="-2"/>
                <w:w w:val="95"/>
                <w:sz w:val="20"/>
                <w:szCs w:val="20"/>
                <w:lang w:val="en-GB"/>
              </w:rPr>
              <w:t xml:space="preserve"> of commitments and financial guarantees received (as defined for the purposes of FINREP, template F 09) by the entity or group entities for which the template is reported from counterparties or group of connected clients. Major off-balance sheet counterparties shall exclude entities included in the consolidated financial statements of the group. The counterparties and groups of connected clients are then ranked by aggregate amount </w:t>
            </w:r>
            <w:proofErr w:type="gramStart"/>
            <w:r>
              <w:rPr>
                <w:rFonts w:ascii="Times New Roman" w:eastAsia="Cambria" w:hAnsi="Times New Roman" w:cs="Times New Roman"/>
                <w:color w:val="000000" w:themeColor="text1"/>
                <w:spacing w:val="-2"/>
                <w:w w:val="95"/>
                <w:sz w:val="20"/>
                <w:szCs w:val="20"/>
                <w:lang w:val="en-GB"/>
              </w:rPr>
              <w:t>in order to</w:t>
            </w:r>
            <w:proofErr w:type="gramEnd"/>
            <w:r>
              <w:rPr>
                <w:rFonts w:ascii="Times New Roman" w:eastAsia="Cambria" w:hAnsi="Times New Roman" w:cs="Times New Roman"/>
                <w:color w:val="000000" w:themeColor="text1"/>
                <w:spacing w:val="-2"/>
                <w:w w:val="95"/>
                <w:sz w:val="20"/>
                <w:szCs w:val="20"/>
                <w:lang w:val="en-GB"/>
              </w:rPr>
              <w:t xml:space="preserve"> identify the top 10 major off-balance sheet counterparties, on which information shall be provided in this template.</w:t>
            </w:r>
          </w:p>
          <w:p w14:paraId="7FE1B810" w14:textId="0F5F36E1" w:rsidR="00CC0A94" w:rsidRPr="002F61BB" w:rsidRDefault="006C1571" w:rsidP="002F61BB">
            <w:pPr>
              <w:spacing w:line="257" w:lineRule="auto"/>
              <w:ind w:left="25"/>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 xml:space="preserve">Derivatives </w:t>
            </w:r>
            <w:r>
              <w:rPr>
                <w:rFonts w:ascii="Times New Roman" w:eastAsia="Cambria" w:hAnsi="Times New Roman" w:cs="Times New Roman"/>
                <w:color w:val="000000" w:themeColor="text1"/>
                <w:spacing w:val="-2"/>
                <w:w w:val="95"/>
                <w:sz w:val="20"/>
                <w:szCs w:val="20"/>
                <w:lang w:val="en-GB"/>
              </w:rPr>
              <w:t>are</w:t>
            </w:r>
            <w:r w:rsidRPr="002F61BB">
              <w:rPr>
                <w:rFonts w:ascii="Times New Roman" w:eastAsia="Cambria" w:hAnsi="Times New Roman" w:cs="Times New Roman"/>
                <w:color w:val="000000" w:themeColor="text1"/>
                <w:spacing w:val="-2"/>
                <w:w w:val="95"/>
                <w:sz w:val="20"/>
                <w:szCs w:val="20"/>
                <w:lang w:val="en-GB"/>
              </w:rPr>
              <w:t xml:space="preserve"> not </w:t>
            </w:r>
            <w:r>
              <w:rPr>
                <w:rFonts w:ascii="Times New Roman" w:eastAsia="Cambria" w:hAnsi="Times New Roman" w:cs="Times New Roman"/>
                <w:color w:val="000000" w:themeColor="text1"/>
                <w:spacing w:val="-2"/>
                <w:w w:val="95"/>
                <w:sz w:val="20"/>
                <w:szCs w:val="20"/>
                <w:lang w:val="en-GB"/>
              </w:rPr>
              <w:t xml:space="preserve">to </w:t>
            </w:r>
            <w:r w:rsidRPr="002F61BB">
              <w:rPr>
                <w:rFonts w:ascii="Times New Roman" w:eastAsia="Cambria" w:hAnsi="Times New Roman" w:cs="Times New Roman"/>
                <w:color w:val="000000" w:themeColor="text1"/>
                <w:spacing w:val="-2"/>
                <w:w w:val="95"/>
                <w:sz w:val="20"/>
                <w:szCs w:val="20"/>
                <w:lang w:val="en-GB"/>
              </w:rPr>
              <w:t>be included in the top ten rank described above:</w:t>
            </w:r>
            <w:r>
              <w:rPr>
                <w:rFonts w:ascii="Times New Roman" w:eastAsia="Cambria" w:hAnsi="Times New Roman" w:cs="Times New Roman"/>
                <w:color w:val="000000" w:themeColor="text1"/>
                <w:spacing w:val="-2"/>
                <w:w w:val="95"/>
                <w:sz w:val="20"/>
                <w:szCs w:val="20"/>
                <w:lang w:val="en-GB"/>
              </w:rPr>
              <w:t xml:space="preserve"> report</w:t>
            </w:r>
            <w:r w:rsidRPr="002F61BB">
              <w:rPr>
                <w:rFonts w:ascii="Times New Roman" w:eastAsia="Cambria" w:hAnsi="Times New Roman" w:cs="Times New Roman"/>
                <w:color w:val="000000" w:themeColor="text1"/>
                <w:spacing w:val="-2"/>
                <w:w w:val="95"/>
                <w:sz w:val="20"/>
                <w:szCs w:val="20"/>
                <w:lang w:val="en-GB"/>
              </w:rPr>
              <w:t xml:space="preserve"> a separate list of the top 5 off-balance sheet derivatives counterparties here to avoid the Z 05.02 report containing only derivative balances.</w:t>
            </w:r>
          </w:p>
          <w:p w14:paraId="7FE1B812" w14:textId="5E923404" w:rsidR="00CC0A94" w:rsidRDefault="00CC0A94" w:rsidP="002F61BB">
            <w:pPr>
              <w:pStyle w:val="TableParagraph"/>
              <w:spacing w:before="108"/>
              <w:jc w:val="both"/>
              <w:rPr>
                <w:rFonts w:ascii="Times New Roman" w:eastAsia="Cambria" w:hAnsi="Times New Roman" w:cs="Times New Roman"/>
                <w:color w:val="000000" w:themeColor="text1"/>
                <w:spacing w:val="-2"/>
                <w:w w:val="95"/>
                <w:sz w:val="20"/>
                <w:szCs w:val="20"/>
                <w:lang w:val="en-GB"/>
              </w:rPr>
            </w:pPr>
          </w:p>
        </w:tc>
      </w:tr>
      <w:tr w:rsidR="00CC0A94"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B816" w14:textId="77777777" w:rsidR="00CC0A94" w:rsidRDefault="006C1571">
            <w:pPr>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major counterparty or, where applicable, name of a group of connected clients.</w:t>
            </w:r>
          </w:p>
          <w:p w14:paraId="7FE1B817" w14:textId="29E2618F"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name of a group of connected clients shall be the name of the parent company or, when the group of connected clients does not have a parent, the group’s commercial name.</w:t>
            </w:r>
          </w:p>
        </w:tc>
      </w:tr>
      <w:tr w:rsidR="00CC0A94"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7FE1B81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of the major counterparty or group of connected clients. For institutions the code shall be the 20-digit, alphanumeric LEI code. For other entities the code shall be the 20-digit, alphanumeric LEI code, or if not available a code under a uniform codification applicable in the Union, or if not available a national code.</w:t>
            </w:r>
          </w:p>
          <w:p w14:paraId="7FE1B81C" w14:textId="6CC57833"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shall be unique and used consistently across the templates.</w:t>
            </w:r>
          </w:p>
        </w:tc>
      </w:tr>
      <w:tr w:rsidR="00CC0A94"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7FE1B821" w14:textId="6020ACA4" w:rsidR="00CC0A94" w:rsidRDefault="00235542">
            <w:pPr>
              <w:pStyle w:val="TableParagraph"/>
              <w:spacing w:before="108"/>
              <w:rPr>
                <w:rFonts w:ascii="Times New Roman" w:hAnsi="Times New Roman" w:cs="Times New Roman"/>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proofErr w:type="gramStart"/>
            <w:r>
              <w:rPr>
                <w:rFonts w:ascii="Times New Roman" w:hAnsi="Times New Roman" w:cs="Times New Roman"/>
                <w:bCs/>
                <w:color w:val="000000" w:themeColor="text1"/>
                <w:sz w:val="20"/>
                <w:szCs w:val="20"/>
                <w:lang w:val="en-GB"/>
              </w:rPr>
              <w:t>”</w:t>
            </w:r>
            <w:r w:rsidRPr="00F076D7">
              <w:rPr>
                <w:rFonts w:ascii="Times New Roman" w:hAnsi="Times New Roman" w:cs="Times New Roman"/>
                <w:bCs/>
                <w:color w:val="000000" w:themeColor="text1"/>
                <w:sz w:val="20"/>
                <w:szCs w:val="20"/>
                <w:lang w:val="en-GB"/>
              </w:rPr>
              <w:t>.</w:t>
            </w:r>
            <w:r w:rsidR="006C1571">
              <w:rPr>
                <w:rFonts w:ascii="Times New Roman" w:eastAsia="Cambria" w:hAnsi="Times New Roman" w:cs="Times New Roman"/>
                <w:color w:val="000000" w:themeColor="text1"/>
                <w:spacing w:val="-2"/>
                <w:w w:val="95"/>
                <w:sz w:val="20"/>
                <w:szCs w:val="20"/>
                <w:lang w:val="en-GB"/>
              </w:rPr>
              <w:t>.</w:t>
            </w:r>
            <w:proofErr w:type="gramEnd"/>
          </w:p>
          <w:p w14:paraId="7FE1B82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The identification of entities shall be made in a consistent way across the templates.</w:t>
            </w:r>
          </w:p>
        </w:tc>
      </w:tr>
      <w:tr w:rsidR="00CC0A94"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Group or individual</w:t>
            </w:r>
          </w:p>
          <w:p w14:paraId="2E0A09DE" w14:textId="77777777" w:rsidR="000D2CC5" w:rsidRDefault="000D2CC5" w:rsidP="000D2CC5">
            <w:pPr>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institution shall report:</w:t>
            </w:r>
          </w:p>
          <w:p w14:paraId="52295733" w14:textId="77777777" w:rsidR="000D2CC5" w:rsidRPr="00F076D7" w:rsidRDefault="000D2CC5" w:rsidP="000D2CC5">
            <w:pPr>
              <w:pStyle w:val="ListParagraph"/>
              <w:numPr>
                <w:ilvl w:val="0"/>
                <w:numId w:val="297"/>
              </w:numPr>
              <w:rPr>
                <w:rFonts w:ascii="Times New Roman" w:eastAsia="Cambria" w:hAnsi="Times New Roman"/>
                <w:color w:val="000000" w:themeColor="text1"/>
                <w:spacing w:val="-2"/>
                <w:w w:val="95"/>
                <w:sz w:val="20"/>
                <w:szCs w:val="20"/>
              </w:rPr>
            </w:pPr>
            <w:r w:rsidRPr="00F076D7">
              <w:rPr>
                <w:rFonts w:ascii="Times New Roman" w:eastAsia="Cambria" w:hAnsi="Times New Roman"/>
                <w:color w:val="000000" w:themeColor="text1"/>
                <w:spacing w:val="-2"/>
                <w:w w:val="95"/>
                <w:sz w:val="20"/>
                <w:szCs w:val="20"/>
              </w:rPr>
              <w:t>Individual counterparties</w:t>
            </w:r>
          </w:p>
          <w:p w14:paraId="7FE1B826" w14:textId="76B98F2C" w:rsidR="00CC0A94" w:rsidRDefault="000D2CC5" w:rsidP="002F61BB">
            <w:pPr>
              <w:pStyle w:val="TableParagraph"/>
              <w:numPr>
                <w:ilvl w:val="0"/>
                <w:numId w:val="297"/>
              </w:numPr>
              <w:spacing w:before="108"/>
              <w:jc w:val="both"/>
              <w:rPr>
                <w:rFonts w:ascii="Times New Roman" w:eastAsia="Cambria" w:hAnsi="Times New Roman" w:cs="Times New Roman"/>
                <w:color w:val="000000" w:themeColor="text1"/>
                <w:spacing w:val="-2"/>
                <w:w w:val="95"/>
                <w:sz w:val="20"/>
                <w:szCs w:val="20"/>
                <w:lang w:val="en-GB"/>
              </w:rPr>
            </w:pPr>
            <w:r w:rsidRPr="00F076D7">
              <w:rPr>
                <w:rFonts w:ascii="Times New Roman" w:eastAsia="Cambria" w:hAnsi="Times New Roman" w:cs="Times New Roman"/>
                <w:color w:val="000000" w:themeColor="text1"/>
                <w:spacing w:val="-2"/>
                <w:w w:val="95"/>
                <w:sz w:val="20"/>
                <w:szCs w:val="20"/>
                <w:lang w:val="en-GB"/>
              </w:rPr>
              <w:t>Groups of connected clients</w:t>
            </w:r>
            <w:r w:rsidR="006C1571">
              <w:rPr>
                <w:rFonts w:ascii="Times New Roman" w:eastAsia="Cambria" w:hAnsi="Times New Roman" w:cs="Times New Roman"/>
                <w:color w:val="000000" w:themeColor="text1"/>
                <w:spacing w:val="-2"/>
                <w:w w:val="95"/>
                <w:sz w:val="20"/>
                <w:szCs w:val="20"/>
                <w:lang w:val="en-GB"/>
              </w:rPr>
              <w:t>.</w:t>
            </w:r>
          </w:p>
        </w:tc>
      </w:tr>
      <w:tr w:rsidR="00CC0A94"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Country</w:t>
            </w:r>
          </w:p>
          <w:p w14:paraId="7FE1B82A" w14:textId="77777777" w:rsidR="00CC0A94" w:rsidRDefault="006C1571">
            <w:pPr>
              <w:spacing w:before="108"/>
              <w:ind w:left="85"/>
              <w:contextualSpacing/>
              <w:jc w:val="both"/>
              <w:rPr>
                <w:rFonts w:ascii="Times New Roman" w:eastAsia="Cambria" w:hAnsi="Times New Roman" w:cs="Times New Roman"/>
                <w:color w:val="000000" w:themeColor="text1"/>
                <w:spacing w:val="-2"/>
                <w:w w:val="95"/>
                <w:sz w:val="20"/>
                <w:szCs w:val="20"/>
              </w:rPr>
            </w:pPr>
            <w:r>
              <w:rPr>
                <w:rFonts w:ascii="Times New Roman" w:eastAsia="Cambria" w:hAnsi="Times New Roman" w:cs="Times New Roman"/>
                <w:color w:val="000000" w:themeColor="text1"/>
                <w:sz w:val="20"/>
                <w:szCs w:val="20"/>
              </w:rPr>
              <w:t xml:space="preserve">The ISO 3166-1-alpha-2 code of the country of incorporation of the counterparty. This includes pseudo-ISO codes for international </w:t>
            </w:r>
            <w:proofErr w:type="spellStart"/>
            <w:r>
              <w:rPr>
                <w:rFonts w:ascii="Times New Roman" w:eastAsia="Cambria" w:hAnsi="Times New Roman" w:cs="Times New Roman"/>
                <w:color w:val="000000" w:themeColor="text1"/>
                <w:sz w:val="20"/>
                <w:szCs w:val="20"/>
              </w:rPr>
              <w:t>organisations</w:t>
            </w:r>
            <w:proofErr w:type="spellEnd"/>
            <w:r>
              <w:rPr>
                <w:rFonts w:ascii="Times New Roman" w:eastAsia="Cambria" w:hAnsi="Times New Roman" w:cs="Times New Roman"/>
                <w:color w:val="000000" w:themeColor="text1"/>
                <w:sz w:val="20"/>
                <w:szCs w:val="20"/>
              </w:rPr>
              <w:t xml:space="preserve">, available in the last edition of the Eurostat`s “Balance of Payments </w:t>
            </w:r>
            <w:proofErr w:type="spellStart"/>
            <w:r>
              <w:rPr>
                <w:rFonts w:ascii="Times New Roman" w:eastAsia="Cambria" w:hAnsi="Times New Roman" w:cs="Times New Roman"/>
                <w:color w:val="000000" w:themeColor="text1"/>
                <w:sz w:val="20"/>
                <w:szCs w:val="20"/>
              </w:rPr>
              <w:t>Vademecum</w:t>
            </w:r>
            <w:proofErr w:type="spellEnd"/>
            <w:r>
              <w:rPr>
                <w:rFonts w:ascii="Times New Roman" w:eastAsia="Cambria" w:hAnsi="Times New Roman" w:cs="Times New Roman"/>
                <w:color w:val="000000" w:themeColor="text1"/>
                <w:sz w:val="20"/>
                <w:szCs w:val="20"/>
              </w:rPr>
              <w:t xml:space="preserve">”. </w:t>
            </w:r>
          </w:p>
          <w:p w14:paraId="7FE1B82B" w14:textId="47B683FE"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country is determined by reference to counterparty’s registered office. For groups of connected clients, the country of incorporation of the parent company.</w:t>
            </w:r>
          </w:p>
        </w:tc>
      </w:tr>
      <w:tr w:rsidR="00CC0A94"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Sector</w:t>
            </w:r>
          </w:p>
          <w:p w14:paraId="7FE1B82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One sector shall be allocated to every counterparty </w:t>
            </w:r>
            <w:proofErr w:type="gramStart"/>
            <w:r>
              <w:rPr>
                <w:rFonts w:ascii="Times New Roman" w:eastAsia="Cambria" w:hAnsi="Times New Roman" w:cs="Times New Roman"/>
                <w:color w:val="000000" w:themeColor="text1"/>
                <w:spacing w:val="-2"/>
                <w:w w:val="95"/>
                <w:sz w:val="20"/>
                <w:szCs w:val="20"/>
                <w:lang w:val="en-GB"/>
              </w:rPr>
              <w:t>on the basis of</w:t>
            </w:r>
            <w:proofErr w:type="gramEnd"/>
            <w:r>
              <w:rPr>
                <w:rFonts w:ascii="Times New Roman" w:eastAsia="Cambria" w:hAnsi="Times New Roman" w:cs="Times New Roman"/>
                <w:color w:val="000000" w:themeColor="text1"/>
                <w:spacing w:val="-2"/>
                <w:w w:val="95"/>
                <w:sz w:val="20"/>
                <w:szCs w:val="20"/>
                <w:lang w:val="en-GB"/>
              </w:rPr>
              <w:t xml:space="preserve"> FINREP economic sector classes (FINREP, Annex V, Part 1, chapter 6):</w:t>
            </w:r>
          </w:p>
          <w:p w14:paraId="7FE1B830"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Central Banks</w:t>
            </w:r>
          </w:p>
          <w:p w14:paraId="7FE1B831"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General Governments</w:t>
            </w:r>
          </w:p>
          <w:p w14:paraId="7FE1B832"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Credit institutions: </w:t>
            </w:r>
          </w:p>
          <w:p w14:paraId="7FE1B833"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Other financial corporations</w:t>
            </w:r>
          </w:p>
          <w:p w14:paraId="7FE1B834"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Non-financial corporations</w:t>
            </w:r>
          </w:p>
          <w:p w14:paraId="7FE1B835"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Households</w:t>
            </w:r>
          </w:p>
          <w:p w14:paraId="7FE1B836" w14:textId="3FF28E9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For groups of connected clients, no sector shall be reported.</w:t>
            </w:r>
          </w:p>
        </w:tc>
      </w:tr>
      <w:tr w:rsidR="00CC0A94"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w:t>
            </w:r>
          </w:p>
          <w:p w14:paraId="7FE1B83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type of off-balance sheet exposure shall be one of the following as defined in FINREP, template F 09.02:</w:t>
            </w:r>
          </w:p>
          <w:p w14:paraId="7FE1B83B" w14:textId="57556FED" w:rsidR="00CC0A94" w:rsidRDefault="006C1571" w:rsidP="002F61BB">
            <w:pPr>
              <w:pStyle w:val="TableParagraph"/>
              <w:numPr>
                <w:ilvl w:val="0"/>
                <w:numId w:val="299"/>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Loan commitments received</w:t>
            </w:r>
          </w:p>
          <w:p w14:paraId="7FE1B83C" w14:textId="03B3C9F7" w:rsidR="00CC0A94" w:rsidRDefault="006C1571" w:rsidP="002F61BB">
            <w:pPr>
              <w:pStyle w:val="TableParagraph"/>
              <w:numPr>
                <w:ilvl w:val="0"/>
                <w:numId w:val="299"/>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Financial guarantees received</w:t>
            </w:r>
          </w:p>
          <w:p w14:paraId="7FE1B83D" w14:textId="2357CDAB" w:rsidR="00CC0A94" w:rsidRDefault="006C1571" w:rsidP="002F61BB">
            <w:pPr>
              <w:pStyle w:val="TableParagraph"/>
              <w:numPr>
                <w:ilvl w:val="0"/>
                <w:numId w:val="299"/>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Other commitments received</w:t>
            </w:r>
          </w:p>
          <w:p w14:paraId="7FE1B83E" w14:textId="7A79D0CA" w:rsidR="00CC0A94" w:rsidRDefault="006C1571" w:rsidP="002F61BB">
            <w:pPr>
              <w:pStyle w:val="TableParagraph"/>
              <w:numPr>
                <w:ilvl w:val="0"/>
                <w:numId w:val="299"/>
              </w:numPr>
              <w:spacing w:before="108"/>
              <w:jc w:val="both"/>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Derivatives</w:t>
            </w:r>
          </w:p>
          <w:p w14:paraId="7FE1B83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If the off-balance sheet items received from a major counterparty consist of more than one of the types mentioned above, each type of off-balance sheet item shall be reported in a separate row.</w:t>
            </w:r>
          </w:p>
        </w:tc>
      </w:tr>
      <w:tr w:rsidR="00CC0A94"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Amount </w:t>
            </w:r>
          </w:p>
          <w:p w14:paraId="7FE1B843" w14:textId="7853FDD0"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shall be equivalent to the definition of an ‘outstanding amount’ as prescribed for in </w:t>
            </w:r>
            <w:r w:rsidR="003932C1">
              <w:rPr>
                <w:rFonts w:ascii="Times New Roman" w:eastAsia="Cambria" w:hAnsi="Times New Roman" w:cs="Times New Roman"/>
                <w:color w:val="000000" w:themeColor="text1"/>
                <w:spacing w:val="-2"/>
                <w:w w:val="95"/>
                <w:sz w:val="20"/>
                <w:szCs w:val="20"/>
                <w:lang w:val="en-GB"/>
              </w:rPr>
              <w:t>FINREP F 09.02</w:t>
            </w:r>
            <w:r>
              <w:rPr>
                <w:rFonts w:ascii="Times New Roman" w:eastAsia="Cambria" w:hAnsi="Times New Roman" w:cs="Times New Roman"/>
                <w:color w:val="000000" w:themeColor="text1"/>
                <w:spacing w:val="-2"/>
                <w:w w:val="95"/>
                <w:sz w:val="20"/>
                <w:szCs w:val="20"/>
                <w:lang w:val="en-GB"/>
              </w:rPr>
              <w:t>. In case of liabilities arising from derivatives, the close-out amounts as defined for the purposes of row 0333 template Z 02.00 shall be reported.</w:t>
            </w:r>
          </w:p>
        </w:tc>
      </w:tr>
    </w:tbl>
    <w:p w14:paraId="7FE1B845" w14:textId="77777777" w:rsidR="00CC0A94" w:rsidRDefault="00CC0A94">
      <w:pPr>
        <w:rPr>
          <w:rFonts w:ascii="Times New Roman" w:hAnsi="Times New Roman" w:cs="Times New Roman"/>
          <w:color w:val="000000" w:themeColor="text1"/>
          <w:sz w:val="20"/>
          <w:szCs w:val="20"/>
          <w:lang w:val="en-GB"/>
        </w:rPr>
      </w:pPr>
    </w:p>
    <w:p w14:paraId="7FE1B846" w14:textId="77777777" w:rsidR="00CC0A94" w:rsidRPr="002F61BB" w:rsidRDefault="00CC0A94">
      <w:pPr>
        <w:rPr>
          <w:rFonts w:ascii="Times New Roman" w:eastAsia="MS Mincho" w:hAnsi="Times New Roman" w:cs="Times New Roman"/>
          <w:color w:val="000000" w:themeColor="text1"/>
          <w:sz w:val="20"/>
          <w:szCs w:val="20"/>
          <w:lang w:val="en-GB"/>
        </w:rPr>
      </w:pPr>
    </w:p>
    <w:p w14:paraId="7FE1B849" w14:textId="5330C525" w:rsidR="00CC0A94" w:rsidRDefault="006C1571">
      <w:pPr>
        <w:pStyle w:val="Instructionsberschrift2"/>
        <w:numPr>
          <w:ilvl w:val="1"/>
          <w:numId w:val="49"/>
        </w:numPr>
        <w:ind w:left="357" w:hanging="357"/>
        <w:rPr>
          <w:rFonts w:ascii="Times New Roman" w:hAnsi="Times New Roman" w:cs="Times New Roman"/>
        </w:rPr>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19224904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cs="Times New Roman"/>
        </w:rPr>
        <w:t>Z 06.00 - Deposit insurance (LIAB 7)</w:t>
      </w:r>
      <w:bookmarkEnd w:id="95"/>
      <w:bookmarkEnd w:id="96"/>
      <w:bookmarkEnd w:id="97"/>
      <w:bookmarkEnd w:id="98"/>
      <w:bookmarkEnd w:id="99"/>
    </w:p>
    <w:p w14:paraId="7FE1B84A" w14:textId="77777777" w:rsidR="00CC0A94" w:rsidRDefault="006C1571">
      <w:pPr>
        <w:pStyle w:val="Instructionsberschrift3"/>
        <w:rPr>
          <w:lang w:val="en-GB"/>
        </w:rPr>
      </w:pPr>
      <w:r>
        <w:rPr>
          <w:lang w:val="en-GB"/>
        </w:rPr>
        <w:t>General remarks</w:t>
      </w:r>
    </w:p>
    <w:p w14:paraId="7FE1B84B" w14:textId="77777777" w:rsidR="00CC0A94" w:rsidRDefault="006C1571">
      <w:pPr>
        <w:pStyle w:val="InstructionsText2"/>
        <w:numPr>
          <w:ilvl w:val="0"/>
          <w:numId w:val="71"/>
        </w:numPr>
        <w:spacing w:before="0"/>
        <w:ind w:left="714" w:hanging="357"/>
        <w:rPr>
          <w:rFonts w:ascii="Times New Roman" w:hAnsi="Times New Roman" w:cs="Times New Roman"/>
          <w:sz w:val="20"/>
          <w:szCs w:val="20"/>
          <w:lang w:val="en-GB"/>
        </w:rPr>
      </w:pPr>
      <w:r>
        <w:rPr>
          <w:rFonts w:ascii="Times New Roman" w:hAnsi="Times New Roman" w:cs="Times New Roman"/>
          <w:sz w:val="20"/>
          <w:szCs w:val="20"/>
          <w:lang w:val="en-GB"/>
        </w:rPr>
        <w:lastRenderedPageBreak/>
        <w:t>This template provides an overview of deposits insurance within a group and the Deposit Guarantee Schemes of which credit institutions which are relevant legal entities are a member.</w:t>
      </w:r>
    </w:p>
    <w:p w14:paraId="7FE1B84C" w14:textId="77777777" w:rsidR="00CC0A94" w:rsidRDefault="006C1571">
      <w:pPr>
        <w:pStyle w:val="InstructionsText2"/>
        <w:numPr>
          <w:ilvl w:val="0"/>
          <w:numId w:val="71"/>
        </w:numPr>
        <w:spacing w:before="0"/>
        <w:ind w:left="714" w:hanging="357"/>
        <w:rPr>
          <w:rFonts w:ascii="Times New Roman" w:hAnsi="Times New Roman" w:cs="Times New Roman"/>
          <w:sz w:val="20"/>
          <w:szCs w:val="20"/>
          <w:lang w:val="en-GB"/>
        </w:rPr>
      </w:pPr>
      <w:r>
        <w:rPr>
          <w:rFonts w:ascii="Times New Roman" w:hAnsi="Times New Roman" w:cs="Times New Roman"/>
          <w:sz w:val="20"/>
          <w:szCs w:val="20"/>
          <w:lang w:val="en-GB"/>
        </w:rPr>
        <w:t>Every credit institution belonging to the group shall be reported in a separate row.</w:t>
      </w:r>
    </w:p>
    <w:p w14:paraId="7FE1B84D" w14:textId="77777777" w:rsidR="00CC0A94" w:rsidRDefault="006C1571" w:rsidP="002F61BB">
      <w:pPr>
        <w:pStyle w:val="Instructionsberschrift3"/>
        <w:numPr>
          <w:ilvl w:val="0"/>
          <w:numId w:val="0"/>
        </w:numPr>
        <w:ind w:left="720"/>
        <w:rPr>
          <w:lang w:val="en-GB"/>
        </w:rPr>
      </w:pPr>
      <w:r>
        <w:rPr>
          <w:lang w:val="en-GB"/>
        </w:rPr>
        <w:t>Instructions concerning specific positions</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0010-0020</w:t>
            </w:r>
          </w:p>
        </w:tc>
        <w:tc>
          <w:tcPr>
            <w:tcW w:w="7892" w:type="dxa"/>
            <w:tcBorders>
              <w:top w:val="single" w:sz="4" w:space="0" w:color="1A171C"/>
              <w:left w:val="single" w:sz="4" w:space="0" w:color="1A171C"/>
              <w:bottom w:val="single" w:sz="4" w:space="0" w:color="1A171C"/>
              <w:right w:val="nil"/>
            </w:tcBorders>
          </w:tcPr>
          <w:p w14:paraId="7FE1B852" w14:textId="5BBDBB82"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Legal entity</w:t>
            </w:r>
          </w:p>
        </w:tc>
      </w:tr>
      <w:tr w:rsidR="00CC0A94"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7892" w:type="dxa"/>
            <w:tcBorders>
              <w:top w:val="single" w:sz="4" w:space="0" w:color="1A171C"/>
              <w:left w:val="single" w:sz="4" w:space="0" w:color="1A171C"/>
              <w:bottom w:val="single" w:sz="4" w:space="0" w:color="1A171C"/>
              <w:right w:val="nil"/>
            </w:tcBorders>
          </w:tcPr>
          <w:p w14:paraId="7FE1B85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B856" w14:textId="16A1B5FB"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name of the entity as reported in Z 01.01 - </w:t>
            </w:r>
            <w:r w:rsidR="006E1646">
              <w:rPr>
                <w:rFonts w:ascii="Times New Roman" w:eastAsia="Cambria" w:hAnsi="Times New Roman" w:cs="Times New Roman"/>
                <w:color w:val="000000" w:themeColor="text1"/>
                <w:spacing w:val="-2"/>
                <w:w w:val="95"/>
                <w:sz w:val="20"/>
                <w:szCs w:val="20"/>
                <w:lang w:val="en-GB"/>
              </w:rPr>
              <w:t>Legal entities</w:t>
            </w:r>
            <w:r>
              <w:rPr>
                <w:rFonts w:ascii="Times New Roman" w:eastAsia="Cambria" w:hAnsi="Times New Roman" w:cs="Times New Roman"/>
                <w:color w:val="000000" w:themeColor="text1"/>
                <w:spacing w:val="-2"/>
                <w:w w:val="95"/>
                <w:sz w:val="20"/>
                <w:szCs w:val="20"/>
                <w:lang w:val="en-GB"/>
              </w:rPr>
              <w:t xml:space="preserve"> (ORG 1). </w:t>
            </w:r>
          </w:p>
        </w:tc>
      </w:tr>
      <w:tr w:rsidR="00CC0A94"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7892" w:type="dxa"/>
            <w:tcBorders>
              <w:top w:val="single" w:sz="4" w:space="0" w:color="1A171C"/>
              <w:left w:val="single" w:sz="4" w:space="0" w:color="1A171C"/>
              <w:bottom w:val="single" w:sz="4" w:space="0" w:color="1A171C"/>
              <w:right w:val="nil"/>
            </w:tcBorders>
          </w:tcPr>
          <w:p w14:paraId="7FE1B85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Code </w:t>
            </w:r>
          </w:p>
          <w:p w14:paraId="7FE1B85A" w14:textId="532EB445"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Code of the entity, as reported in Z 01.01 - </w:t>
            </w:r>
            <w:r w:rsidR="006E1646">
              <w:rPr>
                <w:rFonts w:ascii="Times New Roman" w:eastAsia="Cambria" w:hAnsi="Times New Roman" w:cs="Times New Roman"/>
                <w:color w:val="000000" w:themeColor="text1"/>
                <w:spacing w:val="-2"/>
                <w:w w:val="95"/>
                <w:sz w:val="20"/>
                <w:szCs w:val="20"/>
                <w:lang w:val="en-GB"/>
              </w:rPr>
              <w:t>Legal entities</w:t>
            </w:r>
            <w:r>
              <w:rPr>
                <w:rFonts w:ascii="Times New Roman" w:eastAsia="Cambria" w:hAnsi="Times New Roman" w:cs="Times New Roman"/>
                <w:color w:val="000000" w:themeColor="text1"/>
                <w:spacing w:val="-2"/>
                <w:w w:val="95"/>
                <w:sz w:val="20"/>
                <w:szCs w:val="20"/>
                <w:lang w:val="en-GB"/>
              </w:rPr>
              <w:t xml:space="preserve"> (ORG 1).</w:t>
            </w:r>
          </w:p>
          <w:p w14:paraId="7FE1B85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This is a row identifier and </w:t>
            </w:r>
            <w:proofErr w:type="gramStart"/>
            <w:r>
              <w:rPr>
                <w:rFonts w:ascii="Times New Roman" w:eastAsia="Cambria" w:hAnsi="Times New Roman" w:cs="Times New Roman"/>
                <w:color w:val="000000" w:themeColor="text1"/>
                <w:spacing w:val="-2"/>
                <w:w w:val="95"/>
                <w:sz w:val="20"/>
                <w:szCs w:val="20"/>
                <w:lang w:val="en-GB"/>
              </w:rPr>
              <w:t>has to</w:t>
            </w:r>
            <w:proofErr w:type="gramEnd"/>
            <w:r>
              <w:rPr>
                <w:rFonts w:ascii="Times New Roman" w:eastAsia="Cambria" w:hAnsi="Times New Roman" w:cs="Times New Roman"/>
                <w:color w:val="000000" w:themeColor="text1"/>
                <w:spacing w:val="-2"/>
                <w:w w:val="95"/>
                <w:sz w:val="20"/>
                <w:szCs w:val="20"/>
                <w:lang w:val="en-GB"/>
              </w:rPr>
              <w:t xml:space="preserve"> be unique for each row in the template.</w:t>
            </w:r>
          </w:p>
        </w:tc>
      </w:tr>
      <w:tr w:rsidR="00CC0A94"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 – 0040</w:t>
            </w:r>
          </w:p>
        </w:tc>
        <w:tc>
          <w:tcPr>
            <w:tcW w:w="7892" w:type="dxa"/>
            <w:tcBorders>
              <w:top w:val="single" w:sz="4" w:space="0" w:color="1A171C"/>
              <w:left w:val="single" w:sz="4" w:space="0" w:color="1A171C"/>
              <w:bottom w:val="single" w:sz="4" w:space="0" w:color="1A171C"/>
              <w:right w:val="nil"/>
            </w:tcBorders>
          </w:tcPr>
          <w:p w14:paraId="7FE1B85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DGS Membership</w:t>
            </w:r>
          </w:p>
        </w:tc>
      </w:tr>
      <w:tr w:rsidR="00CC0A94"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7892" w:type="dxa"/>
            <w:tcBorders>
              <w:top w:val="single" w:sz="4" w:space="0" w:color="1A171C"/>
              <w:left w:val="single" w:sz="4" w:space="0" w:color="1A171C"/>
              <w:bottom w:val="single" w:sz="4" w:space="0" w:color="1A171C"/>
              <w:right w:val="nil"/>
            </w:tcBorders>
          </w:tcPr>
          <w:p w14:paraId="7FE1B86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DGS</w:t>
            </w:r>
          </w:p>
          <w:p w14:paraId="7FE1B862" w14:textId="41C69940"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4(3) of Directive 2014/49/EU</w:t>
            </w:r>
          </w:p>
          <w:p w14:paraId="7FE1B86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name of the officially recognised DGS of which the entity is a member in application of the Directive 2014/49/EU. This shall be the DGS in the Member State of incorporation of the entity, at the exclusion of other DGSs which, in other Member States, might provide additional protection (‘top up’) to customers of the Entity at a branch in that Member State. Where an institution is member of an IPS which is also official recognised as a DGS pursuant to Article 4(2) of the Directive 2014/49/EU, the name of the DGS shall be identical as the name of the IPS in row 050.</w:t>
            </w:r>
          </w:p>
          <w:p w14:paraId="7FE1B86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DGS shall be chosen, for each country of incorporation of the entity, among the following:</w:t>
            </w:r>
          </w:p>
          <w:p w14:paraId="7FE1B865"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For Austria</w:t>
            </w:r>
          </w:p>
          <w:p w14:paraId="7FE1B866" w14:textId="7AF21273"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de-DE"/>
              </w:rPr>
            </w:pPr>
            <w:r>
              <w:rPr>
                <w:rFonts w:ascii="Times New Roman" w:eastAsia="Cambria" w:hAnsi="Times New Roman" w:cs="Times New Roman"/>
                <w:color w:val="000000" w:themeColor="text1"/>
                <w:spacing w:val="-2"/>
                <w:w w:val="95"/>
                <w:sz w:val="20"/>
                <w:szCs w:val="20"/>
                <w:lang w:val="de-DE"/>
              </w:rPr>
              <w:t xml:space="preserve">‚Einlagensicherung AUSTRIA </w:t>
            </w:r>
            <w:proofErr w:type="spellStart"/>
            <w:r>
              <w:rPr>
                <w:rFonts w:ascii="Times New Roman" w:eastAsia="Cambria" w:hAnsi="Times New Roman" w:cs="Times New Roman"/>
                <w:color w:val="000000" w:themeColor="text1"/>
                <w:spacing w:val="-2"/>
                <w:w w:val="95"/>
                <w:sz w:val="20"/>
                <w:szCs w:val="20"/>
                <w:lang w:val="de-DE"/>
              </w:rPr>
              <w:t>Ges.m.b.H</w:t>
            </w:r>
            <w:proofErr w:type="spellEnd"/>
            <w:r>
              <w:rPr>
                <w:rFonts w:ascii="Times New Roman" w:eastAsia="Cambria" w:hAnsi="Times New Roman" w:cs="Times New Roman"/>
                <w:color w:val="000000" w:themeColor="text1"/>
                <w:spacing w:val="-2"/>
                <w:w w:val="95"/>
                <w:sz w:val="20"/>
                <w:szCs w:val="20"/>
                <w:lang w:val="de-DE"/>
              </w:rPr>
              <w:t xml:space="preserve">. ‚ </w:t>
            </w:r>
          </w:p>
          <w:p w14:paraId="7FE1B867"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Sparkassen-Haftungs</w:t>
            </w:r>
            <w:proofErr w:type="spellEnd"/>
            <w:r>
              <w:rPr>
                <w:rFonts w:ascii="Times New Roman" w:eastAsia="Cambria" w:hAnsi="Times New Roman" w:cs="Times New Roman"/>
                <w:color w:val="000000" w:themeColor="text1"/>
                <w:spacing w:val="-2"/>
                <w:w w:val="95"/>
                <w:sz w:val="20"/>
                <w:szCs w:val="20"/>
                <w:lang w:val="en-GB"/>
              </w:rPr>
              <w:t xml:space="preserve"> GmbH’</w:t>
            </w:r>
          </w:p>
          <w:p w14:paraId="7FE1B868"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Österreichische</w:t>
            </w:r>
            <w:proofErr w:type="spellEnd"/>
            <w:r>
              <w:rPr>
                <w:rFonts w:ascii="Times New Roman" w:eastAsia="Cambria" w:hAnsi="Times New Roman" w:cs="Times New Roman"/>
                <w:color w:val="000000" w:themeColor="text1"/>
                <w:spacing w:val="-2"/>
                <w:w w:val="95"/>
                <w:sz w:val="20"/>
                <w:szCs w:val="20"/>
                <w:lang w:val="en-GB"/>
              </w:rPr>
              <w:t xml:space="preserve"> Raiffeisen-</w:t>
            </w:r>
            <w:proofErr w:type="spellStart"/>
            <w:r>
              <w:rPr>
                <w:rFonts w:ascii="Times New Roman" w:eastAsia="Cambria" w:hAnsi="Times New Roman" w:cs="Times New Roman"/>
                <w:color w:val="000000" w:themeColor="text1"/>
                <w:spacing w:val="-2"/>
                <w:w w:val="95"/>
                <w:sz w:val="20"/>
                <w:szCs w:val="20"/>
                <w:lang w:val="en-GB"/>
              </w:rPr>
              <w:t>Sicherungseinrichtung</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eGen</w:t>
            </w:r>
            <w:proofErr w:type="spellEnd"/>
            <w:r>
              <w:rPr>
                <w:rFonts w:ascii="Times New Roman" w:eastAsia="Cambria" w:hAnsi="Times New Roman" w:cs="Times New Roman"/>
                <w:color w:val="000000" w:themeColor="text1"/>
                <w:spacing w:val="-2"/>
                <w:w w:val="95"/>
                <w:sz w:val="20"/>
                <w:szCs w:val="20"/>
                <w:lang w:val="en-GB"/>
              </w:rPr>
              <w:t>’</w:t>
            </w:r>
          </w:p>
          <w:p w14:paraId="7FE1B869"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Belgium</w:t>
            </w:r>
          </w:p>
          <w:p w14:paraId="7FE1B86A"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fr-FR"/>
              </w:rPr>
            </w:pPr>
            <w:r>
              <w:rPr>
                <w:rFonts w:ascii="Times New Roman" w:eastAsia="Cambria" w:hAnsi="Times New Roman" w:cs="Times New Roman"/>
                <w:color w:val="000000" w:themeColor="text1"/>
                <w:spacing w:val="-2"/>
                <w:w w:val="95"/>
                <w:sz w:val="20"/>
                <w:szCs w:val="20"/>
                <w:lang w:val="fr-FR"/>
              </w:rPr>
              <w:t>‘</w:t>
            </w:r>
            <w:proofErr w:type="spellStart"/>
            <w:r>
              <w:rPr>
                <w:rFonts w:ascii="Times New Roman" w:eastAsia="Cambria" w:hAnsi="Times New Roman" w:cs="Times New Roman"/>
                <w:color w:val="000000" w:themeColor="text1"/>
                <w:spacing w:val="-2"/>
                <w:w w:val="95"/>
                <w:sz w:val="20"/>
                <w:szCs w:val="20"/>
                <w:lang w:val="fr-FR"/>
              </w:rPr>
              <w:t>Garantiefonds</w:t>
            </w:r>
            <w:proofErr w:type="spellEnd"/>
            <w:r>
              <w:rPr>
                <w:rFonts w:ascii="Times New Roman" w:eastAsia="Cambria" w:hAnsi="Times New Roman" w:cs="Times New Roman"/>
                <w:color w:val="000000" w:themeColor="text1"/>
                <w:spacing w:val="-2"/>
                <w:w w:val="95"/>
                <w:sz w:val="20"/>
                <w:szCs w:val="20"/>
                <w:lang w:val="fr-FR"/>
              </w:rPr>
              <w:t xml:space="preserve"> </w:t>
            </w:r>
            <w:proofErr w:type="spellStart"/>
            <w:r>
              <w:rPr>
                <w:rFonts w:ascii="Times New Roman" w:eastAsia="Cambria" w:hAnsi="Times New Roman" w:cs="Times New Roman"/>
                <w:color w:val="000000" w:themeColor="text1"/>
                <w:spacing w:val="-2"/>
                <w:w w:val="95"/>
                <w:sz w:val="20"/>
                <w:szCs w:val="20"/>
                <w:lang w:val="fr-FR"/>
              </w:rPr>
              <w:t>voor</w:t>
            </w:r>
            <w:proofErr w:type="spellEnd"/>
            <w:r>
              <w:rPr>
                <w:rFonts w:ascii="Times New Roman" w:eastAsia="Cambria" w:hAnsi="Times New Roman" w:cs="Times New Roman"/>
                <w:color w:val="000000" w:themeColor="text1"/>
                <w:spacing w:val="-2"/>
                <w:w w:val="95"/>
                <w:sz w:val="20"/>
                <w:szCs w:val="20"/>
                <w:lang w:val="fr-FR"/>
              </w:rPr>
              <w:t xml:space="preserve"> </w:t>
            </w:r>
            <w:proofErr w:type="spellStart"/>
            <w:r>
              <w:rPr>
                <w:rFonts w:ascii="Times New Roman" w:eastAsia="Cambria" w:hAnsi="Times New Roman" w:cs="Times New Roman"/>
                <w:color w:val="000000" w:themeColor="text1"/>
                <w:spacing w:val="-2"/>
                <w:w w:val="95"/>
                <w:sz w:val="20"/>
                <w:szCs w:val="20"/>
                <w:lang w:val="fr-FR"/>
              </w:rPr>
              <w:t>financiële</w:t>
            </w:r>
            <w:proofErr w:type="spellEnd"/>
            <w:r>
              <w:rPr>
                <w:rFonts w:ascii="Times New Roman" w:eastAsia="Cambria" w:hAnsi="Times New Roman" w:cs="Times New Roman"/>
                <w:color w:val="000000" w:themeColor="text1"/>
                <w:spacing w:val="-2"/>
                <w:w w:val="95"/>
                <w:sz w:val="20"/>
                <w:szCs w:val="20"/>
                <w:lang w:val="fr-FR"/>
              </w:rPr>
              <w:t xml:space="preserve"> </w:t>
            </w:r>
            <w:proofErr w:type="spellStart"/>
            <w:r>
              <w:rPr>
                <w:rFonts w:ascii="Times New Roman" w:eastAsia="Cambria" w:hAnsi="Times New Roman" w:cs="Times New Roman"/>
                <w:color w:val="000000" w:themeColor="text1"/>
                <w:spacing w:val="-2"/>
                <w:w w:val="95"/>
                <w:sz w:val="20"/>
                <w:szCs w:val="20"/>
                <w:lang w:val="fr-FR"/>
              </w:rPr>
              <w:t>diensten</w:t>
            </w:r>
            <w:proofErr w:type="spellEnd"/>
            <w:r>
              <w:rPr>
                <w:rFonts w:ascii="Times New Roman" w:eastAsia="Cambria" w:hAnsi="Times New Roman" w:cs="Times New Roman"/>
                <w:color w:val="000000" w:themeColor="text1"/>
                <w:spacing w:val="-2"/>
                <w:w w:val="95"/>
                <w:sz w:val="20"/>
                <w:szCs w:val="20"/>
                <w:lang w:val="fr-FR"/>
              </w:rPr>
              <w:t xml:space="preserve"> / Fonds de garantie pour les services financiers’</w:t>
            </w:r>
          </w:p>
          <w:p w14:paraId="7FE1B86B" w14:textId="77777777" w:rsidR="00CC0A94" w:rsidRPr="002F61BB"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fr-FR"/>
              </w:rPr>
            </w:pPr>
            <w:proofErr w:type="spellStart"/>
            <w:r w:rsidRPr="002F61BB">
              <w:rPr>
                <w:rFonts w:ascii="Times New Roman" w:eastAsia="Cambria" w:hAnsi="Times New Roman" w:cs="Times New Roman"/>
                <w:b/>
                <w:color w:val="000000" w:themeColor="text1"/>
                <w:spacing w:val="-2"/>
                <w:w w:val="95"/>
                <w:sz w:val="20"/>
                <w:szCs w:val="20"/>
                <w:u w:val="single"/>
                <w:lang w:val="fr-FR"/>
              </w:rPr>
              <w:t>Bulgaria</w:t>
            </w:r>
            <w:proofErr w:type="spellEnd"/>
          </w:p>
          <w:p w14:paraId="7FE1B86C" w14:textId="33BABCB1" w:rsidR="00CC0A94" w:rsidRPr="002F61BB"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fr-FR"/>
              </w:rPr>
            </w:pPr>
            <w:r w:rsidRPr="002F61BB">
              <w:rPr>
                <w:rFonts w:ascii="Times New Roman" w:eastAsia="Cambria" w:hAnsi="Times New Roman" w:cs="Times New Roman"/>
                <w:color w:val="000000" w:themeColor="text1"/>
                <w:spacing w:val="-2"/>
                <w:w w:val="95"/>
                <w:sz w:val="20"/>
                <w:szCs w:val="20"/>
                <w:lang w:val="fr-FR"/>
              </w:rPr>
              <w:t>‘</w:t>
            </w:r>
            <w:proofErr w:type="spellStart"/>
            <w:r>
              <w:rPr>
                <w:rFonts w:ascii="Times New Roman" w:eastAsia="Cambria" w:hAnsi="Times New Roman" w:cs="Times New Roman"/>
                <w:color w:val="000000" w:themeColor="text1"/>
                <w:spacing w:val="-2"/>
                <w:w w:val="95"/>
                <w:sz w:val="20"/>
                <w:szCs w:val="20"/>
                <w:lang w:val="en-GB"/>
              </w:rPr>
              <w:t>Фонд</w:t>
            </w:r>
            <w:proofErr w:type="spellEnd"/>
            <w:r w:rsidRPr="002F61BB">
              <w:rPr>
                <w:rFonts w:ascii="Times New Roman" w:eastAsia="Cambria" w:hAnsi="Times New Roman" w:cs="Times New Roman"/>
                <w:color w:val="000000" w:themeColor="text1"/>
                <w:spacing w:val="-2"/>
                <w:w w:val="95"/>
                <w:sz w:val="20"/>
                <w:szCs w:val="20"/>
                <w:lang w:val="fr-FR"/>
              </w:rPr>
              <w:t xml:space="preserve"> </w:t>
            </w:r>
            <w:proofErr w:type="spellStart"/>
            <w:r>
              <w:rPr>
                <w:rFonts w:ascii="Times New Roman" w:eastAsia="Cambria" w:hAnsi="Times New Roman" w:cs="Times New Roman"/>
                <w:color w:val="000000" w:themeColor="text1"/>
                <w:spacing w:val="-2"/>
                <w:w w:val="95"/>
                <w:sz w:val="20"/>
                <w:szCs w:val="20"/>
                <w:lang w:val="en-GB"/>
              </w:rPr>
              <w:t>за</w:t>
            </w:r>
            <w:proofErr w:type="spellEnd"/>
            <w:r w:rsidRPr="002F61BB">
              <w:rPr>
                <w:rFonts w:ascii="Times New Roman" w:eastAsia="Cambria" w:hAnsi="Times New Roman" w:cs="Times New Roman"/>
                <w:color w:val="000000" w:themeColor="text1"/>
                <w:spacing w:val="-2"/>
                <w:w w:val="95"/>
                <w:sz w:val="20"/>
                <w:szCs w:val="20"/>
                <w:lang w:val="fr-FR"/>
              </w:rPr>
              <w:t xml:space="preserve"> </w:t>
            </w:r>
            <w:proofErr w:type="spellStart"/>
            <w:r>
              <w:rPr>
                <w:rFonts w:ascii="Times New Roman" w:eastAsia="Cambria" w:hAnsi="Times New Roman" w:cs="Times New Roman"/>
                <w:color w:val="000000" w:themeColor="text1"/>
                <w:spacing w:val="-2"/>
                <w:w w:val="95"/>
                <w:sz w:val="20"/>
                <w:szCs w:val="20"/>
                <w:lang w:val="en-GB"/>
              </w:rPr>
              <w:t>гарантиране</w:t>
            </w:r>
            <w:proofErr w:type="spellEnd"/>
            <w:r w:rsidRPr="002F61BB">
              <w:rPr>
                <w:rFonts w:ascii="Times New Roman" w:eastAsia="Cambria" w:hAnsi="Times New Roman" w:cs="Times New Roman"/>
                <w:color w:val="000000" w:themeColor="text1"/>
                <w:spacing w:val="-2"/>
                <w:w w:val="95"/>
                <w:sz w:val="20"/>
                <w:szCs w:val="20"/>
                <w:lang w:val="fr-FR"/>
              </w:rPr>
              <w:t xml:space="preserve"> </w:t>
            </w:r>
            <w:proofErr w:type="spellStart"/>
            <w:r>
              <w:rPr>
                <w:rFonts w:ascii="Times New Roman" w:eastAsia="Cambria" w:hAnsi="Times New Roman" w:cs="Times New Roman"/>
                <w:color w:val="000000" w:themeColor="text1"/>
                <w:spacing w:val="-2"/>
                <w:w w:val="95"/>
                <w:sz w:val="20"/>
                <w:szCs w:val="20"/>
                <w:lang w:val="en-GB"/>
              </w:rPr>
              <w:t>на</w:t>
            </w:r>
            <w:proofErr w:type="spellEnd"/>
            <w:r w:rsidRPr="002F61BB">
              <w:rPr>
                <w:rFonts w:ascii="Times New Roman" w:eastAsia="Cambria" w:hAnsi="Times New Roman" w:cs="Times New Roman"/>
                <w:color w:val="000000" w:themeColor="text1"/>
                <w:spacing w:val="-2"/>
                <w:w w:val="95"/>
                <w:sz w:val="20"/>
                <w:szCs w:val="20"/>
                <w:lang w:val="fr-FR"/>
              </w:rPr>
              <w:t xml:space="preserve"> </w:t>
            </w:r>
            <w:proofErr w:type="spellStart"/>
            <w:r>
              <w:rPr>
                <w:rFonts w:ascii="Times New Roman" w:eastAsia="Cambria" w:hAnsi="Times New Roman" w:cs="Times New Roman"/>
                <w:color w:val="000000" w:themeColor="text1"/>
                <w:spacing w:val="-2"/>
                <w:w w:val="95"/>
                <w:sz w:val="20"/>
                <w:szCs w:val="20"/>
                <w:lang w:val="en-GB"/>
              </w:rPr>
              <w:t>влоговете</w:t>
            </w:r>
            <w:proofErr w:type="spellEnd"/>
            <w:r w:rsidRPr="002F61BB">
              <w:rPr>
                <w:rFonts w:ascii="Times New Roman" w:eastAsia="Cambria" w:hAnsi="Times New Roman" w:cs="Times New Roman"/>
                <w:color w:val="000000" w:themeColor="text1"/>
                <w:spacing w:val="-2"/>
                <w:w w:val="95"/>
                <w:sz w:val="20"/>
                <w:szCs w:val="20"/>
                <w:lang w:val="fr-FR"/>
              </w:rPr>
              <w:t xml:space="preserve"> </w:t>
            </w:r>
            <w:r>
              <w:rPr>
                <w:rFonts w:ascii="Times New Roman" w:eastAsia="Cambria" w:hAnsi="Times New Roman" w:cs="Times New Roman"/>
                <w:color w:val="000000" w:themeColor="text1"/>
                <w:spacing w:val="-2"/>
                <w:w w:val="95"/>
                <w:sz w:val="20"/>
                <w:szCs w:val="20"/>
                <w:lang w:val="en-GB"/>
              </w:rPr>
              <w:t>в</w:t>
            </w:r>
            <w:r w:rsidRPr="002F61BB">
              <w:rPr>
                <w:rFonts w:ascii="Times New Roman" w:eastAsia="Cambria" w:hAnsi="Times New Roman" w:cs="Times New Roman"/>
                <w:color w:val="000000" w:themeColor="text1"/>
                <w:spacing w:val="-2"/>
                <w:w w:val="95"/>
                <w:sz w:val="20"/>
                <w:szCs w:val="20"/>
                <w:lang w:val="fr-FR"/>
              </w:rPr>
              <w:t xml:space="preserve"> </w:t>
            </w:r>
            <w:proofErr w:type="spellStart"/>
            <w:r>
              <w:rPr>
                <w:rFonts w:ascii="Times New Roman" w:eastAsia="Cambria" w:hAnsi="Times New Roman" w:cs="Times New Roman"/>
                <w:color w:val="000000" w:themeColor="text1"/>
                <w:spacing w:val="-2"/>
                <w:w w:val="95"/>
                <w:sz w:val="20"/>
                <w:szCs w:val="20"/>
                <w:lang w:val="en-GB"/>
              </w:rPr>
              <w:t>банките</w:t>
            </w:r>
            <w:proofErr w:type="spellEnd"/>
            <w:r w:rsidRPr="002F61BB">
              <w:rPr>
                <w:rFonts w:ascii="Times New Roman" w:eastAsia="Cambria" w:hAnsi="Times New Roman" w:cs="Times New Roman"/>
                <w:color w:val="000000" w:themeColor="text1"/>
                <w:spacing w:val="-2"/>
                <w:w w:val="95"/>
                <w:sz w:val="20"/>
                <w:szCs w:val="20"/>
                <w:lang w:val="fr-FR"/>
              </w:rPr>
              <w:t>'</w:t>
            </w:r>
          </w:p>
          <w:p w14:paraId="7FE1B86D"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Croatia</w:t>
            </w:r>
          </w:p>
          <w:p w14:paraId="7FE1B86E"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pt-PT"/>
              </w:rPr>
            </w:pPr>
            <w:r>
              <w:rPr>
                <w:rFonts w:ascii="Times New Roman" w:eastAsia="Cambria" w:hAnsi="Times New Roman" w:cs="Times New Roman"/>
                <w:color w:val="000000" w:themeColor="text1"/>
                <w:spacing w:val="-2"/>
                <w:w w:val="95"/>
                <w:sz w:val="20"/>
                <w:szCs w:val="20"/>
                <w:lang w:val="pt-PT"/>
              </w:rPr>
              <w:t>‘Hrvatska agencija za osiguranje depozita’</w:t>
            </w:r>
          </w:p>
          <w:p w14:paraId="7FE1B86F"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Cyprus</w:t>
            </w:r>
          </w:p>
          <w:p w14:paraId="7FE1B870"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l-GR"/>
              </w:rPr>
            </w:pPr>
            <w:r>
              <w:rPr>
                <w:rFonts w:ascii="Times New Roman" w:eastAsia="Cambria" w:hAnsi="Times New Roman" w:cs="Times New Roman"/>
                <w:color w:val="000000" w:themeColor="text1"/>
                <w:spacing w:val="-2"/>
                <w:w w:val="95"/>
                <w:sz w:val="20"/>
                <w:szCs w:val="20"/>
                <w:lang w:val="el-GR"/>
              </w:rPr>
              <w:t>‘Σύστημα Εγγύησης των Καταθέσεων και Εξυγίανσης Πιστωτικών και Άλλων Ιδρυμάτων’</w:t>
            </w:r>
          </w:p>
          <w:p w14:paraId="7FE1B871"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Czech</w:t>
            </w:r>
          </w:p>
          <w:p w14:paraId="7FE1B872"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Garanční</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systém</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finančního</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trhu</w:t>
            </w:r>
            <w:proofErr w:type="spellEnd"/>
            <w:r>
              <w:rPr>
                <w:rFonts w:ascii="Times New Roman" w:eastAsia="Cambria" w:hAnsi="Times New Roman" w:cs="Times New Roman"/>
                <w:color w:val="000000" w:themeColor="text1"/>
                <w:spacing w:val="-2"/>
                <w:w w:val="95"/>
                <w:sz w:val="20"/>
                <w:szCs w:val="20"/>
                <w:lang w:val="en-GB"/>
              </w:rPr>
              <w:t>’</w:t>
            </w:r>
          </w:p>
          <w:p w14:paraId="7FE1B873"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Denmark</w:t>
            </w:r>
          </w:p>
          <w:p w14:paraId="7FE1B874"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Garantiformuen</w:t>
            </w:r>
            <w:proofErr w:type="spellEnd"/>
            <w:r>
              <w:rPr>
                <w:rFonts w:ascii="Times New Roman" w:eastAsia="Cambria" w:hAnsi="Times New Roman" w:cs="Times New Roman"/>
                <w:color w:val="000000" w:themeColor="text1"/>
                <w:spacing w:val="-2"/>
                <w:w w:val="95"/>
                <w:sz w:val="20"/>
                <w:szCs w:val="20"/>
                <w:lang w:val="en-GB"/>
              </w:rPr>
              <w:t>’</w:t>
            </w:r>
          </w:p>
          <w:p w14:paraId="7FE1B875"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Estonia </w:t>
            </w:r>
          </w:p>
          <w:p w14:paraId="7FE1B876"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Tagastisfond</w:t>
            </w:r>
            <w:proofErr w:type="spellEnd"/>
            <w:r>
              <w:rPr>
                <w:rFonts w:ascii="Times New Roman" w:eastAsia="Cambria" w:hAnsi="Times New Roman" w:cs="Times New Roman"/>
                <w:color w:val="000000" w:themeColor="text1"/>
                <w:spacing w:val="-2"/>
                <w:w w:val="95"/>
                <w:sz w:val="20"/>
                <w:szCs w:val="20"/>
                <w:lang w:val="en-GB"/>
              </w:rPr>
              <w:t>’</w:t>
            </w:r>
          </w:p>
          <w:p w14:paraId="7FE1B877"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lastRenderedPageBreak/>
              <w:t xml:space="preserve">Finland </w:t>
            </w:r>
          </w:p>
          <w:p w14:paraId="7FE1B878"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Talletussuojarahasto</w:t>
            </w:r>
            <w:proofErr w:type="spellEnd"/>
            <w:r>
              <w:rPr>
                <w:rFonts w:ascii="Times New Roman" w:eastAsia="Cambria" w:hAnsi="Times New Roman" w:cs="Times New Roman"/>
                <w:color w:val="000000" w:themeColor="text1"/>
                <w:spacing w:val="-2"/>
                <w:w w:val="95"/>
                <w:sz w:val="20"/>
                <w:szCs w:val="20"/>
                <w:lang w:val="en-GB"/>
              </w:rPr>
              <w:t>’</w:t>
            </w:r>
          </w:p>
          <w:p w14:paraId="7FE1B879"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France</w:t>
            </w:r>
          </w:p>
          <w:p w14:paraId="7FE1B87A"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fr-FR"/>
              </w:rPr>
            </w:pPr>
            <w:r>
              <w:rPr>
                <w:rFonts w:ascii="Times New Roman" w:eastAsia="Cambria" w:hAnsi="Times New Roman" w:cs="Times New Roman"/>
                <w:color w:val="000000" w:themeColor="text1"/>
                <w:spacing w:val="-2"/>
                <w:w w:val="95"/>
                <w:sz w:val="20"/>
                <w:szCs w:val="20"/>
                <w:lang w:val="fr-FR"/>
              </w:rPr>
              <w:t>‘Fonds de Garantie des Dépôts et de Résolution’</w:t>
            </w:r>
          </w:p>
          <w:p w14:paraId="7FE1B87B"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Germany </w:t>
            </w:r>
          </w:p>
          <w:p w14:paraId="7FE1B87C"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Entschädigungseinrichtung</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deutscher</w:t>
            </w:r>
            <w:proofErr w:type="spellEnd"/>
            <w:r>
              <w:rPr>
                <w:rFonts w:ascii="Times New Roman" w:eastAsia="Cambria" w:hAnsi="Times New Roman" w:cs="Times New Roman"/>
                <w:color w:val="000000" w:themeColor="text1"/>
                <w:spacing w:val="-2"/>
                <w:w w:val="95"/>
                <w:sz w:val="20"/>
                <w:szCs w:val="20"/>
                <w:lang w:val="en-GB"/>
              </w:rPr>
              <w:t xml:space="preserve"> Banken GmbH’</w:t>
            </w:r>
          </w:p>
          <w:p w14:paraId="7FE1B87D"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de-DE"/>
              </w:rPr>
            </w:pPr>
            <w:r>
              <w:rPr>
                <w:rFonts w:ascii="Times New Roman" w:eastAsia="Cambria" w:hAnsi="Times New Roman" w:cs="Times New Roman"/>
                <w:color w:val="000000" w:themeColor="text1"/>
                <w:spacing w:val="-2"/>
                <w:w w:val="95"/>
                <w:sz w:val="20"/>
                <w:szCs w:val="20"/>
                <w:lang w:val="de-DE"/>
              </w:rPr>
              <w:t>‘Entschädigungseinrichtung des Bundesverbandes Öffentlicher Banken Deutschlands GmbH’</w:t>
            </w:r>
          </w:p>
          <w:p w14:paraId="7FE1B87E"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de-DE"/>
              </w:rPr>
            </w:pPr>
            <w:r>
              <w:rPr>
                <w:rFonts w:ascii="Times New Roman" w:eastAsia="Cambria" w:hAnsi="Times New Roman" w:cs="Times New Roman"/>
                <w:color w:val="000000" w:themeColor="text1"/>
                <w:spacing w:val="-2"/>
                <w:w w:val="95"/>
                <w:sz w:val="20"/>
                <w:szCs w:val="20"/>
                <w:lang w:val="de-DE"/>
              </w:rPr>
              <w:t>‘Sicherungseinrichtung des Deutschen Sparkassen- und Giroverbandes (DSGV-</w:t>
            </w:r>
            <w:proofErr w:type="gramStart"/>
            <w:r>
              <w:rPr>
                <w:rFonts w:ascii="Times New Roman" w:eastAsia="Cambria" w:hAnsi="Times New Roman" w:cs="Times New Roman"/>
                <w:color w:val="000000" w:themeColor="text1"/>
                <w:spacing w:val="-2"/>
                <w:w w:val="95"/>
                <w:sz w:val="20"/>
                <w:szCs w:val="20"/>
                <w:lang w:val="de-DE"/>
              </w:rPr>
              <w:t>Haftungsverbund)’</w:t>
            </w:r>
            <w:proofErr w:type="gramEnd"/>
          </w:p>
          <w:p w14:paraId="7FE1B87F"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‘BVR </w:t>
            </w:r>
            <w:proofErr w:type="spellStart"/>
            <w:r>
              <w:rPr>
                <w:rFonts w:ascii="Times New Roman" w:eastAsia="Cambria" w:hAnsi="Times New Roman" w:cs="Times New Roman"/>
                <w:color w:val="000000" w:themeColor="text1"/>
                <w:spacing w:val="-2"/>
                <w:w w:val="95"/>
                <w:sz w:val="20"/>
                <w:szCs w:val="20"/>
                <w:lang w:val="en-GB"/>
              </w:rPr>
              <w:t>Institutssicherung</w:t>
            </w:r>
            <w:proofErr w:type="spellEnd"/>
            <w:r>
              <w:rPr>
                <w:rFonts w:ascii="Times New Roman" w:eastAsia="Cambria" w:hAnsi="Times New Roman" w:cs="Times New Roman"/>
                <w:color w:val="000000" w:themeColor="text1"/>
                <w:spacing w:val="-2"/>
                <w:w w:val="95"/>
                <w:sz w:val="20"/>
                <w:szCs w:val="20"/>
                <w:lang w:val="en-GB"/>
              </w:rPr>
              <w:t xml:space="preserve"> GmbH’</w:t>
            </w:r>
          </w:p>
          <w:p w14:paraId="7FE1B882"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Greece </w:t>
            </w:r>
          </w:p>
          <w:p w14:paraId="7FE1B883"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‘Τα</w:t>
            </w:r>
            <w:proofErr w:type="spellStart"/>
            <w:r>
              <w:rPr>
                <w:rFonts w:ascii="Times New Roman" w:eastAsia="Cambria" w:hAnsi="Times New Roman" w:cs="Times New Roman"/>
                <w:color w:val="000000" w:themeColor="text1"/>
                <w:spacing w:val="-2"/>
                <w:w w:val="95"/>
                <w:sz w:val="20"/>
                <w:szCs w:val="20"/>
                <w:lang w:val="en-GB"/>
              </w:rPr>
              <w:t>μείο</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Εγγύησης</w:t>
            </w:r>
            <w:proofErr w:type="spellEnd"/>
            <w:r>
              <w:rPr>
                <w:rFonts w:ascii="Times New Roman" w:eastAsia="Cambria" w:hAnsi="Times New Roman" w:cs="Times New Roman"/>
                <w:color w:val="000000" w:themeColor="text1"/>
                <w:spacing w:val="-2"/>
                <w:w w:val="95"/>
                <w:sz w:val="20"/>
                <w:szCs w:val="20"/>
                <w:lang w:val="en-GB"/>
              </w:rPr>
              <w:t xml:space="preserve"> Κατα</w:t>
            </w:r>
            <w:proofErr w:type="spellStart"/>
            <w:r>
              <w:rPr>
                <w:rFonts w:ascii="Times New Roman" w:eastAsia="Cambria" w:hAnsi="Times New Roman" w:cs="Times New Roman"/>
                <w:color w:val="000000" w:themeColor="text1"/>
                <w:spacing w:val="-2"/>
                <w:w w:val="95"/>
                <w:sz w:val="20"/>
                <w:szCs w:val="20"/>
                <w:lang w:val="en-GB"/>
              </w:rPr>
              <w:t>θέσεων</w:t>
            </w:r>
            <w:proofErr w:type="spellEnd"/>
            <w:r>
              <w:rPr>
                <w:rFonts w:ascii="Times New Roman" w:eastAsia="Cambria" w:hAnsi="Times New Roman" w:cs="Times New Roman"/>
                <w:color w:val="000000" w:themeColor="text1"/>
                <w:spacing w:val="-2"/>
                <w:w w:val="95"/>
                <w:sz w:val="20"/>
                <w:szCs w:val="20"/>
                <w:lang w:val="en-GB"/>
              </w:rPr>
              <w:t xml:space="preserve"> και Επ</w:t>
            </w:r>
            <w:proofErr w:type="spellStart"/>
            <w:r>
              <w:rPr>
                <w:rFonts w:ascii="Times New Roman" w:eastAsia="Cambria" w:hAnsi="Times New Roman" w:cs="Times New Roman"/>
                <w:color w:val="000000" w:themeColor="text1"/>
                <w:spacing w:val="-2"/>
                <w:w w:val="95"/>
                <w:sz w:val="20"/>
                <w:szCs w:val="20"/>
                <w:lang w:val="en-GB"/>
              </w:rPr>
              <w:t>ενδύσεων</w:t>
            </w:r>
            <w:proofErr w:type="spellEnd"/>
            <w:r>
              <w:rPr>
                <w:rFonts w:ascii="Times New Roman" w:eastAsia="Cambria" w:hAnsi="Times New Roman" w:cs="Times New Roman"/>
                <w:color w:val="000000" w:themeColor="text1"/>
                <w:spacing w:val="-2"/>
                <w:w w:val="95"/>
                <w:sz w:val="20"/>
                <w:szCs w:val="20"/>
                <w:lang w:val="en-GB"/>
              </w:rPr>
              <w:t>’</w:t>
            </w:r>
          </w:p>
          <w:p w14:paraId="7FE1B884"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Hungary </w:t>
            </w:r>
          </w:p>
          <w:p w14:paraId="7FE1B885"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Országos</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Betétbiztosítási</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Alap</w:t>
            </w:r>
            <w:proofErr w:type="spellEnd"/>
            <w:r>
              <w:rPr>
                <w:rFonts w:ascii="Times New Roman" w:eastAsia="Cambria" w:hAnsi="Times New Roman" w:cs="Times New Roman"/>
                <w:color w:val="000000" w:themeColor="text1"/>
                <w:spacing w:val="-2"/>
                <w:w w:val="95"/>
                <w:sz w:val="20"/>
                <w:szCs w:val="20"/>
                <w:lang w:val="en-GB"/>
              </w:rPr>
              <w:t>’</w:t>
            </w:r>
          </w:p>
          <w:p w14:paraId="7FE1B886"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Iceland</w:t>
            </w:r>
          </w:p>
          <w:p w14:paraId="7FE1B887" w14:textId="44E06D46"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sidR="00C175F1" w:rsidRPr="00C175F1">
              <w:rPr>
                <w:rFonts w:ascii="Times New Roman" w:eastAsia="Cambria" w:hAnsi="Times New Roman" w:cs="Times New Roman"/>
                <w:color w:val="000000" w:themeColor="text1"/>
                <w:spacing w:val="-2"/>
                <w:w w:val="95"/>
                <w:sz w:val="20"/>
                <w:szCs w:val="20"/>
                <w:lang w:val="en-GB"/>
              </w:rPr>
              <w:t>Tryggingarsjóður</w:t>
            </w:r>
            <w:proofErr w:type="spellEnd"/>
            <w:r w:rsidR="00C175F1" w:rsidRPr="00C175F1">
              <w:rPr>
                <w:rFonts w:ascii="Times New Roman" w:eastAsia="Cambria" w:hAnsi="Times New Roman" w:cs="Times New Roman"/>
                <w:color w:val="000000" w:themeColor="text1"/>
                <w:spacing w:val="-2"/>
                <w:w w:val="95"/>
                <w:sz w:val="20"/>
                <w:szCs w:val="20"/>
                <w:lang w:val="en-GB"/>
              </w:rPr>
              <w:t xml:space="preserve"> </w:t>
            </w:r>
            <w:proofErr w:type="spellStart"/>
            <w:r w:rsidR="00C175F1" w:rsidRPr="00C175F1">
              <w:rPr>
                <w:rFonts w:ascii="Times New Roman" w:eastAsia="Cambria" w:hAnsi="Times New Roman" w:cs="Times New Roman"/>
                <w:color w:val="000000" w:themeColor="text1"/>
                <w:spacing w:val="-2"/>
                <w:w w:val="95"/>
                <w:sz w:val="20"/>
                <w:szCs w:val="20"/>
                <w:lang w:val="en-GB"/>
              </w:rPr>
              <w:t>vegna</w:t>
            </w:r>
            <w:proofErr w:type="spellEnd"/>
            <w:r w:rsidR="00C175F1" w:rsidRPr="00C175F1">
              <w:rPr>
                <w:rFonts w:ascii="Times New Roman" w:eastAsia="Cambria" w:hAnsi="Times New Roman" w:cs="Times New Roman"/>
                <w:color w:val="000000" w:themeColor="text1"/>
                <w:spacing w:val="-2"/>
                <w:w w:val="95"/>
                <w:sz w:val="20"/>
                <w:szCs w:val="20"/>
                <w:lang w:val="en-GB"/>
              </w:rPr>
              <w:t xml:space="preserve"> </w:t>
            </w:r>
            <w:proofErr w:type="spellStart"/>
            <w:r w:rsidR="00C175F1" w:rsidRPr="00C175F1">
              <w:rPr>
                <w:rFonts w:ascii="Times New Roman" w:eastAsia="Cambria" w:hAnsi="Times New Roman" w:cs="Times New Roman"/>
                <w:color w:val="000000" w:themeColor="text1"/>
                <w:spacing w:val="-2"/>
                <w:w w:val="95"/>
                <w:sz w:val="20"/>
                <w:szCs w:val="20"/>
                <w:lang w:val="en-GB"/>
              </w:rPr>
              <w:t>fjármálafyrirtækja</w:t>
            </w:r>
            <w:proofErr w:type="spellEnd"/>
            <w:r>
              <w:rPr>
                <w:rFonts w:ascii="Times New Roman" w:eastAsia="Cambria" w:hAnsi="Times New Roman" w:cs="Times New Roman"/>
                <w:color w:val="000000" w:themeColor="text1"/>
                <w:spacing w:val="-2"/>
                <w:w w:val="95"/>
                <w:sz w:val="20"/>
                <w:szCs w:val="20"/>
                <w:lang w:val="en-GB"/>
              </w:rPr>
              <w:t>’</w:t>
            </w:r>
          </w:p>
          <w:p w14:paraId="7FE1B888"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Ireland</w:t>
            </w:r>
          </w:p>
          <w:p w14:paraId="7FE1B889"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‘Irish Deposit Protection Scheme’</w:t>
            </w:r>
          </w:p>
          <w:p w14:paraId="7FE1B88A"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Italy </w:t>
            </w:r>
          </w:p>
          <w:p w14:paraId="7FE1B88B"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it-IT"/>
              </w:rPr>
            </w:pPr>
            <w:r>
              <w:rPr>
                <w:rFonts w:ascii="Times New Roman" w:eastAsia="Cambria" w:hAnsi="Times New Roman" w:cs="Times New Roman"/>
                <w:color w:val="000000" w:themeColor="text1"/>
                <w:spacing w:val="-2"/>
                <w:w w:val="95"/>
                <w:sz w:val="20"/>
                <w:szCs w:val="20"/>
                <w:lang w:val="it-IT"/>
              </w:rPr>
              <w:t>‘Fondo Interbancario di Tutela dei Depositi’</w:t>
            </w:r>
          </w:p>
          <w:p w14:paraId="7FE1B88C"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it-IT"/>
              </w:rPr>
            </w:pPr>
            <w:r>
              <w:rPr>
                <w:rFonts w:ascii="Times New Roman" w:eastAsia="Cambria" w:hAnsi="Times New Roman" w:cs="Times New Roman"/>
                <w:color w:val="000000" w:themeColor="text1"/>
                <w:spacing w:val="-2"/>
                <w:w w:val="95"/>
                <w:sz w:val="20"/>
                <w:szCs w:val="20"/>
                <w:lang w:val="it-IT"/>
              </w:rPr>
              <w:t>‘Fondo di Garanzia dei Depositanti del Credito Cooperativo’</w:t>
            </w:r>
          </w:p>
          <w:p w14:paraId="7FE1B88D"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Latvia</w:t>
            </w:r>
          </w:p>
          <w:p w14:paraId="7FE1B88E"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Latvijas</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Noguldījumu</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garantiju</w:t>
            </w:r>
            <w:proofErr w:type="spellEnd"/>
            <w:r>
              <w:rPr>
                <w:rFonts w:ascii="Times New Roman" w:eastAsia="Cambria" w:hAnsi="Times New Roman" w:cs="Times New Roman"/>
                <w:color w:val="000000" w:themeColor="text1"/>
                <w:spacing w:val="-2"/>
                <w:w w:val="95"/>
                <w:sz w:val="20"/>
                <w:szCs w:val="20"/>
                <w:lang w:val="en-GB"/>
              </w:rPr>
              <w:t xml:space="preserve"> fonds’</w:t>
            </w:r>
          </w:p>
          <w:p w14:paraId="7FE1B88F"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Liechtenstein </w:t>
            </w:r>
          </w:p>
          <w:p w14:paraId="7FE1B890"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Einlagensicherungs</w:t>
            </w:r>
            <w:proofErr w:type="spellEnd"/>
            <w:r>
              <w:rPr>
                <w:rFonts w:ascii="Times New Roman" w:eastAsia="Cambria" w:hAnsi="Times New Roman" w:cs="Times New Roman"/>
                <w:color w:val="000000" w:themeColor="text1"/>
                <w:spacing w:val="-2"/>
                <w:w w:val="95"/>
                <w:sz w:val="20"/>
                <w:szCs w:val="20"/>
                <w:lang w:val="en-GB"/>
              </w:rPr>
              <w:t xml:space="preserve">- und </w:t>
            </w:r>
            <w:proofErr w:type="spellStart"/>
            <w:r>
              <w:rPr>
                <w:rFonts w:ascii="Times New Roman" w:eastAsia="Cambria" w:hAnsi="Times New Roman" w:cs="Times New Roman"/>
                <w:color w:val="000000" w:themeColor="text1"/>
                <w:spacing w:val="-2"/>
                <w:w w:val="95"/>
                <w:sz w:val="20"/>
                <w:szCs w:val="20"/>
                <w:lang w:val="en-GB"/>
              </w:rPr>
              <w:t>Anlegerentschädigungs</w:t>
            </w:r>
            <w:proofErr w:type="spellEnd"/>
            <w:r>
              <w:rPr>
                <w:rFonts w:ascii="Times New Roman" w:eastAsia="Cambria" w:hAnsi="Times New Roman" w:cs="Times New Roman"/>
                <w:color w:val="000000" w:themeColor="text1"/>
                <w:spacing w:val="-2"/>
                <w:w w:val="95"/>
                <w:sz w:val="20"/>
                <w:szCs w:val="20"/>
                <w:lang w:val="en-GB"/>
              </w:rPr>
              <w:t>-Stiftung SV’</w:t>
            </w:r>
          </w:p>
          <w:p w14:paraId="7FE1B891"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Lithuania</w:t>
            </w:r>
          </w:p>
          <w:p w14:paraId="7FE1B892"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Indėlių</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ir</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investicijų</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draudimas</w:t>
            </w:r>
            <w:proofErr w:type="spellEnd"/>
            <w:r>
              <w:rPr>
                <w:rFonts w:ascii="Times New Roman" w:eastAsia="Cambria" w:hAnsi="Times New Roman" w:cs="Times New Roman"/>
                <w:color w:val="000000" w:themeColor="text1"/>
                <w:spacing w:val="-2"/>
                <w:w w:val="95"/>
                <w:sz w:val="20"/>
                <w:szCs w:val="20"/>
                <w:lang w:val="en-GB"/>
              </w:rPr>
              <w:t>’</w:t>
            </w:r>
          </w:p>
          <w:p w14:paraId="7FE1B893"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Luxembourg</w:t>
            </w:r>
          </w:p>
          <w:p w14:paraId="7FE1B894" w14:textId="59F3019A"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fr-FR"/>
              </w:rPr>
            </w:pPr>
            <w:r>
              <w:rPr>
                <w:rFonts w:ascii="Times New Roman" w:eastAsia="Cambria" w:hAnsi="Times New Roman" w:cs="Times New Roman"/>
                <w:color w:val="000000" w:themeColor="text1"/>
                <w:spacing w:val="-2"/>
                <w:w w:val="95"/>
                <w:sz w:val="20"/>
                <w:szCs w:val="20"/>
                <w:lang w:val="fr-FR"/>
              </w:rPr>
              <w:t>‘Fond</w:t>
            </w:r>
            <w:r w:rsidR="00283DC8">
              <w:rPr>
                <w:rFonts w:ascii="Times New Roman" w:eastAsia="Cambria" w:hAnsi="Times New Roman" w:cs="Times New Roman"/>
                <w:color w:val="000000" w:themeColor="text1"/>
                <w:spacing w:val="-2"/>
                <w:w w:val="95"/>
                <w:sz w:val="20"/>
                <w:szCs w:val="20"/>
                <w:lang w:val="fr-FR"/>
              </w:rPr>
              <w:t>s</w:t>
            </w:r>
            <w:r>
              <w:rPr>
                <w:rFonts w:ascii="Times New Roman" w:eastAsia="Cambria" w:hAnsi="Times New Roman" w:cs="Times New Roman"/>
                <w:color w:val="000000" w:themeColor="text1"/>
                <w:spacing w:val="-2"/>
                <w:w w:val="95"/>
                <w:sz w:val="20"/>
                <w:szCs w:val="20"/>
                <w:lang w:val="fr-FR"/>
              </w:rPr>
              <w:t xml:space="preserve"> de garantie des Dépôts Luxembourg’</w:t>
            </w:r>
          </w:p>
          <w:p w14:paraId="7FE1B895"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Malta</w:t>
            </w:r>
          </w:p>
          <w:p w14:paraId="7FE1B896"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‘Depositor Compensation Scheme’</w:t>
            </w:r>
          </w:p>
          <w:p w14:paraId="7FE1B897"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Netherlands </w:t>
            </w:r>
          </w:p>
          <w:p w14:paraId="7FE1B898"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‘De </w:t>
            </w:r>
            <w:proofErr w:type="spellStart"/>
            <w:r>
              <w:rPr>
                <w:rFonts w:ascii="Times New Roman" w:eastAsia="Cambria" w:hAnsi="Times New Roman" w:cs="Times New Roman"/>
                <w:color w:val="000000" w:themeColor="text1"/>
                <w:spacing w:val="-2"/>
                <w:w w:val="95"/>
                <w:sz w:val="20"/>
                <w:szCs w:val="20"/>
                <w:lang w:val="en-GB"/>
              </w:rPr>
              <w:t>Nederlandsche</w:t>
            </w:r>
            <w:proofErr w:type="spellEnd"/>
            <w:r>
              <w:rPr>
                <w:rFonts w:ascii="Times New Roman" w:eastAsia="Cambria" w:hAnsi="Times New Roman" w:cs="Times New Roman"/>
                <w:color w:val="000000" w:themeColor="text1"/>
                <w:spacing w:val="-2"/>
                <w:w w:val="95"/>
                <w:sz w:val="20"/>
                <w:szCs w:val="20"/>
                <w:lang w:val="en-GB"/>
              </w:rPr>
              <w:t xml:space="preserve"> Bank, </w:t>
            </w:r>
            <w:proofErr w:type="spellStart"/>
            <w:r>
              <w:rPr>
                <w:rFonts w:ascii="Times New Roman" w:eastAsia="Cambria" w:hAnsi="Times New Roman" w:cs="Times New Roman"/>
                <w:color w:val="000000" w:themeColor="text1"/>
                <w:spacing w:val="-2"/>
                <w:w w:val="95"/>
                <w:sz w:val="20"/>
                <w:szCs w:val="20"/>
                <w:lang w:val="en-GB"/>
              </w:rPr>
              <w:t>Depositogarantiestelsel</w:t>
            </w:r>
            <w:proofErr w:type="spellEnd"/>
            <w:r>
              <w:rPr>
                <w:rFonts w:ascii="Times New Roman" w:eastAsia="Cambria" w:hAnsi="Times New Roman" w:cs="Times New Roman"/>
                <w:color w:val="000000" w:themeColor="text1"/>
                <w:spacing w:val="-2"/>
                <w:w w:val="95"/>
                <w:sz w:val="20"/>
                <w:szCs w:val="20"/>
                <w:lang w:val="en-GB"/>
              </w:rPr>
              <w:t>’</w:t>
            </w:r>
          </w:p>
          <w:p w14:paraId="7FE1B899"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Norway</w:t>
            </w:r>
          </w:p>
          <w:p w14:paraId="7FE1B89A"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‘Bankenes </w:t>
            </w:r>
            <w:proofErr w:type="spellStart"/>
            <w:r>
              <w:rPr>
                <w:rFonts w:ascii="Times New Roman" w:eastAsia="Cambria" w:hAnsi="Times New Roman" w:cs="Times New Roman"/>
                <w:color w:val="000000" w:themeColor="text1"/>
                <w:spacing w:val="-2"/>
                <w:w w:val="95"/>
                <w:sz w:val="20"/>
                <w:szCs w:val="20"/>
                <w:lang w:val="en-GB"/>
              </w:rPr>
              <w:t>sikringsfond</w:t>
            </w:r>
            <w:proofErr w:type="spellEnd"/>
            <w:r>
              <w:rPr>
                <w:rFonts w:ascii="Times New Roman" w:eastAsia="Cambria" w:hAnsi="Times New Roman" w:cs="Times New Roman"/>
                <w:color w:val="000000" w:themeColor="text1"/>
                <w:spacing w:val="-2"/>
                <w:w w:val="95"/>
                <w:sz w:val="20"/>
                <w:szCs w:val="20"/>
                <w:lang w:val="en-GB"/>
              </w:rPr>
              <w:t>’</w:t>
            </w:r>
          </w:p>
          <w:p w14:paraId="7FE1B89B"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Poland</w:t>
            </w:r>
          </w:p>
          <w:p w14:paraId="7FE1B89C"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Bankowy</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Fundusz</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Gwarancyjny</w:t>
            </w:r>
            <w:proofErr w:type="spellEnd"/>
            <w:r>
              <w:rPr>
                <w:rFonts w:ascii="Times New Roman" w:eastAsia="Cambria" w:hAnsi="Times New Roman" w:cs="Times New Roman"/>
                <w:color w:val="000000" w:themeColor="text1"/>
                <w:spacing w:val="-2"/>
                <w:w w:val="95"/>
                <w:sz w:val="20"/>
                <w:szCs w:val="20"/>
                <w:lang w:val="en-GB"/>
              </w:rPr>
              <w:t>’</w:t>
            </w:r>
          </w:p>
          <w:p w14:paraId="7FE1B89D"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Portugal</w:t>
            </w:r>
          </w:p>
          <w:p w14:paraId="7FE1B89E"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‘Fundo de </w:t>
            </w:r>
            <w:proofErr w:type="spellStart"/>
            <w:r>
              <w:rPr>
                <w:rFonts w:ascii="Times New Roman" w:eastAsia="Cambria" w:hAnsi="Times New Roman" w:cs="Times New Roman"/>
                <w:color w:val="000000" w:themeColor="text1"/>
                <w:spacing w:val="-2"/>
                <w:w w:val="95"/>
                <w:sz w:val="20"/>
                <w:szCs w:val="20"/>
                <w:lang w:val="en-GB"/>
              </w:rPr>
              <w:t>Garantia</w:t>
            </w:r>
            <w:proofErr w:type="spellEnd"/>
            <w:r>
              <w:rPr>
                <w:rFonts w:ascii="Times New Roman" w:eastAsia="Cambria" w:hAnsi="Times New Roman" w:cs="Times New Roman"/>
                <w:color w:val="000000" w:themeColor="text1"/>
                <w:spacing w:val="-2"/>
                <w:w w:val="95"/>
                <w:sz w:val="20"/>
                <w:szCs w:val="20"/>
                <w:lang w:val="en-GB"/>
              </w:rPr>
              <w:t xml:space="preserve"> de </w:t>
            </w:r>
            <w:proofErr w:type="spellStart"/>
            <w:r>
              <w:rPr>
                <w:rFonts w:ascii="Times New Roman" w:eastAsia="Cambria" w:hAnsi="Times New Roman" w:cs="Times New Roman"/>
                <w:color w:val="000000" w:themeColor="text1"/>
                <w:spacing w:val="-2"/>
                <w:w w:val="95"/>
                <w:sz w:val="20"/>
                <w:szCs w:val="20"/>
                <w:lang w:val="en-GB"/>
              </w:rPr>
              <w:t>Depósitos</w:t>
            </w:r>
            <w:proofErr w:type="spellEnd"/>
            <w:r>
              <w:rPr>
                <w:rFonts w:ascii="Times New Roman" w:eastAsia="Cambria" w:hAnsi="Times New Roman" w:cs="Times New Roman"/>
                <w:color w:val="000000" w:themeColor="text1"/>
                <w:spacing w:val="-2"/>
                <w:w w:val="95"/>
                <w:sz w:val="20"/>
                <w:szCs w:val="20"/>
                <w:lang w:val="en-GB"/>
              </w:rPr>
              <w:t>’</w:t>
            </w:r>
          </w:p>
          <w:p w14:paraId="7FE1B89F"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pt-PT"/>
              </w:rPr>
            </w:pPr>
            <w:r>
              <w:rPr>
                <w:rFonts w:ascii="Times New Roman" w:eastAsia="Cambria" w:hAnsi="Times New Roman" w:cs="Times New Roman"/>
                <w:color w:val="000000" w:themeColor="text1"/>
                <w:spacing w:val="-2"/>
                <w:w w:val="95"/>
                <w:sz w:val="20"/>
                <w:szCs w:val="20"/>
                <w:lang w:val="pt-PT"/>
              </w:rPr>
              <w:t>‘Fundo de Garantia do Crédito Agrícola Mútuo’</w:t>
            </w:r>
          </w:p>
          <w:p w14:paraId="7FE1B8A0"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Romania</w:t>
            </w:r>
          </w:p>
          <w:p w14:paraId="7FE1B8A1"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pt-PT"/>
              </w:rPr>
            </w:pPr>
            <w:r>
              <w:rPr>
                <w:rFonts w:ascii="Times New Roman" w:eastAsia="Cambria" w:hAnsi="Times New Roman" w:cs="Times New Roman"/>
                <w:color w:val="000000" w:themeColor="text1"/>
                <w:spacing w:val="-2"/>
                <w:w w:val="95"/>
                <w:sz w:val="20"/>
                <w:szCs w:val="20"/>
                <w:lang w:val="pt-PT"/>
              </w:rPr>
              <w:lastRenderedPageBreak/>
              <w:t>‘Fondul de Garantare a Depozitelor in Sistemul Bancar’</w:t>
            </w:r>
          </w:p>
          <w:p w14:paraId="7FE1B8A2"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Slovakia</w:t>
            </w:r>
          </w:p>
          <w:p w14:paraId="7FE1B8A3"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‘Fond </w:t>
            </w:r>
            <w:proofErr w:type="spellStart"/>
            <w:r>
              <w:rPr>
                <w:rFonts w:ascii="Times New Roman" w:eastAsia="Cambria" w:hAnsi="Times New Roman" w:cs="Times New Roman"/>
                <w:color w:val="000000" w:themeColor="text1"/>
                <w:spacing w:val="-2"/>
                <w:w w:val="95"/>
                <w:sz w:val="20"/>
                <w:szCs w:val="20"/>
                <w:lang w:val="en-GB"/>
              </w:rPr>
              <w:t>ochrany</w:t>
            </w:r>
            <w:proofErr w:type="spellEnd"/>
            <w:r>
              <w:rPr>
                <w:rFonts w:ascii="Times New Roman" w:eastAsia="Cambria" w:hAnsi="Times New Roman" w:cs="Times New Roman"/>
                <w:color w:val="000000" w:themeColor="text1"/>
                <w:spacing w:val="-2"/>
                <w:w w:val="95"/>
                <w:sz w:val="20"/>
                <w:szCs w:val="20"/>
                <w:lang w:val="en-GB"/>
              </w:rPr>
              <w:t xml:space="preserve"> </w:t>
            </w:r>
            <w:proofErr w:type="spellStart"/>
            <w:r>
              <w:rPr>
                <w:rFonts w:ascii="Times New Roman" w:eastAsia="Cambria" w:hAnsi="Times New Roman" w:cs="Times New Roman"/>
                <w:color w:val="000000" w:themeColor="text1"/>
                <w:spacing w:val="-2"/>
                <w:w w:val="95"/>
                <w:sz w:val="20"/>
                <w:szCs w:val="20"/>
                <w:lang w:val="en-GB"/>
              </w:rPr>
              <w:t>vkladov</w:t>
            </w:r>
            <w:proofErr w:type="spellEnd"/>
            <w:r>
              <w:rPr>
                <w:rFonts w:ascii="Times New Roman" w:eastAsia="Cambria" w:hAnsi="Times New Roman" w:cs="Times New Roman"/>
                <w:color w:val="000000" w:themeColor="text1"/>
                <w:spacing w:val="-2"/>
                <w:w w:val="95"/>
                <w:sz w:val="20"/>
                <w:szCs w:val="20"/>
                <w:lang w:val="en-GB"/>
              </w:rPr>
              <w:t>’</w:t>
            </w:r>
          </w:p>
          <w:p w14:paraId="7FE1B8A4"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Slovenia </w:t>
            </w:r>
          </w:p>
          <w:p w14:paraId="7FE1B8A5"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‘Banka </w:t>
            </w:r>
            <w:proofErr w:type="spellStart"/>
            <w:r>
              <w:rPr>
                <w:rFonts w:ascii="Times New Roman" w:eastAsia="Cambria" w:hAnsi="Times New Roman" w:cs="Times New Roman"/>
                <w:color w:val="000000" w:themeColor="text1"/>
                <w:spacing w:val="-2"/>
                <w:w w:val="95"/>
                <w:sz w:val="20"/>
                <w:szCs w:val="20"/>
                <w:lang w:val="en-GB"/>
              </w:rPr>
              <w:t>Slovenije</w:t>
            </w:r>
            <w:proofErr w:type="spellEnd"/>
            <w:r>
              <w:rPr>
                <w:rFonts w:ascii="Times New Roman" w:eastAsia="Cambria" w:hAnsi="Times New Roman" w:cs="Times New Roman"/>
                <w:color w:val="000000" w:themeColor="text1"/>
                <w:spacing w:val="-2"/>
                <w:w w:val="95"/>
                <w:sz w:val="20"/>
                <w:szCs w:val="20"/>
                <w:lang w:val="en-GB"/>
              </w:rPr>
              <w:t>’</w:t>
            </w:r>
          </w:p>
          <w:p w14:paraId="7FE1B8A6"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Spain</w:t>
            </w:r>
          </w:p>
          <w:p w14:paraId="7FE1B8A7" w14:textId="77777777" w:rsidR="00CC0A94" w:rsidRPr="002F61BB"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s-ES"/>
              </w:rPr>
            </w:pPr>
            <w:r w:rsidRPr="002F61BB">
              <w:rPr>
                <w:rFonts w:ascii="Times New Roman" w:eastAsia="Cambria" w:hAnsi="Times New Roman" w:cs="Times New Roman"/>
                <w:color w:val="000000" w:themeColor="text1"/>
                <w:spacing w:val="-2"/>
                <w:w w:val="95"/>
                <w:sz w:val="20"/>
                <w:szCs w:val="20"/>
                <w:lang w:val="es-ES"/>
              </w:rPr>
              <w:t>‘Fondo de Garantía de Depósitos de Entidades de Crédito’</w:t>
            </w:r>
          </w:p>
          <w:p w14:paraId="7FE1B8A8"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Sweden</w:t>
            </w:r>
          </w:p>
          <w:p w14:paraId="7FE1B8A9"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proofErr w:type="spellStart"/>
            <w:r>
              <w:rPr>
                <w:rFonts w:ascii="Times New Roman" w:eastAsia="Cambria" w:hAnsi="Times New Roman" w:cs="Times New Roman"/>
                <w:color w:val="000000" w:themeColor="text1"/>
                <w:spacing w:val="-2"/>
                <w:w w:val="95"/>
                <w:sz w:val="20"/>
                <w:szCs w:val="20"/>
                <w:lang w:val="en-GB"/>
              </w:rPr>
              <w:t>Riksgälden</w:t>
            </w:r>
            <w:proofErr w:type="spellEnd"/>
            <w:r>
              <w:rPr>
                <w:rFonts w:ascii="Times New Roman" w:eastAsia="Cambria" w:hAnsi="Times New Roman" w:cs="Times New Roman"/>
                <w:color w:val="000000" w:themeColor="text1"/>
                <w:spacing w:val="-2"/>
                <w:w w:val="95"/>
                <w:sz w:val="20"/>
                <w:szCs w:val="20"/>
                <w:lang w:val="en-GB"/>
              </w:rPr>
              <w:t>’</w:t>
            </w:r>
          </w:p>
          <w:p w14:paraId="7FE1B8AC"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
          <w:p w14:paraId="7FE1B8A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If the officially recognised DGS of which the entity is member is not listed above, ‘other’ shall be reported.</w:t>
            </w:r>
          </w:p>
        </w:tc>
      </w:tr>
      <w:tr w:rsidR="00CC0A94"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Amount of covered deposits</w:t>
            </w:r>
          </w:p>
          <w:p w14:paraId="7FE1B8B1"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Articles 2(1)(5) and 6(2) of Directive 2014/49/EU</w:t>
            </w:r>
          </w:p>
          <w:p w14:paraId="7FE1B8B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w:t>
            </w:r>
            <w:proofErr w:type="gramStart"/>
            <w:r>
              <w:rPr>
                <w:rFonts w:ascii="Times New Roman" w:eastAsia="Cambria" w:hAnsi="Times New Roman" w:cs="Times New Roman"/>
                <w:color w:val="000000" w:themeColor="text1"/>
                <w:spacing w:val="-2"/>
                <w:w w:val="95"/>
                <w:sz w:val="20"/>
                <w:szCs w:val="20"/>
                <w:lang w:val="en-GB"/>
              </w:rPr>
              <w:t>amount</w:t>
            </w:r>
            <w:proofErr w:type="gramEnd"/>
            <w:r>
              <w:rPr>
                <w:rFonts w:ascii="Times New Roman" w:eastAsia="Cambria" w:hAnsi="Times New Roman" w:cs="Times New Roman"/>
                <w:color w:val="000000" w:themeColor="text1"/>
                <w:spacing w:val="-2"/>
                <w:w w:val="95"/>
                <w:sz w:val="20"/>
                <w:szCs w:val="20"/>
                <w:lang w:val="en-GB"/>
              </w:rPr>
              <w:t xml:space="preserve"> of covered deposits as defined in point (5) of Article 2 (1), in conjunction with Article 6, of the Directive 2014/49/EU, as covered by the DGS in row 00030, with the exclusion of temporary high balances as defined in Article 6(2) of Directive 2014/49/EU.</w:t>
            </w:r>
          </w:p>
        </w:tc>
      </w:tr>
      <w:tr w:rsidR="00CC0A94"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7892" w:type="dxa"/>
            <w:tcBorders>
              <w:top w:val="single" w:sz="4" w:space="0" w:color="1A171C"/>
              <w:left w:val="single" w:sz="4" w:space="0" w:color="1A171C"/>
              <w:bottom w:val="single" w:sz="4" w:space="0" w:color="1A171C"/>
              <w:right w:val="nil"/>
            </w:tcBorders>
          </w:tcPr>
          <w:p w14:paraId="7FE1B8B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Institutional Protection Scheme</w:t>
            </w:r>
          </w:p>
          <w:p w14:paraId="7FE1B8B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113(7) of Regulation (EU) No 575/2013</w:t>
            </w:r>
          </w:p>
          <w:p w14:paraId="7FE1B8B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Institutional Protection Scheme, as referred to in Article 113(7) Regulation (EU) No 575/2013, of which the entity is a member. Do not report anything if the entity is not a member of an IPS. If the entity is member of an IPS which is also officially recognised as a DGS pursuant to Article 4(2) of Directive 2014/49/EU, the name of the IPS shall be identical to the name of the DGS in row 0030.</w:t>
            </w:r>
          </w:p>
          <w:p w14:paraId="7FE1B8B8"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
        </w:tc>
      </w:tr>
      <w:tr w:rsidR="00CC0A94"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7892" w:type="dxa"/>
            <w:tcBorders>
              <w:top w:val="single" w:sz="4" w:space="0" w:color="1A171C"/>
              <w:left w:val="single" w:sz="4" w:space="0" w:color="1A171C"/>
              <w:bottom w:val="single" w:sz="4" w:space="0" w:color="1A171C"/>
              <w:right w:val="nil"/>
            </w:tcBorders>
          </w:tcPr>
          <w:p w14:paraId="7FE1B8B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Additional protection under contractual scheme</w:t>
            </w:r>
          </w:p>
          <w:p w14:paraId="7FE1B8B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1(3) (a) of Directive 2014/49/EU</w:t>
            </w:r>
          </w:p>
          <w:p w14:paraId="7FE1B8B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roofErr w:type="gramStart"/>
            <w:r>
              <w:rPr>
                <w:rFonts w:ascii="Times New Roman" w:eastAsia="Cambria" w:hAnsi="Times New Roman" w:cs="Times New Roman"/>
                <w:color w:val="000000" w:themeColor="text1"/>
                <w:spacing w:val="-2"/>
                <w:w w:val="95"/>
                <w:sz w:val="20"/>
                <w:szCs w:val="20"/>
                <w:lang w:val="en-GB"/>
              </w:rPr>
              <w:t>Amount</w:t>
            </w:r>
            <w:proofErr w:type="gramEnd"/>
            <w:r>
              <w:rPr>
                <w:rFonts w:ascii="Times New Roman" w:eastAsia="Cambria" w:hAnsi="Times New Roman" w:cs="Times New Roman"/>
                <w:color w:val="000000" w:themeColor="text1"/>
                <w:spacing w:val="-2"/>
                <w:w w:val="95"/>
                <w:sz w:val="20"/>
                <w:szCs w:val="20"/>
                <w:lang w:val="en-GB"/>
              </w:rPr>
              <w:t xml:space="preserve"> of deposits covered by a contractual scheme at the Entity.</w:t>
            </w:r>
          </w:p>
        </w:tc>
      </w:tr>
    </w:tbl>
    <w:p w14:paraId="7FE1B8BF" w14:textId="77777777" w:rsidR="00CC0A94" w:rsidRDefault="00CC0A94">
      <w:pPr>
        <w:rPr>
          <w:rFonts w:ascii="Times New Roman" w:hAnsi="Times New Roman" w:cs="Times New Roman"/>
          <w:b/>
          <w:color w:val="000000" w:themeColor="text1"/>
          <w:sz w:val="20"/>
          <w:szCs w:val="20"/>
          <w:u w:val="single"/>
          <w:lang w:val="en-GB"/>
        </w:rPr>
      </w:pPr>
    </w:p>
    <w:p w14:paraId="7FE1B8C0" w14:textId="77777777" w:rsidR="00CC0A94" w:rsidRDefault="006C1571">
      <w:pPr>
        <w:pStyle w:val="Instructionsberschrift2"/>
        <w:numPr>
          <w:ilvl w:val="1"/>
          <w:numId w:val="49"/>
        </w:numPr>
        <w:ind w:left="357" w:hanging="357"/>
        <w:rPr>
          <w:rFonts w:ascii="Times New Roman" w:hAnsi="Times New Roman" w:cs="Times New Roman"/>
        </w:rPr>
      </w:pPr>
      <w:bookmarkStart w:id="100" w:name="_Toc492542327"/>
      <w:bookmarkStart w:id="101" w:name="_Toc81454186"/>
      <w:bookmarkStart w:id="102" w:name="_Toc192249049"/>
      <w:r>
        <w:rPr>
          <w:rFonts w:ascii="Times New Roman" w:hAnsi="Times New Roman" w:cs="Times New Roman"/>
        </w:rPr>
        <w:t>Critical functions and core business lines</w:t>
      </w:r>
      <w:bookmarkEnd w:id="100"/>
      <w:bookmarkEnd w:id="101"/>
      <w:bookmarkEnd w:id="102"/>
    </w:p>
    <w:p w14:paraId="7FE1B8C2" w14:textId="77777777" w:rsidR="00CC0A94" w:rsidRDefault="006C1571">
      <w:pPr>
        <w:pStyle w:val="Instructionsberschrift3"/>
        <w:rPr>
          <w:lang w:val="en-GB"/>
        </w:rPr>
      </w:pPr>
      <w:bookmarkStart w:id="103" w:name="_Toc189492773"/>
      <w:bookmarkStart w:id="104" w:name="_Toc192249050"/>
      <w:bookmarkEnd w:id="103"/>
      <w:bookmarkEnd w:id="104"/>
      <w:r>
        <w:rPr>
          <w:lang w:val="en-GB"/>
        </w:rPr>
        <w:t>General remarks</w:t>
      </w:r>
    </w:p>
    <w:p w14:paraId="7FE1B8C3" w14:textId="249305A0"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 four templates of this section provide key data and qualitative assessments of the impact, substitutability and criticality of economic functions the group is providing, supplemented by a mapping of those critical functions to core business lines and legal entities and by a mapping of core business lines to the legal entities.</w:t>
      </w:r>
    </w:p>
    <w:p w14:paraId="7FE1B8C4"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More specifically, the templates are dedicated to the following topics:</w:t>
      </w:r>
    </w:p>
    <w:p w14:paraId="7FE1B8C5" w14:textId="0233F295" w:rsidR="00CC0A94" w:rsidRDefault="006C1571">
      <w:pPr>
        <w:pStyle w:val="InstructionsText2"/>
        <w:numPr>
          <w:ilvl w:val="0"/>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Template Z 07.01 - Criticality assessment of economic functions (FUNC 1) provides the results of the criticality assessment of the economic functions performed by the group, based on quantitative and qualitative indicators, the non-critical and critical functions performed. A separate template is expected from the group for each Member State in which the group is active. The following categories of economic functions have been identified for reporting:</w:t>
      </w:r>
    </w:p>
    <w:p w14:paraId="7FE1B8C6" w14:textId="43527C6F" w:rsidR="00CC0A94" w:rsidRDefault="005F7477">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07.01.1 </w:t>
      </w:r>
      <w:r w:rsidR="006C1571">
        <w:rPr>
          <w:rFonts w:ascii="Times New Roman" w:hAnsi="Times New Roman" w:cs="Times New Roman"/>
          <w:sz w:val="20"/>
          <w:szCs w:val="20"/>
          <w:lang w:val="en-GB"/>
        </w:rPr>
        <w:t>Deposits</w:t>
      </w:r>
    </w:p>
    <w:p w14:paraId="7FE1B8C7" w14:textId="46AB6183" w:rsidR="00CC0A94" w:rsidRDefault="005F7477">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Z 07.01.2 </w:t>
      </w:r>
      <w:r w:rsidR="006C1571">
        <w:rPr>
          <w:rFonts w:ascii="Times New Roman" w:hAnsi="Times New Roman" w:cs="Times New Roman"/>
          <w:sz w:val="20"/>
          <w:szCs w:val="20"/>
          <w:lang w:val="en-GB"/>
        </w:rPr>
        <w:t>Lending</w:t>
      </w:r>
    </w:p>
    <w:p w14:paraId="7FE1B8C8" w14:textId="284FDD0B" w:rsidR="00CC0A94" w:rsidRDefault="005F7477">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07.01.3 </w:t>
      </w:r>
      <w:r w:rsidR="006C1571">
        <w:rPr>
          <w:rFonts w:ascii="Times New Roman" w:hAnsi="Times New Roman" w:cs="Times New Roman"/>
          <w:sz w:val="20"/>
          <w:szCs w:val="20"/>
          <w:lang w:val="en-GB"/>
        </w:rPr>
        <w:t>Payments, Cash, Settlement, Clearing, Custody services</w:t>
      </w:r>
    </w:p>
    <w:p w14:paraId="7FE1B8C9" w14:textId="12E4110D" w:rsidR="00CC0A94" w:rsidRDefault="005F7477">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07.01.4 </w:t>
      </w:r>
      <w:r w:rsidR="006C1571">
        <w:rPr>
          <w:rFonts w:ascii="Times New Roman" w:hAnsi="Times New Roman" w:cs="Times New Roman"/>
          <w:sz w:val="20"/>
          <w:szCs w:val="20"/>
          <w:lang w:val="en-GB"/>
        </w:rPr>
        <w:t>Capital Markets</w:t>
      </w:r>
    </w:p>
    <w:p w14:paraId="7FE1B8CA" w14:textId="02162CC7" w:rsidR="00CC0A94" w:rsidRDefault="005F7477" w:rsidP="002F61BB">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07.01.5 </w:t>
      </w:r>
      <w:r w:rsidR="006C1571">
        <w:rPr>
          <w:rFonts w:ascii="Times New Roman" w:hAnsi="Times New Roman" w:cs="Times New Roman"/>
          <w:sz w:val="20"/>
          <w:szCs w:val="20"/>
          <w:lang w:val="en-GB"/>
        </w:rPr>
        <w:t>Wholesale Funding</w:t>
      </w:r>
    </w:p>
    <w:p w14:paraId="7FE1B8CB" w14:textId="006771C1" w:rsidR="00CC0A94" w:rsidRDefault="006C1571">
      <w:pPr>
        <w:pStyle w:val="InstructionsText2"/>
        <w:numPr>
          <w:ilvl w:val="0"/>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Template Z 07.02 - Mapping of economic functions to legal entities (FUNC 2) maps the economic functions, assessed in Z 07.01, with legal entities or international branches, as identified in Z 01.01.</w:t>
      </w:r>
    </w:p>
    <w:p w14:paraId="7FE1B8CC" w14:textId="0C5FD434" w:rsidR="00CC0A94" w:rsidRDefault="006C1571">
      <w:pPr>
        <w:pStyle w:val="InstructionsText2"/>
        <w:numPr>
          <w:ilvl w:val="0"/>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Template Z 07.03 - Mapping of Core Business Lines by legal entities (FUNC 3) provides a full list </w:t>
      </w:r>
      <w:proofErr w:type="gramStart"/>
      <w:r>
        <w:rPr>
          <w:rFonts w:ascii="Times New Roman" w:hAnsi="Times New Roman" w:cs="Times New Roman"/>
          <w:sz w:val="20"/>
          <w:szCs w:val="20"/>
          <w:lang w:val="en-GB"/>
        </w:rPr>
        <w:t>of  core</w:t>
      </w:r>
      <w:proofErr w:type="gramEnd"/>
      <w:r>
        <w:rPr>
          <w:rFonts w:ascii="Times New Roman" w:hAnsi="Times New Roman" w:cs="Times New Roman"/>
          <w:sz w:val="20"/>
          <w:szCs w:val="20"/>
          <w:lang w:val="en-GB"/>
        </w:rPr>
        <w:t xml:space="preserve"> business </w:t>
      </w:r>
      <w:proofErr w:type="gramStart"/>
      <w:r>
        <w:rPr>
          <w:rFonts w:ascii="Times New Roman" w:hAnsi="Times New Roman" w:cs="Times New Roman"/>
          <w:sz w:val="20"/>
          <w:szCs w:val="20"/>
          <w:lang w:val="en-GB"/>
        </w:rPr>
        <w:t>lines  and</w:t>
      </w:r>
      <w:proofErr w:type="gramEnd"/>
      <w:r>
        <w:rPr>
          <w:rFonts w:ascii="Times New Roman" w:hAnsi="Times New Roman" w:cs="Times New Roman"/>
          <w:sz w:val="20"/>
          <w:szCs w:val="20"/>
          <w:lang w:val="en-GB"/>
        </w:rPr>
        <w:t xml:space="preserve"> maps them to legal </w:t>
      </w:r>
      <w:proofErr w:type="gramStart"/>
      <w:r>
        <w:rPr>
          <w:rFonts w:ascii="Times New Roman" w:hAnsi="Times New Roman" w:cs="Times New Roman"/>
          <w:sz w:val="20"/>
          <w:szCs w:val="20"/>
          <w:lang w:val="en-GB"/>
        </w:rPr>
        <w:t>entities;</w:t>
      </w:r>
      <w:proofErr w:type="gramEnd"/>
    </w:p>
    <w:p w14:paraId="7FE1B8CD" w14:textId="780FA7AD" w:rsidR="00CC0A94" w:rsidRDefault="006C1571">
      <w:pPr>
        <w:pStyle w:val="InstructionsText2"/>
        <w:numPr>
          <w:ilvl w:val="0"/>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Template Z 07.04 - Mapping of </w:t>
      </w:r>
      <w:r w:rsidR="00124735">
        <w:rPr>
          <w:rFonts w:ascii="Times New Roman" w:hAnsi="Times New Roman" w:cs="Times New Roman"/>
          <w:sz w:val="20"/>
          <w:szCs w:val="20"/>
          <w:lang w:val="en-GB"/>
        </w:rPr>
        <w:t xml:space="preserve">economic </w:t>
      </w:r>
      <w:r>
        <w:rPr>
          <w:rFonts w:ascii="Times New Roman" w:hAnsi="Times New Roman" w:cs="Times New Roman"/>
          <w:sz w:val="20"/>
          <w:szCs w:val="20"/>
          <w:lang w:val="en-GB"/>
        </w:rPr>
        <w:t xml:space="preserve">functions to core business lines (FUNC 4) maps the identified </w:t>
      </w:r>
      <w:r w:rsidR="00124735">
        <w:rPr>
          <w:rFonts w:ascii="Times New Roman" w:hAnsi="Times New Roman" w:cs="Times New Roman"/>
          <w:sz w:val="20"/>
          <w:szCs w:val="20"/>
          <w:lang w:val="en-GB"/>
        </w:rPr>
        <w:t xml:space="preserve">economic </w:t>
      </w:r>
      <w:r>
        <w:rPr>
          <w:rFonts w:ascii="Times New Roman" w:hAnsi="Times New Roman" w:cs="Times New Roman"/>
          <w:sz w:val="20"/>
          <w:szCs w:val="20"/>
          <w:lang w:val="en-GB"/>
        </w:rPr>
        <w:t xml:space="preserve">functions to core business lines </w:t>
      </w:r>
    </w:p>
    <w:p w14:paraId="7FE1B8CE" w14:textId="0BA07F41"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Pursuant to Article 2(1) point 35 of the Directive 2014/59/EU, critical functions means activities, services or operations the discontinuance of which is likely in one or more Member States, to lead to the disruption of services that are essential to the real economy or to disrupt financial stability due to the size, market share, external and internal interconnectedness, complexity or cross-border activities of an institution or group, with particular regard to the substitutability of those activities, services or operations. </w:t>
      </w:r>
    </w:p>
    <w:p w14:paraId="7FE1B8D0"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Pursuant to Article 6(1) of Commission Regulation (EU) 2016/778</w:t>
      </w:r>
      <w:r w:rsidRPr="002F61BB">
        <w:rPr>
          <w:rFonts w:ascii="Times New Roman" w:hAnsi="Times New Roman" w:cs="Times New Roman"/>
          <w:sz w:val="20"/>
          <w:szCs w:val="20"/>
          <w:vertAlign w:val="superscript"/>
          <w:lang w:val="en-GB"/>
        </w:rPr>
        <w:footnoteReference w:id="18"/>
      </w:r>
      <w:r>
        <w:rPr>
          <w:rFonts w:ascii="Times New Roman" w:hAnsi="Times New Roman" w:cs="Times New Roman"/>
          <w:sz w:val="20"/>
          <w:szCs w:val="20"/>
          <w:lang w:val="en-GB"/>
        </w:rPr>
        <w:t>, a function shall be considered critical, when it meets both of the following:</w:t>
      </w:r>
    </w:p>
    <w:p w14:paraId="7FE1B8D1" w14:textId="77777777" w:rsidR="00CC0A94" w:rsidRDefault="006C1571">
      <w:pPr>
        <w:numPr>
          <w:ilvl w:val="0"/>
          <w:numId w:val="56"/>
        </w:numPr>
        <w:spacing w:line="276" w:lineRule="auto"/>
        <w:contextualSpacing/>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function is provided by an institution to third parties not affiliated to the institution or group; and</w:t>
      </w:r>
    </w:p>
    <w:p w14:paraId="7FE1B8D2" w14:textId="77777777" w:rsidR="00CC0A94" w:rsidRDefault="006C1571">
      <w:pPr>
        <w:numPr>
          <w:ilvl w:val="0"/>
          <w:numId w:val="56"/>
        </w:numPr>
        <w:spacing w:line="276" w:lineRule="auto"/>
        <w:contextualSpacing/>
        <w:jc w:val="both"/>
        <w:rPr>
          <w:rFonts w:ascii="Times New Roman" w:hAnsi="Times New Roman" w:cs="Times New Roman"/>
          <w:i/>
          <w:color w:val="000000" w:themeColor="text1"/>
          <w:sz w:val="20"/>
          <w:szCs w:val="20"/>
          <w:lang w:val="en-GB"/>
        </w:rPr>
      </w:pPr>
      <w:r>
        <w:rPr>
          <w:rFonts w:ascii="Times New Roman" w:hAnsi="Times New Roman" w:cs="Times New Roman"/>
          <w:color w:val="000000" w:themeColor="text1"/>
          <w:sz w:val="20"/>
          <w:szCs w:val="20"/>
          <w:lang w:val="en-GB"/>
        </w:rPr>
        <w:t>a sudden disruption would likely have a material negative impact on the third parties, give rise to contagion or undermine the general confidence of market participants due to the systemic relevance of the function for the third parties and the systemic relevance of the institution or group in providing the function.</w:t>
      </w:r>
    </w:p>
    <w:p w14:paraId="7FE1B8D3" w14:textId="6B4413EC"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Pursuant to Article 2(1), point 36 of the Directive 2014/59/EU, core business lines </w:t>
      </w:r>
      <w:proofErr w:type="gramStart"/>
      <w:r>
        <w:rPr>
          <w:rFonts w:ascii="Times New Roman" w:hAnsi="Times New Roman" w:cs="Times New Roman"/>
          <w:sz w:val="20"/>
          <w:szCs w:val="20"/>
          <w:lang w:val="en-GB"/>
        </w:rPr>
        <w:t>means</w:t>
      </w:r>
      <w:proofErr w:type="gramEnd"/>
      <w:r>
        <w:rPr>
          <w:rFonts w:ascii="Times New Roman" w:hAnsi="Times New Roman" w:cs="Times New Roman"/>
          <w:sz w:val="20"/>
          <w:szCs w:val="20"/>
          <w:lang w:val="en-GB"/>
        </w:rPr>
        <w:t xml:space="preserve"> business lines and associated services which represent material sources of revenue, profit or franchise value for an institution or for a group of which an institution forms part.</w:t>
      </w:r>
    </w:p>
    <w:p w14:paraId="7FE1B8D4"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the purposes of this template, economic functions shall refer to the functions listed in the table below.</w:t>
      </w:r>
    </w:p>
    <w:p w14:paraId="7FE1B8D5"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each category of economic functions, an economic function ‘other’ may be chosen if the function is not captured by the other predefined functions.</w:t>
      </w:r>
    </w:p>
    <w:p w14:paraId="7FE1B8D6"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Counterparties referred to in rows 0010 to 0070 and </w:t>
      </w:r>
      <w:proofErr w:type="spellStart"/>
      <w:r>
        <w:rPr>
          <w:rFonts w:ascii="Times New Roman" w:hAnsi="Times New Roman" w:cs="Times New Roman"/>
          <w:sz w:val="20"/>
          <w:szCs w:val="20"/>
          <w:lang w:val="en-GB"/>
        </w:rPr>
        <w:t>rows</w:t>
      </w:r>
      <w:proofErr w:type="spellEnd"/>
      <w:r>
        <w:rPr>
          <w:rFonts w:ascii="Times New Roman" w:hAnsi="Times New Roman" w:cs="Times New Roman"/>
          <w:sz w:val="20"/>
          <w:szCs w:val="20"/>
          <w:lang w:val="en-GB"/>
        </w:rPr>
        <w:t xml:space="preserve"> 0080 to 0150 are defined identically to counterparty sectors as provided in FINREP, Annex V, Part 1, chapter 6. ‘SMEs’ refers to SMEs as defined in FINREP, Annex V, Part 1, paragraph 5, point (i).</w:t>
      </w:r>
    </w:p>
    <w:p w14:paraId="7FE1B8D7" w14:textId="4FEDF533" w:rsidR="00CC0A94" w:rsidRDefault="006C1571" w:rsidP="002F61BB">
      <w:pPr>
        <w:pStyle w:val="InstructionsText2"/>
        <w:numPr>
          <w:ilvl w:val="0"/>
          <w:numId w:val="0"/>
        </w:numPr>
        <w:rPr>
          <w:rFonts w:ascii="Times New Roman" w:hAnsi="Times New Roman" w:cs="Times New Roman"/>
          <w:sz w:val="20"/>
          <w:szCs w:val="20"/>
          <w:lang w:val="en-GB"/>
        </w:rPr>
      </w:pPr>
      <w:r w:rsidRPr="029F4E13">
        <w:rPr>
          <w:rFonts w:ascii="Times New Roman" w:hAnsi="Times New Roman" w:cs="Times New Roman"/>
          <w:sz w:val="20"/>
          <w:szCs w:val="20"/>
          <w:lang w:val="en-GB"/>
        </w:rPr>
        <w:t>A separate tab is expected for each of the economic functions categories.</w:t>
      </w:r>
      <w:r w:rsidRPr="029F4E13">
        <w:rPr>
          <w:rFonts w:ascii="Times New Roman" w:hAnsi="Times New Roman" w:cs="Times New Roman"/>
        </w:rPr>
        <w:t xml:space="preserve"> </w:t>
      </w:r>
    </w:p>
    <w:p w14:paraId="072982A7" w14:textId="0688FD4A" w:rsidR="00591328" w:rsidRDefault="00591328">
      <w:pPr>
        <w:spacing w:after="200" w:line="276" w:lineRule="auto"/>
      </w:pPr>
      <w:r>
        <w:br w:type="page"/>
      </w:r>
    </w:p>
    <w:p w14:paraId="7FE1B95D" w14:textId="634EB818" w:rsidR="00CC0A94" w:rsidRDefault="00CC0A94" w:rsidP="029F4E13">
      <w:pPr>
        <w:pStyle w:val="InstructionsText2"/>
        <w:numPr>
          <w:ilvl w:val="0"/>
          <w:numId w:val="0"/>
        </w:numPr>
        <w:rPr>
          <w:rFonts w:ascii="Times New Roman" w:hAnsi="Times New Roman" w:cs="Times New Roman"/>
          <w:color w:val="000000" w:themeColor="text1"/>
        </w:rPr>
      </w:pPr>
    </w:p>
    <w:p w14:paraId="7FE1B95E" w14:textId="77777777" w:rsidR="00CC0A94" w:rsidRDefault="006C1571">
      <w:pPr>
        <w:pStyle w:val="Instructionsberschrift2"/>
        <w:numPr>
          <w:ilvl w:val="1"/>
          <w:numId w:val="49"/>
        </w:numPr>
        <w:ind w:left="357" w:hanging="357"/>
        <w:rPr>
          <w:rFonts w:ascii="Times New Roman" w:hAnsi="Times New Roman" w:cs="Times New Roman"/>
        </w:rPr>
      </w:pPr>
      <w:bookmarkStart w:id="105" w:name="_Toc192249051"/>
      <w:r>
        <w:rPr>
          <w:rFonts w:ascii="Times New Roman" w:hAnsi="Times New Roman" w:cs="Times New Roman"/>
          <w:lang w:val="en-US"/>
        </w:rPr>
        <w:t>Z 07.01 – Criticality assessment of economic functions (FUNC 1)</w:t>
      </w:r>
      <w:bookmarkEnd w:id="105"/>
    </w:p>
    <w:p w14:paraId="7FE1B960" w14:textId="7174EDC4" w:rsidR="00CC0A94" w:rsidRDefault="006C1571">
      <w:pPr>
        <w:pStyle w:val="Instructionsberschrift2"/>
        <w:rPr>
          <w:rFonts w:ascii="Times New Roman" w:hAnsi="Times New Roman" w:cs="Times New Roman"/>
        </w:rPr>
      </w:pPr>
      <w:r w:rsidRPr="002F61BB">
        <w:rPr>
          <w:rFonts w:ascii="Times New Roman" w:hAnsi="Times New Roman" w:cs="Times New Roman"/>
        </w:rPr>
        <w:t xml:space="preserve"> </w:t>
      </w:r>
      <w:bookmarkStart w:id="106" w:name="_Toc172723210"/>
      <w:bookmarkEnd w:id="106"/>
    </w:p>
    <w:p w14:paraId="7FE1B961" w14:textId="77777777" w:rsidR="00CC0A94" w:rsidRPr="002F61BB" w:rsidRDefault="006C1571" w:rsidP="002F61BB">
      <w:pPr>
        <w:pStyle w:val="body"/>
        <w:rPr>
          <w:rFonts w:ascii="Times New Roman" w:hAnsi="Times New Roman" w:cs="Times New Roman"/>
          <w:szCs w:val="20"/>
          <w:lang w:eastAsia="de-DE"/>
        </w:rPr>
      </w:pPr>
      <w:bookmarkStart w:id="107" w:name="_Toc164263845"/>
      <w:r w:rsidRPr="002F61BB">
        <w:rPr>
          <w:rFonts w:ascii="Times New Roman" w:hAnsi="Times New Roman" w:cs="Times New Roman"/>
          <w:sz w:val="20"/>
          <w:szCs w:val="20"/>
          <w:u w:val="single"/>
          <w:lang w:eastAsia="de-DE"/>
        </w:rPr>
        <w:t>Instructions concerning specific positions</w:t>
      </w:r>
      <w:bookmarkEnd w:id="107"/>
    </w:p>
    <w:p w14:paraId="7FE1B963"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template shall be reported once for each Member state (identified as ‘country’) in which the group is active. In all cases (irrespectively of the entry point), branches shall be aggregated in the report of the country in which they provide services.</w:t>
      </w:r>
    </w:p>
    <w:p w14:paraId="7FE1B964"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It covers all economic functions performed in that Member state by any group entity, whether that function represents a critical function or not.</w:t>
      </w:r>
    </w:p>
    <w:p w14:paraId="7FE1B965" w14:textId="2359C381" w:rsidR="00CC0A94" w:rsidRDefault="006C1571">
      <w:pPr>
        <w:pStyle w:val="InstructionsText2"/>
        <w:numPr>
          <w:ilvl w:val="0"/>
          <w:numId w:val="232"/>
        </w:numPr>
        <w:rPr>
          <w:rFonts w:ascii="Times New Roman" w:hAnsi="Times New Roman" w:cs="Times New Roman"/>
          <w:sz w:val="20"/>
          <w:szCs w:val="20"/>
          <w:lang w:val="en-GB"/>
        </w:rPr>
      </w:pPr>
      <w:r>
        <w:rPr>
          <w:rFonts w:ascii="Times New Roman" w:hAnsi="Times New Roman" w:cs="Times New Roman"/>
          <w:sz w:val="20"/>
          <w:szCs w:val="20"/>
          <w:lang w:val="en-GB"/>
        </w:rPr>
        <w:t>Regional Reporting (only when applicable)</w:t>
      </w:r>
    </w:p>
    <w:p w14:paraId="7FE1B966" w14:textId="226CA454" w:rsidR="00CC0A94" w:rsidRDefault="006C1571" w:rsidP="002F61BB">
      <w:pPr>
        <w:pStyle w:val="InstructionsText2"/>
        <w:numPr>
          <w:ilvl w:val="0"/>
          <w:numId w:val="0"/>
        </w:numPr>
        <w:ind w:left="1440"/>
        <w:rPr>
          <w:rFonts w:ascii="Times New Roman" w:hAnsi="Times New Roman" w:cs="Times New Roman"/>
          <w:sz w:val="20"/>
          <w:szCs w:val="20"/>
          <w:lang w:val="en-GB"/>
        </w:rPr>
      </w:pPr>
      <w:r>
        <w:rPr>
          <w:rFonts w:ascii="Times New Roman" w:hAnsi="Times New Roman" w:cs="Times New Roman"/>
          <w:sz w:val="20"/>
          <w:szCs w:val="20"/>
          <w:lang w:val="en-GB"/>
        </w:rPr>
        <w:t>For information at the level of a region, define the region. Provide the name of the region in a free text using the following convention:</w:t>
      </w:r>
    </w:p>
    <w:p w14:paraId="7FE1B967" w14:textId="5BD4C7F8" w:rsidR="00CC0A94" w:rsidRDefault="006C1571">
      <w:pPr>
        <w:pStyle w:val="InstructionsText2"/>
        <w:numPr>
          <w:ilvl w:val="0"/>
          <w:numId w:val="0"/>
        </w:numPr>
        <w:ind w:left="1440" w:firstLine="18"/>
        <w:rPr>
          <w:rFonts w:ascii="Times New Roman" w:hAnsi="Times New Roman" w:cs="Times New Roman"/>
          <w:sz w:val="20"/>
          <w:szCs w:val="20"/>
          <w:lang w:val="en-GB"/>
        </w:rPr>
      </w:pPr>
      <w:r>
        <w:rPr>
          <w:rFonts w:ascii="Times New Roman" w:hAnsi="Times New Roman" w:cs="Times New Roman"/>
          <w:sz w:val="20"/>
          <w:szCs w:val="20"/>
          <w:lang w:val="en-GB"/>
        </w:rPr>
        <w:t>Member state – name of the region. For the name of the member states, use the respective two letter abbreviation. For the name of the region use the code or codes in the NUTS 2021 classification.</w:t>
      </w:r>
    </w:p>
    <w:p w14:paraId="7FE1B968" w14:textId="77777777" w:rsidR="00CC0A94" w:rsidRDefault="00CC0A94">
      <w:pPr>
        <w:pStyle w:val="InstructionsText2"/>
        <w:numPr>
          <w:ilvl w:val="0"/>
          <w:numId w:val="0"/>
        </w:numPr>
        <w:rPr>
          <w:rFonts w:ascii="Times New Roman" w:hAnsi="Times New Roman" w:cs="Times New Roman"/>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B96B" w14:textId="77777777" w:rsidTr="002F61BB">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Rows</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Economic function</w:t>
            </w:r>
          </w:p>
        </w:tc>
      </w:tr>
      <w:tr w:rsidR="00CC0A94" w14:paraId="7FE1B970" w14:textId="77777777" w:rsidTr="029F4E13">
        <w:tc>
          <w:tcPr>
            <w:tcW w:w="9083" w:type="dxa"/>
            <w:gridSpan w:val="2"/>
            <w:tcBorders>
              <w:top w:val="single" w:sz="4" w:space="0" w:color="1A171C"/>
              <w:left w:val="nil"/>
              <w:bottom w:val="single" w:sz="4" w:space="0" w:color="1A171C"/>
            </w:tcBorders>
          </w:tcPr>
          <w:p w14:paraId="7FE1B96C" w14:textId="0D085442" w:rsidR="00CC0A94" w:rsidRDefault="005F7477">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rPr>
              <w:t>Z 07.01</w:t>
            </w:r>
            <w:r w:rsidR="006C1571">
              <w:rPr>
                <w:rFonts w:ascii="Times New Roman" w:hAnsi="Times New Roman" w:cs="Times New Roman"/>
              </w:rPr>
              <w:t>.1 FUNC 1 DEP</w:t>
            </w:r>
          </w:p>
          <w:p w14:paraId="7FE1B96D"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Deposit taking shall refer to the acceptance of deposits from non-financial counterparties. It does not include borrowing from other financial counterparties, which is dealt with separately in ‘wholesale funding’. </w:t>
            </w:r>
          </w:p>
          <w:p w14:paraId="7FE1B96E"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Deposits include: i) current accounts / overnight deposits, ii) deposits with agreed maturity, and iii) deposits redeemable at </w:t>
            </w:r>
            <w:proofErr w:type="gramStart"/>
            <w:r>
              <w:rPr>
                <w:rFonts w:ascii="Times New Roman" w:eastAsia="Cambria" w:hAnsi="Times New Roman" w:cs="Times New Roman"/>
                <w:color w:val="000000" w:themeColor="text1"/>
                <w:spacing w:val="-2"/>
                <w:w w:val="95"/>
                <w:sz w:val="20"/>
                <w:szCs w:val="20"/>
                <w:lang w:val="en-GB"/>
              </w:rPr>
              <w:t>notice, and</w:t>
            </w:r>
            <w:proofErr w:type="gramEnd"/>
            <w:r>
              <w:rPr>
                <w:rFonts w:ascii="Times New Roman" w:eastAsia="Cambria" w:hAnsi="Times New Roman" w:cs="Times New Roman"/>
                <w:color w:val="000000" w:themeColor="text1"/>
                <w:spacing w:val="-2"/>
                <w:w w:val="95"/>
                <w:sz w:val="20"/>
                <w:szCs w:val="20"/>
                <w:lang w:val="en-GB"/>
              </w:rPr>
              <w:t xml:space="preserve"> exclude repurchase agreements.</w:t>
            </w:r>
          </w:p>
          <w:p w14:paraId="7FE1B96F"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References: FSB </w:t>
            </w:r>
            <w:r>
              <w:rPr>
                <w:rFonts w:ascii="Times New Roman" w:hAnsi="Times New Roman" w:cs="Times New Roman"/>
                <w:color w:val="000000" w:themeColor="text1"/>
                <w:sz w:val="20"/>
                <w:szCs w:val="20"/>
                <w:lang w:val="en-GB"/>
              </w:rPr>
              <w:t>Guidance on Identification of Critical Functions and Critical Shared Services</w:t>
            </w:r>
            <w:r>
              <w:rPr>
                <w:rFonts w:ascii="Times New Roman" w:eastAsia="Cambria" w:hAnsi="Times New Roman" w:cs="Times New Roman"/>
                <w:color w:val="000000" w:themeColor="text1"/>
                <w:spacing w:val="-2"/>
                <w:w w:val="95"/>
                <w:sz w:val="20"/>
                <w:szCs w:val="20"/>
                <w:lang w:val="en-GB"/>
              </w:rPr>
              <w:t xml:space="preserve"> (2013) p.14; Annex II Part 2 items 9.1, 9.2 and 9.3 of </w:t>
            </w:r>
            <w:r>
              <w:rPr>
                <w:rFonts w:ascii="Times New Roman" w:hAnsi="Times New Roman" w:cs="Times New Roman"/>
                <w:color w:val="000000" w:themeColor="text1"/>
                <w:sz w:val="20"/>
                <w:szCs w:val="20"/>
                <w:lang w:val="en-GB" w:eastAsia="en-GB"/>
              </w:rPr>
              <w:t>Regulation (EU) No 2021/379</w:t>
            </w:r>
            <w:r>
              <w:rPr>
                <w:rFonts w:ascii="Times New Roman" w:eastAsia="Cambria" w:hAnsi="Times New Roman" w:cs="Times New Roman"/>
                <w:color w:val="000000" w:themeColor="text1"/>
                <w:spacing w:val="-2"/>
                <w:w w:val="95"/>
                <w:sz w:val="20"/>
                <w:szCs w:val="20"/>
                <w:lang w:val="en-GB"/>
              </w:rPr>
              <w:t>.</w:t>
            </w:r>
          </w:p>
        </w:tc>
      </w:tr>
      <w:tr w:rsidR="00CC0A94" w14:paraId="7FE1B973" w14:textId="77777777" w:rsidTr="029F4E13">
        <w:tc>
          <w:tcPr>
            <w:tcW w:w="1191" w:type="dxa"/>
            <w:tcBorders>
              <w:top w:val="single" w:sz="4" w:space="0" w:color="1A171C"/>
              <w:left w:val="nil"/>
              <w:bottom w:val="single" w:sz="4" w:space="0" w:color="1A171C"/>
              <w:right w:val="single" w:sz="4" w:space="0" w:color="1A171C"/>
            </w:tcBorders>
          </w:tcPr>
          <w:p w14:paraId="7FE1B97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7892" w:type="dxa"/>
            <w:tcBorders>
              <w:top w:val="single" w:sz="4" w:space="0" w:color="1A171C"/>
              <w:left w:val="single" w:sz="4" w:space="0" w:color="1A171C"/>
              <w:bottom w:val="single" w:sz="4" w:space="0" w:color="1A171C"/>
              <w:right w:val="nil"/>
            </w:tcBorders>
          </w:tcPr>
          <w:p w14:paraId="7FE1B97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Households</w:t>
            </w:r>
          </w:p>
        </w:tc>
      </w:tr>
      <w:tr w:rsidR="00CC0A94" w14:paraId="7FE1B976" w14:textId="77777777" w:rsidTr="029F4E13">
        <w:tc>
          <w:tcPr>
            <w:tcW w:w="1191" w:type="dxa"/>
            <w:tcBorders>
              <w:top w:val="single" w:sz="4" w:space="0" w:color="1A171C"/>
              <w:left w:val="nil"/>
              <w:bottom w:val="single" w:sz="4" w:space="0" w:color="1A171C"/>
              <w:right w:val="single" w:sz="4" w:space="0" w:color="1A171C"/>
            </w:tcBorders>
          </w:tcPr>
          <w:p w14:paraId="7FE1B97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7892" w:type="dxa"/>
            <w:tcBorders>
              <w:top w:val="single" w:sz="4" w:space="0" w:color="1A171C"/>
              <w:left w:val="single" w:sz="4" w:space="0" w:color="1A171C"/>
              <w:bottom w:val="single" w:sz="4" w:space="0" w:color="1A171C"/>
              <w:right w:val="nil"/>
            </w:tcBorders>
          </w:tcPr>
          <w:p w14:paraId="7FE1B97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Non-financial corporations (SMEs)</w:t>
            </w:r>
          </w:p>
        </w:tc>
      </w:tr>
      <w:tr w:rsidR="00CC0A94" w:rsidRPr="004C3C09" w14:paraId="7FE1B979" w14:textId="77777777" w:rsidTr="029F4E13">
        <w:tc>
          <w:tcPr>
            <w:tcW w:w="1191" w:type="dxa"/>
            <w:tcBorders>
              <w:top w:val="single" w:sz="4" w:space="0" w:color="1A171C"/>
              <w:left w:val="nil"/>
              <w:bottom w:val="single" w:sz="4" w:space="0" w:color="1A171C"/>
              <w:right w:val="single" w:sz="4" w:space="0" w:color="1A171C"/>
            </w:tcBorders>
          </w:tcPr>
          <w:p w14:paraId="7FE1B97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7892" w:type="dxa"/>
            <w:tcBorders>
              <w:top w:val="single" w:sz="4" w:space="0" w:color="1A171C"/>
              <w:left w:val="single" w:sz="4" w:space="0" w:color="1A171C"/>
              <w:bottom w:val="single" w:sz="4" w:space="0" w:color="1A171C"/>
              <w:right w:val="nil"/>
            </w:tcBorders>
          </w:tcPr>
          <w:p w14:paraId="7FE1B97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fr-FR"/>
              </w:rPr>
            </w:pPr>
            <w:r>
              <w:rPr>
                <w:rFonts w:ascii="Times New Roman" w:hAnsi="Times New Roman" w:cs="Times New Roman"/>
                <w:b/>
                <w:bCs/>
                <w:color w:val="000000" w:themeColor="text1"/>
                <w:sz w:val="20"/>
                <w:szCs w:val="20"/>
                <w:lang w:val="fr-FR"/>
              </w:rPr>
              <w:t>Non-</w:t>
            </w:r>
            <w:proofErr w:type="spellStart"/>
            <w:r>
              <w:rPr>
                <w:rFonts w:ascii="Times New Roman" w:hAnsi="Times New Roman" w:cs="Times New Roman"/>
                <w:b/>
                <w:bCs/>
                <w:color w:val="000000" w:themeColor="text1"/>
                <w:sz w:val="20"/>
                <w:szCs w:val="20"/>
                <w:lang w:val="fr-FR"/>
              </w:rPr>
              <w:t>financial</w:t>
            </w:r>
            <w:proofErr w:type="spellEnd"/>
            <w:r>
              <w:rPr>
                <w:rFonts w:ascii="Times New Roman" w:hAnsi="Times New Roman" w:cs="Times New Roman"/>
                <w:b/>
                <w:bCs/>
                <w:color w:val="000000" w:themeColor="text1"/>
                <w:sz w:val="20"/>
                <w:szCs w:val="20"/>
                <w:lang w:val="fr-FR"/>
              </w:rPr>
              <w:t xml:space="preserve"> corporations (non-</w:t>
            </w:r>
            <w:proofErr w:type="spellStart"/>
            <w:r>
              <w:rPr>
                <w:rFonts w:ascii="Times New Roman" w:hAnsi="Times New Roman" w:cs="Times New Roman"/>
                <w:b/>
                <w:bCs/>
                <w:color w:val="000000" w:themeColor="text1"/>
                <w:sz w:val="20"/>
                <w:szCs w:val="20"/>
                <w:lang w:val="fr-FR"/>
              </w:rPr>
              <w:t>SMEs</w:t>
            </w:r>
            <w:proofErr w:type="spellEnd"/>
            <w:r>
              <w:rPr>
                <w:rFonts w:ascii="Times New Roman" w:hAnsi="Times New Roman" w:cs="Times New Roman"/>
                <w:b/>
                <w:bCs/>
                <w:color w:val="000000" w:themeColor="text1"/>
                <w:sz w:val="20"/>
                <w:szCs w:val="20"/>
                <w:lang w:val="fr-FR"/>
              </w:rPr>
              <w:t>)</w:t>
            </w:r>
          </w:p>
        </w:tc>
      </w:tr>
      <w:tr w:rsidR="00CC0A94" w14:paraId="7FE1B97C" w14:textId="77777777" w:rsidTr="029F4E13">
        <w:tc>
          <w:tcPr>
            <w:tcW w:w="1191" w:type="dxa"/>
            <w:tcBorders>
              <w:top w:val="single" w:sz="4" w:space="0" w:color="1A171C"/>
              <w:left w:val="nil"/>
              <w:bottom w:val="single" w:sz="4" w:space="0" w:color="1A171C"/>
              <w:right w:val="single" w:sz="4" w:space="0" w:color="1A171C"/>
            </w:tcBorders>
          </w:tcPr>
          <w:p w14:paraId="7FE1B97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7892" w:type="dxa"/>
            <w:tcBorders>
              <w:top w:val="single" w:sz="4" w:space="0" w:color="1A171C"/>
              <w:left w:val="single" w:sz="4" w:space="0" w:color="1A171C"/>
              <w:bottom w:val="single" w:sz="4" w:space="0" w:color="1A171C"/>
              <w:right w:val="nil"/>
            </w:tcBorders>
          </w:tcPr>
          <w:p w14:paraId="7FE1B97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General governments</w:t>
            </w:r>
          </w:p>
        </w:tc>
      </w:tr>
      <w:tr w:rsidR="00CC0A94" w14:paraId="7FE1B97F" w14:textId="77777777" w:rsidTr="029F4E13">
        <w:tc>
          <w:tcPr>
            <w:tcW w:w="1191" w:type="dxa"/>
            <w:tcBorders>
              <w:top w:val="single" w:sz="4" w:space="0" w:color="1A171C"/>
              <w:left w:val="nil"/>
              <w:bottom w:val="single" w:sz="4" w:space="0" w:color="1A171C"/>
              <w:right w:val="single" w:sz="4" w:space="0" w:color="1A171C"/>
            </w:tcBorders>
          </w:tcPr>
          <w:p w14:paraId="7FE1B97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0050 - 0070</w:t>
            </w:r>
          </w:p>
        </w:tc>
        <w:tc>
          <w:tcPr>
            <w:tcW w:w="7892" w:type="dxa"/>
            <w:tcBorders>
              <w:top w:val="single" w:sz="4" w:space="0" w:color="1A171C"/>
              <w:left w:val="single" w:sz="4" w:space="0" w:color="1A171C"/>
              <w:bottom w:val="single" w:sz="4" w:space="0" w:color="1A171C"/>
              <w:right w:val="nil"/>
            </w:tcBorders>
          </w:tcPr>
          <w:p w14:paraId="7FE1B97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Other sectors / counterparties (1), (2) and (3)</w:t>
            </w:r>
          </w:p>
        </w:tc>
      </w:tr>
      <w:tr w:rsidR="00CC0A94" w14:paraId="7FE1B983" w14:textId="77777777" w:rsidTr="029F4E13">
        <w:tc>
          <w:tcPr>
            <w:tcW w:w="9083" w:type="dxa"/>
            <w:gridSpan w:val="2"/>
            <w:tcBorders>
              <w:top w:val="single" w:sz="4" w:space="0" w:color="1A171C"/>
              <w:left w:val="nil"/>
              <w:bottom w:val="single" w:sz="4" w:space="0" w:color="1A171C"/>
            </w:tcBorders>
          </w:tcPr>
          <w:p w14:paraId="7FE1B980" w14:textId="13950F51" w:rsidR="00CC0A94" w:rsidRDefault="005F7477">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rPr>
              <w:t>Z 07.01.2</w:t>
            </w:r>
            <w:r w:rsidR="006C1571">
              <w:rPr>
                <w:rFonts w:ascii="Times New Roman" w:hAnsi="Times New Roman" w:cs="Times New Roman"/>
              </w:rPr>
              <w:t xml:space="preserve"> FUNC 1 LEN</w:t>
            </w:r>
            <w:r w:rsidR="006C1571">
              <w:rPr>
                <w:rFonts w:ascii="Times New Roman" w:eastAsia="Cambria" w:hAnsi="Times New Roman" w:cs="Times New Roman"/>
                <w:color w:val="000000" w:themeColor="text1"/>
                <w:spacing w:val="-2"/>
                <w:w w:val="95"/>
                <w:sz w:val="20"/>
                <w:szCs w:val="20"/>
                <w:lang w:val="en-GB"/>
              </w:rPr>
              <w:t xml:space="preserve"> </w:t>
            </w:r>
          </w:p>
          <w:p w14:paraId="7FE1B981"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Lending shall refer to the provision of funds to non-financial counterparties, such as corporate or retail clients. Lending to financial counterparties is a distinct activity and is assessed in ‘wholesale funding’. Loans </w:t>
            </w:r>
            <w:proofErr w:type="gramStart"/>
            <w:r>
              <w:rPr>
                <w:rFonts w:ascii="Times New Roman" w:eastAsia="Cambria" w:hAnsi="Times New Roman" w:cs="Times New Roman"/>
                <w:color w:val="000000" w:themeColor="text1"/>
                <w:spacing w:val="-2"/>
                <w:w w:val="95"/>
                <w:sz w:val="20"/>
                <w:szCs w:val="20"/>
                <w:lang w:val="en-GB"/>
              </w:rPr>
              <w:t>includes</w:t>
            </w:r>
            <w:proofErr w:type="gramEnd"/>
            <w:r>
              <w:rPr>
                <w:rFonts w:ascii="Times New Roman" w:eastAsia="Cambria" w:hAnsi="Times New Roman" w:cs="Times New Roman"/>
                <w:color w:val="000000" w:themeColor="text1"/>
                <w:spacing w:val="-2"/>
                <w:w w:val="95"/>
                <w:sz w:val="20"/>
                <w:szCs w:val="20"/>
                <w:lang w:val="en-GB"/>
              </w:rPr>
              <w:t xml:space="preserve"> debt instruments held by the institutions but exclude debt instruments that are securities, irrespective of their accounting classification (e.g. held-to-maturity or available for sale).</w:t>
            </w:r>
          </w:p>
          <w:p w14:paraId="7FE1B98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References: FSB </w:t>
            </w:r>
            <w:r>
              <w:rPr>
                <w:rFonts w:ascii="Times New Roman" w:hAnsi="Times New Roman" w:cs="Times New Roman"/>
                <w:color w:val="000000" w:themeColor="text1"/>
                <w:sz w:val="20"/>
                <w:szCs w:val="20"/>
                <w:lang w:val="en-GB"/>
              </w:rPr>
              <w:t>Guidance on Identification of Critical Functions and Critical Shared Services</w:t>
            </w:r>
            <w:r>
              <w:rPr>
                <w:rFonts w:ascii="Times New Roman" w:eastAsia="Cambria" w:hAnsi="Times New Roman" w:cs="Times New Roman"/>
                <w:color w:val="000000" w:themeColor="text1"/>
                <w:spacing w:val="-2"/>
                <w:w w:val="95"/>
                <w:sz w:val="20"/>
                <w:szCs w:val="20"/>
                <w:lang w:val="en-GB"/>
              </w:rPr>
              <w:t xml:space="preserve"> (2013) p.17; Annex II Part 2 item 2 of </w:t>
            </w:r>
            <w:r>
              <w:rPr>
                <w:rFonts w:ascii="Times New Roman" w:hAnsi="Times New Roman" w:cs="Times New Roman"/>
                <w:color w:val="000000" w:themeColor="text1"/>
                <w:sz w:val="20"/>
                <w:szCs w:val="20"/>
                <w:lang w:val="en-GB" w:eastAsia="en-GB"/>
              </w:rPr>
              <w:t>Regulation (EU) No 2021/379</w:t>
            </w:r>
            <w:r>
              <w:rPr>
                <w:rFonts w:ascii="Times New Roman" w:eastAsia="Cambria" w:hAnsi="Times New Roman" w:cs="Times New Roman"/>
                <w:color w:val="000000" w:themeColor="text1"/>
                <w:spacing w:val="-2"/>
                <w:w w:val="95"/>
                <w:sz w:val="20"/>
                <w:szCs w:val="20"/>
                <w:lang w:val="en-GB"/>
              </w:rPr>
              <w:t>.</w:t>
            </w:r>
          </w:p>
        </w:tc>
      </w:tr>
      <w:tr w:rsidR="00CC0A94" w14:paraId="7FE1B987" w14:textId="77777777" w:rsidTr="029F4E13">
        <w:tc>
          <w:tcPr>
            <w:tcW w:w="1191" w:type="dxa"/>
            <w:tcBorders>
              <w:top w:val="single" w:sz="4" w:space="0" w:color="1A171C"/>
              <w:left w:val="nil"/>
              <w:bottom w:val="single" w:sz="4" w:space="0" w:color="1A171C"/>
              <w:right w:val="single" w:sz="4" w:space="0" w:color="1A171C"/>
            </w:tcBorders>
          </w:tcPr>
          <w:p w14:paraId="7FE1B98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w:t>
            </w:r>
          </w:p>
        </w:tc>
        <w:tc>
          <w:tcPr>
            <w:tcW w:w="7892" w:type="dxa"/>
            <w:tcBorders>
              <w:top w:val="single" w:sz="4" w:space="0" w:color="1A171C"/>
              <w:left w:val="single" w:sz="4" w:space="0" w:color="1A171C"/>
              <w:bottom w:val="single" w:sz="4" w:space="0" w:color="1A171C"/>
              <w:right w:val="nil"/>
            </w:tcBorders>
          </w:tcPr>
          <w:p w14:paraId="7FE1B98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Households – Lending for house purchase</w:t>
            </w:r>
          </w:p>
          <w:p w14:paraId="7FE1B98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Secured loans extended to households with property as collateral</w:t>
            </w:r>
          </w:p>
        </w:tc>
      </w:tr>
      <w:tr w:rsidR="00CC0A94" w14:paraId="7FE1B98A" w14:textId="77777777" w:rsidTr="029F4E13">
        <w:tc>
          <w:tcPr>
            <w:tcW w:w="1191" w:type="dxa"/>
            <w:tcBorders>
              <w:top w:val="single" w:sz="4" w:space="0" w:color="1A171C"/>
              <w:left w:val="nil"/>
              <w:bottom w:val="single" w:sz="4" w:space="0" w:color="1A171C"/>
              <w:right w:val="single" w:sz="4" w:space="0" w:color="1A171C"/>
            </w:tcBorders>
          </w:tcPr>
          <w:p w14:paraId="7FE1B98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0090</w:t>
            </w:r>
          </w:p>
        </w:tc>
        <w:tc>
          <w:tcPr>
            <w:tcW w:w="7892" w:type="dxa"/>
            <w:tcBorders>
              <w:top w:val="single" w:sz="4" w:space="0" w:color="1A171C"/>
              <w:left w:val="single" w:sz="4" w:space="0" w:color="1A171C"/>
              <w:bottom w:val="single" w:sz="4" w:space="0" w:color="1A171C"/>
              <w:right w:val="nil"/>
            </w:tcBorders>
          </w:tcPr>
          <w:p w14:paraId="7FE1B98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Households – other lending</w:t>
            </w:r>
          </w:p>
        </w:tc>
      </w:tr>
      <w:tr w:rsidR="00CC0A94" w14:paraId="7FE1B98D" w14:textId="77777777" w:rsidTr="002F61BB">
        <w:tc>
          <w:tcPr>
            <w:tcW w:w="1191" w:type="dxa"/>
            <w:tcBorders>
              <w:top w:val="single" w:sz="4" w:space="0" w:color="1A171C"/>
              <w:left w:val="nil"/>
              <w:bottom w:val="single" w:sz="4" w:space="0" w:color="1A171C"/>
              <w:right w:val="single" w:sz="4" w:space="0" w:color="1A171C"/>
            </w:tcBorders>
          </w:tcPr>
          <w:p w14:paraId="7FE1B98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Non-financial corporations - SMEs</w:t>
            </w:r>
          </w:p>
        </w:tc>
      </w:tr>
      <w:tr w:rsidR="00CC0A94" w:rsidRPr="001D45AF" w14:paraId="7FE1B990" w14:textId="77777777" w:rsidTr="029F4E13">
        <w:tc>
          <w:tcPr>
            <w:tcW w:w="1191" w:type="dxa"/>
            <w:tcBorders>
              <w:top w:val="single" w:sz="4" w:space="0" w:color="1A171C"/>
              <w:left w:val="nil"/>
              <w:bottom w:val="single" w:sz="4" w:space="0" w:color="1A171C"/>
              <w:right w:val="single" w:sz="4" w:space="0" w:color="1A171C"/>
            </w:tcBorders>
            <w:vAlign w:val="bottom"/>
          </w:tcPr>
          <w:p w14:paraId="7FE1B98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fr-FR"/>
              </w:rPr>
            </w:pPr>
            <w:r>
              <w:rPr>
                <w:rFonts w:ascii="Times New Roman" w:hAnsi="Times New Roman" w:cs="Times New Roman"/>
                <w:b/>
                <w:bCs/>
                <w:color w:val="000000" w:themeColor="text1"/>
                <w:sz w:val="20"/>
                <w:szCs w:val="20"/>
                <w:lang w:val="fr-FR"/>
              </w:rPr>
              <w:t>Non-</w:t>
            </w:r>
            <w:proofErr w:type="spellStart"/>
            <w:r>
              <w:rPr>
                <w:rFonts w:ascii="Times New Roman" w:hAnsi="Times New Roman" w:cs="Times New Roman"/>
                <w:b/>
                <w:bCs/>
                <w:color w:val="000000" w:themeColor="text1"/>
                <w:sz w:val="20"/>
                <w:szCs w:val="20"/>
                <w:lang w:val="fr-FR"/>
              </w:rPr>
              <w:t>financial</w:t>
            </w:r>
            <w:proofErr w:type="spellEnd"/>
            <w:r>
              <w:rPr>
                <w:rFonts w:ascii="Times New Roman" w:hAnsi="Times New Roman" w:cs="Times New Roman"/>
                <w:b/>
                <w:bCs/>
                <w:color w:val="000000" w:themeColor="text1"/>
                <w:sz w:val="20"/>
                <w:szCs w:val="20"/>
                <w:lang w:val="fr-FR"/>
              </w:rPr>
              <w:t xml:space="preserve"> corporations - non-</w:t>
            </w:r>
            <w:proofErr w:type="spellStart"/>
            <w:r>
              <w:rPr>
                <w:rFonts w:ascii="Times New Roman" w:hAnsi="Times New Roman" w:cs="Times New Roman"/>
                <w:b/>
                <w:bCs/>
                <w:color w:val="000000" w:themeColor="text1"/>
                <w:sz w:val="20"/>
                <w:szCs w:val="20"/>
                <w:lang w:val="fr-FR"/>
              </w:rPr>
              <w:t>SMEs</w:t>
            </w:r>
            <w:proofErr w:type="spellEnd"/>
          </w:p>
        </w:tc>
      </w:tr>
      <w:tr w:rsidR="00CC0A94" w14:paraId="7FE1B993" w14:textId="77777777" w:rsidTr="029F4E13">
        <w:tc>
          <w:tcPr>
            <w:tcW w:w="1191" w:type="dxa"/>
            <w:tcBorders>
              <w:top w:val="single" w:sz="4" w:space="0" w:color="1A171C"/>
              <w:left w:val="nil"/>
              <w:bottom w:val="single" w:sz="4" w:space="0" w:color="1A171C"/>
              <w:right w:val="single" w:sz="4" w:space="0" w:color="1A171C"/>
            </w:tcBorders>
            <w:vAlign w:val="bottom"/>
          </w:tcPr>
          <w:p w14:paraId="7FE1B99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General governments</w:t>
            </w:r>
          </w:p>
        </w:tc>
      </w:tr>
      <w:tr w:rsidR="00CC0A94" w14:paraId="7FE1B996" w14:textId="77777777" w:rsidTr="029F4E13">
        <w:tc>
          <w:tcPr>
            <w:tcW w:w="1191" w:type="dxa"/>
            <w:tcBorders>
              <w:top w:val="single" w:sz="4" w:space="0" w:color="1A171C"/>
              <w:left w:val="nil"/>
              <w:bottom w:val="single" w:sz="4" w:space="0" w:color="1A171C"/>
              <w:right w:val="single" w:sz="4" w:space="0" w:color="1A171C"/>
            </w:tcBorders>
          </w:tcPr>
          <w:p w14:paraId="7FE1B99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0130 - 0150</w:t>
            </w:r>
          </w:p>
        </w:tc>
        <w:tc>
          <w:tcPr>
            <w:tcW w:w="7892" w:type="dxa"/>
            <w:tcBorders>
              <w:top w:val="single" w:sz="4" w:space="0" w:color="1A171C"/>
              <w:left w:val="single" w:sz="4" w:space="0" w:color="1A171C"/>
              <w:bottom w:val="single" w:sz="4" w:space="0" w:color="1A171C"/>
              <w:right w:val="nil"/>
            </w:tcBorders>
          </w:tcPr>
          <w:p w14:paraId="7FE1B99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Other sectors / counterparties (1), (2) and (3)</w:t>
            </w:r>
          </w:p>
        </w:tc>
      </w:tr>
      <w:tr w:rsidR="00CC0A94" w14:paraId="7FE1B99C" w14:textId="77777777" w:rsidTr="029F4E13">
        <w:tc>
          <w:tcPr>
            <w:tcW w:w="9083" w:type="dxa"/>
            <w:gridSpan w:val="2"/>
            <w:tcBorders>
              <w:top w:val="single" w:sz="4" w:space="0" w:color="1A171C"/>
              <w:left w:val="nil"/>
              <w:bottom w:val="single" w:sz="4" w:space="0" w:color="1A171C"/>
            </w:tcBorders>
          </w:tcPr>
          <w:p w14:paraId="7FE1B997" w14:textId="587957C3" w:rsidR="00CC0A94" w:rsidRDefault="005F7477">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rPr>
              <w:t xml:space="preserve">Z 07.01.3 </w:t>
            </w:r>
            <w:r w:rsidR="006C1571">
              <w:rPr>
                <w:rFonts w:ascii="Times New Roman" w:hAnsi="Times New Roman" w:cs="Times New Roman"/>
              </w:rPr>
              <w:t>FUNC 1 PAY</w:t>
            </w:r>
            <w:r w:rsidR="006C1571">
              <w:rPr>
                <w:rFonts w:ascii="Times New Roman" w:eastAsia="Cambria" w:hAnsi="Times New Roman" w:cs="Times New Roman"/>
                <w:color w:val="000000" w:themeColor="text1"/>
                <w:spacing w:val="-2"/>
                <w:w w:val="95"/>
                <w:sz w:val="20"/>
                <w:szCs w:val="20"/>
                <w:lang w:val="en-GB"/>
              </w:rPr>
              <w:t xml:space="preserve"> </w:t>
            </w:r>
          </w:p>
          <w:p w14:paraId="7FE1B99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Reference: FSB </w:t>
            </w:r>
            <w:r>
              <w:rPr>
                <w:rFonts w:ascii="Times New Roman" w:hAnsi="Times New Roman" w:cs="Times New Roman"/>
                <w:color w:val="000000" w:themeColor="text1"/>
                <w:sz w:val="20"/>
                <w:szCs w:val="20"/>
                <w:lang w:val="en-GB"/>
              </w:rPr>
              <w:t>Guidance on Identification of Critical Functions and Critical Shared Services</w:t>
            </w:r>
            <w:r>
              <w:rPr>
                <w:rFonts w:ascii="Times New Roman" w:eastAsia="Cambria" w:hAnsi="Times New Roman" w:cs="Times New Roman"/>
                <w:color w:val="000000" w:themeColor="text1"/>
                <w:spacing w:val="-2"/>
                <w:w w:val="95"/>
                <w:sz w:val="20"/>
                <w:szCs w:val="20"/>
                <w:lang w:val="en-GB"/>
              </w:rPr>
              <w:t xml:space="preserve"> (2013) p.20.</w:t>
            </w:r>
          </w:p>
          <w:p w14:paraId="7FE1B99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economic functions included under this caption shall consist of the provision of payments, cash, settlement, clearing and custody services by a credit institution, as an intermediary between own clients or as an intermediary between a client and one or several relevant Financial Market Infrastructures (FMIs), or the provision of (indirect) access to FMIs to other banks. In line with FSB </w:t>
            </w:r>
            <w:r>
              <w:rPr>
                <w:rFonts w:ascii="Times New Roman" w:hAnsi="Times New Roman" w:cs="Times New Roman"/>
                <w:color w:val="000000" w:themeColor="text1"/>
                <w:sz w:val="20"/>
                <w:szCs w:val="20"/>
                <w:lang w:val="en-GB"/>
              </w:rPr>
              <w:t>Guidance on Identification of Critical Functions and Critical Shared Services</w:t>
            </w:r>
            <w:r>
              <w:rPr>
                <w:rFonts w:ascii="Times New Roman" w:eastAsia="Cambria" w:hAnsi="Times New Roman" w:cs="Times New Roman"/>
                <w:color w:val="000000" w:themeColor="text1"/>
                <w:spacing w:val="-2"/>
                <w:w w:val="95"/>
                <w:sz w:val="20"/>
                <w:szCs w:val="20"/>
                <w:lang w:val="en-GB"/>
              </w:rPr>
              <w:t xml:space="preserve">, the payments, clearing and settlement function is limited to services provided by banks to their clients. This category does not cover services provided by (pure) FMI providers. </w:t>
            </w:r>
            <w:proofErr w:type="gramStart"/>
            <w:r>
              <w:rPr>
                <w:rFonts w:ascii="Times New Roman" w:eastAsia="Cambria" w:hAnsi="Times New Roman" w:cs="Times New Roman"/>
                <w:color w:val="000000" w:themeColor="text1"/>
                <w:spacing w:val="-2"/>
                <w:w w:val="95"/>
                <w:sz w:val="20"/>
                <w:szCs w:val="20"/>
                <w:lang w:val="en-GB"/>
              </w:rPr>
              <w:t>For the purpose of</w:t>
            </w:r>
            <w:proofErr w:type="gramEnd"/>
            <w:r>
              <w:rPr>
                <w:rFonts w:ascii="Times New Roman" w:eastAsia="Cambria" w:hAnsi="Times New Roman" w:cs="Times New Roman"/>
                <w:color w:val="000000" w:themeColor="text1"/>
                <w:spacing w:val="-2"/>
                <w:w w:val="95"/>
                <w:sz w:val="20"/>
                <w:szCs w:val="20"/>
                <w:lang w:val="en-GB"/>
              </w:rPr>
              <w:t xml:space="preserve"> this template, FMIs include payment systems, securities settlement systems, central securities depositories and central counterparties (and do not include trade repositories).</w:t>
            </w:r>
          </w:p>
          <w:p w14:paraId="7FE1B99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Payment service’, ‘payment transaction’ and ‘payment system’ have the same meaning as defined in Article 4(3), (5) and (7), respectively, of DIRECTIVE 2015/2366 on payment services in the internal market</w:t>
            </w:r>
            <w:r>
              <w:rPr>
                <w:rStyle w:val="FootnoteReference"/>
                <w:rFonts w:ascii="Times New Roman" w:eastAsia="Cambria" w:hAnsi="Times New Roman" w:cs="Times New Roman"/>
                <w:color w:val="000000" w:themeColor="text1"/>
                <w:spacing w:val="-2"/>
                <w:w w:val="95"/>
                <w:sz w:val="20"/>
                <w:szCs w:val="20"/>
                <w:lang w:val="en-GB"/>
              </w:rPr>
              <w:footnoteReference w:id="19"/>
            </w:r>
            <w:r w:rsidRPr="029F4E13">
              <w:rPr>
                <w:rFonts w:ascii="Times New Roman" w:eastAsia="Cambria" w:hAnsi="Times New Roman" w:cs="Times New Roman"/>
                <w:color w:val="000000" w:themeColor="text1"/>
                <w:sz w:val="20"/>
                <w:szCs w:val="20"/>
                <w:lang w:val="en-GB"/>
              </w:rPr>
              <w:t>.</w:t>
            </w:r>
          </w:p>
          <w:p w14:paraId="7FE1B99B"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
        </w:tc>
      </w:tr>
      <w:tr w:rsidR="00CC0A94" w14:paraId="7FE1B9A0" w14:textId="77777777" w:rsidTr="029F4E13">
        <w:tc>
          <w:tcPr>
            <w:tcW w:w="1191" w:type="dxa"/>
            <w:tcBorders>
              <w:top w:val="single" w:sz="4" w:space="0" w:color="1A171C"/>
              <w:left w:val="nil"/>
              <w:bottom w:val="single" w:sz="4" w:space="0" w:color="1A171C"/>
              <w:right w:val="single" w:sz="4" w:space="0" w:color="1A171C"/>
            </w:tcBorders>
          </w:tcPr>
          <w:p w14:paraId="7FE1B99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7892" w:type="dxa"/>
            <w:tcBorders>
              <w:top w:val="single" w:sz="4" w:space="0" w:color="1A171C"/>
              <w:left w:val="single" w:sz="4" w:space="0" w:color="1A171C"/>
              <w:bottom w:val="single" w:sz="4" w:space="0" w:color="1A171C"/>
              <w:right w:val="nil"/>
            </w:tcBorders>
          </w:tcPr>
          <w:p w14:paraId="7FE1B99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Payment services to MFIs</w:t>
            </w:r>
          </w:p>
          <w:p w14:paraId="7FE1B99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This row shall include payment services offered to Monetary Financial Institutions (MFIs), with or without use of external payment systems. This shall also include (payments related to) correspondent banking services. MFIs shall consist of all institutional units included in the sub-sectors: i) central bank; ii) deposit-taking corporations except the central bank; and iii) money market funds.</w:t>
            </w:r>
          </w:p>
        </w:tc>
      </w:tr>
      <w:tr w:rsidR="00CC0A94" w14:paraId="7FE1B9A8" w14:textId="77777777" w:rsidTr="029F4E13">
        <w:tc>
          <w:tcPr>
            <w:tcW w:w="1191" w:type="dxa"/>
            <w:tcBorders>
              <w:top w:val="single" w:sz="4" w:space="0" w:color="1A171C"/>
              <w:left w:val="nil"/>
              <w:bottom w:val="single" w:sz="4" w:space="0" w:color="1A171C"/>
              <w:right w:val="single" w:sz="4" w:space="0" w:color="1A171C"/>
            </w:tcBorders>
          </w:tcPr>
          <w:p w14:paraId="7FE1B9A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0170 - 0176</w:t>
            </w:r>
          </w:p>
        </w:tc>
        <w:tc>
          <w:tcPr>
            <w:tcW w:w="7892" w:type="dxa"/>
            <w:tcBorders>
              <w:top w:val="single" w:sz="4" w:space="0" w:color="1A171C"/>
              <w:left w:val="single" w:sz="4" w:space="0" w:color="1A171C"/>
              <w:bottom w:val="single" w:sz="4" w:space="0" w:color="1A171C"/>
              <w:right w:val="nil"/>
            </w:tcBorders>
          </w:tcPr>
          <w:p w14:paraId="7FE1B9A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Payment services to non-MFIs</w:t>
            </w:r>
          </w:p>
          <w:p w14:paraId="7FE1B9A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Payment services offered to clients, with or without use of external payment systems. This shall only include natural or legal person who do not belong to the MFIs sector. Payment services providers are also excluded from the ‘non-MFIs’ sector.</w:t>
            </w:r>
          </w:p>
          <w:p w14:paraId="7FE1B9A4"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function is divided additionally into 3 subfunctions:</w:t>
            </w:r>
          </w:p>
          <w:p w14:paraId="7FE1B9A5"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(1) Households</w:t>
            </w:r>
          </w:p>
          <w:p w14:paraId="7FE1B9A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(2) Non-financial corporations - SMEs</w:t>
            </w:r>
          </w:p>
          <w:p w14:paraId="7FE1B9A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(3) Non-financial corporations – non-SMEs</w:t>
            </w:r>
          </w:p>
        </w:tc>
      </w:tr>
      <w:tr w:rsidR="00CC0A94" w14:paraId="7FE1B9AC" w14:textId="77777777" w:rsidTr="029F4E13">
        <w:tc>
          <w:tcPr>
            <w:tcW w:w="1191" w:type="dxa"/>
            <w:tcBorders>
              <w:top w:val="single" w:sz="4" w:space="0" w:color="1A171C"/>
              <w:left w:val="nil"/>
              <w:bottom w:val="single" w:sz="4" w:space="0" w:color="1A171C"/>
              <w:right w:val="single" w:sz="4" w:space="0" w:color="1A171C"/>
            </w:tcBorders>
          </w:tcPr>
          <w:p w14:paraId="7FE1B9A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w:t>
            </w:r>
          </w:p>
        </w:tc>
        <w:tc>
          <w:tcPr>
            <w:tcW w:w="7892" w:type="dxa"/>
            <w:tcBorders>
              <w:top w:val="single" w:sz="4" w:space="0" w:color="1A171C"/>
              <w:left w:val="single" w:sz="4" w:space="0" w:color="1A171C"/>
              <w:bottom w:val="single" w:sz="4" w:space="0" w:color="1A171C"/>
              <w:right w:val="nil"/>
            </w:tcBorders>
          </w:tcPr>
          <w:p w14:paraId="7FE1B9A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Cash services</w:t>
            </w:r>
          </w:p>
          <w:p w14:paraId="7FE1B9AB"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Provision of cash services to clients (both individuals and corporates, only non-MFIs). These services refer to withdrawals at the bank’s ATMs and at its branches counters and do not include other cash services (like cash-in-transit services for mass retailers). Cash withdrawal with cheques and at the counter of a branch using bank forms (where cards may be used as identification means) are included.</w:t>
            </w:r>
          </w:p>
        </w:tc>
      </w:tr>
      <w:tr w:rsidR="00CC0A94" w14:paraId="7FE1B9B0" w14:textId="77777777" w:rsidTr="029F4E13">
        <w:tc>
          <w:tcPr>
            <w:tcW w:w="1191" w:type="dxa"/>
            <w:tcBorders>
              <w:top w:val="single" w:sz="4" w:space="0" w:color="1A171C"/>
              <w:left w:val="nil"/>
              <w:bottom w:val="single" w:sz="4" w:space="0" w:color="1A171C"/>
              <w:right w:val="single" w:sz="4" w:space="0" w:color="1A171C"/>
            </w:tcBorders>
          </w:tcPr>
          <w:p w14:paraId="7FE1B9A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7892" w:type="dxa"/>
            <w:tcBorders>
              <w:top w:val="single" w:sz="4" w:space="0" w:color="1A171C"/>
              <w:left w:val="single" w:sz="4" w:space="0" w:color="1A171C"/>
              <w:bottom w:val="single" w:sz="4" w:space="0" w:color="1A171C"/>
              <w:right w:val="nil"/>
            </w:tcBorders>
          </w:tcPr>
          <w:p w14:paraId="7FE1B9A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Securities settlement services</w:t>
            </w:r>
          </w:p>
          <w:p w14:paraId="7FE1B9AF"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Services offered to clients for confirmation, clearing and settlement of securities transactions, with or without use of securities settlement systems. ‘Settlement’ means the completion of a securities transaction where it is concluded with the aim of discharging the obligations of the parties to that transaction through the transfer of cash and/or securities.</w:t>
            </w:r>
          </w:p>
        </w:tc>
      </w:tr>
      <w:tr w:rsidR="00CC0A94" w14:paraId="7FE1B9B4" w14:textId="77777777" w:rsidTr="029F4E13">
        <w:tc>
          <w:tcPr>
            <w:tcW w:w="1191" w:type="dxa"/>
            <w:tcBorders>
              <w:top w:val="single" w:sz="4" w:space="0" w:color="1A171C"/>
              <w:left w:val="nil"/>
              <w:bottom w:val="single" w:sz="4" w:space="0" w:color="1A171C"/>
              <w:right w:val="single" w:sz="4" w:space="0" w:color="1A171C"/>
            </w:tcBorders>
          </w:tcPr>
          <w:p w14:paraId="7FE1B9B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0200</w:t>
            </w:r>
          </w:p>
        </w:tc>
        <w:tc>
          <w:tcPr>
            <w:tcW w:w="7892" w:type="dxa"/>
            <w:tcBorders>
              <w:top w:val="single" w:sz="4" w:space="0" w:color="1A171C"/>
              <w:left w:val="single" w:sz="4" w:space="0" w:color="1A171C"/>
              <w:bottom w:val="single" w:sz="4" w:space="0" w:color="1A171C"/>
              <w:right w:val="nil"/>
            </w:tcBorders>
          </w:tcPr>
          <w:p w14:paraId="7FE1B9B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CCP clearing services</w:t>
            </w:r>
          </w:p>
          <w:p w14:paraId="7FE1B9B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Securities and derivatives clearing services provided to clients. This also includes the provision of indirect access to a Central Counterparty (CCP).</w:t>
            </w:r>
          </w:p>
        </w:tc>
      </w:tr>
      <w:tr w:rsidR="00CC0A94" w14:paraId="7FE1B9B8" w14:textId="77777777" w:rsidTr="029F4E13">
        <w:tc>
          <w:tcPr>
            <w:tcW w:w="1191" w:type="dxa"/>
            <w:tcBorders>
              <w:top w:val="single" w:sz="4" w:space="0" w:color="1A171C"/>
              <w:left w:val="nil"/>
              <w:bottom w:val="single" w:sz="4" w:space="0" w:color="1A171C"/>
              <w:right w:val="single" w:sz="4" w:space="0" w:color="1A171C"/>
            </w:tcBorders>
          </w:tcPr>
          <w:p w14:paraId="7FE1B9B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0210</w:t>
            </w:r>
          </w:p>
        </w:tc>
        <w:tc>
          <w:tcPr>
            <w:tcW w:w="7892" w:type="dxa"/>
            <w:tcBorders>
              <w:top w:val="single" w:sz="4" w:space="0" w:color="1A171C"/>
              <w:left w:val="single" w:sz="4" w:space="0" w:color="1A171C"/>
              <w:bottom w:val="single" w:sz="4" w:space="0" w:color="1A171C"/>
              <w:right w:val="nil"/>
            </w:tcBorders>
          </w:tcPr>
          <w:p w14:paraId="7FE1B9B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Custody services</w:t>
            </w:r>
          </w:p>
          <w:p w14:paraId="7FE1B9B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Safekeeping and administration of financial instruments for clients and services related to custodianship such as cash and collateral management.</w:t>
            </w:r>
          </w:p>
        </w:tc>
      </w:tr>
      <w:tr w:rsidR="00CC0A94" w14:paraId="7FE1B9BB" w14:textId="77777777" w:rsidTr="029F4E13">
        <w:tc>
          <w:tcPr>
            <w:tcW w:w="1191" w:type="dxa"/>
            <w:tcBorders>
              <w:top w:val="single" w:sz="4" w:space="0" w:color="1A171C"/>
              <w:left w:val="nil"/>
              <w:bottom w:val="single" w:sz="4" w:space="0" w:color="1A171C"/>
              <w:right w:val="single" w:sz="4" w:space="0" w:color="1A171C"/>
            </w:tcBorders>
          </w:tcPr>
          <w:p w14:paraId="7FE1B9B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0220 - 0240</w:t>
            </w:r>
          </w:p>
        </w:tc>
        <w:tc>
          <w:tcPr>
            <w:tcW w:w="7892" w:type="dxa"/>
            <w:tcBorders>
              <w:top w:val="single" w:sz="4" w:space="0" w:color="1A171C"/>
              <w:left w:val="single" w:sz="4" w:space="0" w:color="1A171C"/>
              <w:bottom w:val="single" w:sz="4" w:space="0" w:color="1A171C"/>
              <w:right w:val="nil"/>
            </w:tcBorders>
          </w:tcPr>
          <w:p w14:paraId="7FE1B9B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Other services / activities / functions (1), (2) and (3)</w:t>
            </w:r>
          </w:p>
        </w:tc>
      </w:tr>
      <w:tr w:rsidR="00CC0A94" w14:paraId="7FE1B9BE" w14:textId="77777777" w:rsidTr="029F4E13">
        <w:tc>
          <w:tcPr>
            <w:tcW w:w="9083" w:type="dxa"/>
            <w:gridSpan w:val="2"/>
            <w:tcBorders>
              <w:top w:val="single" w:sz="4" w:space="0" w:color="1A171C"/>
              <w:left w:val="nil"/>
              <w:bottom w:val="single" w:sz="4" w:space="0" w:color="1A171C"/>
            </w:tcBorders>
          </w:tcPr>
          <w:p w14:paraId="7FE1B9BC" w14:textId="4228BCAA" w:rsidR="00CC0A94" w:rsidRDefault="005F7477">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rPr>
              <w:t xml:space="preserve">Z 07.01.4 </w:t>
            </w:r>
            <w:r w:rsidR="006C1571">
              <w:rPr>
                <w:rFonts w:ascii="Times New Roman" w:hAnsi="Times New Roman" w:cs="Times New Roman"/>
              </w:rPr>
              <w:t>FUNC 1 CM</w:t>
            </w:r>
            <w:r w:rsidR="006C1571">
              <w:rPr>
                <w:rFonts w:ascii="Times New Roman" w:eastAsia="Cambria" w:hAnsi="Times New Roman" w:cs="Times New Roman"/>
                <w:color w:val="000000" w:themeColor="text1"/>
                <w:spacing w:val="-2"/>
                <w:w w:val="95"/>
                <w:sz w:val="20"/>
                <w:szCs w:val="20"/>
                <w:lang w:val="en-GB"/>
              </w:rPr>
              <w:t xml:space="preserve"> </w:t>
            </w:r>
          </w:p>
          <w:p w14:paraId="7FE1B9B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Capital markets activities shall refer to the issuance and trading of securities, related advisory services, and related services such as prime brokerage and market making. </w:t>
            </w:r>
          </w:p>
        </w:tc>
      </w:tr>
      <w:tr w:rsidR="00CC0A94" w14:paraId="7FE1B9C5" w14:textId="77777777" w:rsidTr="029F4E13">
        <w:tc>
          <w:tcPr>
            <w:tcW w:w="1191" w:type="dxa"/>
            <w:tcBorders>
              <w:top w:val="single" w:sz="4" w:space="0" w:color="1A171C"/>
              <w:left w:val="nil"/>
              <w:bottom w:val="single" w:sz="4" w:space="0" w:color="1A171C"/>
              <w:right w:val="single" w:sz="4" w:space="0" w:color="1A171C"/>
            </w:tcBorders>
          </w:tcPr>
          <w:p w14:paraId="7FE1B9BF"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0250</w:t>
            </w:r>
          </w:p>
        </w:tc>
        <w:tc>
          <w:tcPr>
            <w:tcW w:w="7892" w:type="dxa"/>
            <w:tcBorders>
              <w:top w:val="single" w:sz="4" w:space="0" w:color="1A171C"/>
              <w:left w:val="single" w:sz="4" w:space="0" w:color="1A171C"/>
              <w:bottom w:val="single" w:sz="4" w:space="0" w:color="1A171C"/>
              <w:right w:val="nil"/>
            </w:tcBorders>
          </w:tcPr>
          <w:p w14:paraId="7FE1B9C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Derivatives held for trading (OTC)</w:t>
            </w:r>
          </w:p>
          <w:p w14:paraId="7FE1B9C1" w14:textId="2FDAA405"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 xml:space="preserve">Article 2(5) and (7) of </w:t>
            </w:r>
            <w:r w:rsidR="2A9469EC" w:rsidRPr="029F4E13">
              <w:rPr>
                <w:rFonts w:ascii="Times New Roman" w:eastAsia="Cambria" w:hAnsi="Times New Roman" w:cs="Times New Roman"/>
                <w:color w:val="000000" w:themeColor="text1"/>
                <w:sz w:val="20"/>
                <w:szCs w:val="20"/>
                <w:lang w:val="en-GB"/>
              </w:rPr>
              <w:t>Regulation</w:t>
            </w:r>
            <w:r w:rsidRPr="029F4E13">
              <w:rPr>
                <w:rFonts w:ascii="Times New Roman" w:eastAsia="Cambria" w:hAnsi="Times New Roman" w:cs="Times New Roman"/>
                <w:color w:val="000000" w:themeColor="text1"/>
                <w:sz w:val="20"/>
                <w:szCs w:val="20"/>
                <w:lang w:val="en-GB"/>
              </w:rPr>
              <w:t xml:space="preserve"> (EU) No 648/2012</w:t>
            </w:r>
            <w:r>
              <w:rPr>
                <w:rStyle w:val="FootnoteReference"/>
                <w:rFonts w:ascii="Times New Roman" w:eastAsia="Cambria" w:hAnsi="Times New Roman" w:cs="Times New Roman"/>
                <w:color w:val="000000" w:themeColor="text1"/>
                <w:spacing w:val="-2"/>
                <w:w w:val="95"/>
                <w:sz w:val="20"/>
                <w:szCs w:val="20"/>
                <w:lang w:val="en-GB"/>
              </w:rPr>
              <w:footnoteReference w:id="20"/>
            </w:r>
            <w:r w:rsidRPr="029F4E13">
              <w:rPr>
                <w:rFonts w:ascii="Times New Roman" w:eastAsia="Cambria" w:hAnsi="Times New Roman" w:cs="Times New Roman"/>
                <w:color w:val="000000" w:themeColor="text1"/>
                <w:sz w:val="20"/>
                <w:szCs w:val="20"/>
                <w:lang w:val="en-GB"/>
              </w:rPr>
              <w:t>.</w:t>
            </w:r>
          </w:p>
          <w:p w14:paraId="7FE1B9C2" w14:textId="3A857D21"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 xml:space="preserve">A derivative or derivative contract means a financial instrument as set out in points (4) to (10) of Section C of Annex I to </w:t>
            </w:r>
            <w:r w:rsidR="400935C2" w:rsidRPr="029F4E13">
              <w:rPr>
                <w:rFonts w:ascii="Times New Roman" w:eastAsia="Cambria" w:hAnsi="Times New Roman" w:cs="Times New Roman"/>
                <w:color w:val="000000" w:themeColor="text1"/>
                <w:sz w:val="20"/>
                <w:szCs w:val="20"/>
                <w:lang w:val="en-GB"/>
              </w:rPr>
              <w:t>Directive</w:t>
            </w:r>
            <w:r w:rsidRPr="029F4E13">
              <w:rPr>
                <w:rFonts w:ascii="Times New Roman" w:eastAsia="Cambria" w:hAnsi="Times New Roman" w:cs="Times New Roman"/>
                <w:color w:val="000000" w:themeColor="text1"/>
                <w:sz w:val="20"/>
                <w:szCs w:val="20"/>
                <w:lang w:val="en-GB"/>
              </w:rPr>
              <w:t xml:space="preserve"> 2014/65/EU as implemented by Article 38 and 39 of </w:t>
            </w:r>
            <w:r w:rsidR="400935C2" w:rsidRPr="029F4E13">
              <w:rPr>
                <w:rFonts w:ascii="Times New Roman" w:eastAsia="Cambria" w:hAnsi="Times New Roman" w:cs="Times New Roman"/>
                <w:color w:val="000000" w:themeColor="text1"/>
                <w:sz w:val="20"/>
                <w:szCs w:val="20"/>
                <w:lang w:val="en-GB"/>
              </w:rPr>
              <w:t>Regulation</w:t>
            </w:r>
            <w:r w:rsidRPr="029F4E13">
              <w:rPr>
                <w:rFonts w:ascii="Times New Roman" w:eastAsia="Cambria" w:hAnsi="Times New Roman" w:cs="Times New Roman"/>
                <w:color w:val="000000" w:themeColor="text1"/>
                <w:sz w:val="20"/>
                <w:szCs w:val="20"/>
                <w:lang w:val="en-GB"/>
              </w:rPr>
              <w:t xml:space="preserve"> (EC) No 1287/2006.</w:t>
            </w:r>
          </w:p>
          <w:p w14:paraId="7FE1B9C3" w14:textId="583C566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An OTC derivative or OTC derivative contract means a derivative contract the execution of which does not take place on a regulated market within the meaning of Article 4(1)(21) of </w:t>
            </w:r>
            <w:r w:rsidR="007B0136">
              <w:rPr>
                <w:rFonts w:ascii="Times New Roman" w:eastAsia="Cambria" w:hAnsi="Times New Roman" w:cs="Times New Roman"/>
                <w:color w:val="000000" w:themeColor="text1"/>
                <w:spacing w:val="-2"/>
                <w:w w:val="95"/>
                <w:sz w:val="20"/>
                <w:szCs w:val="20"/>
                <w:lang w:val="en-GB"/>
              </w:rPr>
              <w:t>Directive</w:t>
            </w:r>
            <w:r>
              <w:rPr>
                <w:rFonts w:ascii="Times New Roman" w:eastAsia="Cambria" w:hAnsi="Times New Roman" w:cs="Times New Roman"/>
                <w:color w:val="000000" w:themeColor="text1"/>
                <w:spacing w:val="-2"/>
                <w:w w:val="95"/>
                <w:sz w:val="20"/>
                <w:szCs w:val="20"/>
                <w:lang w:val="en-GB"/>
              </w:rPr>
              <w:t xml:space="preserve"> 2014/65/EU or on a third-country market considered to be equivalent to a regulated market in accordance with Article 2a of </w:t>
            </w:r>
            <w:r w:rsidR="007B0136">
              <w:rPr>
                <w:rFonts w:ascii="Times New Roman" w:eastAsia="Cambria" w:hAnsi="Times New Roman" w:cs="Times New Roman"/>
                <w:color w:val="000000" w:themeColor="text1"/>
                <w:spacing w:val="-2"/>
                <w:w w:val="95"/>
                <w:sz w:val="20"/>
                <w:szCs w:val="20"/>
                <w:lang w:val="en-GB"/>
              </w:rPr>
              <w:t>Regulation</w:t>
            </w:r>
            <w:r>
              <w:rPr>
                <w:rFonts w:ascii="Times New Roman" w:eastAsia="Cambria" w:hAnsi="Times New Roman" w:cs="Times New Roman"/>
                <w:color w:val="000000" w:themeColor="text1"/>
                <w:spacing w:val="-2"/>
                <w:w w:val="95"/>
                <w:sz w:val="20"/>
                <w:szCs w:val="20"/>
                <w:lang w:val="en-GB"/>
              </w:rPr>
              <w:t xml:space="preserve"> (EU) No 648/2012.</w:t>
            </w:r>
          </w:p>
          <w:p w14:paraId="7FE1B9C4"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to be reported shall only include derivatives traded in the OTC market. </w:t>
            </w:r>
          </w:p>
        </w:tc>
      </w:tr>
      <w:tr w:rsidR="00CC0A94" w14:paraId="7FE1B9C9" w14:textId="77777777" w:rsidTr="029F4E13">
        <w:tc>
          <w:tcPr>
            <w:tcW w:w="1191" w:type="dxa"/>
            <w:tcBorders>
              <w:top w:val="single" w:sz="4" w:space="0" w:color="1A171C"/>
              <w:left w:val="nil"/>
              <w:bottom w:val="single" w:sz="4" w:space="0" w:color="1A171C"/>
              <w:right w:val="single" w:sz="4" w:space="0" w:color="1A171C"/>
            </w:tcBorders>
          </w:tcPr>
          <w:p w14:paraId="7FE1B9C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0260</w:t>
            </w:r>
          </w:p>
        </w:tc>
        <w:tc>
          <w:tcPr>
            <w:tcW w:w="7892" w:type="dxa"/>
            <w:tcBorders>
              <w:top w:val="single" w:sz="4" w:space="0" w:color="1A171C"/>
              <w:left w:val="single" w:sz="4" w:space="0" w:color="1A171C"/>
              <w:bottom w:val="single" w:sz="4" w:space="0" w:color="1A171C"/>
              <w:right w:val="nil"/>
            </w:tcBorders>
          </w:tcPr>
          <w:p w14:paraId="7FE1B9C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Derivatives held for trading (non-OTC)</w:t>
            </w:r>
          </w:p>
          <w:p w14:paraId="7FE1B9C8"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All derivatives held for trading, excluding OTC derivatives held for trading. </w:t>
            </w:r>
          </w:p>
        </w:tc>
      </w:tr>
      <w:tr w:rsidR="00CC0A94" w14:paraId="7FE1B9CF" w14:textId="77777777" w:rsidTr="029F4E13">
        <w:tc>
          <w:tcPr>
            <w:tcW w:w="1191" w:type="dxa"/>
            <w:tcBorders>
              <w:top w:val="single" w:sz="4" w:space="0" w:color="1A171C"/>
              <w:left w:val="nil"/>
              <w:bottom w:val="single" w:sz="4" w:space="0" w:color="1A171C"/>
              <w:right w:val="single" w:sz="4" w:space="0" w:color="1A171C"/>
            </w:tcBorders>
          </w:tcPr>
          <w:p w14:paraId="7FE1B9CA"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0270</w:t>
            </w:r>
          </w:p>
        </w:tc>
        <w:tc>
          <w:tcPr>
            <w:tcW w:w="7892" w:type="dxa"/>
            <w:tcBorders>
              <w:top w:val="single" w:sz="4" w:space="0" w:color="1A171C"/>
              <w:left w:val="single" w:sz="4" w:space="0" w:color="1A171C"/>
              <w:bottom w:val="single" w:sz="4" w:space="0" w:color="1A171C"/>
              <w:right w:val="nil"/>
            </w:tcBorders>
          </w:tcPr>
          <w:p w14:paraId="7FE1B9C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Secondary markets / Trading:</w:t>
            </w:r>
          </w:p>
          <w:p w14:paraId="7FE1B9C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secondary market is where investors buy and sell securities. This function applies to the total trading portfolio (i.e. equity, corporate credit, sovereign credit).</w:t>
            </w:r>
          </w:p>
          <w:p w14:paraId="7FE1B9CD"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to be reported shall include value of securities measured as the total amount of securities in the held-for-trading. Securities shall be reported at fair value at the reporting date.</w:t>
            </w:r>
          </w:p>
          <w:p w14:paraId="7FE1B9CE"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shall not include loans, derivatives and non-tradable assets (e.g. receivables).</w:t>
            </w:r>
          </w:p>
        </w:tc>
      </w:tr>
      <w:tr w:rsidR="00CC0A94" w14:paraId="7FE1B9D3" w14:textId="77777777" w:rsidTr="029F4E13">
        <w:tc>
          <w:tcPr>
            <w:tcW w:w="1191" w:type="dxa"/>
            <w:tcBorders>
              <w:top w:val="single" w:sz="4" w:space="0" w:color="1A171C"/>
              <w:left w:val="nil"/>
              <w:bottom w:val="single" w:sz="4" w:space="0" w:color="1A171C"/>
              <w:right w:val="single" w:sz="4" w:space="0" w:color="1A171C"/>
            </w:tcBorders>
          </w:tcPr>
          <w:p w14:paraId="7FE1B9D0"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0280</w:t>
            </w:r>
          </w:p>
        </w:tc>
        <w:tc>
          <w:tcPr>
            <w:tcW w:w="7892" w:type="dxa"/>
            <w:tcBorders>
              <w:top w:val="single" w:sz="4" w:space="0" w:color="1A171C"/>
              <w:left w:val="single" w:sz="4" w:space="0" w:color="1A171C"/>
              <w:bottom w:val="single" w:sz="4" w:space="0" w:color="1A171C"/>
              <w:right w:val="nil"/>
            </w:tcBorders>
          </w:tcPr>
          <w:p w14:paraId="7FE1B9D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Primary markets / underwriting</w:t>
            </w:r>
          </w:p>
          <w:p w14:paraId="7FE1B9D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Primary markets shall mean where new securities are issued on an exchange by companies, governments, and other groups </w:t>
            </w:r>
            <w:proofErr w:type="gramStart"/>
            <w:r>
              <w:rPr>
                <w:rFonts w:ascii="Times New Roman" w:eastAsia="Cambria" w:hAnsi="Times New Roman" w:cs="Times New Roman"/>
                <w:color w:val="000000" w:themeColor="text1"/>
                <w:spacing w:val="-2"/>
                <w:w w:val="95"/>
                <w:sz w:val="20"/>
                <w:szCs w:val="20"/>
                <w:lang w:val="en-GB"/>
              </w:rPr>
              <w:t>in order to</w:t>
            </w:r>
            <w:proofErr w:type="gramEnd"/>
            <w:r>
              <w:rPr>
                <w:rFonts w:ascii="Times New Roman" w:eastAsia="Cambria" w:hAnsi="Times New Roman" w:cs="Times New Roman"/>
                <w:color w:val="000000" w:themeColor="text1"/>
                <w:spacing w:val="-2"/>
                <w:w w:val="95"/>
                <w:sz w:val="20"/>
                <w:szCs w:val="20"/>
                <w:lang w:val="en-GB"/>
              </w:rPr>
              <w:t xml:space="preserve"> obtain financing through debt-based or equity-based securities (like common and preferred stock, corporate bonds, notes, bills, government bonds). Primary markets are facilitated by underwriting groups.</w:t>
            </w:r>
          </w:p>
        </w:tc>
      </w:tr>
      <w:tr w:rsidR="00CC0A94" w14:paraId="7FE1B9D6" w14:textId="77777777" w:rsidTr="029F4E13">
        <w:tc>
          <w:tcPr>
            <w:tcW w:w="1191" w:type="dxa"/>
            <w:tcBorders>
              <w:top w:val="single" w:sz="4" w:space="0" w:color="1A171C"/>
              <w:left w:val="nil"/>
              <w:bottom w:val="single" w:sz="4" w:space="0" w:color="1A171C"/>
              <w:right w:val="single" w:sz="4" w:space="0" w:color="1A171C"/>
            </w:tcBorders>
          </w:tcPr>
          <w:p w14:paraId="7FE1B9D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0290 - 0310</w:t>
            </w:r>
          </w:p>
        </w:tc>
        <w:tc>
          <w:tcPr>
            <w:tcW w:w="7892" w:type="dxa"/>
            <w:tcBorders>
              <w:top w:val="single" w:sz="4" w:space="0" w:color="1A171C"/>
              <w:left w:val="single" w:sz="4" w:space="0" w:color="1A171C"/>
              <w:bottom w:val="single" w:sz="4" w:space="0" w:color="1A171C"/>
              <w:right w:val="nil"/>
            </w:tcBorders>
          </w:tcPr>
          <w:p w14:paraId="7FE1B9D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Other services / activities / functions (1), (2) and (3)</w:t>
            </w:r>
          </w:p>
        </w:tc>
      </w:tr>
      <w:tr w:rsidR="00CC0A94" w14:paraId="7FE1B9D9" w14:textId="77777777" w:rsidTr="029F4E13">
        <w:tc>
          <w:tcPr>
            <w:tcW w:w="9083" w:type="dxa"/>
            <w:gridSpan w:val="2"/>
            <w:tcBorders>
              <w:top w:val="single" w:sz="4" w:space="0" w:color="1A171C"/>
              <w:left w:val="nil"/>
              <w:bottom w:val="single" w:sz="4" w:space="0" w:color="1A171C"/>
            </w:tcBorders>
          </w:tcPr>
          <w:p w14:paraId="7FE1B9D7" w14:textId="1DCC31B9" w:rsidR="00CC0A94" w:rsidRDefault="005F7477">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rPr>
              <w:lastRenderedPageBreak/>
              <w:t>Z 07.01.5</w:t>
            </w:r>
            <w:r w:rsidR="006C1571">
              <w:rPr>
                <w:rFonts w:ascii="Times New Roman" w:hAnsi="Times New Roman" w:cs="Times New Roman"/>
              </w:rPr>
              <w:t xml:space="preserve"> FUNC 1 WF</w:t>
            </w:r>
          </w:p>
          <w:p w14:paraId="7FE1B9D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Lending and borrowing activities in wholesale markets to and from financial counterparties (credit institutions and other financial corporations).</w:t>
            </w:r>
          </w:p>
        </w:tc>
      </w:tr>
      <w:tr w:rsidR="00CC0A94" w14:paraId="7FE1B9DD" w14:textId="77777777" w:rsidTr="029F4E13">
        <w:tc>
          <w:tcPr>
            <w:tcW w:w="1191" w:type="dxa"/>
            <w:tcBorders>
              <w:top w:val="single" w:sz="4" w:space="0" w:color="1A171C"/>
              <w:left w:val="nil"/>
              <w:bottom w:val="single" w:sz="4" w:space="0" w:color="1A171C"/>
              <w:right w:val="single" w:sz="4" w:space="0" w:color="1A171C"/>
            </w:tcBorders>
          </w:tcPr>
          <w:p w14:paraId="7FE1B9D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0320</w:t>
            </w:r>
          </w:p>
        </w:tc>
        <w:tc>
          <w:tcPr>
            <w:tcW w:w="7892" w:type="dxa"/>
            <w:tcBorders>
              <w:top w:val="single" w:sz="4" w:space="0" w:color="1A171C"/>
              <w:left w:val="single" w:sz="4" w:space="0" w:color="1A171C"/>
              <w:bottom w:val="single" w:sz="4" w:space="0" w:color="1A171C"/>
              <w:right w:val="nil"/>
            </w:tcBorders>
          </w:tcPr>
          <w:p w14:paraId="7FE1B9D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Borrowing</w:t>
            </w:r>
          </w:p>
          <w:p w14:paraId="7FE1B9D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Borrowing in wholesale markets from financial counterparties (including by way of </w:t>
            </w:r>
            <w:proofErr w:type="gramStart"/>
            <w:r>
              <w:rPr>
                <w:rFonts w:ascii="Times New Roman" w:eastAsia="Cambria" w:hAnsi="Times New Roman" w:cs="Times New Roman"/>
                <w:color w:val="000000" w:themeColor="text1"/>
                <w:spacing w:val="-2"/>
                <w:w w:val="95"/>
                <w:sz w:val="20"/>
                <w:szCs w:val="20"/>
                <w:lang w:val="en-GB"/>
              </w:rPr>
              <w:t>repurchase</w:t>
            </w:r>
            <w:proofErr w:type="gramEnd"/>
            <w:r>
              <w:rPr>
                <w:rFonts w:ascii="Times New Roman" w:eastAsia="Cambria" w:hAnsi="Times New Roman" w:cs="Times New Roman"/>
                <w:color w:val="000000" w:themeColor="text1"/>
                <w:spacing w:val="-2"/>
                <w:w w:val="95"/>
                <w:sz w:val="20"/>
                <w:szCs w:val="20"/>
                <w:lang w:val="en-GB"/>
              </w:rPr>
              <w:t xml:space="preserve"> agreements, interbank borrowing, commercial paper, certificate of deposits, money market funds, lines of credit, asset-backed commercial paper and fiduciary deposits).</w:t>
            </w:r>
          </w:p>
        </w:tc>
      </w:tr>
      <w:tr w:rsidR="00CC0A94" w14:paraId="7FE1B9E1" w14:textId="77777777" w:rsidTr="029F4E13">
        <w:tc>
          <w:tcPr>
            <w:tcW w:w="1191" w:type="dxa"/>
            <w:tcBorders>
              <w:top w:val="single" w:sz="4" w:space="0" w:color="1A171C"/>
              <w:left w:val="nil"/>
              <w:bottom w:val="single" w:sz="4" w:space="0" w:color="1A171C"/>
              <w:right w:val="single" w:sz="4" w:space="0" w:color="1A171C"/>
            </w:tcBorders>
          </w:tcPr>
          <w:p w14:paraId="7FE1B9D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0330</w:t>
            </w:r>
          </w:p>
        </w:tc>
        <w:tc>
          <w:tcPr>
            <w:tcW w:w="7892" w:type="dxa"/>
            <w:tcBorders>
              <w:top w:val="single" w:sz="4" w:space="0" w:color="1A171C"/>
              <w:left w:val="single" w:sz="4" w:space="0" w:color="1A171C"/>
              <w:bottom w:val="single" w:sz="4" w:space="0" w:color="1A171C"/>
              <w:right w:val="nil"/>
            </w:tcBorders>
          </w:tcPr>
          <w:p w14:paraId="7FE1B9D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Derivatives (assets)</w:t>
            </w:r>
          </w:p>
          <w:p w14:paraId="7FE1B9E0"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All derivatives with financial counterparties held on the asset side of the balance sheet. In contrast to ‘Capital markets’, in ‘Wholesale Funding’, derivatives include all derivatives contracts with financial counterparties (not limited to HFT).</w:t>
            </w:r>
          </w:p>
        </w:tc>
      </w:tr>
      <w:tr w:rsidR="00CC0A94" w14:paraId="7FE1B9E5" w14:textId="77777777" w:rsidTr="029F4E13">
        <w:tc>
          <w:tcPr>
            <w:tcW w:w="1191" w:type="dxa"/>
            <w:tcBorders>
              <w:top w:val="single" w:sz="4" w:space="0" w:color="1A171C"/>
              <w:left w:val="nil"/>
              <w:bottom w:val="single" w:sz="4" w:space="0" w:color="1A171C"/>
              <w:right w:val="single" w:sz="4" w:space="0" w:color="1A171C"/>
            </w:tcBorders>
          </w:tcPr>
          <w:p w14:paraId="7FE1B9E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0340</w:t>
            </w:r>
          </w:p>
        </w:tc>
        <w:tc>
          <w:tcPr>
            <w:tcW w:w="7892" w:type="dxa"/>
            <w:tcBorders>
              <w:top w:val="single" w:sz="4" w:space="0" w:color="1A171C"/>
              <w:left w:val="single" w:sz="4" w:space="0" w:color="1A171C"/>
              <w:bottom w:val="single" w:sz="4" w:space="0" w:color="1A171C"/>
              <w:right w:val="nil"/>
            </w:tcBorders>
          </w:tcPr>
          <w:p w14:paraId="7FE1B9E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Lending</w:t>
            </w:r>
          </w:p>
          <w:p w14:paraId="7FE1B9E4"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Lending in wholesale markets to financial counterparties (including by way of reverse repurchase loans, commercial paper, certificate of deposits, money market funds, lines of credit, asset backed commercial paper, fiduciary deposits).</w:t>
            </w:r>
          </w:p>
        </w:tc>
      </w:tr>
      <w:tr w:rsidR="00CC0A94" w14:paraId="7FE1B9E9" w14:textId="77777777" w:rsidTr="029F4E13">
        <w:tc>
          <w:tcPr>
            <w:tcW w:w="1191" w:type="dxa"/>
            <w:tcBorders>
              <w:top w:val="single" w:sz="4" w:space="0" w:color="1A171C"/>
              <w:left w:val="nil"/>
              <w:bottom w:val="single" w:sz="4" w:space="0" w:color="1A171C"/>
              <w:right w:val="single" w:sz="4" w:space="0" w:color="1A171C"/>
            </w:tcBorders>
          </w:tcPr>
          <w:p w14:paraId="7FE1B9E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0350</w:t>
            </w:r>
          </w:p>
        </w:tc>
        <w:tc>
          <w:tcPr>
            <w:tcW w:w="7892" w:type="dxa"/>
            <w:tcBorders>
              <w:top w:val="single" w:sz="4" w:space="0" w:color="1A171C"/>
              <w:left w:val="single" w:sz="4" w:space="0" w:color="1A171C"/>
              <w:bottom w:val="single" w:sz="4" w:space="0" w:color="1A171C"/>
              <w:right w:val="nil"/>
            </w:tcBorders>
          </w:tcPr>
          <w:p w14:paraId="7FE1B9E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Derivatives (liabilities)</w:t>
            </w:r>
          </w:p>
          <w:p w14:paraId="7FE1B9E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All derivatives with financial counterparties held on the liability side of the balance sheet. </w:t>
            </w:r>
          </w:p>
        </w:tc>
      </w:tr>
      <w:tr w:rsidR="00CC0A94" w14:paraId="7FE1B9ED" w14:textId="77777777" w:rsidTr="029F4E13">
        <w:tc>
          <w:tcPr>
            <w:tcW w:w="1191" w:type="dxa"/>
            <w:tcBorders>
              <w:top w:val="single" w:sz="4" w:space="0" w:color="1A171C"/>
              <w:left w:val="nil"/>
              <w:bottom w:val="single" w:sz="4" w:space="0" w:color="1A171C"/>
              <w:right w:val="single" w:sz="4" w:space="0" w:color="1A171C"/>
            </w:tcBorders>
          </w:tcPr>
          <w:p w14:paraId="7FE1B9E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0360 - 0380</w:t>
            </w:r>
          </w:p>
        </w:tc>
        <w:tc>
          <w:tcPr>
            <w:tcW w:w="7892" w:type="dxa"/>
            <w:tcBorders>
              <w:top w:val="single" w:sz="4" w:space="0" w:color="1A171C"/>
              <w:left w:val="single" w:sz="4" w:space="0" w:color="1A171C"/>
              <w:bottom w:val="single" w:sz="4" w:space="0" w:color="1A171C"/>
              <w:right w:val="nil"/>
            </w:tcBorders>
          </w:tcPr>
          <w:p w14:paraId="7FE1B9E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Other product types (1), (2) and (3)</w:t>
            </w:r>
          </w:p>
          <w:p w14:paraId="7FE1B9E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Any function of the economic function ‘Wholesale funding’ which is not included in the above.</w:t>
            </w:r>
          </w:p>
        </w:tc>
      </w:tr>
    </w:tbl>
    <w:p w14:paraId="7FE1B9EE" w14:textId="77777777" w:rsidR="00CC0A94" w:rsidRDefault="00CC0A94" w:rsidP="002F61BB">
      <w:pPr>
        <w:pStyle w:val="InstructionsText2"/>
        <w:numPr>
          <w:ilvl w:val="0"/>
          <w:numId w:val="0"/>
        </w:numPr>
        <w:ind w:left="1440" w:firstLine="18"/>
        <w:rPr>
          <w:rFonts w:ascii="Times New Roman" w:hAnsi="Times New Roman" w:cs="Times New Roman"/>
          <w:sz w:val="20"/>
          <w:szCs w:val="20"/>
          <w:lang w:val="en-GB"/>
        </w:rPr>
      </w:pPr>
    </w:p>
    <w:p w14:paraId="7FE1B9EF" w14:textId="3D9C3A6F" w:rsidR="00CC0A94" w:rsidRDefault="056E2A99">
      <w:pPr>
        <w:pStyle w:val="Instructionsberschrift2"/>
        <w:numPr>
          <w:ilvl w:val="1"/>
          <w:numId w:val="49"/>
        </w:numPr>
        <w:ind w:left="357" w:hanging="357"/>
        <w:rPr>
          <w:rFonts w:ascii="Times New Roman" w:hAnsi="Times New Roman" w:cs="Times New Roman"/>
        </w:rPr>
      </w:pPr>
      <w:bookmarkStart w:id="108" w:name="_Toc192249052"/>
      <w:r w:rsidRPr="029F4E13">
        <w:rPr>
          <w:rFonts w:ascii="Times New Roman" w:hAnsi="Times New Roman" w:cs="Times New Roman"/>
        </w:rPr>
        <w:t>Z 0</w:t>
      </w:r>
      <w:r w:rsidR="006C1571" w:rsidRPr="029F4E13">
        <w:rPr>
          <w:rFonts w:ascii="Times New Roman" w:hAnsi="Times New Roman" w:cs="Times New Roman"/>
        </w:rPr>
        <w:t>7.</w:t>
      </w:r>
      <w:r w:rsidRPr="029F4E13">
        <w:rPr>
          <w:rFonts w:ascii="Times New Roman" w:hAnsi="Times New Roman" w:cs="Times New Roman"/>
        </w:rPr>
        <w:t>0</w:t>
      </w:r>
      <w:r w:rsidR="006C1571" w:rsidRPr="029F4E13">
        <w:rPr>
          <w:rFonts w:ascii="Times New Roman" w:hAnsi="Times New Roman" w:cs="Times New Roman"/>
        </w:rPr>
        <w:t>1</w:t>
      </w:r>
      <w:r w:rsidRPr="029F4E13">
        <w:rPr>
          <w:rFonts w:ascii="Times New Roman" w:hAnsi="Times New Roman" w:cs="Times New Roman"/>
        </w:rPr>
        <w:t>.1</w:t>
      </w:r>
      <w:r w:rsidR="006C1571" w:rsidRPr="029F4E13">
        <w:rPr>
          <w:rFonts w:ascii="Times New Roman" w:hAnsi="Times New Roman" w:cs="Times New Roman"/>
        </w:rPr>
        <w:t xml:space="preserve"> FUNC 1 DEP</w:t>
      </w:r>
      <w:bookmarkEnd w:id="108"/>
    </w:p>
    <w:p w14:paraId="7FE1B9F9" w14:textId="77777777" w:rsidR="00CC0A94" w:rsidRDefault="00CC0A94">
      <w:pPr>
        <w:rPr>
          <w:rFonts w:ascii="Times New Roman" w:hAnsi="Times New Roman" w:cs="Times New Roman"/>
          <w:color w:val="000000" w:themeColor="text1"/>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9FC"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A00" w14:textId="77777777" w:rsidTr="6F08E959">
        <w:tc>
          <w:tcPr>
            <w:tcW w:w="1080" w:type="dxa"/>
            <w:tcBorders>
              <w:top w:val="single" w:sz="4" w:space="0" w:color="1A171C"/>
              <w:left w:val="nil"/>
              <w:bottom w:val="single" w:sz="4" w:space="0" w:color="1A171C"/>
              <w:right w:val="single" w:sz="4" w:space="0" w:color="1A171C"/>
            </w:tcBorders>
            <w:vAlign w:val="center"/>
          </w:tcPr>
          <w:p w14:paraId="7FE1B9F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9FF" w14:textId="2DF858EE"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Where the Economic function is of the type ‘Other’ (functions in r0050 to </w:t>
            </w:r>
            <w:r w:rsidR="001B542E">
              <w:rPr>
                <w:rFonts w:ascii="Times New Roman" w:eastAsia="Cambria" w:hAnsi="Times New Roman" w:cs="Times New Roman"/>
                <w:color w:val="000000" w:themeColor="text1"/>
                <w:spacing w:val="-2"/>
                <w:w w:val="95"/>
                <w:sz w:val="20"/>
                <w:szCs w:val="20"/>
                <w:lang w:val="en-GB"/>
              </w:rPr>
              <w:t>r</w:t>
            </w:r>
            <w:r>
              <w:rPr>
                <w:rFonts w:ascii="Times New Roman" w:eastAsia="Cambria" w:hAnsi="Times New Roman" w:cs="Times New Roman"/>
                <w:color w:val="000000" w:themeColor="text1"/>
                <w:spacing w:val="-2"/>
                <w:w w:val="95"/>
                <w:sz w:val="20"/>
                <w:szCs w:val="20"/>
                <w:lang w:val="en-GB"/>
              </w:rPr>
              <w:t xml:space="preserve">0070), a description of that function shall be provided. </w:t>
            </w:r>
          </w:p>
        </w:tc>
      </w:tr>
      <w:tr w:rsidR="00CC0A94" w14:paraId="7FE1BA04" w14:textId="77777777" w:rsidTr="6F08E959">
        <w:tc>
          <w:tcPr>
            <w:tcW w:w="1080" w:type="dxa"/>
            <w:tcBorders>
              <w:top w:val="single" w:sz="4" w:space="0" w:color="1A171C"/>
              <w:left w:val="nil"/>
              <w:bottom w:val="single" w:sz="4" w:space="0" w:color="1A171C"/>
              <w:right w:val="single" w:sz="4" w:space="0" w:color="1A171C"/>
            </w:tcBorders>
            <w:vAlign w:val="center"/>
          </w:tcPr>
          <w:p w14:paraId="7FE1BA0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A03" w14:textId="2B787841"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sidRPr="029F4E13">
              <w:rPr>
                <w:rFonts w:ascii="Times New Roman" w:eastAsia="Cambria" w:hAnsi="Times New Roman" w:cs="Times New Roman"/>
                <w:color w:val="000000" w:themeColor="text1"/>
                <w:sz w:val="20"/>
                <w:szCs w:val="20"/>
                <w:lang w:val="en-GB"/>
              </w:rPr>
              <w:t xml:space="preserve">Estimate of the market share of the institution or group for the economic function in the respective country or geographic area. </w:t>
            </w:r>
            <w:r w:rsidR="00695A00">
              <w:rPr>
                <w:rFonts w:ascii="Times New Roman" w:eastAsia="Cambria" w:hAnsi="Times New Roman" w:cs="Times New Roman"/>
                <w:color w:val="000000" w:themeColor="text1"/>
                <w:sz w:val="20"/>
                <w:szCs w:val="20"/>
                <w:lang w:val="en-GB"/>
              </w:rPr>
              <w:t>A</w:t>
            </w:r>
            <w:r w:rsidRPr="029F4E13">
              <w:rPr>
                <w:rFonts w:ascii="Times New Roman" w:eastAsia="Cambria" w:hAnsi="Times New Roman" w:cs="Times New Roman"/>
                <w:color w:val="000000" w:themeColor="text1"/>
                <w:sz w:val="20"/>
                <w:szCs w:val="20"/>
                <w:lang w:val="en-GB"/>
              </w:rPr>
              <w:t xml:space="preserve"> percentage of the total market in terms </w:t>
            </w:r>
            <w:r w:rsidR="00695A00">
              <w:rPr>
                <w:rFonts w:ascii="Times New Roman" w:eastAsia="Cambria" w:hAnsi="Times New Roman" w:cs="Times New Roman"/>
                <w:color w:val="000000" w:themeColor="text1"/>
                <w:sz w:val="20"/>
                <w:szCs w:val="20"/>
                <w:lang w:val="en-GB"/>
              </w:rPr>
              <w:t xml:space="preserve">of </w:t>
            </w:r>
            <w:r w:rsidRPr="029F4E13">
              <w:rPr>
                <w:rFonts w:ascii="Times New Roman" w:eastAsia="Cambria" w:hAnsi="Times New Roman" w:cs="Times New Roman"/>
                <w:color w:val="000000" w:themeColor="text1"/>
                <w:sz w:val="20"/>
                <w:szCs w:val="20"/>
                <w:lang w:val="en-GB"/>
              </w:rPr>
              <w:t xml:space="preserve">the </w:t>
            </w:r>
            <w:r w:rsidR="0BD83DBB" w:rsidRPr="029F4E13">
              <w:rPr>
                <w:rFonts w:ascii="Times New Roman" w:eastAsia="Cambria" w:hAnsi="Times New Roman" w:cs="Times New Roman"/>
                <w:color w:val="000000" w:themeColor="text1"/>
                <w:sz w:val="20"/>
                <w:szCs w:val="20"/>
                <w:lang w:val="en-GB"/>
              </w:rPr>
              <w:t>V</w:t>
            </w:r>
            <w:r w:rsidR="60B38950" w:rsidRPr="029F4E13">
              <w:rPr>
                <w:rFonts w:ascii="Times New Roman" w:eastAsia="Cambria" w:hAnsi="Times New Roman" w:cs="Times New Roman"/>
                <w:color w:val="000000" w:themeColor="text1"/>
                <w:sz w:val="20"/>
                <w:szCs w:val="20"/>
                <w:lang w:val="en-GB"/>
              </w:rPr>
              <w:t>a</w:t>
            </w:r>
            <w:r w:rsidR="7B4895B1" w:rsidRPr="029F4E13">
              <w:rPr>
                <w:rFonts w:ascii="Times New Roman" w:eastAsia="Cambria" w:hAnsi="Times New Roman" w:cs="Times New Roman"/>
                <w:color w:val="000000" w:themeColor="text1"/>
                <w:sz w:val="20"/>
                <w:szCs w:val="20"/>
                <w:lang w:val="en-GB"/>
              </w:rPr>
              <w:t>l</w:t>
            </w:r>
            <w:r w:rsidR="60B38950" w:rsidRPr="029F4E13">
              <w:rPr>
                <w:rFonts w:ascii="Times New Roman" w:eastAsia="Cambria" w:hAnsi="Times New Roman" w:cs="Times New Roman"/>
                <w:color w:val="000000" w:themeColor="text1"/>
                <w:sz w:val="20"/>
                <w:szCs w:val="20"/>
                <w:lang w:val="en-GB"/>
              </w:rPr>
              <w:t xml:space="preserve">ue on </w:t>
            </w:r>
            <w:r w:rsidR="150B0049" w:rsidRPr="029F4E13">
              <w:rPr>
                <w:rFonts w:ascii="Times New Roman" w:eastAsia="Cambria" w:hAnsi="Times New Roman" w:cs="Times New Roman"/>
                <w:color w:val="000000" w:themeColor="text1"/>
                <w:sz w:val="20"/>
                <w:szCs w:val="20"/>
                <w:lang w:val="en-GB"/>
              </w:rPr>
              <w:t>A</w:t>
            </w:r>
            <w:r w:rsidR="60B38950" w:rsidRPr="029F4E13">
              <w:rPr>
                <w:rFonts w:ascii="Times New Roman" w:eastAsia="Cambria" w:hAnsi="Times New Roman" w:cs="Times New Roman"/>
                <w:color w:val="000000" w:themeColor="text1"/>
                <w:sz w:val="20"/>
                <w:szCs w:val="20"/>
                <w:lang w:val="en-GB"/>
              </w:rPr>
              <w:t>ccounts</w:t>
            </w:r>
            <w:r w:rsidRPr="029F4E13">
              <w:rPr>
                <w:rFonts w:ascii="Times New Roman" w:eastAsia="Cambria" w:hAnsi="Times New Roman" w:cs="Times New Roman"/>
                <w:color w:val="000000" w:themeColor="text1"/>
                <w:sz w:val="20"/>
                <w:szCs w:val="20"/>
                <w:lang w:val="en-GB"/>
              </w:rPr>
              <w:t>.</w:t>
            </w:r>
          </w:p>
        </w:tc>
      </w:tr>
      <w:tr w:rsidR="00CC0A94" w14:paraId="7FE1BA09" w14:textId="77777777" w:rsidTr="6F08E959">
        <w:tc>
          <w:tcPr>
            <w:tcW w:w="1080" w:type="dxa"/>
            <w:tcBorders>
              <w:top w:val="single" w:sz="4" w:space="0" w:color="1A171C"/>
              <w:left w:val="nil"/>
              <w:bottom w:val="single" w:sz="4" w:space="0" w:color="1A171C"/>
              <w:right w:val="single" w:sz="4" w:space="0" w:color="1A171C"/>
            </w:tcBorders>
            <w:vAlign w:val="center"/>
          </w:tcPr>
          <w:p w14:paraId="7FE1BA0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on accounts</w:t>
            </w:r>
          </w:p>
          <w:p w14:paraId="7FE1BA07"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Carrying amount (including accrued interest) of deposits accepted</w:t>
            </w:r>
          </w:p>
          <w:p w14:paraId="7FE1BA08"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References: FINREP, Annexes III and IV, template F 08.01 and Annex V, Part 2, paragraph 97.</w:t>
            </w:r>
          </w:p>
        </w:tc>
      </w:tr>
      <w:tr w:rsidR="00CC0A94" w14:paraId="7FE1BA0D" w14:textId="77777777" w:rsidTr="6F08E959">
        <w:tc>
          <w:tcPr>
            <w:tcW w:w="1080" w:type="dxa"/>
            <w:tcBorders>
              <w:top w:val="single" w:sz="4" w:space="0" w:color="1A171C"/>
              <w:left w:val="nil"/>
              <w:bottom w:val="single" w:sz="4" w:space="0" w:color="1A171C"/>
              <w:right w:val="single" w:sz="4" w:space="0" w:color="1A171C"/>
            </w:tcBorders>
            <w:vAlign w:val="center"/>
          </w:tcPr>
          <w:p w14:paraId="7FE1BA0A" w14:textId="47AA2EA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bookmarkStart w:id="109" w:name="_Hlk162030772"/>
            <w:r>
              <w:rPr>
                <w:rFonts w:ascii="Times New Roman" w:hAnsi="Times New Roman" w:cs="Times New Roman"/>
                <w:b/>
                <w:bCs/>
                <w:color w:val="000000" w:themeColor="text1"/>
                <w:sz w:val="20"/>
                <w:szCs w:val="20"/>
                <w:lang w:val="en-GB"/>
              </w:rPr>
              <w:t>Of which uninsured</w:t>
            </w:r>
          </w:p>
          <w:p w14:paraId="7FE1BA0C" w14:textId="464500AA"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Carrying amount (including accrued interest) of deposits accepted with </w:t>
            </w:r>
            <w:r>
              <w:rPr>
                <w:rFonts w:ascii="Times New Roman" w:hAnsi="Times New Roman" w:cs="Times New Roman"/>
                <w:color w:val="000000" w:themeColor="text1"/>
                <w:sz w:val="20"/>
                <w:szCs w:val="20"/>
                <w:lang w:val="en-GB"/>
              </w:rPr>
              <w:t>the balance of their account higher than 100,000.00 EUR</w:t>
            </w:r>
            <w:bookmarkEnd w:id="109"/>
            <w:r w:rsidR="00052532">
              <w:rPr>
                <w:rFonts w:ascii="Times New Roman" w:hAnsi="Times New Roman" w:cs="Times New Roman"/>
                <w:color w:val="000000" w:themeColor="text1"/>
                <w:sz w:val="20"/>
                <w:szCs w:val="20"/>
                <w:lang w:val="en-GB"/>
              </w:rPr>
              <w:t>. Only the amount exceeding 100,000 EUR is to be reported here.</w:t>
            </w:r>
          </w:p>
        </w:tc>
      </w:tr>
      <w:tr w:rsidR="00CC0A94" w14:paraId="7FE1BA14" w14:textId="77777777" w:rsidTr="6F08E959">
        <w:tc>
          <w:tcPr>
            <w:tcW w:w="1080" w:type="dxa"/>
            <w:tcBorders>
              <w:top w:val="single" w:sz="4" w:space="0" w:color="1A171C"/>
              <w:left w:val="nil"/>
              <w:bottom w:val="single" w:sz="4" w:space="0" w:color="1A171C"/>
              <w:right w:val="single" w:sz="4" w:space="0" w:color="1A171C"/>
            </w:tcBorders>
            <w:vAlign w:val="center"/>
          </w:tcPr>
          <w:p w14:paraId="7FE1BA0E" w14:textId="13FF742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bookmarkStart w:id="110" w:name="_Hlk162030782"/>
            <w:r>
              <w:rPr>
                <w:rFonts w:ascii="Times New Roman" w:hAnsi="Times New Roman" w:cs="Times New Roman"/>
                <w:b/>
                <w:bCs/>
                <w:color w:val="000000" w:themeColor="text1"/>
                <w:sz w:val="20"/>
                <w:szCs w:val="20"/>
                <w:lang w:val="en-GB"/>
              </w:rPr>
              <w:t>Of which recurrent</w:t>
            </w:r>
          </w:p>
          <w:p w14:paraId="7FE1BA12" w14:textId="14AEAE5C" w:rsidR="00CC0A94" w:rsidRDefault="00725BF8">
            <w:pPr>
              <w:pStyle w:val="TableParagraph"/>
              <w:spacing w:before="108"/>
              <w:ind w:left="85"/>
              <w:jc w:val="both"/>
              <w:rPr>
                <w:rFonts w:ascii="Times New Roman" w:hAnsi="Times New Roman" w:cs="Times New Roman"/>
                <w:color w:val="000000" w:themeColor="text1"/>
                <w:sz w:val="20"/>
                <w:szCs w:val="20"/>
                <w:lang w:val="en-GB"/>
              </w:rPr>
            </w:pPr>
            <w:bookmarkStart w:id="111" w:name="_Hlk170377814"/>
            <w:bookmarkStart w:id="112" w:name="_Hlk162030851"/>
            <w:r>
              <w:rPr>
                <w:rFonts w:ascii="Times New Roman" w:eastAsia="Cambria" w:hAnsi="Times New Roman" w:cs="Times New Roman"/>
                <w:color w:val="000000" w:themeColor="text1"/>
                <w:spacing w:val="-2"/>
                <w:w w:val="95"/>
                <w:sz w:val="20"/>
                <w:szCs w:val="20"/>
                <w:lang w:val="en-GB"/>
              </w:rPr>
              <w:lastRenderedPageBreak/>
              <w:t xml:space="preserve">Carrying amount (including accrued interest) of deposits accepted </w:t>
            </w:r>
            <w:r w:rsidR="006C1571">
              <w:rPr>
                <w:rFonts w:ascii="Times New Roman" w:hAnsi="Times New Roman" w:cs="Times New Roman"/>
                <w:color w:val="000000" w:themeColor="text1"/>
                <w:sz w:val="20"/>
                <w:szCs w:val="20"/>
                <w:lang w:val="en-GB"/>
              </w:rPr>
              <w:t xml:space="preserve">of which are </w:t>
            </w:r>
            <w:r>
              <w:rPr>
                <w:rFonts w:ascii="Times New Roman" w:hAnsi="Times New Roman" w:cs="Times New Roman"/>
                <w:color w:val="000000" w:themeColor="text1"/>
                <w:sz w:val="20"/>
                <w:szCs w:val="20"/>
                <w:lang w:val="en-GB"/>
              </w:rPr>
              <w:t>held on a recurrent deposit account</w:t>
            </w:r>
            <w:r w:rsidR="006C1571">
              <w:rPr>
                <w:rFonts w:ascii="Times New Roman" w:hAnsi="Times New Roman" w:cs="Times New Roman"/>
                <w:color w:val="000000" w:themeColor="text1"/>
                <w:sz w:val="20"/>
                <w:szCs w:val="20"/>
                <w:lang w:val="en-GB"/>
              </w:rPr>
              <w:t>.  Recurr</w:t>
            </w:r>
            <w:r>
              <w:rPr>
                <w:rFonts w:ascii="Times New Roman" w:hAnsi="Times New Roman" w:cs="Times New Roman"/>
                <w:color w:val="000000" w:themeColor="text1"/>
                <w:sz w:val="20"/>
                <w:szCs w:val="20"/>
                <w:lang w:val="en-GB"/>
              </w:rPr>
              <w:t>ent</w:t>
            </w:r>
            <w:r w:rsidR="006C1571">
              <w:rPr>
                <w:rFonts w:ascii="Times New Roman" w:hAnsi="Times New Roman" w:cs="Times New Roman"/>
                <w:color w:val="000000" w:themeColor="text1"/>
                <w:sz w:val="20"/>
                <w:szCs w:val="20"/>
                <w:lang w:val="en-GB"/>
              </w:rPr>
              <w:t xml:space="preserve"> deposit accounts are deposit accounts where the account has been debited or credited at least with 5 monthly transactions on average over the 6 months preceding the cut-off date, except for annual fees, other charges and interest payment related to the account. </w:t>
            </w:r>
            <w:bookmarkEnd w:id="111"/>
          </w:p>
          <w:bookmarkEnd w:id="110"/>
          <w:bookmarkEnd w:id="112"/>
          <w:p w14:paraId="7FE1BA13" w14:textId="0C63C868" w:rsidR="00CC0A94" w:rsidRDefault="00CC0A94">
            <w:pPr>
              <w:pStyle w:val="TableParagraph"/>
              <w:spacing w:before="108"/>
              <w:ind w:left="85"/>
              <w:jc w:val="both"/>
              <w:rPr>
                <w:rFonts w:ascii="Times New Roman" w:hAnsi="Times New Roman" w:cs="Times New Roman"/>
                <w:color w:val="000000" w:themeColor="text1"/>
                <w:sz w:val="20"/>
                <w:szCs w:val="20"/>
                <w:lang w:val="en-GB"/>
              </w:rPr>
            </w:pPr>
          </w:p>
        </w:tc>
      </w:tr>
      <w:tr w:rsidR="00CC0A94" w14:paraId="7FE1BA18" w14:textId="77777777" w:rsidTr="6F08E959">
        <w:tc>
          <w:tcPr>
            <w:tcW w:w="1080" w:type="dxa"/>
            <w:tcBorders>
              <w:top w:val="single" w:sz="4" w:space="0" w:color="1A171C"/>
              <w:left w:val="nil"/>
              <w:bottom w:val="single" w:sz="4" w:space="0" w:color="1A171C"/>
              <w:right w:val="single" w:sz="4" w:space="0" w:color="1A171C"/>
            </w:tcBorders>
            <w:vAlign w:val="center"/>
          </w:tcPr>
          <w:p w14:paraId="7FE1BA15" w14:textId="56462D7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Clients</w:t>
            </w:r>
          </w:p>
          <w:p w14:paraId="7FE1BA17"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Total number of clients which deposited the values reported in c0030 ‘value on </w:t>
            </w:r>
            <w:proofErr w:type="gramStart"/>
            <w:r>
              <w:rPr>
                <w:rFonts w:ascii="Times New Roman" w:hAnsi="Times New Roman" w:cs="Times New Roman"/>
                <w:color w:val="000000" w:themeColor="text1"/>
                <w:sz w:val="20"/>
                <w:szCs w:val="20"/>
                <w:lang w:val="en-GB"/>
              </w:rPr>
              <w:t>accounts’</w:t>
            </w:r>
            <w:proofErr w:type="gramEnd"/>
            <w:r>
              <w:rPr>
                <w:rFonts w:ascii="Times New Roman" w:hAnsi="Times New Roman" w:cs="Times New Roman"/>
                <w:color w:val="000000" w:themeColor="text1"/>
                <w:sz w:val="20"/>
                <w:szCs w:val="20"/>
                <w:lang w:val="en-GB"/>
              </w:rPr>
              <w:t>. If one client uses more than one deposit product/ account, the client is counted only once.</w:t>
            </w:r>
          </w:p>
        </w:tc>
      </w:tr>
      <w:tr w:rsidR="00CC0A94" w14:paraId="7FE1BA1F" w14:textId="77777777" w:rsidTr="6F08E959">
        <w:tc>
          <w:tcPr>
            <w:tcW w:w="1080" w:type="dxa"/>
            <w:tcBorders>
              <w:top w:val="single" w:sz="4" w:space="0" w:color="1A171C"/>
              <w:left w:val="nil"/>
              <w:bottom w:val="single" w:sz="4" w:space="0" w:color="1A171C"/>
              <w:right w:val="single" w:sz="4" w:space="0" w:color="1A171C"/>
            </w:tcBorders>
            <w:vAlign w:val="center"/>
          </w:tcPr>
          <w:p w14:paraId="7FE1BA19" w14:textId="5D4B8FB0"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Accounts</w:t>
            </w:r>
          </w:p>
          <w:p w14:paraId="7FE1BA1B"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Total number of current accounts / overnight deposits, deposits with agreed maturity and</w:t>
            </w:r>
          </w:p>
          <w:p w14:paraId="7FE1BA1C" w14:textId="36D44222"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deposits redeemable at notice. Joint accounts </w:t>
            </w:r>
            <w:r>
              <w:rPr>
                <w:rFonts w:ascii="Times New Roman" w:hAnsi="Times New Roman" w:cs="Times New Roman"/>
                <w:color w:val="000000" w:themeColor="text1"/>
                <w:sz w:val="20"/>
                <w:szCs w:val="20"/>
                <w:lang w:val="en-GB"/>
              </w:rPr>
              <w:t>are to</w:t>
            </w:r>
            <w:r w:rsidRPr="002F61BB">
              <w:rPr>
                <w:rFonts w:ascii="Times New Roman" w:hAnsi="Times New Roman" w:cs="Times New Roman"/>
                <w:color w:val="000000" w:themeColor="text1"/>
                <w:sz w:val="20"/>
                <w:szCs w:val="20"/>
                <w:lang w:val="en-GB"/>
              </w:rPr>
              <w:t xml:space="preserve"> be counted only once. The</w:t>
            </w:r>
          </w:p>
          <w:p w14:paraId="7FE1BA1D" w14:textId="07F9DB1C"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total number of accounts in this column correspond</w:t>
            </w:r>
            <w:r>
              <w:rPr>
                <w:rFonts w:ascii="Times New Roman" w:hAnsi="Times New Roman" w:cs="Times New Roman"/>
                <w:color w:val="000000" w:themeColor="text1"/>
                <w:sz w:val="20"/>
                <w:szCs w:val="20"/>
                <w:lang w:val="en-GB"/>
              </w:rPr>
              <w:t>s</w:t>
            </w:r>
            <w:r w:rsidRPr="002F61BB">
              <w:rPr>
                <w:rFonts w:ascii="Times New Roman" w:hAnsi="Times New Roman" w:cs="Times New Roman"/>
                <w:color w:val="000000" w:themeColor="text1"/>
                <w:sz w:val="20"/>
                <w:szCs w:val="20"/>
                <w:lang w:val="en-GB"/>
              </w:rPr>
              <w:t xml:space="preserve"> to the value reported in c0030</w:t>
            </w:r>
          </w:p>
          <w:p w14:paraId="7FE1BA1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w:t>
            </w:r>
            <w:proofErr w:type="gramStart"/>
            <w:r w:rsidRPr="002F61BB">
              <w:rPr>
                <w:rFonts w:ascii="Times New Roman" w:hAnsi="Times New Roman" w:cs="Times New Roman"/>
                <w:color w:val="000000" w:themeColor="text1"/>
                <w:sz w:val="20"/>
                <w:szCs w:val="20"/>
                <w:lang w:val="en-GB"/>
              </w:rPr>
              <w:t>value</w:t>
            </w:r>
            <w:proofErr w:type="gramEnd"/>
            <w:r w:rsidRPr="002F61BB">
              <w:rPr>
                <w:rFonts w:ascii="Times New Roman" w:hAnsi="Times New Roman" w:cs="Times New Roman"/>
                <w:color w:val="000000" w:themeColor="text1"/>
                <w:sz w:val="20"/>
                <w:szCs w:val="20"/>
                <w:lang w:val="en-GB"/>
              </w:rPr>
              <w:t xml:space="preserve"> on accounts’.</w:t>
            </w:r>
          </w:p>
        </w:tc>
      </w:tr>
      <w:tr w:rsidR="00CC0A94" w14:paraId="7FE1BA23" w14:textId="77777777" w:rsidTr="6F08E959">
        <w:tc>
          <w:tcPr>
            <w:tcW w:w="1080" w:type="dxa"/>
            <w:tcBorders>
              <w:top w:val="single" w:sz="4" w:space="0" w:color="1A171C"/>
              <w:left w:val="nil"/>
              <w:bottom w:val="single" w:sz="4" w:space="0" w:color="1A171C"/>
              <w:right w:val="single" w:sz="4" w:space="0" w:color="1A171C"/>
            </w:tcBorders>
            <w:vAlign w:val="center"/>
          </w:tcPr>
          <w:p w14:paraId="7FE1BA20" w14:textId="175782F6"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recurrent</w:t>
            </w:r>
          </w:p>
          <w:p w14:paraId="7FE1BA22" w14:textId="00C60993"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Total number of</w:t>
            </w:r>
            <w:r>
              <w:rPr>
                <w:rFonts w:ascii="Times New Roman" w:hAnsi="Times New Roman" w:cs="Times New Roman"/>
                <w:color w:val="000000" w:themeColor="text1"/>
                <w:sz w:val="20"/>
                <w:szCs w:val="20"/>
                <w:lang w:val="en-GB"/>
              </w:rPr>
              <w:t xml:space="preserve"> recurrent accounts as defined in c00</w:t>
            </w:r>
            <w:r w:rsidR="00C718D3">
              <w:rPr>
                <w:rFonts w:ascii="Times New Roman" w:hAnsi="Times New Roman" w:cs="Times New Roman"/>
                <w:color w:val="000000" w:themeColor="text1"/>
                <w:sz w:val="20"/>
                <w:szCs w:val="20"/>
                <w:lang w:val="en-GB"/>
              </w:rPr>
              <w:t>36</w:t>
            </w:r>
          </w:p>
        </w:tc>
      </w:tr>
      <w:tr w:rsidR="00CC0A94" w14:paraId="7FE1BA2B" w14:textId="77777777" w:rsidTr="6F08E959">
        <w:tc>
          <w:tcPr>
            <w:tcW w:w="1080" w:type="dxa"/>
            <w:tcBorders>
              <w:top w:val="single" w:sz="4" w:space="0" w:color="1A171C"/>
              <w:left w:val="nil"/>
              <w:bottom w:val="single" w:sz="4" w:space="0" w:color="1A171C"/>
              <w:right w:val="single" w:sz="4" w:space="0" w:color="1A171C"/>
            </w:tcBorders>
            <w:vAlign w:val="center"/>
          </w:tcPr>
          <w:p w14:paraId="7FE1BA24" w14:textId="486A03B3" w:rsidR="00CC0A94" w:rsidRDefault="006C1571" w:rsidP="002F61BB">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value</w:t>
            </w:r>
          </w:p>
          <w:p w14:paraId="7FE1BA26"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Value on accounts of non-residents (non-domestic persons). Domestic persons include: (i)</w:t>
            </w:r>
          </w:p>
          <w:p w14:paraId="7FE1BA27"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persons that have their main economic interest (economic activities for at least one </w:t>
            </w:r>
            <w:proofErr w:type="gramStart"/>
            <w:r w:rsidRPr="002F61BB">
              <w:rPr>
                <w:rFonts w:ascii="Times New Roman" w:hAnsi="Times New Roman" w:cs="Times New Roman"/>
                <w:color w:val="000000" w:themeColor="text1"/>
                <w:sz w:val="20"/>
                <w:szCs w:val="20"/>
                <w:lang w:val="en-GB"/>
              </w:rPr>
              <w:t>year;</w:t>
            </w:r>
            <w:proofErr w:type="gramEnd"/>
          </w:p>
          <w:p w14:paraId="7FE1BA28"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ownership of physical assets is considered sufficient evidence) within the country of the</w:t>
            </w:r>
          </w:p>
          <w:p w14:paraId="7FE1BA29" w14:textId="7777777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reporting entity, and (ii) foreign branches of the clients of the reporting entity</w:t>
            </w:r>
            <w:r>
              <w:rPr>
                <w:rFonts w:ascii="Times New Roman" w:hAnsi="Times New Roman" w:cs="Times New Roman"/>
                <w:color w:val="000000" w:themeColor="text1"/>
                <w:sz w:val="20"/>
                <w:szCs w:val="20"/>
                <w:lang w:val="en-GB"/>
              </w:rPr>
              <w:t>.</w:t>
            </w:r>
          </w:p>
          <w:p w14:paraId="7FE1BA2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 xml:space="preserve">Reference: </w:t>
            </w:r>
          </w:p>
        </w:tc>
      </w:tr>
      <w:tr w:rsidR="00CC0A94" w14:paraId="7FE1BA34" w14:textId="77777777" w:rsidTr="6F08E959">
        <w:tc>
          <w:tcPr>
            <w:tcW w:w="1080" w:type="dxa"/>
            <w:tcBorders>
              <w:top w:val="single" w:sz="4" w:space="0" w:color="1A171C"/>
              <w:left w:val="nil"/>
              <w:bottom w:val="single" w:sz="4" w:space="0" w:color="1A171C"/>
              <w:right w:val="single" w:sz="4" w:space="0" w:color="1A171C"/>
            </w:tcBorders>
            <w:vAlign w:val="center"/>
          </w:tcPr>
          <w:p w14:paraId="7FE1BA2C" w14:textId="38DDB56C"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0070 - 0140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Impact and Substitutability analyses</w:t>
            </w:r>
          </w:p>
          <w:p w14:paraId="7FE1BA2E" w14:textId="2C85C98D"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assessment criteria for the impact on third parties shall include the following elements in accordance with Commission Delegated Regulation (EU) 2016/778:</w:t>
            </w:r>
          </w:p>
          <w:p w14:paraId="7FE1BA2F" w14:textId="77777777" w:rsidR="00CC0A94" w:rsidRDefault="006C1571">
            <w:pPr>
              <w:pStyle w:val="ListParagraph"/>
              <w:numPr>
                <w:ilvl w:val="0"/>
                <w:numId w:val="131"/>
              </w:numPr>
              <w:spacing w:line="276" w:lineRule="auto"/>
              <w:rPr>
                <w:rFonts w:ascii="Times New Roman" w:eastAsia="Times New Roman" w:hAnsi="Times New Roman"/>
                <w:b/>
                <w:bCs/>
                <w:sz w:val="20"/>
                <w:szCs w:val="20"/>
              </w:rPr>
            </w:pPr>
            <w:r>
              <w:rPr>
                <w:rFonts w:ascii="Times New Roman" w:eastAsia="Times New Roman" w:hAnsi="Times New Roman"/>
                <w:b/>
                <w:bCs/>
                <w:sz w:val="20"/>
                <w:szCs w:val="20"/>
              </w:rPr>
              <w:t>the nature and reach of the activity</w:t>
            </w:r>
            <w:r>
              <w:rPr>
                <w:rFonts w:ascii="Times New Roman" w:eastAsia="Times New Roman" w:hAnsi="Times New Roman"/>
                <w:sz w:val="20"/>
                <w:szCs w:val="20"/>
              </w:rPr>
              <w:t>, the global, national or regional reach, volume and number of transactions; the number of customers and counterparties; the number of customers for which the institution is the only or principal banking partner.</w:t>
            </w:r>
          </w:p>
          <w:p w14:paraId="7FE1BA30" w14:textId="77777777" w:rsidR="00CC0A94" w:rsidRDefault="006C1571">
            <w:pPr>
              <w:pStyle w:val="ListParagraph"/>
              <w:numPr>
                <w:ilvl w:val="0"/>
                <w:numId w:val="131"/>
              </w:numPr>
              <w:spacing w:line="276" w:lineRule="auto"/>
              <w:rPr>
                <w:rFonts w:ascii="Times New Roman" w:eastAsia="Times New Roman" w:hAnsi="Times New Roman"/>
                <w:b/>
                <w:bCs/>
                <w:sz w:val="20"/>
                <w:szCs w:val="20"/>
              </w:rPr>
            </w:pPr>
            <w:r>
              <w:rPr>
                <w:rFonts w:ascii="Times New Roman" w:eastAsia="Times New Roman" w:hAnsi="Times New Roman"/>
                <w:b/>
                <w:bCs/>
                <w:sz w:val="20"/>
                <w:szCs w:val="20"/>
              </w:rPr>
              <w:t>the relevance of the institution</w:t>
            </w:r>
            <w:r>
              <w:rPr>
                <w:rFonts w:ascii="Times New Roman" w:eastAsia="Times New Roman" w:hAnsi="Times New Roman"/>
                <w:sz w:val="20"/>
                <w:szCs w:val="20"/>
              </w:rPr>
              <w:t xml:space="preserve">, on a local, regional, national or European level, as appropriate for the market concerned. The relevance of the institution may be assessed </w:t>
            </w:r>
            <w:proofErr w:type="gramStart"/>
            <w:r>
              <w:rPr>
                <w:rFonts w:ascii="Times New Roman" w:eastAsia="Times New Roman" w:hAnsi="Times New Roman"/>
                <w:sz w:val="20"/>
                <w:szCs w:val="20"/>
              </w:rPr>
              <w:t>on the basis of</w:t>
            </w:r>
            <w:proofErr w:type="gramEnd"/>
            <w:r>
              <w:rPr>
                <w:rFonts w:ascii="Times New Roman" w:eastAsia="Times New Roman" w:hAnsi="Times New Roman"/>
                <w:sz w:val="20"/>
                <w:szCs w:val="20"/>
              </w:rPr>
              <w:t xml:space="preserve"> the market share, the interconnectedness, the complexity and cross- border activities.</w:t>
            </w:r>
          </w:p>
          <w:p w14:paraId="7FE1BA31" w14:textId="77777777" w:rsidR="00CC0A94" w:rsidRDefault="006C1571">
            <w:pPr>
              <w:pStyle w:val="ListParagraph"/>
              <w:numPr>
                <w:ilvl w:val="0"/>
                <w:numId w:val="131"/>
              </w:numPr>
              <w:spacing w:line="276" w:lineRule="auto"/>
              <w:rPr>
                <w:rFonts w:ascii="Times New Roman" w:eastAsia="Times New Roman" w:hAnsi="Times New Roman"/>
                <w:b/>
                <w:bCs/>
                <w:sz w:val="20"/>
                <w:szCs w:val="20"/>
              </w:rPr>
            </w:pPr>
            <w:r>
              <w:rPr>
                <w:rFonts w:ascii="Times New Roman" w:eastAsia="Times New Roman" w:hAnsi="Times New Roman"/>
                <w:b/>
                <w:bCs/>
                <w:sz w:val="20"/>
                <w:szCs w:val="20"/>
              </w:rPr>
              <w:t>the nature of the customers and stakeholders affected by the function</w:t>
            </w:r>
            <w:r>
              <w:rPr>
                <w:rFonts w:ascii="Times New Roman" w:eastAsia="Times New Roman" w:hAnsi="Times New Roman"/>
                <w:sz w:val="20"/>
                <w:szCs w:val="20"/>
              </w:rPr>
              <w:t xml:space="preserve">, such as but not limited to retail customers, corporate customers, interbank customers, central clearing houses and public entities. </w:t>
            </w:r>
          </w:p>
          <w:p w14:paraId="7FE1BA32" w14:textId="77777777" w:rsidR="00CC0A94" w:rsidRDefault="006C1571">
            <w:pPr>
              <w:pStyle w:val="ListParagraph"/>
              <w:numPr>
                <w:ilvl w:val="0"/>
                <w:numId w:val="131"/>
              </w:numPr>
              <w:spacing w:line="276" w:lineRule="auto"/>
              <w:rPr>
                <w:rFonts w:ascii="Times New Roman" w:eastAsia="Times New Roman" w:hAnsi="Times New Roman"/>
                <w:b/>
                <w:bCs/>
                <w:sz w:val="20"/>
                <w:szCs w:val="20"/>
              </w:rPr>
            </w:pPr>
            <w:r>
              <w:rPr>
                <w:rFonts w:ascii="Times New Roman" w:eastAsia="Times New Roman" w:hAnsi="Times New Roman"/>
                <w:b/>
                <w:bCs/>
                <w:sz w:val="20"/>
                <w:szCs w:val="20"/>
              </w:rPr>
              <w:t>the potential disruption of the function on markets, infrastructures, customers and public services</w:t>
            </w:r>
            <w:r>
              <w:rPr>
                <w:rFonts w:ascii="Times New Roman" w:eastAsia="Times New Roman" w:hAnsi="Times New Roman"/>
                <w:sz w:val="20"/>
                <w:szCs w:val="20"/>
              </w:rPr>
              <w:t>.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A33" w14:textId="77777777"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A38" w14:textId="77777777" w:rsidTr="6F08E959">
        <w:tc>
          <w:tcPr>
            <w:tcW w:w="1080" w:type="dxa"/>
            <w:tcBorders>
              <w:top w:val="single" w:sz="4" w:space="0" w:color="1A171C"/>
              <w:left w:val="nil"/>
              <w:bottom w:val="single" w:sz="4" w:space="0" w:color="1A171C"/>
              <w:right w:val="single" w:sz="4" w:space="0" w:color="1A171C"/>
            </w:tcBorders>
            <w:vAlign w:val="center"/>
          </w:tcPr>
          <w:p w14:paraId="7FE1BA35" w14:textId="3050578F"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0070 - 0090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Nature and Reach </w:t>
            </w:r>
          </w:p>
          <w:p w14:paraId="7FE1BA3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Times New Roman" w:hAnsi="Times New Roman"/>
                <w:sz w:val="20"/>
                <w:szCs w:val="20"/>
              </w:rPr>
              <w:t>The global, national or regional reach, volume and number of transactions; the number of customers and counterparties; the number of customers for which the institution is the only or principal banking partner.</w:t>
            </w:r>
          </w:p>
        </w:tc>
      </w:tr>
      <w:tr w:rsidR="00CC0A94" w14:paraId="7FE1BA3F" w14:textId="77777777" w:rsidTr="6F08E959">
        <w:tc>
          <w:tcPr>
            <w:tcW w:w="1080" w:type="dxa"/>
            <w:tcBorders>
              <w:top w:val="single" w:sz="4" w:space="0" w:color="1A171C"/>
              <w:left w:val="nil"/>
              <w:bottom w:val="single" w:sz="4" w:space="0" w:color="1A171C"/>
              <w:right w:val="single" w:sz="4" w:space="0" w:color="1A171C"/>
            </w:tcBorders>
            <w:vAlign w:val="center"/>
          </w:tcPr>
          <w:p w14:paraId="7FE1BA39" w14:textId="153BD48E"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1</w:t>
            </w:r>
          </w:p>
          <w:p w14:paraId="7FE1BA3B" w14:textId="0CA29815"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roofErr w:type="gramEnd"/>
            <w:r>
              <w:rPr>
                <w:rFonts w:ascii="Times New Roman" w:eastAsia="Times New Roman" w:hAnsi="Times New Roman" w:cs="Times New Roman"/>
                <w:sz w:val="20"/>
                <w:szCs w:val="20"/>
                <w:lang w:val="en-GB"/>
              </w:rPr>
              <w:t xml:space="preserve"> </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Medium-High</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Medium-Low</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or </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Low’. Report ‘H</w:t>
            </w:r>
            <w:r w:rsidR="000D2CC5">
              <w:rPr>
                <w:rFonts w:ascii="Times New Roman" w:eastAsia="Times New Roman" w:hAnsi="Times New Roman" w:cs="Times New Roman"/>
                <w:sz w:val="20"/>
                <w:szCs w:val="20"/>
                <w:lang w:val="en-GB"/>
              </w:rPr>
              <w:t>igh</w:t>
            </w:r>
            <w:r>
              <w:rPr>
                <w:rFonts w:ascii="Times New Roman" w:eastAsia="Times New Roman" w:hAnsi="Times New Roman" w:cs="Times New Roman"/>
                <w:sz w:val="20"/>
                <w:szCs w:val="20"/>
                <w:lang w:val="en-GB"/>
              </w:rPr>
              <w:t>’ if the size of the function is large, ‘</w:t>
            </w:r>
            <w:r w:rsidR="000D2CC5">
              <w:rPr>
                <w:rFonts w:ascii="Times New Roman" w:eastAsia="Times New Roman" w:hAnsi="Times New Roman" w:cs="Times New Roman"/>
                <w:sz w:val="20"/>
                <w:szCs w:val="20"/>
                <w:lang w:val="en-GB"/>
              </w:rPr>
              <w:t>Medium-High</w:t>
            </w:r>
            <w:r>
              <w:rPr>
                <w:rFonts w:ascii="Times New Roman" w:eastAsia="Times New Roman" w:hAnsi="Times New Roman" w:cs="Times New Roman"/>
                <w:sz w:val="20"/>
                <w:szCs w:val="20"/>
                <w:lang w:val="en-GB"/>
              </w:rPr>
              <w:t>’ if it is medium, ‘</w:t>
            </w:r>
            <w:r w:rsidR="000D2CC5">
              <w:rPr>
                <w:rFonts w:ascii="Times New Roman" w:eastAsia="Times New Roman" w:hAnsi="Times New Roman" w:cs="Times New Roman"/>
                <w:sz w:val="20"/>
                <w:szCs w:val="20"/>
                <w:lang w:val="en-GB"/>
              </w:rPr>
              <w:t>Medium-Low</w:t>
            </w:r>
            <w:r>
              <w:rPr>
                <w:rFonts w:ascii="Times New Roman" w:eastAsia="Times New Roman" w:hAnsi="Times New Roman" w:cs="Times New Roman"/>
                <w:sz w:val="20"/>
                <w:szCs w:val="20"/>
                <w:lang w:val="en-GB"/>
              </w:rPr>
              <w:t xml:space="preserve">’ if </w:t>
            </w:r>
            <w:r w:rsidR="000D2CC5">
              <w:rPr>
                <w:rFonts w:ascii="Times New Roman" w:eastAsia="Times New Roman" w:hAnsi="Times New Roman" w:cs="Times New Roman"/>
                <w:sz w:val="20"/>
                <w:szCs w:val="20"/>
                <w:lang w:val="en-GB"/>
              </w:rPr>
              <w:t>it is</w:t>
            </w:r>
            <w:r>
              <w:rPr>
                <w:rFonts w:ascii="Times New Roman" w:eastAsia="Times New Roman" w:hAnsi="Times New Roman" w:cs="Times New Roman"/>
                <w:sz w:val="20"/>
                <w:szCs w:val="20"/>
                <w:lang w:val="en-GB"/>
              </w:rPr>
              <w:t xml:space="preserve"> small, and ‘</w:t>
            </w:r>
            <w:r w:rsidR="000D2CC5">
              <w:rPr>
                <w:rFonts w:ascii="Times New Roman" w:eastAsia="Times New Roman" w:hAnsi="Times New Roman" w:cs="Times New Roman"/>
                <w:sz w:val="20"/>
                <w:szCs w:val="20"/>
                <w:lang w:val="en-GB"/>
              </w:rPr>
              <w:t>Low</w:t>
            </w:r>
            <w:r>
              <w:rPr>
                <w:rFonts w:ascii="Times New Roman" w:eastAsia="Times New Roman" w:hAnsi="Times New Roman" w:cs="Times New Roman"/>
                <w:sz w:val="20"/>
                <w:szCs w:val="20"/>
                <w:lang w:val="en-GB"/>
              </w:rPr>
              <w:t xml:space="preserve">’ if it is negligible. Use macro-economic variables such as GDP, population (for Deposits, Lending, Payments, Cash, Settlement, Clearing and Custody Services), or market size (for Capital Markets and Wholesale Funding) as a benchmark for this qualitative assessment. </w:t>
            </w:r>
          </w:p>
          <w:p w14:paraId="7FE1BA3C" w14:textId="77777777" w:rsidR="00CC0A94" w:rsidRDefault="006C1571">
            <w:pPr>
              <w:pStyle w:val="ListParagraph"/>
              <w:numPr>
                <w:ilvl w:val="0"/>
                <w:numId w:val="130"/>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value</w:t>
            </w:r>
            <w:r>
              <w:rPr>
                <w:rFonts w:ascii="Times New Roman" w:eastAsia="Times New Roman" w:hAnsi="Times New Roman"/>
                <w:sz w:val="20"/>
                <w:szCs w:val="20"/>
              </w:rPr>
              <w:t xml:space="preserve"> on accounts (c0030) from an </w:t>
            </w:r>
            <w:r>
              <w:rPr>
                <w:rFonts w:ascii="Times New Roman" w:eastAsia="Times New Roman" w:hAnsi="Times New Roman"/>
                <w:b/>
                <w:bCs/>
                <w:sz w:val="20"/>
                <w:szCs w:val="20"/>
              </w:rPr>
              <w:t>EU</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 xml:space="preserve">[one level higher than the relevant market. This means that when the relevant market is regional, size 1 = national; when it is national, size 1 = EU; when it is EU, size 1 = </w:t>
            </w:r>
            <w:proofErr w:type="gramStart"/>
            <w:r>
              <w:rPr>
                <w:rFonts w:ascii="Times New Roman" w:eastAsia="Times New Roman" w:hAnsi="Times New Roman"/>
                <w:i/>
                <w:iCs/>
                <w:sz w:val="20"/>
                <w:szCs w:val="20"/>
              </w:rPr>
              <w:t>global ]</w:t>
            </w:r>
            <w:proofErr w:type="gramEnd"/>
            <w:r>
              <w:rPr>
                <w:rFonts w:ascii="Times New Roman" w:eastAsia="Times New Roman" w:hAnsi="Times New Roman"/>
                <w:sz w:val="20"/>
                <w:szCs w:val="20"/>
              </w:rPr>
              <w:t>:</w:t>
            </w:r>
          </w:p>
          <w:p w14:paraId="7FE1BA3D" w14:textId="77777777" w:rsidR="00CC0A94" w:rsidRDefault="006C1571">
            <w:pPr>
              <w:pStyle w:val="ListParagraph"/>
              <w:numPr>
                <w:ilvl w:val="1"/>
                <w:numId w:val="129"/>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From an EU perspective, how large do you believe the total value on accounts with your institution is? </w:t>
            </w:r>
          </w:p>
          <w:p w14:paraId="7FE1BA3E" w14:textId="77777777"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A46" w14:textId="77777777" w:rsidTr="6F08E959">
        <w:tc>
          <w:tcPr>
            <w:tcW w:w="1080" w:type="dxa"/>
            <w:tcBorders>
              <w:top w:val="single" w:sz="4" w:space="0" w:color="1A171C"/>
              <w:left w:val="nil"/>
              <w:bottom w:val="single" w:sz="4" w:space="0" w:color="1A171C"/>
              <w:right w:val="single" w:sz="4" w:space="0" w:color="1A171C"/>
            </w:tcBorders>
            <w:vAlign w:val="center"/>
          </w:tcPr>
          <w:p w14:paraId="7FE1BA40" w14:textId="54B11659"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2</w:t>
            </w:r>
          </w:p>
          <w:p w14:paraId="3B32AD4C"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A42" w14:textId="7FE1DE6A" w:rsidR="00CC0A94" w:rsidRDefault="00CC0A94">
            <w:pPr>
              <w:spacing w:line="276" w:lineRule="auto"/>
              <w:jc w:val="both"/>
              <w:rPr>
                <w:rFonts w:ascii="Times New Roman" w:eastAsia="Times New Roman" w:hAnsi="Times New Roman" w:cs="Times New Roman"/>
                <w:sz w:val="20"/>
                <w:szCs w:val="20"/>
                <w:lang w:val="en-GB"/>
              </w:rPr>
            </w:pPr>
          </w:p>
          <w:p w14:paraId="7FE1BA43" w14:textId="77777777" w:rsidR="00CC0A94" w:rsidRDefault="006C1571">
            <w:pPr>
              <w:pStyle w:val="ListParagraph"/>
              <w:numPr>
                <w:ilvl w:val="0"/>
                <w:numId w:val="124"/>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clients (c0040)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A44" w14:textId="77777777" w:rsidR="00CC0A94" w:rsidRDefault="006C1571">
            <w:pPr>
              <w:pStyle w:val="ListParagraph"/>
              <w:numPr>
                <w:ilvl w:val="1"/>
                <w:numId w:val="122"/>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the total number of clients of the institution?</w:t>
            </w:r>
          </w:p>
          <w:p w14:paraId="7FE1BA45" w14:textId="77777777"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A51" w14:textId="77777777" w:rsidTr="6F08E959">
        <w:tc>
          <w:tcPr>
            <w:tcW w:w="1080" w:type="dxa"/>
            <w:tcBorders>
              <w:top w:val="single" w:sz="4" w:space="0" w:color="1A171C"/>
              <w:left w:val="nil"/>
              <w:bottom w:val="single" w:sz="4" w:space="0" w:color="1A171C"/>
              <w:right w:val="single" w:sz="4" w:space="0" w:color="1A171C"/>
            </w:tcBorders>
            <w:vAlign w:val="center"/>
          </w:tcPr>
          <w:p w14:paraId="7FE1BA47" w14:textId="171E9753"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indicator</w:t>
            </w:r>
          </w:p>
          <w:p w14:paraId="7FE1BA49"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the relative importance of cross-border activities for the different economic functions.</w:t>
            </w:r>
          </w:p>
          <w:p w14:paraId="7FE1BA4A"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This does not need to be assessed in case of reports in which the relevant market </w:t>
            </w:r>
            <w:proofErr w:type="gramStart"/>
            <w:r>
              <w:rPr>
                <w:rFonts w:ascii="Times New Roman" w:eastAsia="Times New Roman" w:hAnsi="Times New Roman" w:cs="Times New Roman"/>
                <w:sz w:val="20"/>
                <w:szCs w:val="20"/>
                <w:lang w:val="en-GB"/>
              </w:rPr>
              <w:t>is considered to be</w:t>
            </w:r>
            <w:proofErr w:type="gramEnd"/>
            <w:r>
              <w:rPr>
                <w:rFonts w:ascii="Times New Roman" w:eastAsia="Times New Roman" w:hAnsi="Times New Roman" w:cs="Times New Roman"/>
                <w:sz w:val="20"/>
                <w:szCs w:val="20"/>
                <w:lang w:val="en-GB"/>
              </w:rPr>
              <w:t xml:space="preserve"> regional. </w:t>
            </w:r>
          </w:p>
          <w:p w14:paraId="7FE1BA4B" w14:textId="77777777" w:rsidR="00CC0A94" w:rsidRPr="002F61BB" w:rsidRDefault="006C1571">
            <w:pPr>
              <w:pStyle w:val="ListParagraph"/>
              <w:numPr>
                <w:ilvl w:val="0"/>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Number of EU countries where it is estimated that the reporting entity has a national market share above 2%. </w:t>
            </w:r>
            <w:r w:rsidRPr="002F61BB">
              <w:rPr>
                <w:rFonts w:ascii="Times New Roman" w:eastAsia="Times New Roman" w:hAnsi="Times New Roman"/>
                <w:sz w:val="20"/>
                <w:szCs w:val="20"/>
              </w:rPr>
              <w:t xml:space="preserve">Report: </w:t>
            </w:r>
          </w:p>
          <w:p w14:paraId="7FE1BA4C" w14:textId="380A40CA" w:rsidR="00CC0A94" w:rsidRPr="00CC0A94" w:rsidRDefault="006C1571" w:rsidP="029F4E13">
            <w:pPr>
              <w:pStyle w:val="ListParagraph"/>
              <w:numPr>
                <w:ilvl w:val="1"/>
                <w:numId w:val="118"/>
              </w:numPr>
              <w:rPr>
                <w:rFonts w:ascii="Times New Roman" w:eastAsia="Times New Roman" w:hAnsi="Times New Roman"/>
                <w:i/>
                <w:iCs/>
                <w:sz w:val="20"/>
                <w:szCs w:val="20"/>
              </w:rPr>
            </w:pPr>
            <w:r w:rsidRPr="002F61BB">
              <w:rPr>
                <w:rFonts w:ascii="Times New Roman" w:eastAsia="Times New Roman" w:hAnsi="Times New Roman"/>
                <w:sz w:val="20"/>
                <w:szCs w:val="20"/>
              </w:rPr>
              <w:t xml:space="preserve">≤1 </w:t>
            </w:r>
            <w:proofErr w:type="gramStart"/>
            <w:r w:rsidRPr="002F61BB">
              <w:rPr>
                <w:rFonts w:ascii="Times New Roman" w:eastAsia="Times New Roman" w:hAnsi="Times New Roman"/>
                <w:sz w:val="20"/>
                <w:szCs w:val="20"/>
              </w:rPr>
              <w:t>country;</w:t>
            </w:r>
            <w:proofErr w:type="gramEnd"/>
            <w:r w:rsidRPr="002F61BB">
              <w:rPr>
                <w:rFonts w:ascii="Times New Roman" w:eastAsia="Times New Roman" w:hAnsi="Times New Roman"/>
                <w:sz w:val="20"/>
                <w:szCs w:val="20"/>
              </w:rPr>
              <w:t xml:space="preserve"> </w:t>
            </w:r>
          </w:p>
          <w:p w14:paraId="7FE1BA4D" w14:textId="152EAA32" w:rsidR="00CC0A94" w:rsidRPr="00CC0A94" w:rsidRDefault="006C1571" w:rsidP="029F4E13">
            <w:pPr>
              <w:pStyle w:val="ListParagraph"/>
              <w:numPr>
                <w:ilvl w:val="1"/>
                <w:numId w:val="118"/>
              </w:numPr>
              <w:rPr>
                <w:rFonts w:ascii="Times New Roman" w:eastAsia="Times New Roman" w:hAnsi="Times New Roman"/>
                <w:i/>
                <w:iCs/>
                <w:sz w:val="20"/>
                <w:szCs w:val="20"/>
              </w:rPr>
            </w:pPr>
            <w:r w:rsidRPr="002F61BB">
              <w:rPr>
                <w:rFonts w:ascii="Times New Roman" w:eastAsia="Times New Roman" w:hAnsi="Times New Roman"/>
                <w:sz w:val="20"/>
                <w:szCs w:val="20"/>
              </w:rPr>
              <w:t xml:space="preserve">2-3 </w:t>
            </w:r>
            <w:proofErr w:type="gramStart"/>
            <w:r w:rsidRPr="002F61BB">
              <w:rPr>
                <w:rFonts w:ascii="Times New Roman" w:eastAsia="Times New Roman" w:hAnsi="Times New Roman"/>
                <w:sz w:val="20"/>
                <w:szCs w:val="20"/>
              </w:rPr>
              <w:t>countries;</w:t>
            </w:r>
            <w:proofErr w:type="gramEnd"/>
            <w:r w:rsidRPr="002F61BB">
              <w:rPr>
                <w:rFonts w:ascii="Times New Roman" w:eastAsia="Times New Roman" w:hAnsi="Times New Roman"/>
                <w:sz w:val="20"/>
                <w:szCs w:val="20"/>
              </w:rPr>
              <w:t xml:space="preserve"> </w:t>
            </w:r>
          </w:p>
          <w:p w14:paraId="7FE1BA4E" w14:textId="5E1FD2A4" w:rsidR="00CC0A94" w:rsidRPr="00CC0A94" w:rsidRDefault="006C1571" w:rsidP="029F4E13">
            <w:pPr>
              <w:pStyle w:val="ListParagraph"/>
              <w:numPr>
                <w:ilvl w:val="1"/>
                <w:numId w:val="118"/>
              </w:numPr>
              <w:rPr>
                <w:rFonts w:ascii="Times New Roman" w:eastAsia="Times New Roman" w:hAnsi="Times New Roman"/>
                <w:i/>
                <w:iCs/>
                <w:sz w:val="20"/>
                <w:szCs w:val="20"/>
              </w:rPr>
            </w:pPr>
            <w:r w:rsidRPr="002F61BB">
              <w:rPr>
                <w:rFonts w:ascii="Times New Roman" w:eastAsia="Times New Roman" w:hAnsi="Times New Roman"/>
                <w:sz w:val="20"/>
                <w:szCs w:val="20"/>
              </w:rPr>
              <w:t xml:space="preserve">4-5 countries, </w:t>
            </w:r>
          </w:p>
          <w:p w14:paraId="7FE1BA4F" w14:textId="744AB982" w:rsidR="00CC0A94" w:rsidRPr="00CC0A94" w:rsidRDefault="006C1571" w:rsidP="002F61BB">
            <w:pPr>
              <w:pStyle w:val="ListParagraph"/>
              <w:numPr>
                <w:ilvl w:val="1"/>
                <w:numId w:val="118"/>
              </w:numPr>
              <w:rPr>
                <w:rFonts w:ascii="Times New Roman" w:eastAsia="Times New Roman" w:hAnsi="Times New Roman"/>
                <w:i/>
                <w:iCs/>
                <w:sz w:val="20"/>
                <w:szCs w:val="20"/>
              </w:rPr>
            </w:pPr>
            <w:r w:rsidRPr="002F61BB">
              <w:rPr>
                <w:rFonts w:ascii="Times New Roman" w:eastAsia="Times New Roman" w:hAnsi="Times New Roman"/>
                <w:sz w:val="20"/>
                <w:szCs w:val="20"/>
              </w:rPr>
              <w:t>&gt;5 countries.</w:t>
            </w:r>
          </w:p>
          <w:p w14:paraId="7FE1BA50" w14:textId="77777777" w:rsidR="00CC0A94" w:rsidRDefault="00CC0A94" w:rsidP="002F61BB">
            <w:pPr>
              <w:pStyle w:val="TableParagraph"/>
              <w:spacing w:before="108"/>
              <w:jc w:val="both"/>
              <w:rPr>
                <w:rFonts w:ascii="Times New Roman" w:hAnsi="Times New Roman" w:cs="Times New Roman"/>
                <w:b/>
                <w:bCs/>
                <w:color w:val="000000" w:themeColor="text1"/>
                <w:sz w:val="20"/>
                <w:szCs w:val="20"/>
                <w:lang w:val="en-GB"/>
              </w:rPr>
            </w:pPr>
          </w:p>
        </w:tc>
      </w:tr>
      <w:tr w:rsidR="00CC0A94" w14:paraId="7FE1BA60" w14:textId="77777777" w:rsidTr="6F08E959">
        <w:tc>
          <w:tcPr>
            <w:tcW w:w="1080" w:type="dxa"/>
            <w:tcBorders>
              <w:top w:val="single" w:sz="4" w:space="0" w:color="1A171C"/>
              <w:left w:val="nil"/>
              <w:bottom w:val="single" w:sz="4" w:space="0" w:color="1A171C"/>
              <w:right w:val="single" w:sz="4" w:space="0" w:color="1A171C"/>
            </w:tcBorders>
            <w:vAlign w:val="center"/>
          </w:tcPr>
          <w:p w14:paraId="7FE1BA52" w14:textId="05E0D2FF"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Relevance – </w:t>
            </w:r>
          </w:p>
          <w:p w14:paraId="7FE1BA54" w14:textId="77777777" w:rsidR="00CC0A94" w:rsidRDefault="006C1571">
            <w:pPr>
              <w:pStyle w:val="TableParagraph"/>
              <w:spacing w:before="108"/>
              <w:ind w:left="85"/>
              <w:jc w:val="both"/>
              <w:rPr>
                <w:rFonts w:ascii="Times New Roman" w:eastAsia="Times New Roman" w:hAnsi="Times New Roman"/>
                <w:sz w:val="20"/>
                <w:szCs w:val="20"/>
              </w:rPr>
            </w:pPr>
            <w:r>
              <w:rPr>
                <w:rFonts w:ascii="Times New Roman" w:eastAsia="Times New Roman" w:hAnsi="Times New Roman"/>
                <w:sz w:val="20"/>
                <w:szCs w:val="20"/>
              </w:rPr>
              <w:t xml:space="preserve">On a local, regional, national or European level, as appropriate for the market concerned. The </w:t>
            </w:r>
            <w:r>
              <w:rPr>
                <w:rFonts w:ascii="Times New Roman" w:eastAsia="Times New Roman" w:hAnsi="Times New Roman"/>
                <w:sz w:val="20"/>
                <w:szCs w:val="20"/>
              </w:rPr>
              <w:lastRenderedPageBreak/>
              <w:t xml:space="preserve">relevance of the institution may be assessed </w:t>
            </w:r>
            <w:proofErr w:type="gramStart"/>
            <w:r>
              <w:rPr>
                <w:rFonts w:ascii="Times New Roman" w:eastAsia="Times New Roman" w:hAnsi="Times New Roman"/>
                <w:sz w:val="20"/>
                <w:szCs w:val="20"/>
              </w:rPr>
              <w:t>on the basis of</w:t>
            </w:r>
            <w:proofErr w:type="gramEnd"/>
            <w:r>
              <w:rPr>
                <w:rFonts w:ascii="Times New Roman" w:eastAsia="Times New Roman" w:hAnsi="Times New Roman"/>
                <w:sz w:val="20"/>
                <w:szCs w:val="20"/>
              </w:rPr>
              <w:t xml:space="preserve"> the market share, the interconnectedness, the complexity and cross- border activities.</w:t>
            </w:r>
          </w:p>
          <w:p w14:paraId="7FE1BA5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Share</w:t>
            </w:r>
          </w:p>
          <w:p w14:paraId="7FE1BA56"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reporting entity’s market share is, compared to the national or other relevant market, as indicated in the template. This assessment is expressed qualitatively as </w:t>
            </w:r>
          </w:p>
          <w:p w14:paraId="7FE1BA57" w14:textId="4FBBC6A6" w:rsidR="00CC0A94" w:rsidRPr="002F61BB" w:rsidRDefault="006C1571" w:rsidP="002F61BB">
            <w:pPr>
              <w:pStyle w:val="ListParagraph"/>
              <w:numPr>
                <w:ilvl w:val="0"/>
                <w:numId w:val="276"/>
              </w:numPr>
              <w:spacing w:line="276" w:lineRule="auto"/>
              <w:jc w:val="both"/>
              <w:rPr>
                <w:rFonts w:ascii="Times New Roman" w:eastAsia="Times New Roman" w:hAnsi="Times New Roman"/>
                <w:sz w:val="20"/>
                <w:szCs w:val="20"/>
              </w:rPr>
            </w:pPr>
            <w:r w:rsidRPr="002F61BB">
              <w:rPr>
                <w:rFonts w:ascii="Times New Roman" w:eastAsia="Times New Roman" w:hAnsi="Times New Roman"/>
                <w:sz w:val="20"/>
                <w:szCs w:val="20"/>
              </w:rPr>
              <w:t>High</w:t>
            </w:r>
            <w:r w:rsidR="005327AD">
              <w:rPr>
                <w:rFonts w:ascii="Times New Roman" w:eastAsia="Times New Roman" w:hAnsi="Times New Roman"/>
                <w:sz w:val="20"/>
                <w:szCs w:val="20"/>
              </w:rPr>
              <w:t>,</w:t>
            </w:r>
            <w:r w:rsidRPr="002F61BB">
              <w:rPr>
                <w:rFonts w:ascii="Times New Roman" w:eastAsia="Times New Roman" w:hAnsi="Times New Roman"/>
                <w:sz w:val="20"/>
                <w:szCs w:val="20"/>
              </w:rPr>
              <w:t xml:space="preserve"> if the market share is large</w:t>
            </w:r>
          </w:p>
          <w:p w14:paraId="7FE1BA58" w14:textId="71C0B34E" w:rsidR="00CC0A94" w:rsidRPr="002F61BB" w:rsidRDefault="006C1571" w:rsidP="002F61BB">
            <w:pPr>
              <w:pStyle w:val="ListParagraph"/>
              <w:numPr>
                <w:ilvl w:val="0"/>
                <w:numId w:val="276"/>
              </w:numPr>
              <w:spacing w:line="276" w:lineRule="auto"/>
              <w:jc w:val="both"/>
              <w:rPr>
                <w:rFonts w:ascii="Times New Roman" w:eastAsia="Times New Roman" w:hAnsi="Times New Roman"/>
                <w:sz w:val="20"/>
                <w:szCs w:val="20"/>
              </w:rPr>
            </w:pPr>
            <w:r w:rsidRPr="002F61BB">
              <w:rPr>
                <w:rFonts w:ascii="Times New Roman" w:eastAsia="Times New Roman" w:hAnsi="Times New Roman"/>
                <w:sz w:val="20"/>
                <w:szCs w:val="20"/>
              </w:rPr>
              <w:t>Medium-High, if the market share is medium</w:t>
            </w:r>
          </w:p>
          <w:p w14:paraId="7FE1BA59" w14:textId="08ABB1D9" w:rsidR="00CC0A94" w:rsidRPr="002F61BB" w:rsidRDefault="006C1571" w:rsidP="002F61BB">
            <w:pPr>
              <w:pStyle w:val="ListParagraph"/>
              <w:numPr>
                <w:ilvl w:val="0"/>
                <w:numId w:val="276"/>
              </w:numPr>
              <w:spacing w:line="276" w:lineRule="auto"/>
              <w:jc w:val="both"/>
              <w:rPr>
                <w:rFonts w:ascii="Times New Roman" w:eastAsia="Times New Roman" w:hAnsi="Times New Roman"/>
                <w:sz w:val="20"/>
                <w:szCs w:val="20"/>
              </w:rPr>
            </w:pPr>
            <w:r w:rsidRPr="002F61BB">
              <w:rPr>
                <w:rFonts w:ascii="Times New Roman" w:eastAsia="Times New Roman" w:hAnsi="Times New Roman"/>
                <w:sz w:val="20"/>
                <w:szCs w:val="20"/>
              </w:rPr>
              <w:t>Medium-Low</w:t>
            </w:r>
            <w:r w:rsidR="005327AD">
              <w:rPr>
                <w:rFonts w:ascii="Times New Roman" w:eastAsia="Times New Roman" w:hAnsi="Times New Roman"/>
                <w:sz w:val="20"/>
                <w:szCs w:val="20"/>
              </w:rPr>
              <w:t>,</w:t>
            </w:r>
            <w:r w:rsidRPr="002F61BB">
              <w:rPr>
                <w:rFonts w:ascii="Times New Roman" w:eastAsia="Times New Roman" w:hAnsi="Times New Roman"/>
                <w:sz w:val="20"/>
                <w:szCs w:val="20"/>
              </w:rPr>
              <w:t xml:space="preserve"> if the market share is small or </w:t>
            </w:r>
          </w:p>
          <w:p w14:paraId="7FE1BA5A" w14:textId="3DD284B5" w:rsidR="00CC0A94" w:rsidRPr="002F61BB" w:rsidRDefault="006C1571" w:rsidP="002F61BB">
            <w:pPr>
              <w:pStyle w:val="ListParagraph"/>
              <w:numPr>
                <w:ilvl w:val="0"/>
                <w:numId w:val="276"/>
              </w:numPr>
              <w:spacing w:line="276" w:lineRule="auto"/>
              <w:jc w:val="both"/>
              <w:rPr>
                <w:rFonts w:ascii="Times New Roman" w:eastAsia="Times New Roman" w:hAnsi="Times New Roman"/>
                <w:sz w:val="20"/>
                <w:szCs w:val="20"/>
              </w:rPr>
            </w:pPr>
            <w:r w:rsidRPr="002F61BB">
              <w:rPr>
                <w:rFonts w:ascii="Times New Roman" w:eastAsia="Times New Roman" w:hAnsi="Times New Roman"/>
                <w:sz w:val="20"/>
                <w:szCs w:val="20"/>
              </w:rPr>
              <w:t>Low</w:t>
            </w:r>
            <w:r w:rsidR="005327AD">
              <w:rPr>
                <w:rFonts w:ascii="Times New Roman" w:eastAsia="Times New Roman" w:hAnsi="Times New Roman"/>
                <w:sz w:val="20"/>
                <w:szCs w:val="20"/>
              </w:rPr>
              <w:t>,</w:t>
            </w:r>
            <w:r w:rsidRPr="002F61BB">
              <w:rPr>
                <w:rFonts w:ascii="Times New Roman" w:eastAsia="Times New Roman" w:hAnsi="Times New Roman"/>
                <w:sz w:val="20"/>
                <w:szCs w:val="20"/>
              </w:rPr>
              <w:t xml:space="preserve"> if the market share is negligible. </w:t>
            </w:r>
          </w:p>
          <w:p w14:paraId="7FE1BA5B"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This assessment </w:t>
            </w:r>
            <w:proofErr w:type="gramStart"/>
            <w:r>
              <w:rPr>
                <w:rFonts w:ascii="Times New Roman" w:eastAsia="Times New Roman" w:hAnsi="Times New Roman" w:cs="Times New Roman"/>
                <w:sz w:val="20"/>
                <w:szCs w:val="20"/>
                <w:lang w:val="en-GB"/>
              </w:rPr>
              <w:t>takes into account</w:t>
            </w:r>
            <w:proofErr w:type="gramEnd"/>
            <w:r>
              <w:rPr>
                <w:rFonts w:ascii="Times New Roman" w:eastAsia="Times New Roman" w:hAnsi="Times New Roman" w:cs="Times New Roman"/>
                <w:sz w:val="20"/>
                <w:szCs w:val="20"/>
                <w:lang w:val="en-GB"/>
              </w:rPr>
              <w:t xml:space="preserve"> the market structure of the reporting entity’s country (or other relevant market), and market shares reported in part </w:t>
            </w:r>
          </w:p>
          <w:p w14:paraId="7FE1BA5C"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2.Quantitative data:</w:t>
            </w:r>
          </w:p>
          <w:p w14:paraId="7FE1BA5D" w14:textId="77777777" w:rsidR="00CC0A94" w:rsidRDefault="006C1571">
            <w:pPr>
              <w:pStyle w:val="ListParagraph"/>
              <w:numPr>
                <w:ilvl w:val="0"/>
                <w:numId w:val="117"/>
              </w:numPr>
              <w:spacing w:line="276" w:lineRule="auto"/>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A5E" w14:textId="77777777" w:rsidR="00CC0A94" w:rsidRDefault="00CC0A94">
            <w:pPr>
              <w:spacing w:line="276" w:lineRule="auto"/>
              <w:jc w:val="both"/>
              <w:rPr>
                <w:rFonts w:ascii="Times New Roman" w:eastAsia="Times New Roman" w:hAnsi="Times New Roman" w:cs="Times New Roman"/>
                <w:sz w:val="20"/>
                <w:szCs w:val="20"/>
                <w:lang w:val="en-GB"/>
              </w:rPr>
            </w:pPr>
          </w:p>
          <w:p w14:paraId="7FE1BA5F" w14:textId="77777777"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A6E" w14:textId="77777777" w:rsidTr="6F08E959">
        <w:tc>
          <w:tcPr>
            <w:tcW w:w="1080" w:type="dxa"/>
            <w:tcBorders>
              <w:top w:val="single" w:sz="4" w:space="0" w:color="1A171C"/>
              <w:left w:val="nil"/>
              <w:bottom w:val="single" w:sz="4" w:space="0" w:color="1A171C"/>
              <w:right w:val="single" w:sz="4" w:space="0" w:color="1A171C"/>
            </w:tcBorders>
            <w:vAlign w:val="center"/>
          </w:tcPr>
          <w:p w14:paraId="7FE1BA61" w14:textId="5039FA68"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Structure – Market concentration</w:t>
            </w:r>
          </w:p>
          <w:p w14:paraId="7FE1BA63"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market concentration, measured by the number of competitors currently performing </w:t>
            </w:r>
          </w:p>
          <w:p w14:paraId="7FE1BA64"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similar economic functions and/or offering similar services on equal terms (i.e. to a </w:t>
            </w:r>
          </w:p>
          <w:p w14:paraId="7FE1BA65"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comparable extent and quality and at a comparable cost) that potentially take over </w:t>
            </w:r>
          </w:p>
          <w:p w14:paraId="7FE1BA66"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(part of) the clients and/or business of the reporting entity within a reasonable timeframe. </w:t>
            </w:r>
          </w:p>
          <w:p w14:paraId="7FE1BA67"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This </w:t>
            </w:r>
            <w:proofErr w:type="gramStart"/>
            <w:r>
              <w:rPr>
                <w:rFonts w:ascii="Times New Roman" w:eastAsia="Times New Roman" w:hAnsi="Times New Roman" w:cs="Times New Roman"/>
                <w:sz w:val="20"/>
                <w:szCs w:val="20"/>
                <w:lang w:val="en-GB"/>
              </w:rPr>
              <w:t>has to</w:t>
            </w:r>
            <w:proofErr w:type="gramEnd"/>
            <w:r>
              <w:rPr>
                <w:rFonts w:ascii="Times New Roman" w:eastAsia="Times New Roman" w:hAnsi="Times New Roman" w:cs="Times New Roman"/>
                <w:sz w:val="20"/>
                <w:szCs w:val="20"/>
                <w:lang w:val="en-GB"/>
              </w:rPr>
              <w:t xml:space="preserve"> be reported in buckets, which are the same for each sub-function </w:t>
            </w:r>
          </w:p>
          <w:p w14:paraId="7FE1BA68" w14:textId="5B483BC6" w:rsidR="00CC0A94" w:rsidRPr="00CC0A94" w:rsidRDefault="00695A00" w:rsidP="002F61BB">
            <w:pPr>
              <w:pStyle w:val="ListParagraph"/>
              <w:numPr>
                <w:ilvl w:val="0"/>
                <w:numId w:val="277"/>
              </w:numPr>
              <w:jc w:val="both"/>
              <w:rPr>
                <w:rFonts w:ascii="Times New Roman" w:eastAsia="Times New Roman" w:hAnsi="Times New Roman"/>
                <w:sz w:val="20"/>
                <w:szCs w:val="20"/>
              </w:rPr>
            </w:pPr>
            <w:bookmarkStart w:id="113" w:name="_Hlk194417513"/>
            <w:r>
              <w:rPr>
                <w:rFonts w:ascii="Times New Roman" w:eastAsia="Times New Roman" w:hAnsi="Times New Roman"/>
                <w:sz w:val="20"/>
                <w:szCs w:val="20"/>
              </w:rPr>
              <w:t>&gt;</w:t>
            </w:r>
            <w:r w:rsidR="006C1571" w:rsidRPr="002F61BB">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006C1571" w:rsidRPr="002F61BB">
              <w:rPr>
                <w:rFonts w:ascii="Times New Roman" w:eastAsia="Times New Roman" w:hAnsi="Times New Roman"/>
                <w:sz w:val="20"/>
                <w:szCs w:val="20"/>
              </w:rPr>
              <w:t>;</w:t>
            </w:r>
            <w:proofErr w:type="gramEnd"/>
            <w:r w:rsidR="006C1571" w:rsidRPr="002F61BB">
              <w:rPr>
                <w:rFonts w:ascii="Times New Roman" w:eastAsia="Times New Roman" w:hAnsi="Times New Roman"/>
                <w:sz w:val="20"/>
                <w:szCs w:val="20"/>
              </w:rPr>
              <w:t xml:space="preserve"> </w:t>
            </w:r>
          </w:p>
          <w:p w14:paraId="7FE1BA69" w14:textId="7D2A0C84" w:rsidR="00CC0A94" w:rsidRPr="00CC0A94" w:rsidRDefault="006C1571" w:rsidP="002F61BB">
            <w:pPr>
              <w:pStyle w:val="ListParagraph"/>
              <w:numPr>
                <w:ilvl w:val="0"/>
                <w:numId w:val="277"/>
              </w:numPr>
              <w:jc w:val="both"/>
              <w:rPr>
                <w:rFonts w:ascii="Times New Roman" w:eastAsia="Times New Roman" w:hAnsi="Times New Roman"/>
                <w:sz w:val="20"/>
                <w:szCs w:val="20"/>
              </w:rPr>
            </w:pPr>
            <w:r w:rsidRPr="002F61BB">
              <w:rPr>
                <w:rFonts w:ascii="Times New Roman" w:eastAsia="Times New Roman" w:hAnsi="Times New Roman"/>
                <w:sz w:val="20"/>
                <w:szCs w:val="20"/>
              </w:rPr>
              <w:t>1</w:t>
            </w:r>
            <w:r w:rsidR="00695A00">
              <w:rPr>
                <w:rFonts w:ascii="Times New Roman" w:eastAsia="Times New Roman" w:hAnsi="Times New Roman"/>
                <w:sz w:val="20"/>
                <w:szCs w:val="20"/>
              </w:rPr>
              <w:t>1</w:t>
            </w:r>
            <w:r w:rsidRPr="002F61BB">
              <w:rPr>
                <w:rFonts w:ascii="Times New Roman" w:eastAsia="Times New Roman" w:hAnsi="Times New Roman"/>
                <w:sz w:val="20"/>
                <w:szCs w:val="20"/>
              </w:rPr>
              <w:t>-20</w:t>
            </w:r>
            <w:r w:rsidR="00695A00">
              <w:rPr>
                <w:rFonts w:ascii="Times New Roman" w:eastAsia="Times New Roman" w:hAnsi="Times New Roman"/>
                <w:sz w:val="20"/>
                <w:szCs w:val="20"/>
              </w:rPr>
              <w:t xml:space="preserve"> </w:t>
            </w:r>
            <w:proofErr w:type="gramStart"/>
            <w:r w:rsidR="00695A00">
              <w:rPr>
                <w:rFonts w:ascii="Times New Roman" w:eastAsia="Times New Roman" w:hAnsi="Times New Roman"/>
                <w:sz w:val="20"/>
                <w:szCs w:val="20"/>
              </w:rPr>
              <w:t>competitors</w:t>
            </w:r>
            <w:r w:rsidR="03359521" w:rsidRPr="029F4E13">
              <w:rPr>
                <w:rFonts w:ascii="Times New Roman" w:eastAsia="Times New Roman" w:hAnsi="Times New Roman"/>
                <w:sz w:val="20"/>
                <w:szCs w:val="20"/>
              </w:rPr>
              <w:t>;</w:t>
            </w:r>
            <w:proofErr w:type="gramEnd"/>
            <w:r w:rsidRPr="002F61BB">
              <w:rPr>
                <w:rFonts w:ascii="Times New Roman" w:eastAsia="Times New Roman" w:hAnsi="Times New Roman"/>
                <w:sz w:val="20"/>
                <w:szCs w:val="20"/>
              </w:rPr>
              <w:t xml:space="preserve"> </w:t>
            </w:r>
          </w:p>
          <w:p w14:paraId="7FE1BA6A" w14:textId="5EF3634F" w:rsidR="00CC0A94" w:rsidRPr="00CC0A94" w:rsidRDefault="006C1571" w:rsidP="002F61BB">
            <w:pPr>
              <w:pStyle w:val="ListParagraph"/>
              <w:numPr>
                <w:ilvl w:val="0"/>
                <w:numId w:val="277"/>
              </w:numPr>
              <w:jc w:val="both"/>
              <w:rPr>
                <w:rFonts w:ascii="Times New Roman" w:eastAsia="Times New Roman" w:hAnsi="Times New Roman"/>
                <w:sz w:val="20"/>
                <w:szCs w:val="20"/>
              </w:rPr>
            </w:pPr>
            <w:r w:rsidRPr="002F61BB">
              <w:rPr>
                <w:rFonts w:ascii="Times New Roman" w:eastAsia="Times New Roman" w:hAnsi="Times New Roman"/>
                <w:sz w:val="20"/>
                <w:szCs w:val="20"/>
              </w:rPr>
              <w:t>5-10</w:t>
            </w:r>
            <w:r w:rsidR="00695A00">
              <w:rPr>
                <w:rFonts w:ascii="Times New Roman" w:eastAsia="Times New Roman" w:hAnsi="Times New Roman"/>
                <w:sz w:val="20"/>
                <w:szCs w:val="20"/>
              </w:rPr>
              <w:t xml:space="preserve"> competitors</w:t>
            </w:r>
            <w:r w:rsidRPr="002F61BB">
              <w:rPr>
                <w:rFonts w:ascii="Times New Roman" w:eastAsia="Times New Roman" w:hAnsi="Times New Roman"/>
                <w:sz w:val="20"/>
                <w:szCs w:val="20"/>
              </w:rPr>
              <w:t xml:space="preserve">, </w:t>
            </w:r>
          </w:p>
          <w:p w14:paraId="7FE1BA6B" w14:textId="3A6E6804" w:rsidR="00CC0A94" w:rsidRPr="00CC0A94" w:rsidRDefault="006C1571">
            <w:pPr>
              <w:pStyle w:val="ListParagraph"/>
              <w:numPr>
                <w:ilvl w:val="0"/>
                <w:numId w:val="277"/>
              </w:numPr>
              <w:jc w:val="both"/>
              <w:rPr>
                <w:rFonts w:ascii="Times New Roman" w:hAnsi="Times New Roman"/>
                <w:b/>
                <w:bCs/>
                <w:color w:val="000000" w:themeColor="text1"/>
                <w:sz w:val="20"/>
                <w:szCs w:val="20"/>
              </w:rPr>
            </w:pPr>
            <w:r w:rsidRPr="002F61BB">
              <w:rPr>
                <w:rFonts w:ascii="Times New Roman" w:eastAsia="Times New Roman" w:hAnsi="Times New Roman"/>
                <w:sz w:val="20"/>
                <w:szCs w:val="20"/>
              </w:rPr>
              <w:t>&lt;5</w:t>
            </w:r>
            <w:bookmarkEnd w:id="113"/>
            <w:r w:rsidR="00695A00">
              <w:rPr>
                <w:rFonts w:ascii="Times New Roman" w:eastAsia="Times New Roman" w:hAnsi="Times New Roman"/>
                <w:sz w:val="20"/>
                <w:szCs w:val="20"/>
              </w:rPr>
              <w:t xml:space="preserve"> competitors</w:t>
            </w:r>
          </w:p>
          <w:p w14:paraId="7FE1BA6C" w14:textId="77777777" w:rsidR="00CC0A94" w:rsidRPr="002F61BB" w:rsidRDefault="006C1571" w:rsidP="002F61BB">
            <w:pPr>
              <w:ind w:left="360"/>
              <w:jc w:val="both"/>
              <w:rPr>
                <w:rFonts w:ascii="Times New Roman" w:eastAsia="Times New Roman" w:hAnsi="Times New Roman"/>
                <w:i/>
                <w:iCs/>
                <w:sz w:val="20"/>
                <w:szCs w:val="20"/>
              </w:rPr>
            </w:pPr>
            <w:r w:rsidRPr="002F61BB">
              <w:rPr>
                <w:rFonts w:ascii="Times New Roman" w:eastAsia="Times New Roman" w:hAnsi="Times New Roman"/>
                <w:sz w:val="20"/>
                <w:szCs w:val="20"/>
              </w:rPr>
              <w:t xml:space="preserve">Expert judgement of the size of the </w:t>
            </w:r>
            <w:r w:rsidRPr="002F61BB">
              <w:rPr>
                <w:rFonts w:ascii="Times New Roman" w:eastAsia="Times New Roman" w:hAnsi="Times New Roman"/>
                <w:b/>
                <w:bCs/>
                <w:sz w:val="20"/>
                <w:szCs w:val="20"/>
              </w:rPr>
              <w:t xml:space="preserve">national </w:t>
            </w:r>
            <w:r w:rsidRPr="002F61BB">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A6D" w14:textId="77777777" w:rsidR="00CC0A94" w:rsidRPr="002F61BB" w:rsidRDefault="00CC0A94" w:rsidP="002F61BB">
            <w:pPr>
              <w:jc w:val="both"/>
              <w:rPr>
                <w:rFonts w:ascii="Times New Roman" w:hAnsi="Times New Roman"/>
                <w:b/>
                <w:bCs/>
                <w:color w:val="000000" w:themeColor="text1"/>
                <w:sz w:val="20"/>
                <w:szCs w:val="20"/>
              </w:rPr>
            </w:pPr>
          </w:p>
        </w:tc>
      </w:tr>
      <w:tr w:rsidR="00CC0A94" w14:paraId="7FE1BA81" w14:textId="77777777" w:rsidTr="6F08E959">
        <w:tc>
          <w:tcPr>
            <w:tcW w:w="1080" w:type="dxa"/>
            <w:tcBorders>
              <w:top w:val="single" w:sz="4" w:space="0" w:color="1A171C"/>
              <w:left w:val="nil"/>
              <w:bottom w:val="single" w:sz="4" w:space="0" w:color="1A171C"/>
              <w:right w:val="single" w:sz="4" w:space="0" w:color="1A171C"/>
            </w:tcBorders>
            <w:vAlign w:val="center"/>
          </w:tcPr>
          <w:p w14:paraId="7FE1BA6F" w14:textId="38765705"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CC0A94" w:rsidRPr="002F61BB"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Timing - Expected time for substitution</w:t>
            </w:r>
          </w:p>
          <w:p w14:paraId="7FE1BA71"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Estimate the time necessary for the economic function provided by the reporting</w:t>
            </w:r>
          </w:p>
          <w:p w14:paraId="7FE1BA72"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entity to be absorbed by the market in </w:t>
            </w:r>
            <w:proofErr w:type="gramStart"/>
            <w:r>
              <w:rPr>
                <w:rFonts w:ascii="Times New Roman" w:eastAsia="Times New Roman" w:hAnsi="Times New Roman" w:cs="Times New Roman"/>
                <w:sz w:val="20"/>
                <w:szCs w:val="20"/>
                <w:lang w:val="en-GB"/>
              </w:rPr>
              <w:t>a crisis situation</w:t>
            </w:r>
            <w:proofErr w:type="gramEnd"/>
            <w:r>
              <w:rPr>
                <w:rFonts w:ascii="Times New Roman" w:eastAsia="Times New Roman" w:hAnsi="Times New Roman" w:cs="Times New Roman"/>
                <w:sz w:val="20"/>
                <w:szCs w:val="20"/>
                <w:lang w:val="en-GB"/>
              </w:rPr>
              <w:t xml:space="preserve">. This includes: </w:t>
            </w:r>
          </w:p>
          <w:p w14:paraId="7FE1BA73" w14:textId="77777777" w:rsidR="00CC0A94" w:rsidRPr="002F61BB" w:rsidRDefault="006C1571" w:rsidP="002F61BB">
            <w:pPr>
              <w:pStyle w:val="ListParagraph"/>
              <w:numPr>
                <w:ilvl w:val="0"/>
                <w:numId w:val="274"/>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the expected time needed by one or several competitor(s) to accomplish the legal and technical steps to take over the function; as well as  </w:t>
            </w:r>
          </w:p>
          <w:p w14:paraId="7FE1BA74" w14:textId="77777777" w:rsidR="00CC0A94" w:rsidRPr="002F61BB" w:rsidRDefault="006C1571" w:rsidP="002F61BB">
            <w:pPr>
              <w:pStyle w:val="ListParagraph"/>
              <w:numPr>
                <w:ilvl w:val="0"/>
                <w:numId w:val="274"/>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the time required by users of the service to move to another service provider. </w:t>
            </w:r>
          </w:p>
          <w:p w14:paraId="7FE1BA75" w14:textId="77777777" w:rsidR="00CC0A94" w:rsidRDefault="00CC0A94">
            <w:pPr>
              <w:jc w:val="both"/>
              <w:rPr>
                <w:rFonts w:ascii="Times New Roman" w:eastAsia="Times New Roman" w:hAnsi="Times New Roman" w:cs="Times New Roman"/>
                <w:sz w:val="20"/>
                <w:szCs w:val="20"/>
                <w:lang w:val="en-GB"/>
              </w:rPr>
            </w:pPr>
          </w:p>
          <w:p w14:paraId="7FE1BA76"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deposits, it mainly concerns the financial, operational and technical capacity of alternative providers to offer deposit-taking services to the reporting bank’s customers and not the transfer of the deposits to another provider as the consequence of an act by an authority or the receipt of compensation from the DGS. </w:t>
            </w:r>
          </w:p>
          <w:p w14:paraId="7FE1BA77" w14:textId="77777777" w:rsidR="00CC0A94" w:rsidRDefault="00CC0A94">
            <w:pPr>
              <w:jc w:val="both"/>
              <w:rPr>
                <w:rFonts w:ascii="Times New Roman" w:eastAsia="Times New Roman" w:hAnsi="Times New Roman" w:cs="Times New Roman"/>
                <w:sz w:val="20"/>
                <w:szCs w:val="20"/>
                <w:lang w:val="en-GB"/>
              </w:rPr>
            </w:pPr>
          </w:p>
          <w:p w14:paraId="7FE1BA78"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 a proxy for the former, provide an estimate of the time it would take the reporting entity to absorb in its own business (part of) the service provided by another institution, at a reasonable cost, in </w:t>
            </w:r>
            <w:proofErr w:type="gramStart"/>
            <w:r>
              <w:rPr>
                <w:rFonts w:ascii="Times New Roman" w:eastAsia="Times New Roman" w:hAnsi="Times New Roman" w:cs="Times New Roman"/>
                <w:sz w:val="20"/>
                <w:szCs w:val="20"/>
                <w:lang w:val="en-GB"/>
              </w:rPr>
              <w:t>a crisis situation</w:t>
            </w:r>
            <w:proofErr w:type="gramEnd"/>
            <w:r>
              <w:rPr>
                <w:rFonts w:ascii="Times New Roman" w:eastAsia="Times New Roman" w:hAnsi="Times New Roman" w:cs="Times New Roman"/>
                <w:sz w:val="20"/>
                <w:szCs w:val="20"/>
                <w:lang w:val="en-GB"/>
              </w:rPr>
              <w:t>. Report the estimated time to substitution in the buckets provided in the template:</w:t>
            </w:r>
          </w:p>
          <w:p w14:paraId="7FE1BA79" w14:textId="77777777" w:rsidR="00CC0A94" w:rsidRDefault="00CC0A94">
            <w:pPr>
              <w:jc w:val="both"/>
              <w:rPr>
                <w:rFonts w:ascii="Times New Roman" w:hAnsi="Times New Roman" w:cs="Times New Roman"/>
                <w:color w:val="000000" w:themeColor="text1"/>
                <w:sz w:val="20"/>
                <w:szCs w:val="20"/>
                <w:lang w:val="en-GB"/>
              </w:rPr>
            </w:pPr>
          </w:p>
          <w:p w14:paraId="7FE1BA7A" w14:textId="77777777" w:rsidR="00CC0A94" w:rsidRDefault="006C1571">
            <w:pPr>
              <w:jc w:val="both"/>
              <w:rPr>
                <w:rFonts w:ascii="Times New Roman" w:eastAsia="Times New Roman" w:hAnsi="Times New Roman" w:cs="Times New Roman"/>
                <w:sz w:val="20"/>
                <w:szCs w:val="20"/>
                <w:lang w:val="en-GB"/>
              </w:rPr>
            </w:pPr>
            <w:bookmarkStart w:id="114" w:name="_Hlk194476514"/>
            <w:r>
              <w:rPr>
                <w:rFonts w:ascii="Times New Roman" w:eastAsia="Times New Roman" w:hAnsi="Times New Roman" w:cs="Times New Roman"/>
                <w:sz w:val="20"/>
                <w:szCs w:val="20"/>
                <w:lang w:val="en-GB"/>
              </w:rPr>
              <w:t xml:space="preserve">Buckets: </w:t>
            </w:r>
          </w:p>
          <w:p w14:paraId="7FE1BA7B" w14:textId="013EC0AB" w:rsidR="00CC0A94" w:rsidRPr="00CC0A94" w:rsidRDefault="006C1571" w:rsidP="002F61BB">
            <w:pPr>
              <w:pStyle w:val="ListParagraph"/>
              <w:numPr>
                <w:ilvl w:val="0"/>
                <w:numId w:val="280"/>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&lt; 1 </w:t>
            </w:r>
            <w:proofErr w:type="gramStart"/>
            <w:r w:rsidRPr="002F61BB">
              <w:rPr>
                <w:rFonts w:ascii="Times New Roman" w:eastAsia="Times New Roman" w:hAnsi="Times New Roman"/>
                <w:sz w:val="20"/>
                <w:szCs w:val="20"/>
              </w:rPr>
              <w:t>week;</w:t>
            </w:r>
            <w:proofErr w:type="gramEnd"/>
            <w:r w:rsidRPr="002F61BB">
              <w:rPr>
                <w:rFonts w:ascii="Times New Roman" w:eastAsia="Times New Roman" w:hAnsi="Times New Roman"/>
                <w:sz w:val="20"/>
                <w:szCs w:val="20"/>
              </w:rPr>
              <w:t xml:space="preserve"> </w:t>
            </w:r>
          </w:p>
          <w:p w14:paraId="7FE1BA7C" w14:textId="6818EF73" w:rsidR="00CC0A94" w:rsidRPr="00CC0A94" w:rsidRDefault="006C1571" w:rsidP="002F61BB">
            <w:pPr>
              <w:pStyle w:val="ListParagraph"/>
              <w:numPr>
                <w:ilvl w:val="0"/>
                <w:numId w:val="280"/>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1 week-1 </w:t>
            </w:r>
            <w:proofErr w:type="gramStart"/>
            <w:r w:rsidRPr="002F61BB">
              <w:rPr>
                <w:rFonts w:ascii="Times New Roman" w:eastAsia="Times New Roman" w:hAnsi="Times New Roman"/>
                <w:sz w:val="20"/>
                <w:szCs w:val="20"/>
              </w:rPr>
              <w:t>month;</w:t>
            </w:r>
            <w:proofErr w:type="gramEnd"/>
            <w:r w:rsidRPr="002F61BB">
              <w:rPr>
                <w:rFonts w:ascii="Times New Roman" w:eastAsia="Times New Roman" w:hAnsi="Times New Roman"/>
                <w:sz w:val="20"/>
                <w:szCs w:val="20"/>
              </w:rPr>
              <w:t xml:space="preserve"> </w:t>
            </w:r>
          </w:p>
          <w:p w14:paraId="7FE1BA7D" w14:textId="05597976" w:rsidR="00CC0A94" w:rsidRPr="00CC0A94" w:rsidRDefault="00FB425E" w:rsidP="002F61BB">
            <w:pPr>
              <w:pStyle w:val="ListParagraph"/>
              <w:numPr>
                <w:ilvl w:val="0"/>
                <w:numId w:val="280"/>
              </w:numPr>
              <w:jc w:val="both"/>
              <w:rPr>
                <w:rFonts w:ascii="Times New Roman" w:eastAsia="Times New Roman" w:hAnsi="Times New Roman"/>
                <w:sz w:val="20"/>
                <w:szCs w:val="20"/>
              </w:rPr>
            </w:pPr>
            <w:r>
              <w:rPr>
                <w:rFonts w:ascii="Times New Roman" w:eastAsia="Times New Roman" w:hAnsi="Times New Roman"/>
                <w:sz w:val="20"/>
                <w:szCs w:val="20"/>
              </w:rPr>
              <w:t>&gt;</w:t>
            </w:r>
            <w:r w:rsidR="006C1571" w:rsidRPr="002F61BB">
              <w:rPr>
                <w:rFonts w:ascii="Times New Roman" w:eastAsia="Times New Roman" w:hAnsi="Times New Roman"/>
                <w:sz w:val="20"/>
                <w:szCs w:val="20"/>
              </w:rPr>
              <w:t>1</w:t>
            </w:r>
            <w:r>
              <w:rPr>
                <w:rFonts w:ascii="Times New Roman" w:eastAsia="Times New Roman" w:hAnsi="Times New Roman"/>
                <w:sz w:val="20"/>
                <w:szCs w:val="20"/>
              </w:rPr>
              <w:t>month</w:t>
            </w:r>
            <w:r w:rsidR="006C1571" w:rsidRPr="002F61BB">
              <w:rPr>
                <w:rFonts w:ascii="Times New Roman" w:eastAsia="Times New Roman" w:hAnsi="Times New Roman"/>
                <w:sz w:val="20"/>
                <w:szCs w:val="20"/>
              </w:rPr>
              <w:t xml:space="preserve">-6 months, </w:t>
            </w:r>
          </w:p>
          <w:p w14:paraId="7FE1BA7E" w14:textId="0D41F489" w:rsidR="00CC0A94" w:rsidRPr="00CC0A94" w:rsidRDefault="006C1571" w:rsidP="002F61BB">
            <w:pPr>
              <w:pStyle w:val="ListParagraph"/>
              <w:numPr>
                <w:ilvl w:val="0"/>
                <w:numId w:val="280"/>
              </w:numPr>
              <w:jc w:val="both"/>
              <w:rPr>
                <w:rFonts w:ascii="Times New Roman" w:eastAsia="Times New Roman" w:hAnsi="Times New Roman"/>
                <w:sz w:val="20"/>
                <w:szCs w:val="20"/>
              </w:rPr>
            </w:pPr>
            <w:r w:rsidRPr="002F61BB">
              <w:rPr>
                <w:rFonts w:ascii="Times New Roman" w:eastAsia="Times New Roman" w:hAnsi="Times New Roman"/>
                <w:sz w:val="20"/>
                <w:szCs w:val="20"/>
              </w:rPr>
              <w:lastRenderedPageBreak/>
              <w:t xml:space="preserve">&gt;6 months  </w:t>
            </w:r>
          </w:p>
          <w:bookmarkEnd w:id="114"/>
          <w:p w14:paraId="7FE1BA7F" w14:textId="77777777" w:rsidR="00CC0A94" w:rsidRDefault="00CC0A94">
            <w:pPr>
              <w:jc w:val="both"/>
              <w:rPr>
                <w:rFonts w:ascii="Times New Roman" w:eastAsia="Times New Roman" w:hAnsi="Times New Roman" w:cs="Times New Roman"/>
                <w:sz w:val="20"/>
                <w:szCs w:val="20"/>
                <w:lang w:val="en-GB"/>
              </w:rPr>
            </w:pPr>
          </w:p>
          <w:p w14:paraId="7FE1BA80" w14:textId="77777777" w:rsidR="00CC0A94" w:rsidRPr="002F61BB" w:rsidRDefault="00CC0A94" w:rsidP="002F61BB">
            <w:pPr>
              <w:jc w:val="both"/>
              <w:rPr>
                <w:rFonts w:ascii="Times New Roman" w:hAnsi="Times New Roman" w:cs="Times New Roman"/>
                <w:color w:val="000000" w:themeColor="text1"/>
                <w:sz w:val="20"/>
                <w:szCs w:val="20"/>
                <w:lang w:val="en-GB"/>
              </w:rPr>
            </w:pPr>
          </w:p>
        </w:tc>
      </w:tr>
      <w:tr w:rsidR="00CC0A94" w14:paraId="7FE1BA84" w14:textId="77777777" w:rsidTr="6F08E959">
        <w:tc>
          <w:tcPr>
            <w:tcW w:w="1080" w:type="dxa"/>
            <w:tcBorders>
              <w:top w:val="single" w:sz="4" w:space="0" w:color="1A171C"/>
              <w:left w:val="nil"/>
              <w:bottom w:val="single" w:sz="4" w:space="0" w:color="1A171C"/>
              <w:right w:val="single" w:sz="4" w:space="0" w:color="1A171C"/>
            </w:tcBorders>
            <w:vAlign w:val="center"/>
          </w:tcPr>
          <w:p w14:paraId="7FE1BA82" w14:textId="28D0359B"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Ability for substitution</w:t>
            </w:r>
          </w:p>
        </w:tc>
      </w:tr>
      <w:tr w:rsidR="00CC0A94" w14:paraId="7FE1BA8E" w14:textId="77777777" w:rsidTr="6F08E959">
        <w:tc>
          <w:tcPr>
            <w:tcW w:w="1080" w:type="dxa"/>
            <w:tcBorders>
              <w:top w:val="single" w:sz="4" w:space="0" w:color="1A171C"/>
              <w:left w:val="nil"/>
              <w:bottom w:val="single" w:sz="4" w:space="0" w:color="1A171C"/>
              <w:right w:val="single" w:sz="4" w:space="0" w:color="1A171C"/>
            </w:tcBorders>
            <w:vAlign w:val="center"/>
          </w:tcPr>
          <w:p w14:paraId="7FE1BA85" w14:textId="56A54470"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CC0A94" w:rsidRDefault="006C1571">
            <w:pPr>
              <w:jc w:val="both"/>
              <w:rPr>
                <w:rFonts w:ascii="Times New Roman" w:eastAsia="Times New Roman" w:hAnsi="Times New Roman" w:cs="Times New Roman"/>
                <w:b/>
                <w:bCs/>
                <w:color w:val="000000" w:themeColor="text1"/>
                <w:sz w:val="20"/>
                <w:szCs w:val="20"/>
                <w:lang w:val="en-GB"/>
              </w:rPr>
            </w:pPr>
            <w:r>
              <w:rPr>
                <w:rFonts w:ascii="Times New Roman" w:eastAsia="Times New Roman" w:hAnsi="Times New Roman" w:cs="Times New Roman"/>
                <w:b/>
                <w:bCs/>
                <w:color w:val="000000" w:themeColor="text1"/>
                <w:sz w:val="20"/>
                <w:szCs w:val="20"/>
                <w:lang w:val="en-GB"/>
              </w:rPr>
              <w:t>Legal barriers to entry or expansion</w:t>
            </w:r>
          </w:p>
          <w:p w14:paraId="7FE1BA87" w14:textId="77777777" w:rsidR="00CC0A94" w:rsidRDefault="00CC0A94">
            <w:pPr>
              <w:jc w:val="both"/>
              <w:rPr>
                <w:rFonts w:ascii="Times New Roman" w:eastAsia="Times New Roman" w:hAnsi="Times New Roman" w:cs="Times New Roman"/>
                <w:b/>
                <w:bCs/>
                <w:color w:val="000000" w:themeColor="text1"/>
                <w:sz w:val="20"/>
                <w:szCs w:val="20"/>
                <w:lang w:val="en-GB"/>
              </w:rPr>
            </w:pPr>
          </w:p>
          <w:p w14:paraId="7FE1BA88" w14:textId="77777777" w:rsidR="00CC0A94" w:rsidRDefault="006C1571">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are not to be considered as unsurmountable barriers in the presence of alternative providers. This indicator </w:t>
            </w:r>
            <w:proofErr w:type="gramStart"/>
            <w:r>
              <w:rPr>
                <w:rFonts w:ascii="Times New Roman" w:eastAsia="Times New Roman" w:hAnsi="Times New Roman" w:cs="Times New Roman"/>
                <w:color w:val="000000" w:themeColor="text1"/>
                <w:sz w:val="20"/>
                <w:szCs w:val="20"/>
                <w:lang w:val="en-GB"/>
              </w:rPr>
              <w:t>has to</w:t>
            </w:r>
            <w:proofErr w:type="gramEnd"/>
            <w:r>
              <w:rPr>
                <w:rFonts w:ascii="Times New Roman" w:eastAsia="Times New Roman" w:hAnsi="Times New Roman" w:cs="Times New Roman"/>
                <w:color w:val="000000" w:themeColor="text1"/>
                <w:sz w:val="20"/>
                <w:szCs w:val="20"/>
                <w:lang w:val="en-GB"/>
              </w:rPr>
              <w:t xml:space="preserve"> be reported in buckets, which are the same for each sub-function: </w:t>
            </w:r>
          </w:p>
          <w:p w14:paraId="7FE1BA89" w14:textId="4702A48A" w:rsidR="00CC0A94" w:rsidRPr="00CC0A94" w:rsidRDefault="006C1571" w:rsidP="002F61BB">
            <w:pPr>
              <w:pStyle w:val="ListParagraph"/>
              <w:numPr>
                <w:ilvl w:val="0"/>
                <w:numId w:val="275"/>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no major barriers, </w:t>
            </w:r>
          </w:p>
          <w:p w14:paraId="7FE1BA8A" w14:textId="10C89312" w:rsidR="00CC0A94" w:rsidRPr="00CC0A94" w:rsidRDefault="006C1571" w:rsidP="002F61BB">
            <w:pPr>
              <w:pStyle w:val="ListParagraph"/>
              <w:numPr>
                <w:ilvl w:val="0"/>
                <w:numId w:val="275"/>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some barriers, </w:t>
            </w:r>
          </w:p>
          <w:p w14:paraId="7FE1BA8B" w14:textId="4451FB21" w:rsidR="00CC0A94" w:rsidRPr="00CC0A94" w:rsidRDefault="006C1571" w:rsidP="002F61BB">
            <w:pPr>
              <w:pStyle w:val="ListParagraph"/>
              <w:numPr>
                <w:ilvl w:val="0"/>
                <w:numId w:val="275"/>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substantial (but surmountable) barriers, </w:t>
            </w:r>
          </w:p>
          <w:p w14:paraId="7FE1BA8D" w14:textId="48C5B820" w:rsidR="00CC0A94" w:rsidRPr="002F61BB" w:rsidRDefault="006C1571" w:rsidP="002F61BB">
            <w:pPr>
              <w:pStyle w:val="ListParagraph"/>
              <w:numPr>
                <w:ilvl w:val="0"/>
                <w:numId w:val="275"/>
              </w:numPr>
              <w:jc w:val="both"/>
              <w:rPr>
                <w:rFonts w:ascii="Times New Roman" w:hAnsi="Times New Roman"/>
                <w:b/>
                <w:bCs/>
                <w:color w:val="000000" w:themeColor="text1"/>
                <w:sz w:val="20"/>
                <w:szCs w:val="20"/>
              </w:rPr>
            </w:pPr>
            <w:r w:rsidRPr="002F61BB">
              <w:rPr>
                <w:rFonts w:ascii="Times New Roman" w:eastAsia="Times New Roman" w:hAnsi="Times New Roman"/>
                <w:color w:val="000000" w:themeColor="text1"/>
                <w:sz w:val="20"/>
                <w:szCs w:val="20"/>
              </w:rPr>
              <w:t>critical (difficult to surmount) barriers.</w:t>
            </w:r>
          </w:p>
        </w:tc>
      </w:tr>
      <w:tr w:rsidR="00CC0A94" w14:paraId="7FE1BA9E" w14:textId="77777777" w:rsidTr="002F61BB">
        <w:tc>
          <w:tcPr>
            <w:tcW w:w="1080" w:type="dxa"/>
            <w:tcBorders>
              <w:top w:val="single" w:sz="4" w:space="0" w:color="1A171C"/>
              <w:left w:val="nil"/>
              <w:bottom w:val="single" w:sz="4" w:space="0" w:color="1A171C"/>
              <w:right w:val="single" w:sz="4" w:space="0" w:color="1A171C"/>
            </w:tcBorders>
            <w:vAlign w:val="center"/>
          </w:tcPr>
          <w:p w14:paraId="7FE1BA8F" w14:textId="6435816F"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tcPr>
          <w:p w14:paraId="7FE1BA90" w14:textId="77777777" w:rsidR="00CC0A94" w:rsidRDefault="006C1571">
            <w:pPr>
              <w:jc w:val="both"/>
              <w:rPr>
                <w:rFonts w:ascii="Times New Roman" w:eastAsia="Times New Roman" w:hAnsi="Times New Roman" w:cs="Times New Roman"/>
                <w:b/>
                <w:bCs/>
                <w:color w:val="000000" w:themeColor="text1"/>
                <w:sz w:val="20"/>
                <w:szCs w:val="20"/>
                <w:lang w:val="en-GB"/>
              </w:rPr>
            </w:pPr>
            <w:r>
              <w:rPr>
                <w:rFonts w:ascii="Times New Roman" w:eastAsia="Times New Roman" w:hAnsi="Times New Roman" w:cs="Times New Roman"/>
                <w:b/>
                <w:bCs/>
                <w:color w:val="000000" w:themeColor="text1"/>
                <w:sz w:val="20"/>
                <w:szCs w:val="20"/>
                <w:lang w:val="en-GB"/>
              </w:rPr>
              <w:t>Operational requirements to entry or expansion</w:t>
            </w:r>
          </w:p>
          <w:p w14:paraId="7FE1BA91" w14:textId="77777777" w:rsidR="00CC0A94" w:rsidRDefault="00CC0A94">
            <w:pPr>
              <w:jc w:val="both"/>
              <w:rPr>
                <w:rFonts w:ascii="Times New Roman" w:eastAsia="Times New Roman" w:hAnsi="Times New Roman" w:cs="Times New Roman"/>
                <w:b/>
                <w:bCs/>
                <w:color w:val="000000" w:themeColor="text1"/>
                <w:sz w:val="20"/>
                <w:szCs w:val="20"/>
                <w:lang w:val="en-GB"/>
              </w:rPr>
            </w:pPr>
          </w:p>
          <w:p w14:paraId="7FE1BA92" w14:textId="77777777" w:rsidR="00CC0A94" w:rsidRDefault="006C1571">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in terms for example of capital requirements. For lending, </w:t>
            </w:r>
            <w:proofErr w:type="gramStart"/>
            <w:r>
              <w:rPr>
                <w:rFonts w:ascii="Times New Roman" w:eastAsia="Times New Roman" w:hAnsi="Times New Roman" w:cs="Times New Roman"/>
                <w:color w:val="000000" w:themeColor="text1"/>
                <w:sz w:val="20"/>
                <w:szCs w:val="20"/>
                <w:lang w:val="en-GB"/>
              </w:rPr>
              <w:t>take into account</w:t>
            </w:r>
            <w:proofErr w:type="gramEnd"/>
            <w:r>
              <w:rPr>
                <w:rFonts w:ascii="Times New Roman" w:eastAsia="Times New Roman" w:hAnsi="Times New Roman" w:cs="Times New Roman"/>
                <w:color w:val="000000" w:themeColor="text1"/>
                <w:sz w:val="20"/>
                <w:szCs w:val="20"/>
                <w:lang w:val="en-GB"/>
              </w:rPr>
              <w:t xml:space="preserve"> the associated RWAs (reported in Q.17). </w:t>
            </w:r>
          </w:p>
          <w:p w14:paraId="7FE1BA93" w14:textId="77777777" w:rsidR="00CC0A94" w:rsidRDefault="006C1571">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This indicator </w:t>
            </w:r>
            <w:proofErr w:type="gramStart"/>
            <w:r>
              <w:rPr>
                <w:rFonts w:ascii="Times New Roman" w:eastAsia="Times New Roman" w:hAnsi="Times New Roman" w:cs="Times New Roman"/>
                <w:color w:val="000000" w:themeColor="text1"/>
                <w:sz w:val="20"/>
                <w:szCs w:val="20"/>
                <w:lang w:val="en-GB"/>
              </w:rPr>
              <w:t>has to</w:t>
            </w:r>
            <w:proofErr w:type="gramEnd"/>
            <w:r>
              <w:rPr>
                <w:rFonts w:ascii="Times New Roman" w:eastAsia="Times New Roman" w:hAnsi="Times New Roman" w:cs="Times New Roman"/>
                <w:color w:val="000000" w:themeColor="text1"/>
                <w:sz w:val="20"/>
                <w:szCs w:val="20"/>
                <w:lang w:val="en-GB"/>
              </w:rPr>
              <w:t xml:space="preserve"> be reported in buckets, which are the same for each sub-function: </w:t>
            </w:r>
          </w:p>
          <w:p w14:paraId="7FE1BA94" w14:textId="2E9A8492" w:rsidR="00CC0A94" w:rsidRPr="00CC0A94" w:rsidRDefault="006C1571" w:rsidP="002F61BB">
            <w:pPr>
              <w:pStyle w:val="ListParagraph"/>
              <w:numPr>
                <w:ilvl w:val="0"/>
                <w:numId w:val="278"/>
              </w:numPr>
              <w:jc w:val="both"/>
              <w:rPr>
                <w:rFonts w:ascii="Times New Roman" w:eastAsia="Times New Roman" w:hAnsi="Times New Roman"/>
                <w:color w:val="000000" w:themeColor="text1"/>
                <w:sz w:val="20"/>
                <w:szCs w:val="20"/>
              </w:rPr>
            </w:pPr>
            <w:proofErr w:type="gramStart"/>
            <w:r w:rsidRPr="002F61BB">
              <w:rPr>
                <w:rFonts w:ascii="Times New Roman" w:eastAsia="Times New Roman" w:hAnsi="Times New Roman"/>
                <w:color w:val="000000" w:themeColor="text1"/>
                <w:sz w:val="20"/>
                <w:szCs w:val="20"/>
              </w:rPr>
              <w:t>no  major</w:t>
            </w:r>
            <w:proofErr w:type="gramEnd"/>
            <w:r w:rsidRPr="002F61BB">
              <w:rPr>
                <w:rFonts w:ascii="Times New Roman" w:eastAsia="Times New Roman" w:hAnsi="Times New Roman"/>
                <w:color w:val="000000" w:themeColor="text1"/>
                <w:sz w:val="20"/>
                <w:szCs w:val="20"/>
              </w:rPr>
              <w:t xml:space="preserve"> requirements, </w:t>
            </w:r>
          </w:p>
          <w:p w14:paraId="7FE1BA95" w14:textId="2C17AA9E" w:rsidR="00CC0A94" w:rsidRPr="00CC0A94" w:rsidRDefault="006C1571" w:rsidP="002F61BB">
            <w:pPr>
              <w:pStyle w:val="ListParagraph"/>
              <w:numPr>
                <w:ilvl w:val="0"/>
                <w:numId w:val="278"/>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some requirements, </w:t>
            </w:r>
          </w:p>
          <w:p w14:paraId="7FE1BA96" w14:textId="3197B4B5" w:rsidR="00CC0A94" w:rsidRPr="00CC0A94" w:rsidRDefault="006C1571" w:rsidP="002F61BB">
            <w:pPr>
              <w:pStyle w:val="ListParagraph"/>
              <w:numPr>
                <w:ilvl w:val="0"/>
                <w:numId w:val="278"/>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substantial (but surmountable) requirements, </w:t>
            </w:r>
          </w:p>
          <w:p w14:paraId="7FE1BA97" w14:textId="64928FFB" w:rsidR="00CC0A94" w:rsidRPr="00CC0A94" w:rsidRDefault="006C1571" w:rsidP="002F61BB">
            <w:pPr>
              <w:pStyle w:val="ListParagraph"/>
              <w:numPr>
                <w:ilvl w:val="0"/>
                <w:numId w:val="278"/>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critical (difficult to surmount) requirements.</w:t>
            </w:r>
          </w:p>
          <w:p w14:paraId="7FE1BA9D" w14:textId="77777777" w:rsidR="00CC0A94" w:rsidRDefault="00CC0A94" w:rsidP="002F61BB">
            <w:pPr>
              <w:pStyle w:val="ListParagraph"/>
              <w:jc w:val="both"/>
              <w:rPr>
                <w:rFonts w:ascii="Times New Roman" w:hAnsi="Times New Roman"/>
                <w:b/>
                <w:bCs/>
                <w:color w:val="000000" w:themeColor="text1"/>
                <w:sz w:val="20"/>
                <w:szCs w:val="20"/>
              </w:rPr>
            </w:pPr>
          </w:p>
        </w:tc>
      </w:tr>
      <w:tr w:rsidR="00CC0A94" w14:paraId="7FE1BAA9" w14:textId="77777777" w:rsidTr="6F08E959">
        <w:tc>
          <w:tcPr>
            <w:tcW w:w="1080" w:type="dxa"/>
            <w:tcBorders>
              <w:top w:val="single" w:sz="4" w:space="0" w:color="1A171C"/>
              <w:left w:val="nil"/>
              <w:bottom w:val="single" w:sz="4" w:space="0" w:color="1A171C"/>
              <w:right w:val="single" w:sz="4" w:space="0" w:color="1A171C"/>
            </w:tcBorders>
            <w:vAlign w:val="center"/>
          </w:tcPr>
          <w:p w14:paraId="7FE1BAA2" w14:textId="663C974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Onboarding capacity</w:t>
            </w:r>
            <w:r w:rsidR="007956E0">
              <w:rPr>
                <w:rFonts w:ascii="Times New Roman" w:hAnsi="Times New Roman" w:cs="Times New Roman"/>
                <w:b/>
                <w:bCs/>
                <w:color w:val="000000" w:themeColor="text1"/>
                <w:sz w:val="20"/>
                <w:szCs w:val="20"/>
                <w:lang w:val="en-GB"/>
              </w:rPr>
              <w:t xml:space="preserve"> - </w:t>
            </w:r>
            <w:r w:rsidR="007956E0" w:rsidRPr="007956E0">
              <w:rPr>
                <w:rFonts w:ascii="Times New Roman" w:hAnsi="Times New Roman" w:cs="Times New Roman"/>
                <w:b/>
                <w:bCs/>
                <w:color w:val="000000" w:themeColor="text1"/>
                <w:sz w:val="20"/>
                <w:szCs w:val="20"/>
                <w:lang w:val="en-GB"/>
              </w:rPr>
              <w:t>Number of applications from new customers</w:t>
            </w:r>
            <w:r w:rsidR="002415F5">
              <w:rPr>
                <w:rFonts w:ascii="Times New Roman" w:hAnsi="Times New Roman" w:cs="Times New Roman"/>
                <w:b/>
                <w:bCs/>
                <w:color w:val="000000" w:themeColor="text1"/>
                <w:sz w:val="20"/>
                <w:szCs w:val="20"/>
                <w:lang w:val="en-GB"/>
              </w:rPr>
              <w:t xml:space="preserve"> </w:t>
            </w:r>
            <w:r w:rsidR="007956E0" w:rsidRPr="007956E0">
              <w:rPr>
                <w:rFonts w:ascii="Times New Roman" w:hAnsi="Times New Roman" w:cs="Times New Roman"/>
                <w:b/>
                <w:bCs/>
                <w:color w:val="000000" w:themeColor="text1"/>
                <w:sz w:val="20"/>
                <w:szCs w:val="20"/>
                <w:lang w:val="en-GB"/>
              </w:rPr>
              <w:t>over 1 working day (Number of accounts)</w:t>
            </w:r>
          </w:p>
          <w:p w14:paraId="7FE1BAA4" w14:textId="404DC9AB"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Institutions are requested to provide the </w:t>
            </w:r>
            <w:r w:rsidR="000C51EB">
              <w:rPr>
                <w:rFonts w:ascii="Times New Roman" w:hAnsi="Times New Roman" w:cs="Times New Roman"/>
                <w:color w:val="000000" w:themeColor="text1"/>
                <w:sz w:val="20"/>
                <w:szCs w:val="20"/>
                <w:lang w:val="en-GB"/>
              </w:rPr>
              <w:t xml:space="preserve">highest </w:t>
            </w:r>
            <w:r w:rsidRPr="002F61BB">
              <w:rPr>
                <w:rFonts w:ascii="Times New Roman" w:hAnsi="Times New Roman" w:cs="Times New Roman"/>
                <w:color w:val="000000" w:themeColor="text1"/>
                <w:sz w:val="20"/>
                <w:szCs w:val="20"/>
                <w:lang w:val="en-GB"/>
              </w:rPr>
              <w:t>number of applications where the institution has validated the request for a bank service.</w:t>
            </w:r>
          </w:p>
          <w:p w14:paraId="1312271B" w14:textId="5ECEF0C0" w:rsidR="00CC0A94" w:rsidRDefault="006C1571" w:rsidP="00DE5715">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w:t>
            </w:r>
            <w:r w:rsidRPr="002F61BB">
              <w:rPr>
                <w:rFonts w:ascii="Times New Roman" w:hAnsi="Times New Roman" w:cs="Times New Roman"/>
                <w:color w:val="000000" w:themeColor="text1"/>
                <w:sz w:val="20"/>
                <w:szCs w:val="20"/>
                <w:lang w:val="en-GB"/>
              </w:rPr>
              <w:t xml:space="preserve">he onboarding capacity in terms of number of new accounts </w:t>
            </w:r>
            <w:r>
              <w:rPr>
                <w:rFonts w:ascii="Times New Roman" w:hAnsi="Times New Roman" w:cs="Times New Roman"/>
                <w:color w:val="000000" w:themeColor="text1"/>
                <w:sz w:val="20"/>
                <w:szCs w:val="20"/>
                <w:lang w:val="en-GB"/>
              </w:rPr>
              <w:t>is expressed over</w:t>
            </w:r>
            <w:r w:rsidR="00DE5715">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1 working day</w:t>
            </w:r>
            <w:r w:rsidR="00DE5715">
              <w:rPr>
                <w:rFonts w:ascii="Times New Roman" w:hAnsi="Times New Roman" w:cs="Times New Roman"/>
                <w:color w:val="000000" w:themeColor="text1"/>
                <w:sz w:val="20"/>
                <w:szCs w:val="20"/>
                <w:lang w:val="en-GB"/>
              </w:rPr>
              <w:t>.</w:t>
            </w:r>
          </w:p>
          <w:p w14:paraId="7FE1BAA8" w14:textId="06166E4A" w:rsidR="000C51EB" w:rsidRDefault="000C51EB">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institutions are expected to </w:t>
            </w:r>
            <w:proofErr w:type="gramStart"/>
            <w:r w:rsidRPr="002F61BB">
              <w:rPr>
                <w:rFonts w:ascii="Times New Roman" w:hAnsi="Times New Roman" w:cs="Times New Roman"/>
                <w:color w:val="000000" w:themeColor="text1"/>
                <w:sz w:val="20"/>
                <w:szCs w:val="20"/>
                <w:lang w:val="en-GB"/>
              </w:rPr>
              <w:t>take into account</w:t>
            </w:r>
            <w:proofErr w:type="gramEnd"/>
            <w:r w:rsidRPr="002F61BB">
              <w:rPr>
                <w:rFonts w:ascii="Times New Roman" w:hAnsi="Times New Roman" w:cs="Times New Roman"/>
                <w:color w:val="000000" w:themeColor="text1"/>
                <w:sz w:val="20"/>
                <w:szCs w:val="20"/>
                <w:lang w:val="en-GB"/>
              </w:rPr>
              <w:t xml:space="preserve"> the timeframe for onboarding of new customers since a new customer has applied for a bank service.</w:t>
            </w:r>
          </w:p>
        </w:tc>
      </w:tr>
      <w:tr w:rsidR="00CC0A94" w14:paraId="7FE1BAAC" w14:textId="77777777" w:rsidTr="6F08E959">
        <w:tc>
          <w:tcPr>
            <w:tcW w:w="1080" w:type="dxa"/>
            <w:tcBorders>
              <w:top w:val="single" w:sz="4" w:space="0" w:color="1A171C"/>
              <w:left w:val="nil"/>
              <w:bottom w:val="single" w:sz="4" w:space="0" w:color="1A171C"/>
              <w:right w:val="single" w:sz="4" w:space="0" w:color="1A171C"/>
            </w:tcBorders>
            <w:vAlign w:val="center"/>
          </w:tcPr>
          <w:p w14:paraId="7FE1BAAA" w14:textId="71AB9851"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0150 - 0170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Criticality Assessment</w:t>
            </w:r>
          </w:p>
        </w:tc>
      </w:tr>
      <w:tr w:rsidR="00CC0A94" w14:paraId="7FE1BAB2" w14:textId="77777777" w:rsidTr="6F08E959">
        <w:tc>
          <w:tcPr>
            <w:tcW w:w="1080" w:type="dxa"/>
            <w:tcBorders>
              <w:top w:val="single" w:sz="4" w:space="0" w:color="1A171C"/>
              <w:left w:val="nil"/>
              <w:bottom w:val="single" w:sz="4" w:space="0" w:color="1A171C"/>
              <w:right w:val="single" w:sz="4" w:space="0" w:color="1A171C"/>
            </w:tcBorders>
            <w:vAlign w:val="center"/>
          </w:tcPr>
          <w:p w14:paraId="7FE1BAAD" w14:textId="5EFF4F1D"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Impact on market </w:t>
            </w:r>
          </w:p>
          <w:p w14:paraId="7FE1BAAF"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Estimated impact of a sudden discontinuation of the function on third parties, financial markets and the real economy,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size, market share in the country, external and internal interconnectedness, complexity, and cross-border activities of the institution.</w:t>
            </w:r>
          </w:p>
          <w:p w14:paraId="7FE1BAB0" w14:textId="765F6584"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assessment shall be expressed qualitatively as ‘High’, ‘Medium-High’, ‘Medium-Low’ or Low’.</w:t>
            </w:r>
          </w:p>
          <w:p w14:paraId="7FE1BAB1" w14:textId="14727254" w:rsidR="00CC0A94" w:rsidRDefault="006C1571">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w:t>
            </w:r>
            <w:r w:rsidR="005327AD" w:rsidRPr="00F076D7">
              <w:rPr>
                <w:rFonts w:ascii="Times New Roman" w:hAnsi="Times New Roman" w:cs="Times New Roman"/>
                <w:color w:val="000000" w:themeColor="text1"/>
                <w:sz w:val="20"/>
                <w:szCs w:val="20"/>
                <w:lang w:val="en-GB"/>
              </w:rPr>
              <w:t>High</w:t>
            </w:r>
            <w:r w:rsidRPr="002F61BB">
              <w:rPr>
                <w:rFonts w:ascii="Times New Roman" w:hAnsi="Times New Roman" w:cs="Times New Roman"/>
                <w:color w:val="000000" w:themeColor="text1"/>
                <w:sz w:val="20"/>
                <w:szCs w:val="20"/>
                <w:lang w:val="en-GB"/>
              </w:rPr>
              <w:t>’ shall be selected if the discontinuation has a major impact on the national market; ‘</w:t>
            </w:r>
            <w:r w:rsidR="005327AD" w:rsidRPr="00F076D7">
              <w:rPr>
                <w:rFonts w:ascii="Times New Roman" w:hAnsi="Times New Roman" w:cs="Times New Roman"/>
                <w:color w:val="000000" w:themeColor="text1"/>
                <w:sz w:val="20"/>
                <w:szCs w:val="20"/>
                <w:lang w:val="en-GB"/>
              </w:rPr>
              <w:t>Medium-High</w:t>
            </w:r>
            <w:r w:rsidRPr="002F61BB">
              <w:rPr>
                <w:rFonts w:ascii="Times New Roman" w:hAnsi="Times New Roman" w:cs="Times New Roman"/>
                <w:color w:val="000000" w:themeColor="text1"/>
                <w:sz w:val="20"/>
                <w:szCs w:val="20"/>
                <w:lang w:val="en-GB"/>
              </w:rPr>
              <w:t>’ if the impact is significant; ‘</w:t>
            </w:r>
            <w:r w:rsidR="005327AD" w:rsidRPr="00F076D7">
              <w:rPr>
                <w:rFonts w:ascii="Times New Roman" w:hAnsi="Times New Roman" w:cs="Times New Roman"/>
                <w:color w:val="000000" w:themeColor="text1"/>
                <w:sz w:val="20"/>
                <w:szCs w:val="20"/>
                <w:lang w:val="en-GB"/>
              </w:rPr>
              <w:t>Medium-Low</w:t>
            </w:r>
            <w:r w:rsidRPr="002F61BB">
              <w:rPr>
                <w:rFonts w:ascii="Times New Roman" w:hAnsi="Times New Roman" w:cs="Times New Roman"/>
                <w:color w:val="000000" w:themeColor="text1"/>
                <w:sz w:val="20"/>
                <w:szCs w:val="20"/>
                <w:lang w:val="en-GB"/>
              </w:rPr>
              <w:t xml:space="preserve">’ if the impact is </w:t>
            </w:r>
            <w:proofErr w:type="gramStart"/>
            <w:r w:rsidRPr="002F61BB">
              <w:rPr>
                <w:rFonts w:ascii="Times New Roman" w:hAnsi="Times New Roman" w:cs="Times New Roman"/>
                <w:color w:val="000000" w:themeColor="text1"/>
                <w:sz w:val="20"/>
                <w:szCs w:val="20"/>
                <w:lang w:val="en-GB"/>
              </w:rPr>
              <w:t>material, but</w:t>
            </w:r>
            <w:proofErr w:type="gramEnd"/>
            <w:r w:rsidRPr="002F61BB">
              <w:rPr>
                <w:rFonts w:ascii="Times New Roman" w:hAnsi="Times New Roman" w:cs="Times New Roman"/>
                <w:color w:val="000000" w:themeColor="text1"/>
                <w:sz w:val="20"/>
                <w:szCs w:val="20"/>
                <w:lang w:val="en-GB"/>
              </w:rPr>
              <w:t xml:space="preserve"> limited; and ‘L</w:t>
            </w:r>
            <w:r w:rsidR="005327AD">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low.</w:t>
            </w:r>
          </w:p>
        </w:tc>
      </w:tr>
      <w:tr w:rsidR="00CC0A94" w14:paraId="7FE1BABF" w14:textId="77777777" w:rsidTr="6F08E959">
        <w:tc>
          <w:tcPr>
            <w:tcW w:w="1080" w:type="dxa"/>
            <w:tcBorders>
              <w:top w:val="single" w:sz="4" w:space="0" w:color="1A171C"/>
              <w:left w:val="nil"/>
              <w:bottom w:val="single" w:sz="4" w:space="0" w:color="1A171C"/>
              <w:right w:val="single" w:sz="4" w:space="0" w:color="1A171C"/>
            </w:tcBorders>
            <w:vAlign w:val="center"/>
          </w:tcPr>
          <w:p w14:paraId="7FE1BAB3" w14:textId="0598BE56"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Substitutability</w:t>
            </w:r>
          </w:p>
          <w:p w14:paraId="7FE1BAB5"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Article 6(3) of Delegated regulation (EU) 2016/778.</w:t>
            </w:r>
          </w:p>
          <w:p w14:paraId="7FE1BAB6"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lastRenderedPageBreak/>
              <w:t xml:space="preserve">A function is considered substitutable where it can be replaced in an acceptable manner and within a reasonable timeframe thereby avoiding systemic problems for the real economy and the financial markets. The following shall be </w:t>
            </w:r>
            <w:proofErr w:type="gramStart"/>
            <w:r w:rsidRPr="002F61BB">
              <w:rPr>
                <w:rFonts w:ascii="Times New Roman" w:hAnsi="Times New Roman" w:cs="Times New Roman"/>
                <w:color w:val="000000" w:themeColor="text1"/>
                <w:sz w:val="20"/>
                <w:szCs w:val="20"/>
                <w:lang w:val="en-GB"/>
              </w:rPr>
              <w:t>taken into account</w:t>
            </w:r>
            <w:proofErr w:type="gramEnd"/>
            <w:r w:rsidRPr="002F61BB">
              <w:rPr>
                <w:rFonts w:ascii="Times New Roman" w:hAnsi="Times New Roman" w:cs="Times New Roman"/>
                <w:color w:val="000000" w:themeColor="text1"/>
                <w:sz w:val="20"/>
                <w:szCs w:val="20"/>
                <w:lang w:val="en-GB"/>
              </w:rPr>
              <w:t>:</w:t>
            </w:r>
          </w:p>
          <w:p w14:paraId="7FE1BAB7"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the structure of the market for that function and the availability of substitute </w:t>
            </w:r>
            <w:proofErr w:type="gramStart"/>
            <w:r w:rsidRPr="002F61BB">
              <w:rPr>
                <w:rFonts w:ascii="Times New Roman" w:hAnsi="Times New Roman" w:cs="Times New Roman"/>
                <w:color w:val="000000" w:themeColor="text1"/>
                <w:sz w:val="20"/>
                <w:szCs w:val="20"/>
                <w:lang w:val="en-GB"/>
              </w:rPr>
              <w:t>providers;</w:t>
            </w:r>
            <w:proofErr w:type="gramEnd"/>
            <w:r w:rsidRPr="002F61BB">
              <w:rPr>
                <w:rFonts w:ascii="Times New Roman" w:hAnsi="Times New Roman" w:cs="Times New Roman"/>
                <w:color w:val="000000" w:themeColor="text1"/>
                <w:sz w:val="20"/>
                <w:szCs w:val="20"/>
                <w:lang w:val="en-GB"/>
              </w:rPr>
              <w:t xml:space="preserve"> </w:t>
            </w:r>
          </w:p>
          <w:p w14:paraId="7FE1BAB8"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(b) the ability of other providers in terms of capacity, the requirements for performing the function, and potential barriers to entry or </w:t>
            </w:r>
            <w:proofErr w:type="gramStart"/>
            <w:r w:rsidRPr="002F61BB">
              <w:rPr>
                <w:rFonts w:ascii="Times New Roman" w:hAnsi="Times New Roman" w:cs="Times New Roman"/>
                <w:color w:val="000000" w:themeColor="text1"/>
                <w:sz w:val="20"/>
                <w:szCs w:val="20"/>
                <w:lang w:val="en-GB"/>
              </w:rPr>
              <w:t>expansion;</w:t>
            </w:r>
            <w:proofErr w:type="gramEnd"/>
            <w:r w:rsidRPr="002F61BB">
              <w:rPr>
                <w:rFonts w:ascii="Times New Roman" w:hAnsi="Times New Roman" w:cs="Times New Roman"/>
                <w:color w:val="000000" w:themeColor="text1"/>
                <w:sz w:val="20"/>
                <w:szCs w:val="20"/>
                <w:lang w:val="en-GB"/>
              </w:rPr>
              <w:t xml:space="preserve"> </w:t>
            </w:r>
          </w:p>
          <w:p w14:paraId="7FE1BAB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 the incentive of other providers to take on these </w:t>
            </w:r>
            <w:proofErr w:type="gramStart"/>
            <w:r w:rsidRPr="002F61BB">
              <w:rPr>
                <w:rFonts w:ascii="Times New Roman" w:hAnsi="Times New Roman" w:cs="Times New Roman"/>
                <w:color w:val="000000" w:themeColor="text1"/>
                <w:sz w:val="20"/>
                <w:szCs w:val="20"/>
                <w:lang w:val="en-GB"/>
              </w:rPr>
              <w:t>activities;</w:t>
            </w:r>
            <w:proofErr w:type="gramEnd"/>
            <w:r w:rsidRPr="002F61BB">
              <w:rPr>
                <w:rFonts w:ascii="Times New Roman" w:hAnsi="Times New Roman" w:cs="Times New Roman"/>
                <w:color w:val="000000" w:themeColor="text1"/>
                <w:sz w:val="20"/>
                <w:szCs w:val="20"/>
                <w:lang w:val="en-GB"/>
              </w:rPr>
              <w:t xml:space="preserve"> </w:t>
            </w:r>
          </w:p>
          <w:p w14:paraId="7FE1BABA"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ABB" w14:textId="48F2EE45"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different dimensions assessed previously (market share, market concentration, time to substitution, legal barriers, and operational requirements to entry or expansion). This assessment shall be expressed qualitatively as ‘High’, ‘Medium-High’, ‘Medium-Low’ or Low’. </w:t>
            </w:r>
          </w:p>
          <w:p w14:paraId="7FE1BABC" w14:textId="47D04A62"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625C7E0B"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xml:space="preserve">’ shall be selected if a function can easily be provided by another bank under comparable conditions within a reasonable </w:t>
            </w:r>
            <w:proofErr w:type="gramStart"/>
            <w:r w:rsidRPr="002F61BB">
              <w:rPr>
                <w:rFonts w:ascii="Times New Roman" w:hAnsi="Times New Roman" w:cs="Times New Roman"/>
                <w:color w:val="000000" w:themeColor="text1"/>
                <w:sz w:val="20"/>
                <w:szCs w:val="20"/>
                <w:lang w:val="en-GB"/>
              </w:rPr>
              <w:t>timeframe;</w:t>
            </w:r>
            <w:proofErr w:type="gramEnd"/>
          </w:p>
          <w:p w14:paraId="7FE1BABD" w14:textId="7FFD9091"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‘L</w:t>
            </w:r>
            <w:r w:rsidR="1C196B18"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a function cannot be easily or rapidly </w:t>
            </w:r>
            <w:proofErr w:type="gramStart"/>
            <w:r w:rsidRPr="002F61BB">
              <w:rPr>
                <w:rFonts w:ascii="Times New Roman" w:hAnsi="Times New Roman" w:cs="Times New Roman"/>
                <w:color w:val="000000" w:themeColor="text1"/>
                <w:sz w:val="20"/>
                <w:szCs w:val="20"/>
                <w:lang w:val="en-GB"/>
              </w:rPr>
              <w:t>substituted;</w:t>
            </w:r>
            <w:proofErr w:type="gramEnd"/>
            <w:r w:rsidRPr="002F61BB">
              <w:rPr>
                <w:rFonts w:ascii="Times New Roman" w:hAnsi="Times New Roman" w:cs="Times New Roman"/>
                <w:color w:val="000000" w:themeColor="text1"/>
                <w:sz w:val="20"/>
                <w:szCs w:val="20"/>
                <w:lang w:val="en-GB"/>
              </w:rPr>
              <w:t xml:space="preserve"> </w:t>
            </w:r>
          </w:p>
          <w:p w14:paraId="7FE1BABE" w14:textId="29287980"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‘M</w:t>
            </w:r>
            <w:r w:rsidR="714FB7B4" w:rsidRPr="6F08E959">
              <w:rPr>
                <w:rFonts w:ascii="Times New Roman" w:hAnsi="Times New Roman" w:cs="Times New Roman"/>
                <w:color w:val="000000" w:themeColor="text1"/>
                <w:sz w:val="20"/>
                <w:szCs w:val="20"/>
                <w:lang w:val="en-GB"/>
              </w:rPr>
              <w:t>edium</w:t>
            </w:r>
            <w:r w:rsidR="09EC9C66" w:rsidRPr="6F08E959">
              <w:rPr>
                <w:rFonts w:ascii="Times New Roman" w:hAnsi="Times New Roman" w:cs="Times New Roman"/>
                <w:color w:val="000000" w:themeColor="text1"/>
                <w:sz w:val="20"/>
                <w:szCs w:val="20"/>
                <w:lang w:val="en-GB"/>
              </w:rPr>
              <w:t>-</w:t>
            </w:r>
            <w:r w:rsidRPr="002F61BB">
              <w:rPr>
                <w:rFonts w:ascii="Times New Roman" w:hAnsi="Times New Roman" w:cs="Times New Roman"/>
                <w:color w:val="000000" w:themeColor="text1"/>
                <w:sz w:val="20"/>
                <w:szCs w:val="20"/>
                <w:lang w:val="en-GB"/>
              </w:rPr>
              <w:t>H</w:t>
            </w:r>
            <w:r w:rsidR="4AFD8972"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and ‘M</w:t>
            </w:r>
            <w:r w:rsidR="1D65E5DF"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6400DE52"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for intermediate cases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different dimensions (e.g. market share, market concentration, time to substitution, as well as legal barriers to and operational requirements for entry or expansion).</w:t>
            </w:r>
          </w:p>
        </w:tc>
      </w:tr>
      <w:tr w:rsidR="00CC0A94" w14:paraId="7FE1BAC4" w14:textId="77777777" w:rsidTr="6F08E959">
        <w:tc>
          <w:tcPr>
            <w:tcW w:w="1080" w:type="dxa"/>
            <w:tcBorders>
              <w:top w:val="single" w:sz="4" w:space="0" w:color="1A171C"/>
              <w:left w:val="nil"/>
              <w:bottom w:val="single" w:sz="4" w:space="0" w:color="1A171C"/>
              <w:right w:val="single" w:sz="4" w:space="0" w:color="1A171C"/>
            </w:tcBorders>
            <w:vAlign w:val="center"/>
          </w:tcPr>
          <w:p w14:paraId="7FE1BAC0" w14:textId="4FCA9719"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 Function</w:t>
            </w:r>
          </w:p>
          <w:p w14:paraId="7FE1BAC2"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In this column it shall be reported whether,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impact and substitutability analysis performed by the institution, the economic function </w:t>
            </w:r>
            <w:proofErr w:type="gramStart"/>
            <w:r w:rsidRPr="002F61BB">
              <w:rPr>
                <w:rFonts w:ascii="Times New Roman" w:hAnsi="Times New Roman" w:cs="Times New Roman"/>
                <w:color w:val="000000" w:themeColor="text1"/>
                <w:sz w:val="20"/>
                <w:szCs w:val="20"/>
                <w:lang w:val="en-GB"/>
              </w:rPr>
              <w:t>is considered to be</w:t>
            </w:r>
            <w:proofErr w:type="gramEnd"/>
            <w:r w:rsidRPr="002F61BB">
              <w:rPr>
                <w:rFonts w:ascii="Times New Roman" w:hAnsi="Times New Roman" w:cs="Times New Roman"/>
                <w:color w:val="000000" w:themeColor="text1"/>
                <w:sz w:val="20"/>
                <w:szCs w:val="20"/>
                <w:lang w:val="en-GB"/>
              </w:rPr>
              <w:t xml:space="preserve"> critical in the market for the relevant country.</w:t>
            </w:r>
          </w:p>
          <w:p w14:paraId="7FE1BAC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 ‘Yes’ or ‘No’</w:t>
            </w:r>
          </w:p>
        </w:tc>
      </w:tr>
      <w:tr w:rsidR="00CC0A94" w14:paraId="7FE1BAC8" w14:textId="77777777" w:rsidTr="6F08E959">
        <w:tc>
          <w:tcPr>
            <w:tcW w:w="1080" w:type="dxa"/>
            <w:tcBorders>
              <w:top w:val="single" w:sz="4" w:space="0" w:color="1A171C"/>
              <w:left w:val="nil"/>
              <w:bottom w:val="single" w:sz="4" w:space="0" w:color="1A171C"/>
              <w:right w:val="single" w:sz="4" w:space="0" w:color="1A171C"/>
            </w:tcBorders>
            <w:vAlign w:val="center"/>
          </w:tcPr>
          <w:p w14:paraId="7FE1BAC5" w14:textId="2A137A3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Comments from the Group</w:t>
            </w:r>
          </w:p>
          <w:p w14:paraId="7FE1BAC7"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AC9" w14:textId="77777777" w:rsidR="00CC0A94" w:rsidRDefault="00CC0A94">
      <w:pPr>
        <w:rPr>
          <w:rFonts w:ascii="Times New Roman" w:hAnsi="Times New Roman" w:cs="Times New Roman"/>
          <w:color w:val="000000" w:themeColor="text1"/>
          <w:sz w:val="20"/>
          <w:szCs w:val="20"/>
          <w:lang w:val="en-GB"/>
        </w:rPr>
      </w:pPr>
    </w:p>
    <w:p w14:paraId="7FE1BACA" w14:textId="77777777" w:rsidR="00CC0A94" w:rsidRDefault="00CC0A94">
      <w:pPr>
        <w:rPr>
          <w:rFonts w:ascii="Times New Roman" w:hAnsi="Times New Roman" w:cs="Times New Roman"/>
          <w:color w:val="000000" w:themeColor="text1"/>
          <w:sz w:val="20"/>
          <w:szCs w:val="20"/>
          <w:lang w:val="en-GB"/>
        </w:rPr>
      </w:pPr>
    </w:p>
    <w:p w14:paraId="7FE1BACB" w14:textId="48446B8B" w:rsidR="00CC0A94" w:rsidRPr="002F61BB" w:rsidRDefault="00D34E5E" w:rsidP="002F61BB">
      <w:pPr>
        <w:pStyle w:val="Instructionsberschrift2"/>
        <w:numPr>
          <w:ilvl w:val="1"/>
          <w:numId w:val="49"/>
        </w:numPr>
        <w:ind w:left="357" w:hanging="357"/>
        <w:rPr>
          <w:rFonts w:ascii="Times New Roman" w:hAnsi="Times New Roman" w:cs="Times New Roman"/>
        </w:rPr>
      </w:pPr>
      <w:bookmarkStart w:id="115" w:name="_Toc192249053"/>
      <w:r>
        <w:rPr>
          <w:rFonts w:ascii="Times New Roman" w:hAnsi="Times New Roman" w:cs="Times New Roman"/>
        </w:rPr>
        <w:t>Z 0</w:t>
      </w:r>
      <w:r w:rsidR="006C1571">
        <w:rPr>
          <w:rFonts w:ascii="Times New Roman" w:hAnsi="Times New Roman" w:cs="Times New Roman"/>
        </w:rPr>
        <w:t>7.</w:t>
      </w:r>
      <w:r>
        <w:rPr>
          <w:rFonts w:ascii="Times New Roman" w:hAnsi="Times New Roman" w:cs="Times New Roman"/>
        </w:rPr>
        <w:t>0</w:t>
      </w:r>
      <w:r w:rsidR="006C1571">
        <w:rPr>
          <w:rFonts w:ascii="Times New Roman" w:hAnsi="Times New Roman" w:cs="Times New Roman"/>
        </w:rPr>
        <w:t>1</w:t>
      </w:r>
      <w:r>
        <w:rPr>
          <w:rFonts w:ascii="Times New Roman" w:hAnsi="Times New Roman" w:cs="Times New Roman"/>
        </w:rPr>
        <w:t>.2</w:t>
      </w:r>
      <w:r w:rsidR="006C1571">
        <w:rPr>
          <w:rFonts w:ascii="Times New Roman" w:hAnsi="Times New Roman" w:cs="Times New Roman"/>
        </w:rPr>
        <w:t xml:space="preserve"> FUNC 1 LEN</w:t>
      </w:r>
      <w:bookmarkEnd w:id="115"/>
    </w:p>
    <w:p w14:paraId="7FE1BAD5" w14:textId="77777777" w:rsidR="00CC0A94" w:rsidRDefault="00CC0A94">
      <w:pPr>
        <w:rPr>
          <w:rFonts w:ascii="Times New Roman" w:hAnsi="Times New Roman" w:cs="Times New Roman"/>
          <w:color w:val="000000" w:themeColor="text1"/>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AD8"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bookmarkStart w:id="116" w:name="_Hlk162013303"/>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ADC" w14:textId="77777777" w:rsidTr="6F08E959">
        <w:tc>
          <w:tcPr>
            <w:tcW w:w="1080" w:type="dxa"/>
            <w:tcBorders>
              <w:top w:val="single" w:sz="4" w:space="0" w:color="1A171C"/>
              <w:left w:val="nil"/>
              <w:bottom w:val="single" w:sz="4" w:space="0" w:color="1A171C"/>
              <w:right w:val="single" w:sz="4" w:space="0" w:color="1A171C"/>
            </w:tcBorders>
            <w:vAlign w:val="center"/>
          </w:tcPr>
          <w:p w14:paraId="7FE1BAD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ADB" w14:textId="0F1FA00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Economic function is of the type ‘Other’ (</w:t>
            </w:r>
            <w:r w:rsidR="000C0E67" w:rsidRPr="002F61BB">
              <w:rPr>
                <w:rFonts w:ascii="Times New Roman" w:eastAsia="Cambria" w:hAnsi="Times New Roman" w:cs="Times New Roman"/>
                <w:color w:val="000000" w:themeColor="text1"/>
                <w:spacing w:val="-2"/>
                <w:w w:val="95"/>
                <w:sz w:val="20"/>
                <w:szCs w:val="20"/>
                <w:lang w:val="en-GB"/>
              </w:rPr>
              <w:t xml:space="preserve">Z 07.01.2 FUNC 1 LEN </w:t>
            </w:r>
            <w:r w:rsidR="001B542E" w:rsidRPr="002F61BB">
              <w:rPr>
                <w:rFonts w:ascii="Times New Roman" w:eastAsia="Cambria" w:hAnsi="Times New Roman" w:cs="Times New Roman"/>
                <w:color w:val="000000" w:themeColor="text1"/>
                <w:spacing w:val="-2"/>
                <w:w w:val="95"/>
                <w:sz w:val="20"/>
                <w:szCs w:val="20"/>
                <w:lang w:val="en-GB"/>
              </w:rPr>
              <w:t>r0130 to r0150)</w:t>
            </w:r>
            <w:r>
              <w:rPr>
                <w:rFonts w:ascii="Times New Roman" w:eastAsia="Cambria" w:hAnsi="Times New Roman" w:cs="Times New Roman"/>
                <w:color w:val="000000" w:themeColor="text1"/>
                <w:spacing w:val="-2"/>
                <w:w w:val="95"/>
                <w:sz w:val="20"/>
                <w:szCs w:val="20"/>
                <w:lang w:val="en-GB"/>
              </w:rPr>
              <w:t xml:space="preserve">, a description of that function shall be provided. </w:t>
            </w:r>
          </w:p>
        </w:tc>
      </w:tr>
      <w:tr w:rsidR="00CC0A94" w14:paraId="7FE1BAE0" w14:textId="77777777" w:rsidTr="6F08E959">
        <w:tc>
          <w:tcPr>
            <w:tcW w:w="1080" w:type="dxa"/>
            <w:tcBorders>
              <w:top w:val="single" w:sz="4" w:space="0" w:color="1A171C"/>
              <w:left w:val="nil"/>
              <w:bottom w:val="single" w:sz="4" w:space="0" w:color="1A171C"/>
              <w:right w:val="single" w:sz="4" w:space="0" w:color="1A171C"/>
            </w:tcBorders>
            <w:vAlign w:val="center"/>
          </w:tcPr>
          <w:p w14:paraId="7FE1BAD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ADF" w14:textId="4B4AE08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Estimate of the market share of the institution or group for the economic function in the respective country or geographic area. A percentage of the total market in terms</w:t>
            </w:r>
            <w:r w:rsidR="00695A00">
              <w:rPr>
                <w:rFonts w:ascii="Times New Roman" w:eastAsia="Cambria" w:hAnsi="Times New Roman" w:cs="Times New Roman"/>
                <w:color w:val="000000" w:themeColor="text1"/>
                <w:sz w:val="20"/>
                <w:szCs w:val="20"/>
                <w:lang w:val="en-GB"/>
              </w:rPr>
              <w:t xml:space="preserve"> of</w:t>
            </w:r>
            <w:r w:rsidRPr="029F4E13">
              <w:rPr>
                <w:rFonts w:ascii="Times New Roman" w:eastAsia="Cambria" w:hAnsi="Times New Roman" w:cs="Times New Roman"/>
                <w:color w:val="000000" w:themeColor="text1"/>
                <w:sz w:val="20"/>
                <w:szCs w:val="20"/>
                <w:lang w:val="en-GB"/>
              </w:rPr>
              <w:t xml:space="preserve"> the </w:t>
            </w:r>
            <w:r w:rsidR="7D1129B8" w:rsidRPr="029F4E13">
              <w:rPr>
                <w:rFonts w:ascii="Times New Roman" w:eastAsia="Cambria" w:hAnsi="Times New Roman" w:cs="Times New Roman"/>
                <w:color w:val="000000" w:themeColor="text1"/>
                <w:sz w:val="20"/>
                <w:szCs w:val="20"/>
                <w:lang w:val="en-GB"/>
              </w:rPr>
              <w:t>Value Outstanding</w:t>
            </w:r>
            <w:r w:rsidRPr="029F4E13">
              <w:rPr>
                <w:rFonts w:ascii="Times New Roman" w:eastAsia="Cambria" w:hAnsi="Times New Roman" w:cs="Times New Roman"/>
                <w:color w:val="000000" w:themeColor="text1"/>
                <w:sz w:val="20"/>
                <w:szCs w:val="20"/>
                <w:lang w:val="en-GB"/>
              </w:rPr>
              <w:t>.</w:t>
            </w:r>
          </w:p>
        </w:tc>
      </w:tr>
      <w:tr w:rsidR="00CC0A94" w14:paraId="7FE1BAE5" w14:textId="77777777" w:rsidTr="6F08E959">
        <w:tc>
          <w:tcPr>
            <w:tcW w:w="1080" w:type="dxa"/>
            <w:tcBorders>
              <w:top w:val="single" w:sz="4" w:space="0" w:color="1A171C"/>
              <w:left w:val="nil"/>
              <w:bottom w:val="single" w:sz="4" w:space="0" w:color="1A171C"/>
              <w:right w:val="single" w:sz="4" w:space="0" w:color="1A171C"/>
            </w:tcBorders>
            <w:vAlign w:val="center"/>
          </w:tcPr>
          <w:p w14:paraId="7FE1BAE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outstanding</w:t>
            </w:r>
          </w:p>
          <w:p w14:paraId="7FE1BAE3"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Gross carrying amount of unimpaired and impaired loans and advances (including accrued</w:t>
            </w:r>
          </w:p>
          <w:p w14:paraId="7FE1BAE4"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interest). Lending stock is taken as a proxy for expected future lending.</w:t>
            </w:r>
          </w:p>
        </w:tc>
      </w:tr>
      <w:tr w:rsidR="00CC0A94" w14:paraId="7FE1BAEB" w14:textId="77777777" w:rsidTr="6F08E959">
        <w:tc>
          <w:tcPr>
            <w:tcW w:w="1080" w:type="dxa"/>
            <w:tcBorders>
              <w:top w:val="single" w:sz="4" w:space="0" w:color="1A171C"/>
              <w:left w:val="nil"/>
              <w:bottom w:val="single" w:sz="4" w:space="0" w:color="1A171C"/>
              <w:right w:val="single" w:sz="4" w:space="0" w:color="1A171C"/>
            </w:tcBorders>
            <w:vAlign w:val="center"/>
          </w:tcPr>
          <w:p w14:paraId="7FE1BAE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Clients</w:t>
            </w:r>
          </w:p>
          <w:p w14:paraId="7FE1BAE8"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Total number of clients which were provided with the values reported in c0030 ‘value</w:t>
            </w:r>
          </w:p>
          <w:p w14:paraId="7FE1BAE9"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outstanding’. If a client is using multiple loan products / accounts, the client is counted</w:t>
            </w:r>
          </w:p>
          <w:p w14:paraId="7FE1BAEA"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only once.</w:t>
            </w:r>
          </w:p>
        </w:tc>
      </w:tr>
      <w:tr w:rsidR="00CC0A94" w14:paraId="7FE1BAF5" w14:textId="77777777" w:rsidTr="6F08E959">
        <w:tc>
          <w:tcPr>
            <w:tcW w:w="1080" w:type="dxa"/>
            <w:tcBorders>
              <w:top w:val="single" w:sz="4" w:space="0" w:color="1A171C"/>
              <w:left w:val="nil"/>
              <w:bottom w:val="single" w:sz="4" w:space="0" w:color="1A171C"/>
              <w:right w:val="single" w:sz="4" w:space="0" w:color="1A171C"/>
            </w:tcBorders>
            <w:vAlign w:val="center"/>
          </w:tcPr>
          <w:p w14:paraId="7FE1BAF1"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outstanding – cross-border value</w:t>
            </w:r>
          </w:p>
          <w:p w14:paraId="7FE1BAF3" w14:textId="5BF86183"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Value outstanding (c0030) of loans to non-residents, see Deposits (c0</w:t>
            </w:r>
            <w:r w:rsidR="000C0E67">
              <w:rPr>
                <w:rFonts w:ascii="Times New Roman" w:hAnsi="Times New Roman" w:cs="Times New Roman"/>
                <w:color w:val="000000" w:themeColor="text1"/>
                <w:sz w:val="20"/>
                <w:szCs w:val="20"/>
                <w:lang w:val="en-GB"/>
              </w:rPr>
              <w:t>06</w:t>
            </w:r>
            <w:r>
              <w:rPr>
                <w:rFonts w:ascii="Times New Roman" w:hAnsi="Times New Roman" w:cs="Times New Roman"/>
                <w:color w:val="000000" w:themeColor="text1"/>
                <w:sz w:val="20"/>
                <w:szCs w:val="20"/>
                <w:lang w:val="en-GB"/>
              </w:rPr>
              <w:t>0) ‘cross-border</w:t>
            </w:r>
          </w:p>
          <w:p w14:paraId="7FE1BAF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value’.</w:t>
            </w:r>
          </w:p>
        </w:tc>
      </w:tr>
      <w:bookmarkEnd w:id="116"/>
      <w:tr w:rsidR="00CC0A94" w14:paraId="7FE1BB01" w14:textId="77777777" w:rsidTr="6F08E959">
        <w:tc>
          <w:tcPr>
            <w:tcW w:w="1080" w:type="dxa"/>
            <w:tcBorders>
              <w:top w:val="single" w:sz="4" w:space="0" w:color="1A171C"/>
              <w:left w:val="nil"/>
              <w:bottom w:val="single" w:sz="4" w:space="0" w:color="1A171C"/>
              <w:right w:val="single" w:sz="4" w:space="0" w:color="1A171C"/>
            </w:tcBorders>
            <w:vAlign w:val="center"/>
          </w:tcPr>
          <w:p w14:paraId="7FE1BAF9" w14:textId="14542C41"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0080 - 0150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Impact and Substitutability analyses</w:t>
            </w:r>
          </w:p>
          <w:p w14:paraId="7FE1BAF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assessment criteria for the impact on third parties shall include the following elements in accordance with Commission Delegated Regulation (EU) 2016/778 on critical functions:</w:t>
            </w:r>
          </w:p>
          <w:p w14:paraId="7FE1BAFC"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nature and reach of the activity, the global, national or regional reach, volume and number of transactions; the number of customers and counterparties; the number of customers for which the institution is the only or principal banking partner.</w:t>
            </w:r>
          </w:p>
          <w:p w14:paraId="7FE1BAFD"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relevance of the institution, on a local, regional, national or European level, as appropriate for the market concerned. The relevance of the institution may be assessed </w:t>
            </w:r>
            <w:proofErr w:type="gramStart"/>
            <w:r w:rsidRPr="002F61BB">
              <w:rPr>
                <w:rFonts w:ascii="Times New Roman" w:eastAsiaTheme="minorHAnsi" w:hAnsi="Times New Roman"/>
                <w:color w:val="000000" w:themeColor="text1"/>
                <w:sz w:val="20"/>
                <w:szCs w:val="20"/>
              </w:rPr>
              <w:t>on the basis of</w:t>
            </w:r>
            <w:proofErr w:type="gramEnd"/>
            <w:r w:rsidRPr="002F61BB">
              <w:rPr>
                <w:rFonts w:ascii="Times New Roman" w:eastAsiaTheme="minorHAnsi" w:hAnsi="Times New Roman"/>
                <w:color w:val="000000" w:themeColor="text1"/>
                <w:sz w:val="20"/>
                <w:szCs w:val="20"/>
              </w:rPr>
              <w:t xml:space="preserve"> the market share, the interconnectedness, the complexity and cross- border activities.</w:t>
            </w:r>
          </w:p>
          <w:p w14:paraId="7FE1BAFE"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nature of the customers and stakeholders affected by the function, such as but not limited to retail customers, corporate customers, interbank customers, central clearing houses and public entities. </w:t>
            </w:r>
          </w:p>
          <w:p w14:paraId="7FE1BAFF"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potential disruption of the function on markets, infrastructures, customers and public services.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B0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B05" w14:textId="77777777" w:rsidTr="6F08E959">
        <w:tc>
          <w:tcPr>
            <w:tcW w:w="1080" w:type="dxa"/>
            <w:tcBorders>
              <w:top w:val="single" w:sz="4" w:space="0" w:color="1A171C"/>
              <w:left w:val="nil"/>
              <w:bottom w:val="single" w:sz="4" w:space="0" w:color="1A171C"/>
              <w:right w:val="single" w:sz="4" w:space="0" w:color="1A171C"/>
            </w:tcBorders>
            <w:vAlign w:val="center"/>
          </w:tcPr>
          <w:p w14:paraId="7FE1BB02" w14:textId="36421503"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 – 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Nature and Reach </w:t>
            </w:r>
          </w:p>
          <w:p w14:paraId="7FE1BB04"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global, national or regional reach, volume and number of transactions; the number of customers and counterparties; the number of customers for which the institution is the only or principal banking partner.</w:t>
            </w:r>
          </w:p>
        </w:tc>
      </w:tr>
      <w:tr w:rsidR="00CC0A94" w14:paraId="7FE1BB0C" w14:textId="77777777" w:rsidTr="6F08E959">
        <w:tc>
          <w:tcPr>
            <w:tcW w:w="1080" w:type="dxa"/>
            <w:tcBorders>
              <w:top w:val="single" w:sz="4" w:space="0" w:color="1A171C"/>
              <w:left w:val="nil"/>
              <w:bottom w:val="single" w:sz="4" w:space="0" w:color="1A171C"/>
              <w:right w:val="single" w:sz="4" w:space="0" w:color="1A171C"/>
            </w:tcBorders>
            <w:vAlign w:val="center"/>
          </w:tcPr>
          <w:p w14:paraId="7FE1BB06" w14:textId="202CD428"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1</w:t>
            </w:r>
          </w:p>
          <w:p w14:paraId="50B226E0"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B08" w14:textId="658E0B92"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09" w14:textId="199C9DE7" w:rsidR="00CC0A94" w:rsidRDefault="006C1571">
            <w:pPr>
              <w:pStyle w:val="ListParagraph"/>
              <w:numPr>
                <w:ilvl w:val="0"/>
                <w:numId w:val="130"/>
              </w:numPr>
              <w:spacing w:line="276" w:lineRule="auto"/>
              <w:rPr>
                <w:rFonts w:ascii="Times New Roman" w:eastAsia="Times New Roman" w:hAnsi="Times New Roman"/>
                <w:sz w:val="20"/>
                <w:szCs w:val="20"/>
              </w:rPr>
            </w:pPr>
            <w:r w:rsidRPr="001B542E">
              <w:rPr>
                <w:rFonts w:ascii="Times New Roman" w:eastAsia="Times New Roman" w:hAnsi="Times New Roman"/>
                <w:sz w:val="20"/>
                <w:szCs w:val="20"/>
              </w:rPr>
              <w:lastRenderedPageBreak/>
              <w:t xml:space="preserve">Expert judgement of the size of the </w:t>
            </w:r>
            <w:r w:rsidRPr="002F61BB">
              <w:rPr>
                <w:rFonts w:ascii="Times New Roman" w:eastAsia="Times New Roman" w:hAnsi="Times New Roman"/>
                <w:sz w:val="20"/>
                <w:szCs w:val="20"/>
              </w:rPr>
              <w:t>value</w:t>
            </w:r>
            <w:r w:rsidRPr="001B542E">
              <w:rPr>
                <w:rFonts w:ascii="Times New Roman" w:eastAsia="Times New Roman" w:hAnsi="Times New Roman"/>
                <w:sz w:val="20"/>
                <w:szCs w:val="20"/>
              </w:rPr>
              <w:t xml:space="preserve"> of loans outstanding (c0030) from an </w:t>
            </w:r>
            <w:r w:rsidRPr="002F61BB">
              <w:rPr>
                <w:rFonts w:ascii="Times New Roman" w:eastAsia="Times New Roman" w:hAnsi="Times New Roman"/>
                <w:sz w:val="20"/>
                <w:szCs w:val="20"/>
              </w:rPr>
              <w:t>EU</w:t>
            </w:r>
            <w:r w:rsidRPr="001B542E">
              <w:rPr>
                <w:rFonts w:ascii="Times New Roman" w:eastAsia="Times New Roman" w:hAnsi="Times New Roman"/>
                <w:sz w:val="20"/>
                <w:szCs w:val="20"/>
              </w:rPr>
              <w:t xml:space="preserve"> perspective</w:t>
            </w:r>
            <w:r>
              <w:rPr>
                <w:rFonts w:ascii="Times New Roman" w:eastAsia="Times New Roman" w:hAnsi="Times New Roman"/>
                <w:sz w:val="20"/>
                <w:szCs w:val="20"/>
              </w:rPr>
              <w:t xml:space="preserve"> </w:t>
            </w:r>
            <w:r>
              <w:rPr>
                <w:rFonts w:ascii="Times New Roman" w:eastAsia="Times New Roman" w:hAnsi="Times New Roman"/>
                <w:i/>
                <w:iCs/>
                <w:sz w:val="20"/>
                <w:szCs w:val="20"/>
              </w:rPr>
              <w:t>[one level higher than the relevant market].</w:t>
            </w:r>
            <w:r>
              <w:rPr>
                <w:rFonts w:ascii="Times New Roman" w:eastAsia="Times New Roman" w:hAnsi="Times New Roman"/>
                <w:sz w:val="20"/>
                <w:szCs w:val="20"/>
              </w:rPr>
              <w:t xml:space="preserve"> In the assessment of this size indicator, also </w:t>
            </w:r>
            <w:proofErr w:type="gramStart"/>
            <w:r>
              <w:rPr>
                <w:rFonts w:ascii="Times New Roman" w:eastAsia="Times New Roman" w:hAnsi="Times New Roman"/>
                <w:sz w:val="20"/>
                <w:szCs w:val="20"/>
              </w:rPr>
              <w:t>take into account</w:t>
            </w:r>
            <w:proofErr w:type="gramEnd"/>
            <w:r>
              <w:rPr>
                <w:rFonts w:ascii="Times New Roman" w:eastAsia="Times New Roman" w:hAnsi="Times New Roman"/>
                <w:sz w:val="20"/>
                <w:szCs w:val="20"/>
              </w:rPr>
              <w:t xml:space="preserve"> the potential future lending flows. You may use the existing lending stock as a proxy for future lending flows, if you consider that past activity accurately reflects planned lending activity in the short to medium term. </w:t>
            </w:r>
          </w:p>
          <w:p w14:paraId="7FE1BB0A" w14:textId="77777777" w:rsidR="00CC0A94" w:rsidRDefault="006C1571">
            <w:pPr>
              <w:pStyle w:val="ListParagraph"/>
              <w:numPr>
                <w:ilvl w:val="1"/>
                <w:numId w:val="127"/>
              </w:numPr>
              <w:spacing w:line="276" w:lineRule="auto"/>
              <w:rPr>
                <w:rFonts w:ascii="Times New Roman" w:eastAsia="Times New Roman" w:hAnsi="Times New Roman"/>
                <w:sz w:val="20"/>
                <w:szCs w:val="20"/>
              </w:rPr>
            </w:pPr>
            <w:r>
              <w:rPr>
                <w:rFonts w:ascii="Times New Roman" w:eastAsia="Times New Roman" w:hAnsi="Times New Roman"/>
                <w:sz w:val="20"/>
                <w:szCs w:val="20"/>
              </w:rPr>
              <w:t>From an EU perspective, how large do you believe the value of loans outstanding and committed, as a proxy for future lending flows, is?</w:t>
            </w:r>
          </w:p>
          <w:p w14:paraId="7FE1BB0B"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B18" w14:textId="77777777" w:rsidTr="6F08E959">
        <w:tc>
          <w:tcPr>
            <w:tcW w:w="1080" w:type="dxa"/>
            <w:tcBorders>
              <w:top w:val="single" w:sz="4" w:space="0" w:color="1A171C"/>
              <w:left w:val="nil"/>
              <w:bottom w:val="single" w:sz="4" w:space="0" w:color="1A171C"/>
              <w:right w:val="single" w:sz="4" w:space="0" w:color="1A171C"/>
            </w:tcBorders>
            <w:vAlign w:val="center"/>
          </w:tcPr>
          <w:p w14:paraId="7FE1BB0D" w14:textId="28626F4D"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2</w:t>
            </w:r>
          </w:p>
          <w:p w14:paraId="68B7FEDE"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B0F" w14:textId="40E27EAB"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10" w14:textId="4C225025" w:rsidR="00CC0A94" w:rsidRDefault="006C1571">
            <w:pPr>
              <w:pStyle w:val="ListParagraph"/>
              <w:numPr>
                <w:ilvl w:val="0"/>
                <w:numId w:val="121"/>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clients (c00</w:t>
            </w:r>
            <w:r w:rsidR="000C0E67">
              <w:rPr>
                <w:rFonts w:ascii="Times New Roman" w:eastAsia="Times New Roman" w:hAnsi="Times New Roman"/>
                <w:sz w:val="20"/>
                <w:szCs w:val="20"/>
              </w:rPr>
              <w:t>4</w:t>
            </w:r>
            <w:r>
              <w:rPr>
                <w:rFonts w:ascii="Times New Roman" w:eastAsia="Times New Roman" w:hAnsi="Times New Roman"/>
                <w:sz w:val="20"/>
                <w:szCs w:val="20"/>
              </w:rPr>
              <w:t xml:space="preserve">0)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B11" w14:textId="77777777" w:rsidR="00CC0A94" w:rsidRDefault="006C1571">
            <w:pPr>
              <w:pStyle w:val="ListParagraph"/>
              <w:numPr>
                <w:ilvl w:val="1"/>
                <w:numId w:val="121"/>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the total number of clients of the institution?</w:t>
            </w:r>
          </w:p>
          <w:p w14:paraId="7FE1BB17" w14:textId="77777777" w:rsidR="00CC0A94" w:rsidRPr="002F61BB" w:rsidRDefault="00CC0A94" w:rsidP="002F61BB">
            <w:pPr>
              <w:rPr>
                <w:rFonts w:ascii="Times New Roman" w:hAnsi="Times New Roman"/>
                <w:color w:val="000000" w:themeColor="text1"/>
                <w:sz w:val="20"/>
                <w:szCs w:val="20"/>
              </w:rPr>
            </w:pPr>
          </w:p>
        </w:tc>
      </w:tr>
      <w:tr w:rsidR="00CC0A94" w14:paraId="7FE1BB22" w14:textId="77777777" w:rsidTr="6F08E959">
        <w:tc>
          <w:tcPr>
            <w:tcW w:w="1080" w:type="dxa"/>
            <w:tcBorders>
              <w:top w:val="single" w:sz="4" w:space="0" w:color="1A171C"/>
              <w:left w:val="nil"/>
              <w:bottom w:val="single" w:sz="4" w:space="0" w:color="1A171C"/>
              <w:right w:val="single" w:sz="4" w:space="0" w:color="1A171C"/>
            </w:tcBorders>
            <w:vAlign w:val="center"/>
          </w:tcPr>
          <w:p w14:paraId="7FE1BB19" w14:textId="68DEE50C"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indicator</w:t>
            </w:r>
          </w:p>
          <w:p w14:paraId="7FE1BB1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Assess the relative importance of cross-border activities for the different economic functions.</w:t>
            </w:r>
          </w:p>
          <w:p w14:paraId="7FE1BB1C"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does not need to be assessed in case of reports in which the relevant market </w:t>
            </w:r>
            <w:proofErr w:type="gramStart"/>
            <w:r w:rsidRPr="002F61BB">
              <w:rPr>
                <w:rFonts w:ascii="Times New Roman" w:hAnsi="Times New Roman" w:cs="Times New Roman"/>
                <w:color w:val="000000" w:themeColor="text1"/>
                <w:sz w:val="20"/>
                <w:szCs w:val="20"/>
                <w:lang w:val="en-GB"/>
              </w:rPr>
              <w:t>is considered to be</w:t>
            </w:r>
            <w:proofErr w:type="gramEnd"/>
            <w:r w:rsidRPr="002F61BB">
              <w:rPr>
                <w:rFonts w:ascii="Times New Roman" w:hAnsi="Times New Roman" w:cs="Times New Roman"/>
                <w:color w:val="000000" w:themeColor="text1"/>
                <w:sz w:val="20"/>
                <w:szCs w:val="20"/>
                <w:lang w:val="en-GB"/>
              </w:rPr>
              <w:t xml:space="preserve"> regional. </w:t>
            </w:r>
          </w:p>
          <w:p w14:paraId="7FE1BB1D" w14:textId="77777777" w:rsidR="00CC0A94" w:rsidRDefault="006C1571">
            <w:pPr>
              <w:pStyle w:val="TableParagraph"/>
              <w:spacing w:before="108"/>
              <w:jc w:val="both"/>
              <w:rPr>
                <w:rFonts w:ascii="Times New Roman" w:eastAsia="Times New Roman" w:hAnsi="Times New Roman"/>
                <w:sz w:val="20"/>
                <w:szCs w:val="20"/>
              </w:rPr>
            </w:pPr>
            <w:r>
              <w:rPr>
                <w:rFonts w:ascii="Times New Roman" w:eastAsia="Times New Roman" w:hAnsi="Times New Roman"/>
                <w:sz w:val="20"/>
                <w:szCs w:val="20"/>
              </w:rPr>
              <w:t xml:space="preserve">Number of EU countries where the reporting entity has a market share above 2% (expressed in value of outstanding loans). Report: </w:t>
            </w:r>
          </w:p>
          <w:p w14:paraId="7FE1BB1E" w14:textId="1382E45D" w:rsidR="00CC0A94" w:rsidRDefault="006C1571" w:rsidP="002F61BB">
            <w:pPr>
              <w:pStyle w:val="TableParagraph"/>
              <w:numPr>
                <w:ilvl w:val="0"/>
                <w:numId w:val="282"/>
              </w:numPr>
              <w:spacing w:before="108"/>
              <w:jc w:val="both"/>
              <w:rPr>
                <w:rFonts w:ascii="Times New Roman" w:eastAsia="Times New Roman" w:hAnsi="Times New Roman"/>
                <w:sz w:val="20"/>
                <w:szCs w:val="20"/>
              </w:rPr>
            </w:pPr>
            <w:r w:rsidRPr="029F4E13">
              <w:rPr>
                <w:rFonts w:ascii="Times New Roman" w:eastAsia="Times New Roman" w:hAnsi="Times New Roman"/>
                <w:sz w:val="20"/>
                <w:szCs w:val="20"/>
              </w:rPr>
              <w:t xml:space="preserve">≤1 </w:t>
            </w:r>
            <w:proofErr w:type="gramStart"/>
            <w:r w:rsidRPr="029F4E13">
              <w:rPr>
                <w:rFonts w:ascii="Times New Roman" w:eastAsia="Times New Roman" w:hAnsi="Times New Roman"/>
                <w:sz w:val="20"/>
                <w:szCs w:val="20"/>
              </w:rPr>
              <w:t>country;</w:t>
            </w:r>
            <w:proofErr w:type="gramEnd"/>
            <w:r w:rsidRPr="029F4E13">
              <w:rPr>
                <w:rFonts w:ascii="Times New Roman" w:eastAsia="Times New Roman" w:hAnsi="Times New Roman"/>
                <w:sz w:val="20"/>
                <w:szCs w:val="20"/>
              </w:rPr>
              <w:t xml:space="preserve"> </w:t>
            </w:r>
          </w:p>
          <w:p w14:paraId="7FE1BB1F" w14:textId="1384F453" w:rsidR="00CC0A94" w:rsidRDefault="006C1571" w:rsidP="002F61BB">
            <w:pPr>
              <w:pStyle w:val="TableParagraph"/>
              <w:numPr>
                <w:ilvl w:val="0"/>
                <w:numId w:val="282"/>
              </w:numPr>
              <w:spacing w:before="108"/>
              <w:jc w:val="both"/>
              <w:rPr>
                <w:rFonts w:ascii="Times New Roman" w:eastAsia="Times New Roman" w:hAnsi="Times New Roman"/>
                <w:sz w:val="20"/>
                <w:szCs w:val="20"/>
              </w:rPr>
            </w:pPr>
            <w:r w:rsidRPr="029F4E13">
              <w:rPr>
                <w:rFonts w:ascii="Times New Roman" w:eastAsia="Times New Roman" w:hAnsi="Times New Roman"/>
                <w:sz w:val="20"/>
                <w:szCs w:val="20"/>
              </w:rPr>
              <w:t xml:space="preserve">2-3 </w:t>
            </w:r>
            <w:proofErr w:type="gramStart"/>
            <w:r w:rsidRPr="029F4E13">
              <w:rPr>
                <w:rFonts w:ascii="Times New Roman" w:eastAsia="Times New Roman" w:hAnsi="Times New Roman"/>
                <w:sz w:val="20"/>
                <w:szCs w:val="20"/>
              </w:rPr>
              <w:t>countries;</w:t>
            </w:r>
            <w:proofErr w:type="gramEnd"/>
            <w:r w:rsidRPr="029F4E13">
              <w:rPr>
                <w:rFonts w:ascii="Times New Roman" w:eastAsia="Times New Roman" w:hAnsi="Times New Roman"/>
                <w:sz w:val="20"/>
                <w:szCs w:val="20"/>
              </w:rPr>
              <w:t xml:space="preserve"> </w:t>
            </w:r>
          </w:p>
          <w:p w14:paraId="7FE1BB20" w14:textId="2782B087" w:rsidR="00CC0A94" w:rsidRDefault="006C1571" w:rsidP="002F61BB">
            <w:pPr>
              <w:pStyle w:val="TableParagraph"/>
              <w:numPr>
                <w:ilvl w:val="0"/>
                <w:numId w:val="282"/>
              </w:numPr>
              <w:spacing w:before="108"/>
              <w:jc w:val="both"/>
              <w:rPr>
                <w:rFonts w:ascii="Times New Roman" w:eastAsia="Times New Roman" w:hAnsi="Times New Roman"/>
                <w:sz w:val="20"/>
                <w:szCs w:val="20"/>
              </w:rPr>
            </w:pPr>
            <w:r w:rsidRPr="029F4E13">
              <w:rPr>
                <w:rFonts w:ascii="Times New Roman" w:eastAsia="Times New Roman" w:hAnsi="Times New Roman"/>
                <w:sz w:val="20"/>
                <w:szCs w:val="20"/>
              </w:rPr>
              <w:t xml:space="preserve">4-5 countries, </w:t>
            </w:r>
          </w:p>
          <w:p w14:paraId="7FE1BB21" w14:textId="6E7B19E5" w:rsidR="00CC0A94" w:rsidRPr="00CC0A94" w:rsidRDefault="006C1571" w:rsidP="002F61BB">
            <w:pPr>
              <w:pStyle w:val="TableParagraph"/>
              <w:numPr>
                <w:ilvl w:val="0"/>
                <w:numId w:val="282"/>
              </w:numPr>
              <w:spacing w:before="108"/>
              <w:jc w:val="both"/>
              <w:rPr>
                <w:rFonts w:ascii="Times New Roman" w:hAnsi="Times New Roman" w:cs="Times New Roman"/>
                <w:color w:val="000000" w:themeColor="text1"/>
                <w:sz w:val="20"/>
                <w:szCs w:val="20"/>
                <w:lang w:val="en-GB"/>
              </w:rPr>
            </w:pPr>
            <w:r w:rsidRPr="029F4E13">
              <w:rPr>
                <w:rFonts w:ascii="Times New Roman" w:eastAsia="Times New Roman" w:hAnsi="Times New Roman"/>
                <w:sz w:val="20"/>
                <w:szCs w:val="20"/>
              </w:rPr>
              <w:t>&gt;5 countries</w:t>
            </w:r>
          </w:p>
        </w:tc>
      </w:tr>
      <w:tr w:rsidR="00CC0A94" w14:paraId="7FE1BB31" w14:textId="77777777" w:rsidTr="6F08E959">
        <w:tc>
          <w:tcPr>
            <w:tcW w:w="1080" w:type="dxa"/>
            <w:tcBorders>
              <w:top w:val="single" w:sz="4" w:space="0" w:color="1A171C"/>
              <w:left w:val="nil"/>
              <w:bottom w:val="single" w:sz="4" w:space="0" w:color="1A171C"/>
              <w:right w:val="single" w:sz="4" w:space="0" w:color="1A171C"/>
            </w:tcBorders>
            <w:vAlign w:val="center"/>
          </w:tcPr>
          <w:p w14:paraId="7FE1BB23" w14:textId="4A05DE2B"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b/>
                <w:bCs/>
                <w:color w:val="000000" w:themeColor="text1"/>
                <w:sz w:val="20"/>
                <w:szCs w:val="20"/>
                <w:lang w:val="en-GB"/>
              </w:rPr>
              <w:t xml:space="preserve">Relevance </w:t>
            </w:r>
            <w:r w:rsidRPr="002F61BB">
              <w:rPr>
                <w:rFonts w:ascii="Times New Roman" w:hAnsi="Times New Roman" w:cs="Times New Roman"/>
                <w:color w:val="000000" w:themeColor="text1"/>
                <w:sz w:val="20"/>
                <w:szCs w:val="20"/>
                <w:lang w:val="en-GB"/>
              </w:rPr>
              <w:t xml:space="preserve">– </w:t>
            </w:r>
          </w:p>
          <w:p w14:paraId="7FE1BB25"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On a local, regional, national or European level, as appropriate for the market concerned. The relevance of the institution may be assessed </w:t>
            </w:r>
            <w:proofErr w:type="gramStart"/>
            <w:r w:rsidRPr="002F61BB">
              <w:rPr>
                <w:rFonts w:ascii="Times New Roman" w:hAnsi="Times New Roman" w:cs="Times New Roman"/>
                <w:color w:val="000000" w:themeColor="text1"/>
                <w:sz w:val="20"/>
                <w:szCs w:val="20"/>
                <w:lang w:val="en-GB"/>
              </w:rPr>
              <w:t>on the basis of</w:t>
            </w:r>
            <w:proofErr w:type="gramEnd"/>
            <w:r w:rsidRPr="002F61BB">
              <w:rPr>
                <w:rFonts w:ascii="Times New Roman" w:hAnsi="Times New Roman" w:cs="Times New Roman"/>
                <w:color w:val="000000" w:themeColor="text1"/>
                <w:sz w:val="20"/>
                <w:szCs w:val="20"/>
                <w:lang w:val="en-GB"/>
              </w:rPr>
              <w:t xml:space="preserve"> the market share, the interconnectedness, the complexity and cross- border activities.</w:t>
            </w:r>
          </w:p>
          <w:p w14:paraId="7FE1BB2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Share</w:t>
            </w:r>
          </w:p>
          <w:p w14:paraId="4A7FDA65"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reporting entity’s market share is, compared to the national or other relevant market, as indicated in the template. This assessment is expressed qualitatively as </w:t>
            </w:r>
          </w:p>
          <w:p w14:paraId="25EA33C7" w14:textId="77777777" w:rsidR="005327AD" w:rsidRPr="00F076D7" w:rsidRDefault="005327AD" w:rsidP="005327AD">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High</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large</w:t>
            </w:r>
          </w:p>
          <w:p w14:paraId="24D12007" w14:textId="77777777" w:rsidR="005327AD" w:rsidRPr="00F076D7" w:rsidRDefault="005327AD" w:rsidP="005327AD">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Medium-High, if the market share is medium</w:t>
            </w:r>
          </w:p>
          <w:p w14:paraId="05C67201" w14:textId="77777777" w:rsidR="005327AD" w:rsidRPr="00F076D7" w:rsidRDefault="005327AD" w:rsidP="005327AD">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Medium-Low</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small or </w:t>
            </w:r>
          </w:p>
          <w:p w14:paraId="29105274" w14:textId="77777777" w:rsidR="005327AD" w:rsidRPr="00F076D7" w:rsidRDefault="005327AD" w:rsidP="005327AD">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Low</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negligible. </w:t>
            </w:r>
          </w:p>
          <w:p w14:paraId="7FE1BB2B" w14:textId="586F4387" w:rsidR="00CC0A94" w:rsidRPr="002F61BB" w:rsidRDefault="00CC0A94" w:rsidP="002F61BB">
            <w:pPr>
              <w:pStyle w:val="ListParagraph"/>
              <w:spacing w:line="276" w:lineRule="auto"/>
              <w:jc w:val="both"/>
              <w:rPr>
                <w:rFonts w:ascii="Times New Roman" w:eastAsiaTheme="minorHAnsi" w:hAnsi="Times New Roman"/>
                <w:color w:val="000000" w:themeColor="text1"/>
                <w:sz w:val="20"/>
                <w:szCs w:val="20"/>
              </w:rPr>
            </w:pPr>
          </w:p>
          <w:p w14:paraId="7FE1BB2C"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assessment </w:t>
            </w:r>
            <w:proofErr w:type="gramStart"/>
            <w:r w:rsidRPr="002F61BB">
              <w:rPr>
                <w:rFonts w:ascii="Times New Roman" w:hAnsi="Times New Roman" w:cs="Times New Roman"/>
                <w:color w:val="000000" w:themeColor="text1"/>
                <w:sz w:val="20"/>
                <w:szCs w:val="20"/>
                <w:lang w:val="en-GB"/>
              </w:rPr>
              <w:t>takes into account</w:t>
            </w:r>
            <w:proofErr w:type="gramEnd"/>
            <w:r w:rsidRPr="002F61BB">
              <w:rPr>
                <w:rFonts w:ascii="Times New Roman" w:hAnsi="Times New Roman" w:cs="Times New Roman"/>
                <w:color w:val="000000" w:themeColor="text1"/>
                <w:sz w:val="20"/>
                <w:szCs w:val="20"/>
                <w:lang w:val="en-GB"/>
              </w:rPr>
              <w:t xml:space="preserve"> the market structure of the reporting entity’s country (or other </w:t>
            </w:r>
            <w:r w:rsidRPr="002F61BB">
              <w:rPr>
                <w:rFonts w:ascii="Times New Roman" w:hAnsi="Times New Roman" w:cs="Times New Roman"/>
                <w:color w:val="000000" w:themeColor="text1"/>
                <w:sz w:val="20"/>
                <w:szCs w:val="20"/>
                <w:lang w:val="en-GB"/>
              </w:rPr>
              <w:lastRenderedPageBreak/>
              <w:t xml:space="preserve">relevant market), and market shares reported in part </w:t>
            </w:r>
          </w:p>
          <w:p w14:paraId="7FE1BB2D"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2.Quantitative data:</w:t>
            </w:r>
          </w:p>
          <w:p w14:paraId="7FE1BB2E" w14:textId="77777777" w:rsidR="00CC0A94" w:rsidRDefault="006C1571">
            <w:pPr>
              <w:pStyle w:val="ListParagraph"/>
              <w:numPr>
                <w:ilvl w:val="0"/>
                <w:numId w:val="117"/>
              </w:numPr>
              <w:spacing w:line="276" w:lineRule="auto"/>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B2F"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3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B3D" w14:textId="77777777" w:rsidTr="6F08E959">
        <w:tc>
          <w:tcPr>
            <w:tcW w:w="1080" w:type="dxa"/>
            <w:tcBorders>
              <w:top w:val="single" w:sz="4" w:space="0" w:color="1A171C"/>
              <w:left w:val="nil"/>
              <w:bottom w:val="single" w:sz="4" w:space="0" w:color="1A171C"/>
              <w:right w:val="single" w:sz="4" w:space="0" w:color="1A171C"/>
            </w:tcBorders>
            <w:vAlign w:val="center"/>
          </w:tcPr>
          <w:p w14:paraId="7FE1BB32" w14:textId="3F7E811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Structure – Market concentration</w:t>
            </w:r>
          </w:p>
          <w:p w14:paraId="7FE1BB34"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market concentration, measured by the number of competitors currently performing </w:t>
            </w:r>
          </w:p>
          <w:p w14:paraId="7FE1BB35"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similar economic functions and/or offering similar services on equal terms (i.e. to a </w:t>
            </w:r>
          </w:p>
          <w:p w14:paraId="7FE1BB36"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comparable extent and quality and at a comparable cost) that potentially take over </w:t>
            </w:r>
          </w:p>
          <w:p w14:paraId="7FE1BB37"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(part of) the clients and/or business of the reporting entity within a reasonable timeframe. </w:t>
            </w:r>
          </w:p>
          <w:p w14:paraId="7FE1BB38"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6E06F623"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Pr>
                <w:rFonts w:ascii="Times New Roman" w:eastAsia="Times New Roman" w:hAnsi="Times New Roman"/>
                <w:sz w:val="20"/>
                <w:szCs w:val="20"/>
              </w:rPr>
              <w:t>&gt;</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Pr="002E6230">
              <w:rPr>
                <w:rFonts w:ascii="Times New Roman" w:eastAsia="Times New Roman" w:hAnsi="Times New Roman"/>
                <w:sz w:val="20"/>
                <w:szCs w:val="20"/>
              </w:rPr>
              <w:t>;</w:t>
            </w:r>
            <w:proofErr w:type="gramEnd"/>
            <w:r w:rsidRPr="002E6230">
              <w:rPr>
                <w:rFonts w:ascii="Times New Roman" w:eastAsia="Times New Roman" w:hAnsi="Times New Roman"/>
                <w:sz w:val="20"/>
                <w:szCs w:val="20"/>
              </w:rPr>
              <w:t xml:space="preserve"> </w:t>
            </w:r>
          </w:p>
          <w:p w14:paraId="1C1D9521"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1</w:t>
            </w:r>
            <w:r>
              <w:rPr>
                <w:rFonts w:ascii="Times New Roman" w:eastAsia="Times New Roman" w:hAnsi="Times New Roman"/>
                <w:sz w:val="20"/>
                <w:szCs w:val="20"/>
              </w:rPr>
              <w:t>1</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Pr="029F4E13">
              <w:rPr>
                <w:rFonts w:ascii="Times New Roman" w:eastAsia="Times New Roman" w:hAnsi="Times New Roman"/>
                <w:sz w:val="20"/>
                <w:szCs w:val="20"/>
              </w:rPr>
              <w:t>;</w:t>
            </w:r>
            <w:proofErr w:type="gramEnd"/>
            <w:r w:rsidRPr="002E6230">
              <w:rPr>
                <w:rFonts w:ascii="Times New Roman" w:eastAsia="Times New Roman" w:hAnsi="Times New Roman"/>
                <w:sz w:val="20"/>
                <w:szCs w:val="20"/>
              </w:rPr>
              <w:t xml:space="preserve"> </w:t>
            </w:r>
          </w:p>
          <w:p w14:paraId="35EEC292"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5-10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23AB1BA1" w14:textId="77777777" w:rsidR="00695A00" w:rsidRPr="00CC0A94" w:rsidRDefault="00695A00" w:rsidP="00695A00">
            <w:pPr>
              <w:pStyle w:val="ListParagraph"/>
              <w:numPr>
                <w:ilvl w:val="0"/>
                <w:numId w:val="277"/>
              </w:numPr>
              <w:jc w:val="both"/>
              <w:rPr>
                <w:rFonts w:ascii="Times New Roman" w:hAnsi="Times New Roman"/>
                <w:b/>
                <w:bCs/>
                <w:color w:val="000000" w:themeColor="text1"/>
                <w:sz w:val="20"/>
                <w:szCs w:val="20"/>
              </w:rPr>
            </w:pPr>
            <w:r w:rsidRPr="002E6230">
              <w:rPr>
                <w:rFonts w:ascii="Times New Roman" w:eastAsia="Times New Roman" w:hAnsi="Times New Roman"/>
                <w:sz w:val="20"/>
                <w:szCs w:val="20"/>
              </w:rPr>
              <w:t>&lt;5</w:t>
            </w:r>
            <w:r>
              <w:rPr>
                <w:rFonts w:ascii="Times New Roman" w:eastAsia="Times New Roman" w:hAnsi="Times New Roman"/>
                <w:sz w:val="20"/>
                <w:szCs w:val="20"/>
              </w:rPr>
              <w:t xml:space="preserve"> competitors</w:t>
            </w:r>
          </w:p>
          <w:p w14:paraId="7FE1BB3C" w14:textId="356BF98D" w:rsidR="00CC0A94" w:rsidRPr="002F61BB" w:rsidRDefault="00CC0A94" w:rsidP="002F61BB">
            <w:pPr>
              <w:jc w:val="both"/>
              <w:rPr>
                <w:rFonts w:ascii="Times New Roman" w:hAnsi="Times New Roman"/>
                <w:color w:val="000000" w:themeColor="text1"/>
                <w:sz w:val="20"/>
                <w:szCs w:val="20"/>
              </w:rPr>
            </w:pPr>
          </w:p>
        </w:tc>
      </w:tr>
      <w:tr w:rsidR="00CC0A94" w14:paraId="7FE1BB49" w14:textId="77777777" w:rsidTr="6F08E959">
        <w:tc>
          <w:tcPr>
            <w:tcW w:w="1080" w:type="dxa"/>
            <w:tcBorders>
              <w:top w:val="single" w:sz="4" w:space="0" w:color="1A171C"/>
              <w:left w:val="nil"/>
              <w:bottom w:val="single" w:sz="4" w:space="0" w:color="1A171C"/>
              <w:right w:val="single" w:sz="4" w:space="0" w:color="1A171C"/>
            </w:tcBorders>
            <w:vAlign w:val="center"/>
          </w:tcPr>
          <w:p w14:paraId="7FE1BB3E" w14:textId="0A51607B"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Timing - Expected time for substitution</w:t>
            </w:r>
          </w:p>
          <w:p w14:paraId="7FE1BB40"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 the time necessary for the economic function provided by the reporting</w:t>
            </w:r>
          </w:p>
          <w:p w14:paraId="7FE1BB41"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entity to be absorbed by the market in </w:t>
            </w:r>
            <w:proofErr w:type="gramStart"/>
            <w:r w:rsidRPr="002F61BB">
              <w:rPr>
                <w:rFonts w:ascii="Times New Roman" w:hAnsi="Times New Roman" w:cs="Times New Roman"/>
                <w:color w:val="000000" w:themeColor="text1"/>
                <w:sz w:val="20"/>
                <w:szCs w:val="20"/>
                <w:lang w:val="en-GB"/>
              </w:rPr>
              <w:t>a crisis situation</w:t>
            </w:r>
            <w:proofErr w:type="gramEnd"/>
            <w:r w:rsidRPr="002F61BB">
              <w:rPr>
                <w:rFonts w:ascii="Times New Roman" w:hAnsi="Times New Roman" w:cs="Times New Roman"/>
                <w:color w:val="000000" w:themeColor="text1"/>
                <w:sz w:val="20"/>
                <w:szCs w:val="20"/>
                <w:lang w:val="en-GB"/>
              </w:rPr>
              <w:t xml:space="preserve">. This includes: </w:t>
            </w:r>
          </w:p>
          <w:p w14:paraId="7FE1BB42"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expected time needed by one or several competitor(s) to accomplish the legal and technical steps to take over the function; as well as  </w:t>
            </w:r>
          </w:p>
          <w:p w14:paraId="7FE1BB43"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time required by users of the service to move to another service provider. </w:t>
            </w:r>
          </w:p>
          <w:p w14:paraId="7FE1BB44"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45"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For lending, for example, this </w:t>
            </w:r>
            <w:r>
              <w:rPr>
                <w:rFonts w:ascii="Times New Roman" w:hAnsi="Times New Roman" w:cs="Times New Roman"/>
                <w:color w:val="000000" w:themeColor="text1"/>
                <w:sz w:val="20"/>
                <w:szCs w:val="20"/>
                <w:lang w:val="en-GB"/>
              </w:rPr>
              <w:t xml:space="preserve">does not </w:t>
            </w:r>
            <w:proofErr w:type="gramStart"/>
            <w:r>
              <w:rPr>
                <w:rFonts w:ascii="Times New Roman" w:hAnsi="Times New Roman" w:cs="Times New Roman"/>
                <w:color w:val="000000" w:themeColor="text1"/>
                <w:sz w:val="20"/>
                <w:szCs w:val="20"/>
                <w:lang w:val="en-GB"/>
              </w:rPr>
              <w:t>refers</w:t>
            </w:r>
            <w:proofErr w:type="gramEnd"/>
            <w:r w:rsidRPr="002F61BB">
              <w:rPr>
                <w:rFonts w:ascii="Times New Roman" w:hAnsi="Times New Roman" w:cs="Times New Roman"/>
                <w:color w:val="000000" w:themeColor="text1"/>
                <w:sz w:val="20"/>
                <w:szCs w:val="20"/>
                <w:lang w:val="en-GB"/>
              </w:rPr>
              <w:t xml:space="preserve"> to a run-off of the outstanding portfolio or the transfer of that portfolio to a prospective buyer, but rather to the ability of </w:t>
            </w:r>
            <w:proofErr w:type="gramStart"/>
            <w:r w:rsidRPr="002F61BB">
              <w:rPr>
                <w:rFonts w:ascii="Times New Roman" w:hAnsi="Times New Roman" w:cs="Times New Roman"/>
                <w:color w:val="000000" w:themeColor="text1"/>
                <w:sz w:val="20"/>
                <w:szCs w:val="20"/>
                <w:lang w:val="en-GB"/>
              </w:rPr>
              <w:t>households</w:t>
            </w:r>
            <w:proofErr w:type="gramEnd"/>
            <w:r w:rsidRPr="002F61BB">
              <w:rPr>
                <w:rFonts w:ascii="Times New Roman" w:hAnsi="Times New Roman" w:cs="Times New Roman"/>
                <w:color w:val="000000" w:themeColor="text1"/>
                <w:sz w:val="20"/>
                <w:szCs w:val="20"/>
                <w:lang w:val="en-GB"/>
              </w:rPr>
              <w:t xml:space="preserve"> corporates and governments to obtain similar loans from other providers. </w:t>
            </w:r>
          </w:p>
          <w:p w14:paraId="7FE1BB46"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47"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As a proxy for the former, provide an estimate of the time it would take the reporting entity to absorb in its own business (part of) the service provided by another institution, at a reasonable cost, in </w:t>
            </w:r>
            <w:proofErr w:type="gramStart"/>
            <w:r w:rsidRPr="002F61BB">
              <w:rPr>
                <w:rFonts w:ascii="Times New Roman" w:hAnsi="Times New Roman" w:cs="Times New Roman"/>
                <w:color w:val="000000" w:themeColor="text1"/>
                <w:sz w:val="20"/>
                <w:szCs w:val="20"/>
                <w:lang w:val="en-GB"/>
              </w:rPr>
              <w:t>a crisis situation</w:t>
            </w:r>
            <w:proofErr w:type="gramEnd"/>
            <w:r w:rsidRPr="002F61BB">
              <w:rPr>
                <w:rFonts w:ascii="Times New Roman" w:hAnsi="Times New Roman" w:cs="Times New Roman"/>
                <w:color w:val="000000" w:themeColor="text1"/>
                <w:sz w:val="20"/>
                <w:szCs w:val="20"/>
                <w:lang w:val="en-GB"/>
              </w:rPr>
              <w:t>. Report the estimated time to substitution in the buckets provided in the template:</w:t>
            </w:r>
          </w:p>
          <w:p w14:paraId="7FE1BB48"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tc>
      </w:tr>
      <w:tr w:rsidR="00CC0A94" w14:paraId="7FE1BB4C" w14:textId="77777777" w:rsidTr="6F08E959">
        <w:tc>
          <w:tcPr>
            <w:tcW w:w="1080" w:type="dxa"/>
            <w:tcBorders>
              <w:top w:val="single" w:sz="4" w:space="0" w:color="1A171C"/>
              <w:left w:val="nil"/>
              <w:bottom w:val="single" w:sz="4" w:space="0" w:color="1A171C"/>
              <w:right w:val="single" w:sz="4" w:space="0" w:color="1A171C"/>
            </w:tcBorders>
            <w:vAlign w:val="center"/>
          </w:tcPr>
          <w:p w14:paraId="7FE1BB4A" w14:textId="623B502D"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Ability for substitution</w:t>
            </w:r>
          </w:p>
        </w:tc>
      </w:tr>
      <w:tr w:rsidR="00CC0A94" w14:paraId="7FE1BB56" w14:textId="77777777" w:rsidTr="6F08E959">
        <w:tc>
          <w:tcPr>
            <w:tcW w:w="1080" w:type="dxa"/>
            <w:tcBorders>
              <w:top w:val="single" w:sz="4" w:space="0" w:color="1A171C"/>
              <w:left w:val="nil"/>
              <w:bottom w:val="single" w:sz="4" w:space="0" w:color="1A171C"/>
              <w:right w:val="single" w:sz="4" w:space="0" w:color="1A171C"/>
            </w:tcBorders>
            <w:vAlign w:val="center"/>
          </w:tcPr>
          <w:p w14:paraId="7FE1BB4D" w14:textId="187FC1D1"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Legal barriers to entry or expansion</w:t>
            </w:r>
          </w:p>
          <w:p w14:paraId="7FE1BB4F"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50"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w:t>
            </w:r>
            <w:r>
              <w:rPr>
                <w:rFonts w:ascii="Times New Roman" w:hAnsi="Times New Roman" w:cs="Times New Roman"/>
                <w:color w:val="000000" w:themeColor="text1"/>
                <w:sz w:val="20"/>
                <w:szCs w:val="20"/>
                <w:lang w:val="en-GB"/>
              </w:rPr>
              <w:t>are</w:t>
            </w:r>
            <w:r w:rsidRPr="002F61BB">
              <w:rPr>
                <w:rFonts w:ascii="Times New Roman" w:hAnsi="Times New Roman" w:cs="Times New Roman"/>
                <w:color w:val="000000" w:themeColor="text1"/>
                <w:sz w:val="20"/>
                <w:szCs w:val="20"/>
                <w:lang w:val="en-GB"/>
              </w:rPr>
              <w:t xml:space="preserve"> not </w:t>
            </w:r>
            <w:r>
              <w:rPr>
                <w:rFonts w:ascii="Times New Roman" w:hAnsi="Times New Roman" w:cs="Times New Roman"/>
                <w:color w:val="000000" w:themeColor="text1"/>
                <w:sz w:val="20"/>
                <w:szCs w:val="20"/>
                <w:lang w:val="en-GB"/>
              </w:rPr>
              <w:t>to</w:t>
            </w:r>
            <w:r w:rsidRPr="002F61BB">
              <w:rPr>
                <w:rFonts w:ascii="Times New Roman" w:hAnsi="Times New Roman" w:cs="Times New Roman"/>
                <w:color w:val="000000" w:themeColor="text1"/>
                <w:sz w:val="20"/>
                <w:szCs w:val="20"/>
                <w:lang w:val="en-GB"/>
              </w:rPr>
              <w:t xml:space="preserve"> be considered as unsurmountable barriers in the presence of alternative providers. This indicator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7FE1BB51" w14:textId="068F91A0"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barriers, </w:t>
            </w:r>
          </w:p>
          <w:p w14:paraId="7FE1BB52" w14:textId="6D8354EB"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barriers, </w:t>
            </w:r>
          </w:p>
          <w:p w14:paraId="7FE1BB53" w14:textId="1BC21AC5"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barriers, </w:t>
            </w:r>
          </w:p>
          <w:p w14:paraId="7FE1BB55" w14:textId="539429F5" w:rsidR="00CC0A94" w:rsidRPr="002F61BB" w:rsidRDefault="006C1571" w:rsidP="002F61BB">
            <w:pPr>
              <w:pStyle w:val="ListParagraph"/>
              <w:numPr>
                <w:ilvl w:val="0"/>
                <w:numId w:val="275"/>
              </w:numPr>
              <w:jc w:val="both"/>
              <w:rPr>
                <w:rFonts w:ascii="Times New Roman" w:hAnsi="Times New Roman"/>
                <w:color w:val="000000" w:themeColor="text1"/>
                <w:sz w:val="20"/>
                <w:szCs w:val="20"/>
              </w:rPr>
            </w:pPr>
            <w:r w:rsidRPr="002F61BB">
              <w:rPr>
                <w:rFonts w:ascii="Times New Roman" w:hAnsi="Times New Roman"/>
                <w:color w:val="000000" w:themeColor="text1"/>
                <w:sz w:val="20"/>
                <w:szCs w:val="20"/>
              </w:rPr>
              <w:lastRenderedPageBreak/>
              <w:t>critical (difficult to surmount) barriers.</w:t>
            </w:r>
          </w:p>
        </w:tc>
      </w:tr>
      <w:tr w:rsidR="00CC0A94" w14:paraId="7FE1BB65" w14:textId="77777777" w:rsidTr="6F08E959">
        <w:tc>
          <w:tcPr>
            <w:tcW w:w="1080" w:type="dxa"/>
            <w:tcBorders>
              <w:top w:val="single" w:sz="4" w:space="0" w:color="1A171C"/>
              <w:left w:val="nil"/>
              <w:bottom w:val="single" w:sz="4" w:space="0" w:color="1A171C"/>
              <w:right w:val="single" w:sz="4" w:space="0" w:color="1A171C"/>
            </w:tcBorders>
            <w:vAlign w:val="center"/>
          </w:tcPr>
          <w:p w14:paraId="7FE1BB57" w14:textId="761A85F3"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Operational requirements to entry or expansion</w:t>
            </w:r>
          </w:p>
          <w:p w14:paraId="7FE1BB59"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5A" w14:textId="7291B555"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w:t>
            </w:r>
          </w:p>
          <w:p w14:paraId="7FE1BB5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indicator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7FE1BB5C" w14:textId="7C8E68F5"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proofErr w:type="gramStart"/>
            <w:r w:rsidRPr="002F61BB">
              <w:rPr>
                <w:rFonts w:ascii="Times New Roman" w:eastAsiaTheme="minorEastAsia" w:hAnsi="Times New Roman"/>
                <w:color w:val="000000" w:themeColor="text1"/>
                <w:sz w:val="20"/>
                <w:szCs w:val="20"/>
              </w:rPr>
              <w:t>no  major</w:t>
            </w:r>
            <w:proofErr w:type="gramEnd"/>
            <w:r w:rsidRPr="002F61BB">
              <w:rPr>
                <w:rFonts w:ascii="Times New Roman" w:eastAsiaTheme="minorEastAsia" w:hAnsi="Times New Roman"/>
                <w:color w:val="000000" w:themeColor="text1"/>
                <w:sz w:val="20"/>
                <w:szCs w:val="20"/>
              </w:rPr>
              <w:t xml:space="preserve"> requirements, </w:t>
            </w:r>
          </w:p>
          <w:p w14:paraId="7FE1BB5D" w14:textId="227F4B1C"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requirements, </w:t>
            </w:r>
          </w:p>
          <w:p w14:paraId="7FE1BB5E" w14:textId="11C740DB"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requirements, </w:t>
            </w:r>
          </w:p>
          <w:p w14:paraId="7FE1BB5F" w14:textId="701458A3"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critical (difficult to surmount) requirements.</w:t>
            </w:r>
          </w:p>
          <w:p w14:paraId="7FE1BB64" w14:textId="7064EEB7" w:rsidR="00CC0A94" w:rsidRPr="00CC0A94" w:rsidRDefault="006C1571" w:rsidP="002F61BB">
            <w:pPr>
              <w:pStyle w:val="TableParagraph"/>
              <w:spacing w:before="108"/>
              <w:ind w:left="720"/>
              <w:jc w:val="both"/>
              <w:rPr>
                <w:rFonts w:ascii="Times New Roman" w:hAnsi="Times New Roman" w:cs="Times New Roman"/>
                <w:color w:val="000000" w:themeColor="text1"/>
                <w:sz w:val="20"/>
                <w:szCs w:val="20"/>
                <w:lang w:val="en-GB"/>
              </w:rPr>
            </w:pPr>
            <w:r w:rsidRPr="029F4E13">
              <w:rPr>
                <w:rFonts w:ascii="Times New Roman" w:eastAsia="Times New Roman" w:hAnsi="Times New Roman" w:cs="Times New Roman"/>
                <w:sz w:val="20"/>
                <w:szCs w:val="20"/>
                <w:lang w:val="en-GB"/>
              </w:rPr>
              <w:t xml:space="preserve"> </w:t>
            </w:r>
          </w:p>
        </w:tc>
      </w:tr>
      <w:tr w:rsidR="00CC0A94" w14:paraId="7FE1BB68" w14:textId="77777777" w:rsidTr="6F08E959">
        <w:tc>
          <w:tcPr>
            <w:tcW w:w="1080" w:type="dxa"/>
            <w:tcBorders>
              <w:top w:val="single" w:sz="4" w:space="0" w:color="1A171C"/>
              <w:left w:val="nil"/>
              <w:bottom w:val="single" w:sz="4" w:space="0" w:color="1A171C"/>
              <w:right w:val="single" w:sz="4" w:space="0" w:color="1A171C"/>
            </w:tcBorders>
            <w:vAlign w:val="center"/>
          </w:tcPr>
          <w:p w14:paraId="7FE1BB66" w14:textId="4C88941E"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0160 - 0180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Criticality Assessment</w:t>
            </w:r>
          </w:p>
        </w:tc>
      </w:tr>
      <w:tr w:rsidR="00CC0A94" w14:paraId="7FE1BB6E" w14:textId="77777777" w:rsidTr="6F08E959">
        <w:tc>
          <w:tcPr>
            <w:tcW w:w="1080" w:type="dxa"/>
            <w:tcBorders>
              <w:top w:val="single" w:sz="4" w:space="0" w:color="1A171C"/>
              <w:left w:val="nil"/>
              <w:bottom w:val="single" w:sz="4" w:space="0" w:color="1A171C"/>
              <w:right w:val="single" w:sz="4" w:space="0" w:color="1A171C"/>
            </w:tcBorders>
            <w:vAlign w:val="center"/>
          </w:tcPr>
          <w:p w14:paraId="7FE1BB69" w14:textId="2EA729ED"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Impact on market </w:t>
            </w:r>
          </w:p>
          <w:p w14:paraId="7FE1BB6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Estimated impact of a sudden discontinuation of the function on third parties, financial markets and the real economy,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size, market share in the country, external and internal interconnectedness, complexity, and cross-border activities of the institution.</w:t>
            </w:r>
          </w:p>
          <w:p w14:paraId="7FE1BB6C" w14:textId="3006E0F1"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assessment shall be expressed qualitatively as ‘High’, ‘Medium-High’, ‘Medium-Low’ or Low’.</w:t>
            </w:r>
          </w:p>
          <w:p w14:paraId="7FE1BB6D" w14:textId="091B1AD9"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BDD0BDE"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the discontinuation has a major impact on the national market; ‘M</w:t>
            </w:r>
            <w:r w:rsidR="559041F5"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H</w:t>
            </w:r>
            <w:r w:rsidR="479FF250"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if the impact is significant; ‘M</w:t>
            </w:r>
            <w:r w:rsidR="55F01250"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273964A0"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the impact is </w:t>
            </w:r>
            <w:proofErr w:type="gramStart"/>
            <w:r w:rsidRPr="002F61BB">
              <w:rPr>
                <w:rFonts w:ascii="Times New Roman" w:hAnsi="Times New Roman" w:cs="Times New Roman"/>
                <w:color w:val="000000" w:themeColor="text1"/>
                <w:sz w:val="20"/>
                <w:szCs w:val="20"/>
                <w:lang w:val="en-GB"/>
              </w:rPr>
              <w:t>material, but</w:t>
            </w:r>
            <w:proofErr w:type="gramEnd"/>
            <w:r w:rsidRPr="002F61BB">
              <w:rPr>
                <w:rFonts w:ascii="Times New Roman" w:hAnsi="Times New Roman" w:cs="Times New Roman"/>
                <w:color w:val="000000" w:themeColor="text1"/>
                <w:sz w:val="20"/>
                <w:szCs w:val="20"/>
                <w:lang w:val="en-GB"/>
              </w:rPr>
              <w:t xml:space="preserve"> limited; and ‘L</w:t>
            </w:r>
            <w:r w:rsidR="3540A952"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low.</w:t>
            </w:r>
          </w:p>
        </w:tc>
      </w:tr>
      <w:tr w:rsidR="00CC0A94" w14:paraId="7FE1BB7B" w14:textId="77777777" w:rsidTr="6F08E959">
        <w:tc>
          <w:tcPr>
            <w:tcW w:w="1080" w:type="dxa"/>
            <w:tcBorders>
              <w:top w:val="single" w:sz="4" w:space="0" w:color="1A171C"/>
              <w:left w:val="nil"/>
              <w:bottom w:val="single" w:sz="4" w:space="0" w:color="1A171C"/>
              <w:right w:val="single" w:sz="4" w:space="0" w:color="1A171C"/>
            </w:tcBorders>
            <w:vAlign w:val="center"/>
          </w:tcPr>
          <w:p w14:paraId="7FE1BB6F" w14:textId="12F05B84"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Substitutability</w:t>
            </w:r>
          </w:p>
          <w:p w14:paraId="7FE1BB71"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Article 6(3) of Delegated regulation (EU) 2016/778.</w:t>
            </w:r>
          </w:p>
          <w:p w14:paraId="7FE1BB72"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function is considered substitutable where it can be replaced in an acceptable manner and within a reasonable timeframe thereby avoiding systemic problems for the real economy and the financial markets. The following shall be </w:t>
            </w:r>
            <w:proofErr w:type="gramStart"/>
            <w:r w:rsidRPr="002F61BB">
              <w:rPr>
                <w:rFonts w:ascii="Times New Roman" w:hAnsi="Times New Roman" w:cs="Times New Roman"/>
                <w:color w:val="000000" w:themeColor="text1"/>
                <w:sz w:val="20"/>
                <w:szCs w:val="20"/>
                <w:lang w:val="en-GB"/>
              </w:rPr>
              <w:t>taken into account</w:t>
            </w:r>
            <w:proofErr w:type="gramEnd"/>
            <w:r w:rsidRPr="002F61BB">
              <w:rPr>
                <w:rFonts w:ascii="Times New Roman" w:hAnsi="Times New Roman" w:cs="Times New Roman"/>
                <w:color w:val="000000" w:themeColor="text1"/>
                <w:sz w:val="20"/>
                <w:szCs w:val="20"/>
                <w:lang w:val="en-GB"/>
              </w:rPr>
              <w:t>:</w:t>
            </w:r>
          </w:p>
          <w:p w14:paraId="7FE1BB73"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the structure of the market for that function and the availability of substitute </w:t>
            </w:r>
            <w:proofErr w:type="gramStart"/>
            <w:r w:rsidRPr="002F61BB">
              <w:rPr>
                <w:rFonts w:ascii="Times New Roman" w:hAnsi="Times New Roman" w:cs="Times New Roman"/>
                <w:color w:val="000000" w:themeColor="text1"/>
                <w:sz w:val="20"/>
                <w:szCs w:val="20"/>
                <w:lang w:val="en-GB"/>
              </w:rPr>
              <w:t>providers;</w:t>
            </w:r>
            <w:proofErr w:type="gramEnd"/>
            <w:r w:rsidRPr="002F61BB">
              <w:rPr>
                <w:rFonts w:ascii="Times New Roman" w:hAnsi="Times New Roman" w:cs="Times New Roman"/>
                <w:color w:val="000000" w:themeColor="text1"/>
                <w:sz w:val="20"/>
                <w:szCs w:val="20"/>
                <w:lang w:val="en-GB"/>
              </w:rPr>
              <w:t xml:space="preserve"> </w:t>
            </w:r>
          </w:p>
          <w:p w14:paraId="7FE1BB74"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(b) the ability of other providers in terms of capacity, the requirements for performing the function, and potential barriers to entry or </w:t>
            </w:r>
            <w:proofErr w:type="gramStart"/>
            <w:r w:rsidRPr="002F61BB">
              <w:rPr>
                <w:rFonts w:ascii="Times New Roman" w:hAnsi="Times New Roman" w:cs="Times New Roman"/>
                <w:color w:val="000000" w:themeColor="text1"/>
                <w:sz w:val="20"/>
                <w:szCs w:val="20"/>
                <w:lang w:val="en-GB"/>
              </w:rPr>
              <w:t>expansion;</w:t>
            </w:r>
            <w:proofErr w:type="gramEnd"/>
            <w:r w:rsidRPr="002F61BB">
              <w:rPr>
                <w:rFonts w:ascii="Times New Roman" w:hAnsi="Times New Roman" w:cs="Times New Roman"/>
                <w:color w:val="000000" w:themeColor="text1"/>
                <w:sz w:val="20"/>
                <w:szCs w:val="20"/>
                <w:lang w:val="en-GB"/>
              </w:rPr>
              <w:t xml:space="preserve"> </w:t>
            </w:r>
          </w:p>
          <w:p w14:paraId="7FE1BB75"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 the incentive of other providers to take on these </w:t>
            </w:r>
            <w:proofErr w:type="gramStart"/>
            <w:r w:rsidRPr="002F61BB">
              <w:rPr>
                <w:rFonts w:ascii="Times New Roman" w:hAnsi="Times New Roman" w:cs="Times New Roman"/>
                <w:color w:val="000000" w:themeColor="text1"/>
                <w:sz w:val="20"/>
                <w:szCs w:val="20"/>
                <w:lang w:val="en-GB"/>
              </w:rPr>
              <w:t>activities;</w:t>
            </w:r>
            <w:proofErr w:type="gramEnd"/>
            <w:r w:rsidRPr="002F61BB">
              <w:rPr>
                <w:rFonts w:ascii="Times New Roman" w:hAnsi="Times New Roman" w:cs="Times New Roman"/>
                <w:color w:val="000000" w:themeColor="text1"/>
                <w:sz w:val="20"/>
                <w:szCs w:val="20"/>
                <w:lang w:val="en-GB"/>
              </w:rPr>
              <w:t xml:space="preserve"> </w:t>
            </w:r>
          </w:p>
          <w:p w14:paraId="7FE1BB76"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B77" w14:textId="34C328B6"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different dimensions assessed previously (market share, market concentration, time to substitution, legal barriers, and operational requirements to entry or expansion</w:t>
            </w:r>
            <w:proofErr w:type="gramStart"/>
            <w:r w:rsidRPr="002F61BB">
              <w:rPr>
                <w:rFonts w:ascii="Times New Roman" w:hAnsi="Times New Roman" w:cs="Times New Roman"/>
                <w:color w:val="000000" w:themeColor="text1"/>
                <w:sz w:val="20"/>
                <w:szCs w:val="20"/>
                <w:lang w:val="en-GB"/>
              </w:rPr>
              <w:t>) .</w:t>
            </w:r>
            <w:proofErr w:type="gramEnd"/>
            <w:r w:rsidRPr="002F61BB">
              <w:rPr>
                <w:rFonts w:ascii="Times New Roman" w:hAnsi="Times New Roman" w:cs="Times New Roman"/>
                <w:color w:val="000000" w:themeColor="text1"/>
                <w:sz w:val="20"/>
                <w:szCs w:val="20"/>
                <w:lang w:val="en-GB"/>
              </w:rPr>
              <w:t xml:space="preserve"> This assessment shall be expressed qualitatively as ‘High’, ‘Medium-High’, ‘Medium-Low’ or Low’. </w:t>
            </w:r>
          </w:p>
          <w:p w14:paraId="7FE1BB78" w14:textId="70240340"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xml:space="preserve">’ shall be selected if a function can easily be provided by another bank under comparable conditions within a reasonable </w:t>
            </w:r>
            <w:proofErr w:type="gramStart"/>
            <w:r w:rsidRPr="002F61BB">
              <w:rPr>
                <w:rFonts w:ascii="Times New Roman" w:hAnsi="Times New Roman" w:cs="Times New Roman"/>
                <w:color w:val="000000" w:themeColor="text1"/>
                <w:sz w:val="20"/>
                <w:szCs w:val="20"/>
                <w:lang w:val="en-GB"/>
              </w:rPr>
              <w:t>timeframe;</w:t>
            </w:r>
            <w:proofErr w:type="gramEnd"/>
          </w:p>
          <w:p w14:paraId="7FE1BB79" w14:textId="3DFD8C4F"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a function cannot be easily or rapidly </w:t>
            </w:r>
            <w:proofErr w:type="gramStart"/>
            <w:r w:rsidRPr="002F61BB">
              <w:rPr>
                <w:rFonts w:ascii="Times New Roman" w:hAnsi="Times New Roman" w:cs="Times New Roman"/>
                <w:color w:val="000000" w:themeColor="text1"/>
                <w:sz w:val="20"/>
                <w:szCs w:val="20"/>
                <w:lang w:val="en-GB"/>
              </w:rPr>
              <w:t>substituted;</w:t>
            </w:r>
            <w:proofErr w:type="gramEnd"/>
            <w:r w:rsidRPr="002F61BB">
              <w:rPr>
                <w:rFonts w:ascii="Times New Roman" w:hAnsi="Times New Roman" w:cs="Times New Roman"/>
                <w:color w:val="000000" w:themeColor="text1"/>
                <w:sz w:val="20"/>
                <w:szCs w:val="20"/>
                <w:lang w:val="en-GB"/>
              </w:rPr>
              <w:t xml:space="preserve"> </w:t>
            </w:r>
          </w:p>
          <w:p w14:paraId="7FE1BB7A" w14:textId="4DB7815A"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‘M</w:t>
            </w:r>
            <w:r w:rsidR="00A5354C">
              <w:rPr>
                <w:rFonts w:ascii="Times New Roman" w:hAnsi="Times New Roman" w:cs="Times New Roman"/>
                <w:color w:val="000000" w:themeColor="text1"/>
                <w:sz w:val="20"/>
                <w:szCs w:val="20"/>
                <w:lang w:val="en-GB"/>
              </w:rPr>
              <w:t xml:space="preserve">edium </w:t>
            </w: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and ‘M</w:t>
            </w:r>
            <w:r w:rsidR="00A5354C">
              <w:rPr>
                <w:rFonts w:ascii="Times New Roman" w:hAnsi="Times New Roman" w:cs="Times New Roman"/>
                <w:color w:val="000000" w:themeColor="text1"/>
                <w:sz w:val="20"/>
                <w:szCs w:val="20"/>
                <w:lang w:val="en-GB"/>
              </w:rPr>
              <w:t xml:space="preserve">edium </w:t>
            </w: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for intermediate cases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different dimensions (e.g. market share, market concentration, time to substitution, as well as legal barriers </w:t>
            </w:r>
            <w:r w:rsidRPr="002F61BB">
              <w:rPr>
                <w:rFonts w:ascii="Times New Roman" w:hAnsi="Times New Roman" w:cs="Times New Roman"/>
                <w:color w:val="000000" w:themeColor="text1"/>
                <w:sz w:val="20"/>
                <w:szCs w:val="20"/>
                <w:lang w:val="en-GB"/>
              </w:rPr>
              <w:lastRenderedPageBreak/>
              <w:t>to and operational requirements for entry or expansion).</w:t>
            </w:r>
          </w:p>
        </w:tc>
      </w:tr>
      <w:tr w:rsidR="00CC0A94" w14:paraId="7FE1BB80" w14:textId="77777777" w:rsidTr="6F08E959">
        <w:tc>
          <w:tcPr>
            <w:tcW w:w="1080" w:type="dxa"/>
            <w:tcBorders>
              <w:top w:val="single" w:sz="4" w:space="0" w:color="1A171C"/>
              <w:left w:val="nil"/>
              <w:bottom w:val="single" w:sz="4" w:space="0" w:color="1A171C"/>
              <w:right w:val="single" w:sz="4" w:space="0" w:color="1A171C"/>
            </w:tcBorders>
            <w:vAlign w:val="center"/>
          </w:tcPr>
          <w:p w14:paraId="7FE1BB7C" w14:textId="42FC8366"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 Function</w:t>
            </w:r>
          </w:p>
          <w:p w14:paraId="7FE1BB7E"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In this column it shall be reported whether,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impact and substitutability analysis performed by the institution, the economic function </w:t>
            </w:r>
            <w:proofErr w:type="gramStart"/>
            <w:r w:rsidRPr="002F61BB">
              <w:rPr>
                <w:rFonts w:ascii="Times New Roman" w:hAnsi="Times New Roman" w:cs="Times New Roman"/>
                <w:color w:val="000000" w:themeColor="text1"/>
                <w:sz w:val="20"/>
                <w:szCs w:val="20"/>
                <w:lang w:val="en-GB"/>
              </w:rPr>
              <w:t>is considered to be</w:t>
            </w:r>
            <w:proofErr w:type="gramEnd"/>
            <w:r w:rsidRPr="002F61BB">
              <w:rPr>
                <w:rFonts w:ascii="Times New Roman" w:hAnsi="Times New Roman" w:cs="Times New Roman"/>
                <w:color w:val="000000" w:themeColor="text1"/>
                <w:sz w:val="20"/>
                <w:szCs w:val="20"/>
                <w:lang w:val="en-GB"/>
              </w:rPr>
              <w:t xml:space="preserve"> critical in the market for the relevant country.</w:t>
            </w:r>
          </w:p>
          <w:p w14:paraId="7FE1BB7F"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 ‘Yes’ or ‘No’</w:t>
            </w:r>
          </w:p>
        </w:tc>
      </w:tr>
      <w:tr w:rsidR="00CC0A94" w14:paraId="7FE1BB84" w14:textId="77777777" w:rsidTr="6F08E959">
        <w:tc>
          <w:tcPr>
            <w:tcW w:w="1080" w:type="dxa"/>
            <w:tcBorders>
              <w:top w:val="single" w:sz="4" w:space="0" w:color="1A171C"/>
              <w:left w:val="nil"/>
              <w:bottom w:val="single" w:sz="4" w:space="0" w:color="1A171C"/>
              <w:right w:val="single" w:sz="4" w:space="0" w:color="1A171C"/>
            </w:tcBorders>
            <w:vAlign w:val="center"/>
          </w:tcPr>
          <w:p w14:paraId="7FE1BB81" w14:textId="6C49AB94"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Comments from the Group</w:t>
            </w:r>
          </w:p>
          <w:p w14:paraId="7FE1BB83"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B85" w14:textId="77777777" w:rsidR="00CC0A94" w:rsidRDefault="00CC0A94">
      <w:pPr>
        <w:rPr>
          <w:rFonts w:ascii="Times New Roman" w:hAnsi="Times New Roman" w:cs="Times New Roman"/>
          <w:color w:val="000000" w:themeColor="text1"/>
          <w:sz w:val="20"/>
          <w:szCs w:val="20"/>
          <w:lang w:val="en-GB"/>
        </w:rPr>
      </w:pPr>
    </w:p>
    <w:p w14:paraId="7FE1BB86" w14:textId="61485090" w:rsidR="00CC0A94" w:rsidRDefault="00D34E5E">
      <w:pPr>
        <w:pStyle w:val="Instructionsberschrift2"/>
        <w:numPr>
          <w:ilvl w:val="1"/>
          <w:numId w:val="49"/>
        </w:numPr>
        <w:ind w:left="357" w:hanging="357"/>
        <w:rPr>
          <w:rFonts w:ascii="Times New Roman" w:hAnsi="Times New Roman" w:cs="Times New Roman"/>
        </w:rPr>
      </w:pPr>
      <w:bookmarkStart w:id="117" w:name="_Toc192249054"/>
      <w:r>
        <w:rPr>
          <w:rFonts w:ascii="Times New Roman" w:hAnsi="Times New Roman" w:cs="Times New Roman"/>
        </w:rPr>
        <w:t>Z 0</w:t>
      </w:r>
      <w:r w:rsidR="006C1571">
        <w:rPr>
          <w:rFonts w:ascii="Times New Roman" w:hAnsi="Times New Roman" w:cs="Times New Roman"/>
        </w:rPr>
        <w:t>7.</w:t>
      </w:r>
      <w:r>
        <w:rPr>
          <w:rFonts w:ascii="Times New Roman" w:hAnsi="Times New Roman" w:cs="Times New Roman"/>
        </w:rPr>
        <w:t>0</w:t>
      </w:r>
      <w:r w:rsidR="006C1571">
        <w:rPr>
          <w:rFonts w:ascii="Times New Roman" w:hAnsi="Times New Roman" w:cs="Times New Roman"/>
        </w:rPr>
        <w:t>1</w:t>
      </w:r>
      <w:r>
        <w:rPr>
          <w:rFonts w:ascii="Times New Roman" w:hAnsi="Times New Roman" w:cs="Times New Roman"/>
        </w:rPr>
        <w:t>.3</w:t>
      </w:r>
      <w:r w:rsidR="006C1571">
        <w:rPr>
          <w:rFonts w:ascii="Times New Roman" w:hAnsi="Times New Roman" w:cs="Times New Roman"/>
        </w:rPr>
        <w:t xml:space="preserve"> FUNC 1 PAY</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B91"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B95" w14:textId="77777777" w:rsidTr="6F08E959">
        <w:tc>
          <w:tcPr>
            <w:tcW w:w="1080" w:type="dxa"/>
            <w:tcBorders>
              <w:top w:val="single" w:sz="4" w:space="0" w:color="1A171C"/>
              <w:left w:val="nil"/>
              <w:bottom w:val="single" w:sz="4" w:space="0" w:color="1A171C"/>
              <w:right w:val="single" w:sz="4" w:space="0" w:color="1A171C"/>
            </w:tcBorders>
            <w:vAlign w:val="center"/>
          </w:tcPr>
          <w:p w14:paraId="7FE1BB9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B94" w14:textId="56901CA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Economic function is of the type ‘Other’ (</w:t>
            </w:r>
            <w:r w:rsidR="000C0E67">
              <w:t xml:space="preserve">Z 07.01.3 FUNC 1 PAY </w:t>
            </w:r>
            <w:r w:rsidR="001B542E">
              <w:t>r0220 to r0240)</w:t>
            </w:r>
            <w:r>
              <w:rPr>
                <w:rFonts w:ascii="Times New Roman" w:eastAsia="Cambria" w:hAnsi="Times New Roman" w:cs="Times New Roman"/>
                <w:color w:val="000000" w:themeColor="text1"/>
                <w:spacing w:val="-2"/>
                <w:w w:val="95"/>
                <w:sz w:val="20"/>
                <w:szCs w:val="20"/>
                <w:lang w:val="en-GB"/>
              </w:rPr>
              <w:t xml:space="preserve">, a description of that function shall be provided. </w:t>
            </w:r>
          </w:p>
        </w:tc>
      </w:tr>
      <w:tr w:rsidR="00CC0A94" w14:paraId="7FE1BB99" w14:textId="77777777" w:rsidTr="6F08E959">
        <w:tc>
          <w:tcPr>
            <w:tcW w:w="1080" w:type="dxa"/>
            <w:tcBorders>
              <w:top w:val="single" w:sz="4" w:space="0" w:color="1A171C"/>
              <w:left w:val="nil"/>
              <w:bottom w:val="single" w:sz="4" w:space="0" w:color="1A171C"/>
              <w:right w:val="single" w:sz="4" w:space="0" w:color="1A171C"/>
            </w:tcBorders>
            <w:vAlign w:val="center"/>
          </w:tcPr>
          <w:p w14:paraId="7FE1BB9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B98" w14:textId="71A825F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Estimate of the market share of the institution or group for the economic function in the respective country or geographic area. A percentage of the total market in terms</w:t>
            </w:r>
            <w:r w:rsidR="00695A00">
              <w:rPr>
                <w:rFonts w:ascii="Times New Roman" w:eastAsia="Cambria" w:hAnsi="Times New Roman" w:cs="Times New Roman"/>
                <w:color w:val="000000" w:themeColor="text1"/>
                <w:sz w:val="20"/>
                <w:szCs w:val="20"/>
                <w:lang w:val="en-GB"/>
              </w:rPr>
              <w:t xml:space="preserve"> of</w:t>
            </w:r>
            <w:r w:rsidRPr="029F4E13">
              <w:rPr>
                <w:rFonts w:ascii="Times New Roman" w:eastAsia="Cambria" w:hAnsi="Times New Roman" w:cs="Times New Roman"/>
                <w:color w:val="000000" w:themeColor="text1"/>
                <w:sz w:val="20"/>
                <w:szCs w:val="20"/>
                <w:lang w:val="en-GB"/>
              </w:rPr>
              <w:t xml:space="preserve"> the monetary amount.</w:t>
            </w:r>
            <w:r w:rsidR="2511498C" w:rsidRPr="029F4E13">
              <w:rPr>
                <w:rFonts w:ascii="Times New Roman" w:eastAsia="Cambria" w:hAnsi="Times New Roman" w:cs="Times New Roman"/>
                <w:color w:val="000000" w:themeColor="text1"/>
                <w:sz w:val="20"/>
                <w:szCs w:val="20"/>
                <w:lang w:val="en-GB"/>
              </w:rPr>
              <w:t xml:space="preserve"> This corresponds to the Value of Transactions for the </w:t>
            </w:r>
            <w:r w:rsidR="10CA5500" w:rsidRPr="029F4E13">
              <w:rPr>
                <w:rFonts w:ascii="Times New Roman" w:eastAsia="Cambria" w:hAnsi="Times New Roman" w:cs="Times New Roman"/>
                <w:color w:val="000000" w:themeColor="text1"/>
                <w:sz w:val="20"/>
                <w:szCs w:val="20"/>
                <w:lang w:val="en-GB"/>
              </w:rPr>
              <w:t xml:space="preserve">payment </w:t>
            </w:r>
            <w:r w:rsidR="2511498C" w:rsidRPr="029F4E13">
              <w:rPr>
                <w:rFonts w:ascii="Times New Roman" w:eastAsia="Cambria" w:hAnsi="Times New Roman" w:cs="Times New Roman"/>
                <w:color w:val="000000" w:themeColor="text1"/>
                <w:sz w:val="20"/>
                <w:szCs w:val="20"/>
                <w:lang w:val="en-GB"/>
              </w:rPr>
              <w:t>services to MFIs</w:t>
            </w:r>
            <w:r w:rsidR="0A0D63C1" w:rsidRPr="029F4E13">
              <w:rPr>
                <w:rFonts w:ascii="Times New Roman" w:eastAsia="Cambria" w:hAnsi="Times New Roman" w:cs="Times New Roman"/>
                <w:color w:val="000000" w:themeColor="text1"/>
                <w:sz w:val="20"/>
                <w:szCs w:val="20"/>
                <w:lang w:val="en-GB"/>
              </w:rPr>
              <w:t xml:space="preserve"> and non-MFIs</w:t>
            </w:r>
            <w:r w:rsidR="2511498C" w:rsidRPr="029F4E13">
              <w:rPr>
                <w:rFonts w:ascii="Times New Roman" w:eastAsia="Cambria" w:hAnsi="Times New Roman" w:cs="Times New Roman"/>
                <w:color w:val="000000" w:themeColor="text1"/>
                <w:sz w:val="20"/>
                <w:szCs w:val="20"/>
                <w:lang w:val="en-GB"/>
              </w:rPr>
              <w:t xml:space="preserve">, </w:t>
            </w:r>
            <w:r w:rsidR="37177E8F" w:rsidRPr="029F4E13">
              <w:rPr>
                <w:rFonts w:ascii="Times New Roman" w:eastAsia="Cambria" w:hAnsi="Times New Roman" w:cs="Times New Roman"/>
                <w:color w:val="000000" w:themeColor="text1"/>
                <w:sz w:val="20"/>
                <w:szCs w:val="20"/>
                <w:lang w:val="en-GB"/>
              </w:rPr>
              <w:t xml:space="preserve">the </w:t>
            </w:r>
            <w:r w:rsidR="2511498C" w:rsidRPr="029F4E13">
              <w:rPr>
                <w:rFonts w:ascii="Times New Roman" w:eastAsia="Cambria" w:hAnsi="Times New Roman" w:cs="Times New Roman"/>
                <w:color w:val="000000" w:themeColor="text1"/>
                <w:sz w:val="20"/>
                <w:szCs w:val="20"/>
                <w:lang w:val="en-GB"/>
              </w:rPr>
              <w:t xml:space="preserve">Value of open positions </w:t>
            </w:r>
            <w:r w:rsidR="6746A063" w:rsidRPr="029F4E13">
              <w:rPr>
                <w:rFonts w:ascii="Times New Roman" w:eastAsia="Cambria" w:hAnsi="Times New Roman" w:cs="Times New Roman"/>
                <w:color w:val="000000" w:themeColor="text1"/>
                <w:sz w:val="20"/>
                <w:szCs w:val="20"/>
                <w:lang w:val="en-GB"/>
              </w:rPr>
              <w:t>for CCP clearing services</w:t>
            </w:r>
            <w:r w:rsidR="266CFF96" w:rsidRPr="029F4E13">
              <w:rPr>
                <w:rFonts w:ascii="Times New Roman" w:eastAsia="Cambria" w:hAnsi="Times New Roman" w:cs="Times New Roman"/>
                <w:color w:val="000000" w:themeColor="text1"/>
                <w:sz w:val="20"/>
                <w:szCs w:val="20"/>
                <w:lang w:val="en-GB"/>
              </w:rPr>
              <w:t xml:space="preserve"> and</w:t>
            </w:r>
            <w:r w:rsidR="6746A063" w:rsidRPr="029F4E13">
              <w:rPr>
                <w:rFonts w:ascii="Times New Roman" w:eastAsia="Cambria" w:hAnsi="Times New Roman" w:cs="Times New Roman"/>
                <w:color w:val="000000" w:themeColor="text1"/>
                <w:sz w:val="20"/>
                <w:szCs w:val="20"/>
                <w:lang w:val="en-GB"/>
              </w:rPr>
              <w:t xml:space="preserve"> the Value of assets under custody for Custody services</w:t>
            </w:r>
            <w:r w:rsidR="11CD3ED1" w:rsidRPr="029F4E13">
              <w:rPr>
                <w:rFonts w:ascii="Times New Roman" w:eastAsia="Cambria" w:hAnsi="Times New Roman" w:cs="Times New Roman"/>
                <w:color w:val="000000" w:themeColor="text1"/>
                <w:sz w:val="20"/>
                <w:szCs w:val="20"/>
                <w:lang w:val="en-GB"/>
              </w:rPr>
              <w:t>.</w:t>
            </w:r>
          </w:p>
        </w:tc>
      </w:tr>
      <w:tr w:rsidR="00CC0A94" w14:paraId="7FE1BBA5" w14:textId="77777777" w:rsidTr="6F08E959">
        <w:tc>
          <w:tcPr>
            <w:tcW w:w="1080" w:type="dxa"/>
            <w:tcBorders>
              <w:top w:val="single" w:sz="4" w:space="0" w:color="1A171C"/>
              <w:left w:val="nil"/>
              <w:bottom w:val="single" w:sz="4" w:space="0" w:color="1A171C"/>
              <w:right w:val="single" w:sz="4" w:space="0" w:color="1A171C"/>
            </w:tcBorders>
            <w:vAlign w:val="center"/>
          </w:tcPr>
          <w:p w14:paraId="7FE1BB9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of transactions</w:t>
            </w:r>
          </w:p>
          <w:p w14:paraId="7FE1BB9C"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proofErr w:type="gramStart"/>
            <w:r>
              <w:rPr>
                <w:rFonts w:ascii="Times New Roman" w:eastAsia="Cambria" w:hAnsi="Times New Roman" w:cs="Times New Roman"/>
                <w:color w:val="000000" w:themeColor="text1"/>
                <w:spacing w:val="-2"/>
                <w:w w:val="95"/>
                <w:sz w:val="20"/>
                <w:szCs w:val="20"/>
                <w:lang w:val="en-GB"/>
              </w:rPr>
              <w:t>As a general rule</w:t>
            </w:r>
            <w:proofErr w:type="gramEnd"/>
            <w:r>
              <w:rPr>
                <w:rFonts w:ascii="Times New Roman" w:eastAsia="Cambria" w:hAnsi="Times New Roman" w:cs="Times New Roman"/>
                <w:color w:val="000000" w:themeColor="text1"/>
                <w:spacing w:val="-2"/>
                <w:w w:val="95"/>
                <w:sz w:val="20"/>
                <w:szCs w:val="20"/>
                <w:lang w:val="en-GB"/>
              </w:rPr>
              <w:t>, the average of daily transactions over the year shall be reported. If not available, an average over a shorter period (e.g. a few months) may be reported.</w:t>
            </w:r>
          </w:p>
          <w:p w14:paraId="7FE1BB9D" w14:textId="32F9B039"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Payment services (function ID 3.1 and 3.2): Value of transactions sent.</w:t>
            </w:r>
            <w:r>
              <w:t xml:space="preserve"> </w:t>
            </w:r>
            <w:r>
              <w:rPr>
                <w:rFonts w:ascii="Times New Roman" w:eastAsia="Cambria" w:hAnsi="Times New Roman" w:cs="Times New Roman"/>
                <w:color w:val="000000" w:themeColor="text1"/>
                <w:spacing w:val="-2"/>
                <w:w w:val="95"/>
                <w:sz w:val="20"/>
                <w:szCs w:val="20"/>
                <w:lang w:val="en-GB"/>
              </w:rPr>
              <w:t>Background references:</w:t>
            </w:r>
            <w:r w:rsidR="0016454D">
              <w:rPr>
                <w:rFonts w:ascii="Times New Roman" w:eastAsia="Cambria" w:hAnsi="Times New Roman" w:cs="Times New Roman"/>
                <w:color w:val="000000" w:themeColor="text1"/>
                <w:spacing w:val="-2"/>
                <w:w w:val="95"/>
                <w:sz w:val="20"/>
                <w:szCs w:val="20"/>
                <w:lang w:val="en-GB"/>
              </w:rPr>
              <w:t xml:space="preserve"> </w:t>
            </w:r>
            <w:r>
              <w:rPr>
                <w:rFonts w:ascii="Times New Roman" w:eastAsia="Cambria" w:hAnsi="Times New Roman" w:cs="Times New Roman"/>
                <w:color w:val="000000" w:themeColor="text1"/>
                <w:spacing w:val="-2"/>
                <w:w w:val="95"/>
                <w:sz w:val="20"/>
                <w:szCs w:val="20"/>
                <w:lang w:val="en-GB"/>
              </w:rPr>
              <w:t>Directive</w:t>
            </w:r>
            <w:r w:rsidR="0016454D">
              <w:rPr>
                <w:rFonts w:ascii="Times New Roman" w:eastAsia="Cambria" w:hAnsi="Times New Roman" w:cs="Times New Roman"/>
                <w:color w:val="000000" w:themeColor="text1"/>
                <w:spacing w:val="-2"/>
                <w:w w:val="95"/>
                <w:sz w:val="20"/>
                <w:szCs w:val="20"/>
                <w:lang w:val="en-GB"/>
              </w:rPr>
              <w:t xml:space="preserve"> 2015/2366/EU</w:t>
            </w:r>
            <w:r>
              <w:rPr>
                <w:rFonts w:ascii="Times New Roman" w:eastAsia="Cambria" w:hAnsi="Times New Roman" w:cs="Times New Roman"/>
                <w:color w:val="000000" w:themeColor="text1"/>
                <w:spacing w:val="-2"/>
                <w:w w:val="95"/>
                <w:sz w:val="20"/>
                <w:szCs w:val="20"/>
                <w:lang w:val="en-GB"/>
              </w:rPr>
              <w:t xml:space="preserve"> on payment services in the internal market Article 4(5); Regulation</w:t>
            </w:r>
            <w:r w:rsidR="00CE06F0">
              <w:rPr>
                <w:rFonts w:ascii="Times New Roman" w:eastAsia="Cambria" w:hAnsi="Times New Roman" w:cs="Times New Roman"/>
                <w:color w:val="000000" w:themeColor="text1"/>
                <w:spacing w:val="-2"/>
                <w:w w:val="95"/>
                <w:sz w:val="20"/>
                <w:szCs w:val="20"/>
                <w:lang w:val="en-GB"/>
              </w:rPr>
              <w:t xml:space="preserve"> (EU) 2020/2011 of the European Central Bank </w:t>
            </w:r>
            <w:proofErr w:type="gramStart"/>
            <w:r w:rsidR="00CE06F0">
              <w:rPr>
                <w:rFonts w:ascii="Times New Roman" w:eastAsia="Cambria" w:hAnsi="Times New Roman" w:cs="Times New Roman"/>
                <w:color w:val="000000" w:themeColor="text1"/>
                <w:spacing w:val="-2"/>
                <w:w w:val="95"/>
                <w:sz w:val="20"/>
                <w:szCs w:val="20"/>
                <w:lang w:val="en-GB"/>
              </w:rPr>
              <w:t>amending</w:t>
            </w:r>
            <w:proofErr w:type="gramEnd"/>
            <w:r w:rsidR="00CE06F0">
              <w:rPr>
                <w:rFonts w:ascii="Times New Roman" w:eastAsia="Cambria" w:hAnsi="Times New Roman" w:cs="Times New Roman"/>
                <w:color w:val="000000" w:themeColor="text1"/>
                <w:spacing w:val="-2"/>
                <w:w w:val="95"/>
                <w:sz w:val="20"/>
                <w:szCs w:val="20"/>
                <w:lang w:val="en-GB"/>
              </w:rPr>
              <w:t xml:space="preserve"> Regulation (EU) No 1409/2013 </w:t>
            </w:r>
            <w:r>
              <w:rPr>
                <w:rFonts w:ascii="Times New Roman" w:eastAsia="Cambria" w:hAnsi="Times New Roman" w:cs="Times New Roman"/>
                <w:color w:val="000000" w:themeColor="text1"/>
                <w:spacing w:val="-2"/>
                <w:w w:val="95"/>
                <w:sz w:val="20"/>
                <w:szCs w:val="20"/>
                <w:lang w:val="en-GB"/>
              </w:rPr>
              <w:t>on payment statistics (ECB/2020/59)</w:t>
            </w:r>
          </w:p>
          <w:p w14:paraId="7FE1BB9E"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Cash services (function ID 3.3): Value of ATM transactions at ATMs of the reporting</w:t>
            </w:r>
          </w:p>
          <w:p w14:paraId="7FE1BB9F" w14:textId="34BA0294"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institution, as defined in </w:t>
            </w:r>
            <w:r w:rsidR="002C5CD1" w:rsidRPr="002F61BB">
              <w:rPr>
                <w:rFonts w:ascii="Times New Roman" w:eastAsia="Cambria" w:hAnsi="Times New Roman" w:cs="Times New Roman"/>
                <w:color w:val="000000" w:themeColor="text1"/>
                <w:spacing w:val="-2"/>
                <w:w w:val="95"/>
                <w:sz w:val="20"/>
                <w:szCs w:val="20"/>
                <w:lang w:val="en-GB"/>
              </w:rPr>
              <w:t xml:space="preserve">Regulation (EU) No 1409/2013 of the European Central Bank on payment </w:t>
            </w:r>
            <w:proofErr w:type="gramStart"/>
            <w:r w:rsidR="002C5CD1" w:rsidRPr="002F61BB">
              <w:rPr>
                <w:rFonts w:ascii="Times New Roman" w:eastAsia="Cambria" w:hAnsi="Times New Roman" w:cs="Times New Roman"/>
                <w:color w:val="000000" w:themeColor="text1"/>
                <w:spacing w:val="-2"/>
                <w:w w:val="95"/>
                <w:sz w:val="20"/>
                <w:szCs w:val="20"/>
                <w:lang w:val="en-GB"/>
              </w:rPr>
              <w:t>statistics</w:t>
            </w:r>
            <w:r w:rsidR="002C5CD1" w:rsidRPr="00BA7E3E">
              <w:rPr>
                <w:rFonts w:ascii="Times New Roman" w:hAnsi="Times New Roman" w:cs="Times New Roman"/>
                <w:b/>
                <w:bCs/>
                <w:sz w:val="20"/>
                <w:szCs w:val="20"/>
              </w:rPr>
              <w:t> </w:t>
            </w:r>
            <w:r w:rsidR="002C5CD1">
              <w:rPr>
                <w:rFonts w:ascii="Times New Roman" w:eastAsia="Cambria" w:hAnsi="Times New Roman" w:cs="Times New Roman"/>
                <w:color w:val="000000" w:themeColor="text1"/>
                <w:spacing w:val="-2"/>
                <w:w w:val="95"/>
                <w:sz w:val="20"/>
                <w:szCs w:val="20"/>
                <w:lang w:val="en-GB"/>
              </w:rPr>
              <w:t xml:space="preserve"> (</w:t>
            </w:r>
            <w:proofErr w:type="gramEnd"/>
            <w:r>
              <w:rPr>
                <w:rFonts w:ascii="Times New Roman" w:eastAsia="Cambria" w:hAnsi="Times New Roman" w:cs="Times New Roman"/>
                <w:color w:val="000000" w:themeColor="text1"/>
                <w:spacing w:val="-2"/>
                <w:w w:val="95"/>
                <w:sz w:val="20"/>
                <w:szCs w:val="20"/>
                <w:lang w:val="en-GB"/>
              </w:rPr>
              <w:t>ECB/2013/43</w:t>
            </w:r>
            <w:r w:rsidR="002C5CD1">
              <w:rPr>
                <w:rFonts w:ascii="Times New Roman" w:eastAsia="Cambria" w:hAnsi="Times New Roman" w:cs="Times New Roman"/>
                <w:color w:val="000000" w:themeColor="text1"/>
                <w:spacing w:val="-2"/>
                <w:w w:val="95"/>
                <w:sz w:val="20"/>
                <w:szCs w:val="20"/>
                <w:lang w:val="en-GB"/>
              </w:rPr>
              <w:t>)</w:t>
            </w:r>
            <w:r>
              <w:rPr>
                <w:rFonts w:ascii="Times New Roman" w:eastAsia="Cambria" w:hAnsi="Times New Roman" w:cs="Times New Roman"/>
                <w:color w:val="000000" w:themeColor="text1"/>
                <w:spacing w:val="-2"/>
                <w:w w:val="95"/>
                <w:sz w:val="20"/>
                <w:szCs w:val="20"/>
                <w:lang w:val="en-GB"/>
              </w:rPr>
              <w:t xml:space="preserve"> Table 5a, as well as over-the-counter cash</w:t>
            </w:r>
          </w:p>
          <w:p w14:paraId="7FE1BBA0" w14:textId="0D8555C2"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withdrawals in branch offices of the reporting entity, as defined in ECB/2014/15</w:t>
            </w:r>
            <w:r w:rsidR="002B58C1">
              <w:rPr>
                <w:rStyle w:val="FootnoteReference"/>
                <w:rFonts w:eastAsia="Cambria" w:cs="Times New Roman"/>
                <w:color w:val="000000" w:themeColor="text1"/>
                <w:spacing w:val="-2"/>
                <w:w w:val="95"/>
                <w:lang w:val="en-GB"/>
              </w:rPr>
              <w:footnoteReference w:id="21"/>
            </w:r>
            <w:r w:rsidRPr="029F4E13">
              <w:rPr>
                <w:rFonts w:ascii="Times New Roman" w:eastAsia="Cambria" w:hAnsi="Times New Roman" w:cs="Times New Roman"/>
                <w:color w:val="000000" w:themeColor="text1"/>
                <w:sz w:val="20"/>
                <w:szCs w:val="20"/>
                <w:lang w:val="en-GB"/>
              </w:rPr>
              <w:t xml:space="preserve"> Table</w:t>
            </w:r>
          </w:p>
          <w:p w14:paraId="7FE1BBA1"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Securities settlement services (function ID 3.4): Value of securities transfers processed</w:t>
            </w:r>
          </w:p>
          <w:p w14:paraId="7FE1BBA2"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on behalf of clients. This includes transactions settled with a securities settlement</w:t>
            </w:r>
          </w:p>
          <w:p w14:paraId="7FE1BBA3"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system or settled internally by the reporting entities, and 'free-of-payment'</w:t>
            </w:r>
          </w:p>
          <w:p w14:paraId="7FE1BBA4"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transactions. Report only the value of transactions sent.</w:t>
            </w:r>
          </w:p>
        </w:tc>
      </w:tr>
      <w:tr w:rsidR="00CC0A94" w14:paraId="7FE1BBA9" w14:textId="77777777" w:rsidTr="6F08E959">
        <w:tc>
          <w:tcPr>
            <w:tcW w:w="1080" w:type="dxa"/>
            <w:tcBorders>
              <w:top w:val="single" w:sz="4" w:space="0" w:color="1A171C"/>
              <w:left w:val="nil"/>
              <w:bottom w:val="single" w:sz="4" w:space="0" w:color="1A171C"/>
              <w:right w:val="single" w:sz="4" w:space="0" w:color="1A171C"/>
            </w:tcBorders>
            <w:vAlign w:val="center"/>
          </w:tcPr>
          <w:p w14:paraId="7FE1BBA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of transactions of which recurrent</w:t>
            </w:r>
          </w:p>
          <w:p w14:paraId="7FE1BBA8" w14:textId="484D97FA"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Value of transactions as reported in (c0030) of which are made by recurrent payment services account.  </w:t>
            </w:r>
            <w:r w:rsidR="00725BF8">
              <w:rPr>
                <w:rFonts w:ascii="Times New Roman" w:eastAsia="Cambria" w:hAnsi="Times New Roman" w:cs="Times New Roman"/>
                <w:color w:val="000000" w:themeColor="text1"/>
                <w:spacing w:val="-2"/>
                <w:w w:val="95"/>
                <w:sz w:val="20"/>
                <w:szCs w:val="20"/>
                <w:lang w:val="en-GB"/>
              </w:rPr>
              <w:t>Recurrent</w:t>
            </w:r>
            <w:r>
              <w:rPr>
                <w:rFonts w:ascii="Times New Roman" w:eastAsia="Cambria" w:hAnsi="Times New Roman" w:cs="Times New Roman"/>
                <w:color w:val="000000" w:themeColor="text1"/>
                <w:spacing w:val="-2"/>
                <w:w w:val="95"/>
                <w:sz w:val="20"/>
                <w:szCs w:val="20"/>
                <w:lang w:val="en-GB"/>
              </w:rPr>
              <w:t xml:space="preserve"> payment services accounts are payment services accounts where the account has been debited or credited at least with 5 monthly transactions on average over the 6 months preceding the cut-off date, except for annual fees, other charges and interest payment related to the account.</w:t>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p>
        </w:tc>
      </w:tr>
      <w:tr w:rsidR="00CC0A94" w14:paraId="7FE1BBB1" w14:textId="77777777" w:rsidTr="6F08E959">
        <w:tc>
          <w:tcPr>
            <w:tcW w:w="1080" w:type="dxa"/>
            <w:tcBorders>
              <w:top w:val="single" w:sz="4" w:space="0" w:color="1A171C"/>
              <w:left w:val="nil"/>
              <w:bottom w:val="single" w:sz="4" w:space="0" w:color="1A171C"/>
              <w:right w:val="single" w:sz="4" w:space="0" w:color="1A171C"/>
            </w:tcBorders>
            <w:vAlign w:val="center"/>
          </w:tcPr>
          <w:p w14:paraId="7FE1BBA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Value of open positions</w:t>
            </w:r>
          </w:p>
          <w:p w14:paraId="7FE1BBAC" w14:textId="77777777" w:rsidR="00CC0A94" w:rsidRPr="002F61BB"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Only report for function ID 3.5 ‘CCP clearing services’: the positions (exposure) that the</w:t>
            </w:r>
          </w:p>
          <w:p w14:paraId="7FE1BBAD" w14:textId="77777777" w:rsidR="00CC0A94" w:rsidRPr="002F61BB"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CCPs of which the institution is a member take on with the institution on behalf of its</w:t>
            </w:r>
          </w:p>
          <w:p w14:paraId="7FE1BBAE" w14:textId="63CC2224" w:rsidR="00CC0A94" w:rsidRPr="002F61BB"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 xml:space="preserve">clients. </w:t>
            </w:r>
            <w:r>
              <w:rPr>
                <w:rFonts w:ascii="Times New Roman" w:eastAsia="Cambria" w:hAnsi="Times New Roman" w:cs="Times New Roman"/>
                <w:color w:val="000000" w:themeColor="text1"/>
                <w:spacing w:val="-2"/>
                <w:w w:val="95"/>
                <w:sz w:val="20"/>
                <w:szCs w:val="20"/>
                <w:lang w:val="en-GB"/>
              </w:rPr>
              <w:t>R</w:t>
            </w:r>
            <w:r w:rsidRPr="002F61BB">
              <w:rPr>
                <w:rFonts w:ascii="Times New Roman" w:eastAsia="Cambria" w:hAnsi="Times New Roman" w:cs="Times New Roman"/>
                <w:color w:val="000000" w:themeColor="text1"/>
                <w:spacing w:val="-2"/>
                <w:w w:val="95"/>
                <w:sz w:val="20"/>
                <w:szCs w:val="20"/>
                <w:lang w:val="en-GB"/>
              </w:rPr>
              <w:t>eport the average daily value of open positions related to client activity at</w:t>
            </w:r>
          </w:p>
          <w:p w14:paraId="7FE1BBAF" w14:textId="77777777" w:rsidR="00CC0A94" w:rsidRPr="002F61BB"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CCPs. If not available, you may report averages over a shorter period (e.g. a few months)</w:t>
            </w:r>
          </w:p>
          <w:p w14:paraId="7FE1BBB0" w14:textId="77777777" w:rsidR="00CC0A94" w:rsidRDefault="006C1571" w:rsidP="002F61BB">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eastAsia="Cambria" w:hAnsi="Times New Roman" w:cs="Times New Roman"/>
                <w:color w:val="000000" w:themeColor="text1"/>
                <w:spacing w:val="-2"/>
                <w:w w:val="95"/>
                <w:sz w:val="20"/>
                <w:szCs w:val="20"/>
                <w:lang w:val="en-GB"/>
              </w:rPr>
              <w:t>or open positions at end-of-year.</w:t>
            </w:r>
          </w:p>
        </w:tc>
      </w:tr>
      <w:tr w:rsidR="00CC0A94" w14:paraId="7FE1BBBA" w14:textId="77777777" w:rsidTr="6F08E959">
        <w:tc>
          <w:tcPr>
            <w:tcW w:w="1080" w:type="dxa"/>
            <w:tcBorders>
              <w:top w:val="single" w:sz="4" w:space="0" w:color="1A171C"/>
              <w:left w:val="nil"/>
              <w:bottom w:val="single" w:sz="4" w:space="0" w:color="1A171C"/>
              <w:right w:val="single" w:sz="4" w:space="0" w:color="1A171C"/>
            </w:tcBorders>
            <w:vAlign w:val="center"/>
          </w:tcPr>
          <w:p w14:paraId="7FE1BBB2"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Value of assets under custody</w:t>
            </w:r>
          </w:p>
          <w:p w14:paraId="7FE1BBB4"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Only report for function ID 3.6 ‘Custody services’: the amount of assets under custody,</w:t>
            </w:r>
          </w:p>
          <w:p w14:paraId="7FE1BBB5"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using fair value. Other measurement bases including nominal value may be used if the fair</w:t>
            </w:r>
          </w:p>
          <w:p w14:paraId="7FE1BBB6"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value is not available. In those cases where the institution provides services to entities</w:t>
            </w:r>
          </w:p>
          <w:p w14:paraId="7FE1BBB7"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such as collective investment undertakings or pension funds, the assets concerned may</w:t>
            </w:r>
          </w:p>
          <w:p w14:paraId="7FE1BBB8"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be shown at the value at which these entities report the assets in their own balance sheet.</w:t>
            </w:r>
          </w:p>
          <w:p w14:paraId="7FE1BBB9"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Reported amounts shall include accrued interest, if appropriate.</w:t>
            </w:r>
          </w:p>
        </w:tc>
      </w:tr>
      <w:tr w:rsidR="00CC0A94" w14:paraId="7FE1BBBF" w14:textId="77777777" w:rsidTr="6F08E959">
        <w:tc>
          <w:tcPr>
            <w:tcW w:w="1080" w:type="dxa"/>
            <w:tcBorders>
              <w:top w:val="single" w:sz="4" w:space="0" w:color="1A171C"/>
              <w:left w:val="nil"/>
              <w:bottom w:val="single" w:sz="4" w:space="0" w:color="1A171C"/>
              <w:right w:val="single" w:sz="4" w:space="0" w:color="1A171C"/>
            </w:tcBorders>
            <w:vAlign w:val="center"/>
          </w:tcPr>
          <w:p w14:paraId="7FE1BBB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Cross-border value</w:t>
            </w:r>
          </w:p>
          <w:p w14:paraId="7FE1BBBD"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In the case of sent transactions, to avoid double-counting, cross-border transactions are</w:t>
            </w:r>
          </w:p>
          <w:p w14:paraId="7FE1BBB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counted in the country in which the transaction originates.</w:t>
            </w:r>
          </w:p>
        </w:tc>
      </w:tr>
      <w:tr w:rsidR="00CC0A94" w14:paraId="7FE1BBC6" w14:textId="77777777" w:rsidTr="6F08E959">
        <w:tc>
          <w:tcPr>
            <w:tcW w:w="1080" w:type="dxa"/>
            <w:tcBorders>
              <w:top w:val="single" w:sz="4" w:space="0" w:color="1A171C"/>
              <w:left w:val="nil"/>
              <w:bottom w:val="single" w:sz="4" w:space="0" w:color="1A171C"/>
              <w:right w:val="single" w:sz="4" w:space="0" w:color="1A171C"/>
            </w:tcBorders>
            <w:vAlign w:val="center"/>
          </w:tcPr>
          <w:p w14:paraId="7FE1BBC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Number of transactions</w:t>
            </w:r>
          </w:p>
          <w:p w14:paraId="7FE1BBC2" w14:textId="18871174" w:rsidR="00CC0A94" w:rsidRPr="002F61BB" w:rsidRDefault="006C1571">
            <w:pPr>
              <w:pStyle w:val="TableParagraph"/>
              <w:spacing w:before="108"/>
              <w:jc w:val="both"/>
              <w:rPr>
                <w:rFonts w:ascii="Times New Roman" w:hAnsi="Times New Roman" w:cs="Times New Roman"/>
              </w:rPr>
            </w:pPr>
            <w:proofErr w:type="gramStart"/>
            <w:r w:rsidRPr="002F61BB">
              <w:rPr>
                <w:rFonts w:ascii="Times New Roman" w:hAnsi="Times New Roman" w:cs="Times New Roman"/>
              </w:rPr>
              <w:t>As a general rule</w:t>
            </w:r>
            <w:proofErr w:type="gramEnd"/>
            <w:r w:rsidRPr="002F61BB">
              <w:rPr>
                <w:rFonts w:ascii="Times New Roman" w:hAnsi="Times New Roman" w:cs="Times New Roman"/>
              </w:rPr>
              <w:t xml:space="preserve">, the average number of daily transactions over the year corresponding to the values reported under functions ID 3.1-3.4 rows </w:t>
            </w:r>
            <w:r w:rsidR="000C0E67">
              <w:rPr>
                <w:rFonts w:ascii="Times New Roman" w:hAnsi="Times New Roman" w:cs="Times New Roman"/>
              </w:rPr>
              <w:t>0160</w:t>
            </w:r>
            <w:r w:rsidRPr="002F61BB">
              <w:rPr>
                <w:rFonts w:ascii="Times New Roman" w:hAnsi="Times New Roman" w:cs="Times New Roman"/>
              </w:rPr>
              <w:t>-0</w:t>
            </w:r>
            <w:r w:rsidR="000C0E67">
              <w:rPr>
                <w:rFonts w:ascii="Times New Roman" w:hAnsi="Times New Roman" w:cs="Times New Roman"/>
              </w:rPr>
              <w:t>19</w:t>
            </w:r>
            <w:r w:rsidRPr="002F61BB">
              <w:rPr>
                <w:rFonts w:ascii="Times New Roman" w:hAnsi="Times New Roman" w:cs="Times New Roman"/>
              </w:rPr>
              <w:t xml:space="preserve">0, column 0030, shall be reported. If not available, averages over a shorter period (e.g. a few months) may be provided. Specifically </w:t>
            </w:r>
            <w:proofErr w:type="gramStart"/>
            <w:r w:rsidRPr="002F61BB">
              <w:rPr>
                <w:rFonts w:ascii="Times New Roman" w:hAnsi="Times New Roman" w:cs="Times New Roman"/>
              </w:rPr>
              <w:t>with regard to</w:t>
            </w:r>
            <w:proofErr w:type="gramEnd"/>
            <w:r w:rsidRPr="002F61BB">
              <w:rPr>
                <w:rFonts w:ascii="Times New Roman" w:hAnsi="Times New Roman" w:cs="Times New Roman"/>
              </w:rPr>
              <w:t xml:space="preserve"> the different functions, the following measures shall be used13: </w:t>
            </w:r>
          </w:p>
          <w:p w14:paraId="7FE1BBC3" w14:textId="77777777" w:rsidR="00CC0A94" w:rsidRPr="002F61BB" w:rsidRDefault="006C1571">
            <w:pPr>
              <w:pStyle w:val="TableParagraph"/>
              <w:spacing w:before="108"/>
              <w:jc w:val="both"/>
              <w:rPr>
                <w:rFonts w:ascii="Times New Roman" w:hAnsi="Times New Roman" w:cs="Times New Roman"/>
              </w:rPr>
            </w:pPr>
            <w:r w:rsidRPr="002F61BB">
              <w:rPr>
                <w:rFonts w:ascii="Times New Roman" w:hAnsi="Times New Roman" w:cs="Times New Roman"/>
              </w:rPr>
              <w:t xml:space="preserve">Payment services (ID 3.1-3.2): Number of transactions sent. Background references: EU Directive on payment services in the internal market (2015/2366) Article 4(5); ECB Regulation on payment statistics (ECB/2013/43). </w:t>
            </w:r>
          </w:p>
          <w:p w14:paraId="7FE1BBC4" w14:textId="176A1AD0" w:rsidR="00CC0A94" w:rsidRPr="002F61BB" w:rsidRDefault="006C1571">
            <w:pPr>
              <w:pStyle w:val="TableParagraph"/>
              <w:spacing w:before="108"/>
              <w:jc w:val="both"/>
              <w:rPr>
                <w:rFonts w:ascii="Times New Roman" w:hAnsi="Times New Roman" w:cs="Times New Roman"/>
              </w:rPr>
            </w:pPr>
            <w:r w:rsidRPr="002F61BB">
              <w:rPr>
                <w:rFonts w:ascii="Times New Roman" w:hAnsi="Times New Roman" w:cs="Times New Roman"/>
              </w:rPr>
              <w:t>Cash services (ID 3.3): Number of ATM transactions, as defined in ECB/20</w:t>
            </w:r>
            <w:r>
              <w:rPr>
                <w:rFonts w:ascii="Times New Roman" w:hAnsi="Times New Roman" w:cs="Times New Roman"/>
              </w:rPr>
              <w:t>21</w:t>
            </w:r>
            <w:r w:rsidRPr="002F61BB">
              <w:rPr>
                <w:rFonts w:ascii="Times New Roman" w:hAnsi="Times New Roman" w:cs="Times New Roman"/>
              </w:rPr>
              <w:t>/</w:t>
            </w:r>
            <w:r>
              <w:rPr>
                <w:rFonts w:ascii="Times New Roman" w:hAnsi="Times New Roman" w:cs="Times New Roman"/>
              </w:rPr>
              <w:t>16</w:t>
            </w:r>
            <w:r w:rsidRPr="002F61BB">
              <w:rPr>
                <w:rFonts w:ascii="Times New Roman" w:hAnsi="Times New Roman" w:cs="Times New Roman"/>
              </w:rPr>
              <w:t xml:space="preserve"> Table 5a, as well as over-the-counter cash withdrawals, as defined in ECB/2014/15 Table 4. </w:t>
            </w:r>
          </w:p>
          <w:p w14:paraId="7FE1BBC5"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rPr>
              <w:t>Securities settlement services (ID 3.4): Number of securities transfer transactions processed on behalf of clients. This includes transactions settled with a securities settlement system or settled internally by the reporting entities and 'free-of-payment' transactions.</w:t>
            </w:r>
          </w:p>
        </w:tc>
      </w:tr>
      <w:tr w:rsidR="00CC0A94" w14:paraId="7FE1BBCA" w14:textId="77777777" w:rsidTr="6F08E959">
        <w:tc>
          <w:tcPr>
            <w:tcW w:w="1080" w:type="dxa"/>
            <w:tcBorders>
              <w:top w:val="single" w:sz="4" w:space="0" w:color="1A171C"/>
              <w:left w:val="nil"/>
              <w:bottom w:val="single" w:sz="4" w:space="0" w:color="1A171C"/>
              <w:right w:val="single" w:sz="4" w:space="0" w:color="1A171C"/>
            </w:tcBorders>
            <w:vAlign w:val="center"/>
          </w:tcPr>
          <w:p w14:paraId="7FE1BBC7" w14:textId="77777777" w:rsidR="00CC0A94" w:rsidRDefault="006C1571" w:rsidP="002F61BB">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clients</w:t>
            </w:r>
          </w:p>
          <w:p w14:paraId="7FE1BBC9" w14:textId="5C934B58"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Number of (resident and </w:t>
            </w:r>
            <w:r>
              <w:rPr>
                <w:rFonts w:ascii="Times New Roman" w:hAnsi="Times New Roman" w:cs="Times New Roman"/>
                <w:color w:val="000000" w:themeColor="text1"/>
                <w:sz w:val="20"/>
                <w:szCs w:val="20"/>
                <w:lang w:val="en-GB"/>
              </w:rPr>
              <w:t>non-resident</w:t>
            </w:r>
            <w:r w:rsidRPr="002F61BB">
              <w:rPr>
                <w:rFonts w:ascii="Times New Roman" w:hAnsi="Times New Roman" w:cs="Times New Roman"/>
                <w:color w:val="000000" w:themeColor="text1"/>
                <w:sz w:val="20"/>
                <w:szCs w:val="20"/>
                <w:lang w:val="en-GB"/>
              </w:rPr>
              <w:t>) clients to which the service is provided. If one client uses a service within a subfunction more than once, the client shall be counted only once.</w:t>
            </w:r>
          </w:p>
        </w:tc>
      </w:tr>
      <w:tr w:rsidR="00CC0A94" w14:paraId="7FE1BBD6" w14:textId="77777777" w:rsidTr="6F08E959">
        <w:tc>
          <w:tcPr>
            <w:tcW w:w="1080" w:type="dxa"/>
            <w:tcBorders>
              <w:top w:val="single" w:sz="4" w:space="0" w:color="1A171C"/>
              <w:left w:val="nil"/>
              <w:bottom w:val="single" w:sz="4" w:space="0" w:color="1A171C"/>
              <w:right w:val="single" w:sz="4" w:space="0" w:color="1A171C"/>
            </w:tcBorders>
            <w:vAlign w:val="center"/>
          </w:tcPr>
          <w:p w14:paraId="7FE1BBCE"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0120 - 0190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Impact and Substitutability analyses</w:t>
            </w:r>
          </w:p>
          <w:p w14:paraId="7FE1BBD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assessment criteria for the impact on third parties shall include the following elements in </w:t>
            </w:r>
            <w:r w:rsidRPr="002F61BB">
              <w:rPr>
                <w:rFonts w:ascii="Times New Roman" w:hAnsi="Times New Roman" w:cs="Times New Roman"/>
                <w:color w:val="000000" w:themeColor="text1"/>
                <w:sz w:val="20"/>
                <w:szCs w:val="20"/>
                <w:lang w:val="en-GB"/>
              </w:rPr>
              <w:lastRenderedPageBreak/>
              <w:t>accordance with Commission Delegated Regulation (EU) 2016/778 on critical functions:</w:t>
            </w:r>
          </w:p>
          <w:p w14:paraId="7FE1BBD1"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nature and reach of the activity, the global, national or regional reach, volume and number of transactions; the number of customers and counterparties; the number of customers for which the institution is the only or principal banking partner.</w:t>
            </w:r>
          </w:p>
          <w:p w14:paraId="7FE1BBD2"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relevance of the institution, on a local, regional, national or European level, as appropriate for the market concerned. The relevance of the institution may be assessed </w:t>
            </w:r>
            <w:proofErr w:type="gramStart"/>
            <w:r w:rsidRPr="002F61BB">
              <w:rPr>
                <w:rFonts w:ascii="Times New Roman" w:eastAsiaTheme="minorHAnsi" w:hAnsi="Times New Roman"/>
                <w:color w:val="000000" w:themeColor="text1"/>
                <w:sz w:val="20"/>
                <w:szCs w:val="20"/>
              </w:rPr>
              <w:t>on the basis of</w:t>
            </w:r>
            <w:proofErr w:type="gramEnd"/>
            <w:r w:rsidRPr="002F61BB">
              <w:rPr>
                <w:rFonts w:ascii="Times New Roman" w:eastAsiaTheme="minorHAnsi" w:hAnsi="Times New Roman"/>
                <w:color w:val="000000" w:themeColor="text1"/>
                <w:sz w:val="20"/>
                <w:szCs w:val="20"/>
              </w:rPr>
              <w:t xml:space="preserve"> the market share, the interconnectedness, the complexity and cross- border activities.</w:t>
            </w:r>
          </w:p>
          <w:p w14:paraId="7FE1BBD3"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nature of the customers and stakeholders affected by the function, such as but not limited to retail customers, corporate customers, interbank customers, central clearing houses and public entities. </w:t>
            </w:r>
          </w:p>
          <w:p w14:paraId="7FE1BBD4"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potential disruption of the function on markets, infrastructures, customers and public services.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BD5"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BDA" w14:textId="77777777" w:rsidTr="6F08E959">
        <w:tc>
          <w:tcPr>
            <w:tcW w:w="1080" w:type="dxa"/>
            <w:tcBorders>
              <w:top w:val="single" w:sz="4" w:space="0" w:color="1A171C"/>
              <w:left w:val="nil"/>
              <w:bottom w:val="single" w:sz="4" w:space="0" w:color="1A171C"/>
              <w:right w:val="single" w:sz="4" w:space="0" w:color="1A171C"/>
            </w:tcBorders>
            <w:vAlign w:val="center"/>
          </w:tcPr>
          <w:p w14:paraId="7FE1BBD7"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0120 - 0140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Nature and Reach </w:t>
            </w:r>
          </w:p>
          <w:p w14:paraId="7FE1BBD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global, national or regional reach, volume and number of transactions; the number of customers and counterparties; the number of customers for which the institution is the only or principal banking partner.</w:t>
            </w:r>
          </w:p>
        </w:tc>
      </w:tr>
      <w:tr w:rsidR="00CC0A94" w14:paraId="7FE1BBE0" w14:textId="77777777" w:rsidTr="6F08E959">
        <w:tc>
          <w:tcPr>
            <w:tcW w:w="1080" w:type="dxa"/>
            <w:tcBorders>
              <w:top w:val="single" w:sz="4" w:space="0" w:color="1A171C"/>
              <w:left w:val="nil"/>
              <w:bottom w:val="single" w:sz="4" w:space="0" w:color="1A171C"/>
              <w:right w:val="single" w:sz="4" w:space="0" w:color="1A171C"/>
            </w:tcBorders>
            <w:vAlign w:val="center"/>
          </w:tcPr>
          <w:p w14:paraId="7FE1BBDB"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1</w:t>
            </w:r>
          </w:p>
          <w:p w14:paraId="0D530995"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BDD" w14:textId="31D8226E"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BDE" w14:textId="19F9153D" w:rsidR="00CC0A94" w:rsidRPr="002F61BB" w:rsidRDefault="006C1571" w:rsidP="002F61BB">
            <w:pPr>
              <w:pStyle w:val="ListParagraph"/>
              <w:numPr>
                <w:ilvl w:val="0"/>
                <w:numId w:val="300"/>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w:t>
            </w:r>
            <w:r w:rsidR="000C0E67">
              <w:rPr>
                <w:rFonts w:ascii="Times New Roman" w:eastAsia="Times New Roman" w:hAnsi="Times New Roman"/>
                <w:sz w:val="20"/>
                <w:szCs w:val="20"/>
              </w:rPr>
              <w:t xml:space="preserve">judgement of the size of the </w:t>
            </w:r>
            <w:r w:rsidR="000C0E67">
              <w:rPr>
                <w:rFonts w:ascii="Times New Roman" w:eastAsia="Times New Roman" w:hAnsi="Times New Roman"/>
                <w:b/>
                <w:bCs/>
                <w:sz w:val="20"/>
                <w:szCs w:val="20"/>
              </w:rPr>
              <w:t>value</w:t>
            </w:r>
            <w:r w:rsidR="000C0E67">
              <w:rPr>
                <w:rFonts w:ascii="Times New Roman" w:eastAsia="Times New Roman" w:hAnsi="Times New Roman"/>
                <w:sz w:val="20"/>
                <w:szCs w:val="20"/>
              </w:rPr>
              <w:t xml:space="preserve"> of transactions (c0030 for functions ID 3.1, 3.2, 3.3 and 3.4); open positions (c0050 for ID 3.5); or total assets under custody (c0060 for ID 3.6) from an </w:t>
            </w:r>
            <w:r w:rsidR="000C0E67">
              <w:rPr>
                <w:rFonts w:ascii="Times New Roman" w:eastAsia="Times New Roman" w:hAnsi="Times New Roman"/>
                <w:b/>
                <w:bCs/>
                <w:sz w:val="20"/>
                <w:szCs w:val="20"/>
              </w:rPr>
              <w:t>EU</w:t>
            </w:r>
            <w:r w:rsidR="000C0E67">
              <w:rPr>
                <w:rFonts w:ascii="Times New Roman" w:eastAsia="Times New Roman" w:hAnsi="Times New Roman"/>
                <w:sz w:val="20"/>
                <w:szCs w:val="20"/>
              </w:rPr>
              <w:t xml:space="preserve"> perspective [</w:t>
            </w:r>
            <w:r w:rsidR="000C0E67">
              <w:rPr>
                <w:rFonts w:ascii="Times New Roman" w:eastAsia="Times New Roman" w:hAnsi="Times New Roman"/>
                <w:i/>
                <w:iCs/>
                <w:sz w:val="20"/>
                <w:szCs w:val="20"/>
              </w:rPr>
              <w:t>one level higher than the relevant market]</w:t>
            </w:r>
            <w:r w:rsidR="000C0E67">
              <w:rPr>
                <w:rFonts w:ascii="Times New Roman" w:eastAsia="Times New Roman" w:hAnsi="Times New Roman"/>
                <w:sz w:val="20"/>
                <w:szCs w:val="20"/>
              </w:rPr>
              <w:t xml:space="preserve">: </w:t>
            </w:r>
          </w:p>
          <w:p w14:paraId="7FE1BBDF" w14:textId="77777777" w:rsidR="00CC0A94" w:rsidRPr="002F61BB" w:rsidRDefault="006C1571" w:rsidP="002F61BB">
            <w:pPr>
              <w:pStyle w:val="ListParagraph"/>
              <w:numPr>
                <w:ilvl w:val="0"/>
                <w:numId w:val="126"/>
              </w:numPr>
              <w:spacing w:line="276" w:lineRule="auto"/>
              <w:rPr>
                <w:rFonts w:ascii="Times New Roman" w:eastAsia="Times New Roman" w:hAnsi="Times New Roman"/>
                <w:sz w:val="20"/>
                <w:szCs w:val="20"/>
              </w:rPr>
            </w:pPr>
            <w:r w:rsidRPr="002F61BB">
              <w:rPr>
                <w:rFonts w:ascii="Times New Roman" w:eastAsia="Times New Roman" w:hAnsi="Times New Roman"/>
                <w:sz w:val="20"/>
                <w:szCs w:val="20"/>
              </w:rPr>
              <w:t xml:space="preserve">From an EU perspective, how large do you believe the value of transactions processed by your bank </w:t>
            </w:r>
            <w:r w:rsidRPr="002F61BB">
              <w:rPr>
                <w:rFonts w:ascii="Times New Roman" w:eastAsia="Times New Roman" w:hAnsi="Times New Roman"/>
                <w:i/>
                <w:iCs/>
                <w:sz w:val="20"/>
                <w:szCs w:val="20"/>
              </w:rPr>
              <w:t>or</w:t>
            </w:r>
            <w:r w:rsidRPr="002F61BB">
              <w:rPr>
                <w:rFonts w:ascii="Times New Roman" w:eastAsia="Times New Roman" w:hAnsi="Times New Roman"/>
                <w:sz w:val="20"/>
                <w:szCs w:val="20"/>
              </w:rPr>
              <w:t xml:space="preserve"> the open positions of your bank’s clients at CCPs, </w:t>
            </w:r>
            <w:r w:rsidRPr="002F61BB">
              <w:rPr>
                <w:rFonts w:ascii="Times New Roman" w:eastAsia="Times New Roman" w:hAnsi="Times New Roman"/>
                <w:i/>
                <w:iCs/>
                <w:sz w:val="20"/>
                <w:szCs w:val="20"/>
              </w:rPr>
              <w:t>or</w:t>
            </w:r>
            <w:r w:rsidRPr="002F61BB">
              <w:rPr>
                <w:rFonts w:ascii="Times New Roman" w:eastAsia="Times New Roman" w:hAnsi="Times New Roman"/>
                <w:sz w:val="20"/>
                <w:szCs w:val="20"/>
              </w:rPr>
              <w:t xml:space="preserve"> total assets your institution is holding under custody for its clients are?</w:t>
            </w:r>
          </w:p>
        </w:tc>
      </w:tr>
      <w:tr w:rsidR="00CC0A94" w14:paraId="7FE1BBE7" w14:textId="77777777" w:rsidTr="6F08E959">
        <w:tc>
          <w:tcPr>
            <w:tcW w:w="1080" w:type="dxa"/>
            <w:tcBorders>
              <w:top w:val="single" w:sz="4" w:space="0" w:color="1A171C"/>
              <w:left w:val="nil"/>
              <w:bottom w:val="single" w:sz="4" w:space="0" w:color="1A171C"/>
              <w:right w:val="single" w:sz="4" w:space="0" w:color="1A171C"/>
            </w:tcBorders>
            <w:vAlign w:val="center"/>
          </w:tcPr>
          <w:p w14:paraId="7FE1BBE1"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2</w:t>
            </w:r>
          </w:p>
          <w:p w14:paraId="7D6A05E9"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BE3" w14:textId="27BCCC99"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 </w:t>
            </w:r>
          </w:p>
          <w:p w14:paraId="7FE1BBE4" w14:textId="0FB26117" w:rsidR="00CC0A94" w:rsidRDefault="006C1571">
            <w:pPr>
              <w:pStyle w:val="ListParagraph"/>
              <w:numPr>
                <w:ilvl w:val="0"/>
                <w:numId w:val="120"/>
              </w:numPr>
              <w:spacing w:line="276" w:lineRule="auto"/>
              <w:rPr>
                <w:rFonts w:ascii="Times New Roman" w:eastAsia="Times New Roman" w:hAnsi="Times New Roman"/>
                <w:sz w:val="20"/>
                <w:szCs w:val="20"/>
              </w:rPr>
            </w:pPr>
            <w:r>
              <w:rPr>
                <w:rFonts w:ascii="Times New Roman" w:eastAsia="Times New Roman" w:hAnsi="Times New Roman"/>
                <w:sz w:val="20"/>
                <w:szCs w:val="20"/>
              </w:rPr>
              <w:lastRenderedPageBreak/>
              <w:t xml:space="preserve">Expert judgement of the size of the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transactions (c0</w:t>
            </w:r>
            <w:r w:rsidR="001B542E">
              <w:rPr>
                <w:rFonts w:ascii="Times New Roman" w:eastAsia="Times New Roman" w:hAnsi="Times New Roman"/>
                <w:sz w:val="20"/>
                <w:szCs w:val="20"/>
              </w:rPr>
              <w:t>10</w:t>
            </w:r>
            <w:r>
              <w:rPr>
                <w:rFonts w:ascii="Times New Roman" w:eastAsia="Times New Roman" w:hAnsi="Times New Roman"/>
                <w:sz w:val="20"/>
                <w:szCs w:val="20"/>
              </w:rPr>
              <w:t>0 for function ID 3.1, 3.2, 3.3 and 3.4); or number of clients (c01</w:t>
            </w:r>
            <w:r w:rsidR="001B542E">
              <w:rPr>
                <w:rFonts w:ascii="Times New Roman" w:eastAsia="Times New Roman" w:hAnsi="Times New Roman"/>
                <w:sz w:val="20"/>
                <w:szCs w:val="20"/>
              </w:rPr>
              <w:t>1</w:t>
            </w:r>
            <w:r>
              <w:rPr>
                <w:rFonts w:ascii="Times New Roman" w:eastAsia="Times New Roman" w:hAnsi="Times New Roman"/>
                <w:sz w:val="20"/>
                <w:szCs w:val="20"/>
              </w:rPr>
              <w:t xml:space="preserve">0 for ID 3.5 and 3.6)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BE5" w14:textId="77777777" w:rsidR="00CC0A94" w:rsidRDefault="006C1571">
            <w:pPr>
              <w:pStyle w:val="ListParagraph"/>
              <w:numPr>
                <w:ilvl w:val="1"/>
                <w:numId w:val="124"/>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total number of transactions</w:t>
            </w:r>
            <w:r>
              <w:rPr>
                <w:rFonts w:ascii="Times New Roman" w:eastAsia="Times New Roman" w:hAnsi="Times New Roman"/>
                <w:i/>
                <w:iCs/>
                <w:sz w:val="20"/>
                <w:szCs w:val="20"/>
              </w:rPr>
              <w:t xml:space="preserve"> or</w:t>
            </w:r>
            <w:r>
              <w:rPr>
                <w:rFonts w:ascii="Times New Roman" w:eastAsia="Times New Roman" w:hAnsi="Times New Roman"/>
                <w:sz w:val="20"/>
                <w:szCs w:val="20"/>
              </w:rPr>
              <w:t xml:space="preserve"> the estimated number of clients of your institution?</w:t>
            </w:r>
          </w:p>
          <w:p w14:paraId="7FE1BBE6" w14:textId="77777777" w:rsidR="00CC0A94" w:rsidRPr="002F61BB" w:rsidRDefault="00CC0A94" w:rsidP="002F61BB">
            <w:pPr>
              <w:spacing w:line="276" w:lineRule="auto"/>
              <w:rPr>
                <w:rFonts w:ascii="Times New Roman" w:hAnsi="Times New Roman"/>
                <w:color w:val="000000" w:themeColor="text1"/>
                <w:sz w:val="20"/>
                <w:szCs w:val="20"/>
                <w:lang w:val="en-GB"/>
              </w:rPr>
            </w:pPr>
          </w:p>
        </w:tc>
      </w:tr>
      <w:tr w:rsidR="00CC0A94" w14:paraId="7FE1BBEE" w14:textId="77777777" w:rsidTr="6F08E959">
        <w:tc>
          <w:tcPr>
            <w:tcW w:w="1080" w:type="dxa"/>
            <w:tcBorders>
              <w:top w:val="single" w:sz="4" w:space="0" w:color="1A171C"/>
              <w:left w:val="nil"/>
              <w:bottom w:val="single" w:sz="4" w:space="0" w:color="1A171C"/>
              <w:right w:val="single" w:sz="4" w:space="0" w:color="1A171C"/>
            </w:tcBorders>
            <w:vAlign w:val="center"/>
          </w:tcPr>
          <w:p w14:paraId="7FE1BBE8"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indicator</w:t>
            </w:r>
          </w:p>
          <w:p w14:paraId="7FE1BBEA"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Assess the relative importance of cross-border activities for the different economic functions.</w:t>
            </w:r>
          </w:p>
          <w:p w14:paraId="7FE1BBE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does not need to be assessed in case of reports in which the relevant market </w:t>
            </w:r>
            <w:proofErr w:type="gramStart"/>
            <w:r w:rsidRPr="002F61BB">
              <w:rPr>
                <w:rFonts w:ascii="Times New Roman" w:hAnsi="Times New Roman" w:cs="Times New Roman"/>
                <w:color w:val="000000" w:themeColor="text1"/>
                <w:sz w:val="20"/>
                <w:szCs w:val="20"/>
                <w:lang w:val="en-GB"/>
              </w:rPr>
              <w:t>is considered to be</w:t>
            </w:r>
            <w:proofErr w:type="gramEnd"/>
            <w:r w:rsidRPr="002F61BB">
              <w:rPr>
                <w:rFonts w:ascii="Times New Roman" w:hAnsi="Times New Roman" w:cs="Times New Roman"/>
                <w:color w:val="000000" w:themeColor="text1"/>
                <w:sz w:val="20"/>
                <w:szCs w:val="20"/>
                <w:lang w:val="en-GB"/>
              </w:rPr>
              <w:t xml:space="preserve"> regional. </w:t>
            </w:r>
          </w:p>
          <w:p w14:paraId="31893031" w14:textId="17F40C8B" w:rsidR="00081A0B" w:rsidRDefault="00081A0B" w:rsidP="00081A0B">
            <w:pPr>
              <w:pStyle w:val="TableParagraph"/>
              <w:spacing w:before="108"/>
              <w:jc w:val="both"/>
              <w:rPr>
                <w:rFonts w:ascii="Times New Roman" w:eastAsia="Times New Roman" w:hAnsi="Times New Roman"/>
                <w:sz w:val="20"/>
                <w:szCs w:val="20"/>
              </w:rPr>
            </w:pPr>
            <w:r w:rsidRPr="00081A0B">
              <w:rPr>
                <w:rFonts w:ascii="Times New Roman" w:eastAsia="Times New Roman" w:hAnsi="Times New Roman"/>
                <w:sz w:val="20"/>
                <w:szCs w:val="20"/>
              </w:rPr>
              <w:t>Number of EU countries where the reporting entity has a market share above 2% (expressed in value of payment, securities or cash transactions, or open client positions at CCPs, or total assets under custody).</w:t>
            </w:r>
            <w:r>
              <w:rPr>
                <w:rFonts w:ascii="Times New Roman" w:eastAsia="Times New Roman" w:hAnsi="Times New Roman"/>
                <w:sz w:val="20"/>
                <w:szCs w:val="20"/>
              </w:rPr>
              <w:t xml:space="preserve"> Report: </w:t>
            </w:r>
          </w:p>
          <w:p w14:paraId="58BCAA6E" w14:textId="090336B0" w:rsidR="00081A0B" w:rsidRDefault="00081A0B" w:rsidP="00081A0B">
            <w:pPr>
              <w:pStyle w:val="TableParagraph"/>
              <w:numPr>
                <w:ilvl w:val="0"/>
                <w:numId w:val="282"/>
              </w:numPr>
              <w:spacing w:before="108"/>
              <w:jc w:val="both"/>
              <w:rPr>
                <w:rFonts w:ascii="Times New Roman" w:eastAsia="Times New Roman" w:hAnsi="Times New Roman"/>
                <w:sz w:val="20"/>
                <w:szCs w:val="20"/>
              </w:rPr>
            </w:pPr>
            <w:r w:rsidRPr="00081A0B">
              <w:rPr>
                <w:rFonts w:ascii="Times New Roman" w:eastAsia="Times New Roman" w:hAnsi="Times New Roman"/>
                <w:sz w:val="20"/>
                <w:szCs w:val="20"/>
              </w:rPr>
              <w:t xml:space="preserve">≤1 </w:t>
            </w:r>
            <w:proofErr w:type="gramStart"/>
            <w:r w:rsidRPr="00081A0B">
              <w:rPr>
                <w:rFonts w:ascii="Times New Roman" w:eastAsia="Times New Roman" w:hAnsi="Times New Roman"/>
                <w:sz w:val="20"/>
                <w:szCs w:val="20"/>
              </w:rPr>
              <w:t>country;</w:t>
            </w:r>
            <w:proofErr w:type="gramEnd"/>
            <w:r w:rsidRPr="00081A0B">
              <w:rPr>
                <w:rFonts w:ascii="Times New Roman" w:eastAsia="Times New Roman" w:hAnsi="Times New Roman"/>
                <w:sz w:val="20"/>
                <w:szCs w:val="20"/>
              </w:rPr>
              <w:t xml:space="preserve"> </w:t>
            </w:r>
          </w:p>
          <w:p w14:paraId="5B55A7F9" w14:textId="6B3C23F3" w:rsidR="00081A0B" w:rsidRDefault="00081A0B" w:rsidP="00081A0B">
            <w:pPr>
              <w:pStyle w:val="TableParagraph"/>
              <w:numPr>
                <w:ilvl w:val="0"/>
                <w:numId w:val="282"/>
              </w:numPr>
              <w:spacing w:before="108"/>
              <w:jc w:val="both"/>
              <w:rPr>
                <w:rFonts w:ascii="Times New Roman" w:eastAsia="Times New Roman" w:hAnsi="Times New Roman"/>
                <w:sz w:val="20"/>
                <w:szCs w:val="20"/>
              </w:rPr>
            </w:pPr>
            <w:r>
              <w:rPr>
                <w:rFonts w:ascii="Times New Roman" w:eastAsia="Times New Roman" w:hAnsi="Times New Roman"/>
                <w:sz w:val="20"/>
                <w:szCs w:val="20"/>
              </w:rPr>
              <w:t>2-3 countries</w:t>
            </w:r>
          </w:p>
          <w:p w14:paraId="6A334CED" w14:textId="15F946E0" w:rsidR="00081A0B" w:rsidRPr="00081A0B" w:rsidRDefault="00081A0B">
            <w:pPr>
              <w:pStyle w:val="TableParagraph"/>
              <w:numPr>
                <w:ilvl w:val="0"/>
                <w:numId w:val="282"/>
              </w:numPr>
              <w:spacing w:before="108"/>
              <w:jc w:val="both"/>
              <w:rPr>
                <w:rFonts w:ascii="Times New Roman" w:eastAsia="Times New Roman" w:hAnsi="Times New Roman"/>
                <w:sz w:val="20"/>
                <w:szCs w:val="20"/>
              </w:rPr>
            </w:pPr>
            <w:r>
              <w:rPr>
                <w:rFonts w:ascii="Times New Roman" w:eastAsia="Times New Roman" w:hAnsi="Times New Roman"/>
                <w:sz w:val="20"/>
                <w:szCs w:val="20"/>
              </w:rPr>
              <w:t>4-5</w:t>
            </w:r>
            <w:r w:rsidRPr="00081A0B">
              <w:rPr>
                <w:rFonts w:ascii="Times New Roman" w:eastAsia="Times New Roman" w:hAnsi="Times New Roman"/>
                <w:sz w:val="20"/>
                <w:szCs w:val="20"/>
              </w:rPr>
              <w:t xml:space="preserve"> </w:t>
            </w:r>
            <w:proofErr w:type="gramStart"/>
            <w:r w:rsidRPr="00081A0B">
              <w:rPr>
                <w:rFonts w:ascii="Times New Roman" w:eastAsia="Times New Roman" w:hAnsi="Times New Roman"/>
                <w:sz w:val="20"/>
                <w:szCs w:val="20"/>
              </w:rPr>
              <w:t>countries;</w:t>
            </w:r>
            <w:proofErr w:type="gramEnd"/>
            <w:r w:rsidRPr="00081A0B">
              <w:rPr>
                <w:rFonts w:ascii="Times New Roman" w:eastAsia="Times New Roman" w:hAnsi="Times New Roman"/>
                <w:sz w:val="20"/>
                <w:szCs w:val="20"/>
              </w:rPr>
              <w:t xml:space="preserve"> </w:t>
            </w:r>
          </w:p>
          <w:p w14:paraId="4D1B0AB8" w14:textId="03F4FDF2" w:rsidR="00081A0B" w:rsidRDefault="00081A0B" w:rsidP="00081A0B">
            <w:pPr>
              <w:pStyle w:val="TableParagraph"/>
              <w:numPr>
                <w:ilvl w:val="0"/>
                <w:numId w:val="282"/>
              </w:numPr>
              <w:spacing w:before="108"/>
              <w:jc w:val="both"/>
              <w:rPr>
                <w:rFonts w:ascii="Times New Roman" w:eastAsia="Times New Roman" w:hAnsi="Times New Roman"/>
                <w:sz w:val="20"/>
                <w:szCs w:val="20"/>
              </w:rPr>
            </w:pPr>
            <w:r>
              <w:rPr>
                <w:rFonts w:ascii="Times New Roman" w:eastAsia="Times New Roman" w:hAnsi="Times New Roman"/>
                <w:sz w:val="20"/>
                <w:szCs w:val="20"/>
              </w:rPr>
              <w:t>&gt;5</w:t>
            </w:r>
            <w:r w:rsidRPr="029F4E13">
              <w:rPr>
                <w:rFonts w:ascii="Times New Roman" w:eastAsia="Times New Roman" w:hAnsi="Times New Roman"/>
                <w:sz w:val="20"/>
                <w:szCs w:val="20"/>
              </w:rPr>
              <w:t xml:space="preserve"> countries, </w:t>
            </w:r>
          </w:p>
          <w:p w14:paraId="7FE1BBED" w14:textId="6A2A41A1" w:rsidR="00CC0A94" w:rsidRPr="002F61BB" w:rsidRDefault="00081A0B">
            <w:pPr>
              <w:pStyle w:val="TableParagraph"/>
              <w:spacing w:before="108"/>
              <w:jc w:val="both"/>
              <w:rPr>
                <w:rFonts w:ascii="Times New Roman" w:hAnsi="Times New Roman" w:cs="Times New Roman"/>
                <w:color w:val="000000" w:themeColor="text1"/>
                <w:sz w:val="20"/>
                <w:szCs w:val="20"/>
                <w:lang w:val="en-GB"/>
              </w:rPr>
            </w:pPr>
            <w:r w:rsidDel="00081A0B">
              <w:rPr>
                <w:rFonts w:ascii="Times New Roman" w:eastAsia="Times New Roman" w:hAnsi="Times New Roman"/>
                <w:sz w:val="20"/>
                <w:szCs w:val="20"/>
              </w:rPr>
              <w:t xml:space="preserve"> </w:t>
            </w:r>
          </w:p>
        </w:tc>
      </w:tr>
      <w:tr w:rsidR="00CC0A94" w14:paraId="7FE1BBFD" w14:textId="77777777" w:rsidTr="6F08E959">
        <w:tc>
          <w:tcPr>
            <w:tcW w:w="1080" w:type="dxa"/>
            <w:tcBorders>
              <w:top w:val="single" w:sz="4" w:space="0" w:color="1A171C"/>
              <w:left w:val="nil"/>
              <w:bottom w:val="single" w:sz="4" w:space="0" w:color="1A171C"/>
              <w:right w:val="single" w:sz="4" w:space="0" w:color="1A171C"/>
            </w:tcBorders>
            <w:vAlign w:val="center"/>
          </w:tcPr>
          <w:p w14:paraId="7FE1BBEF"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Relevance – </w:t>
            </w:r>
          </w:p>
          <w:p w14:paraId="7FE1BBF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On a local, regional, national or European level, as appropriate for the market concerned. The relevance of the institution may be assessed </w:t>
            </w:r>
            <w:proofErr w:type="gramStart"/>
            <w:r w:rsidRPr="002F61BB">
              <w:rPr>
                <w:rFonts w:ascii="Times New Roman" w:hAnsi="Times New Roman" w:cs="Times New Roman"/>
                <w:color w:val="000000" w:themeColor="text1"/>
                <w:sz w:val="20"/>
                <w:szCs w:val="20"/>
                <w:lang w:val="en-GB"/>
              </w:rPr>
              <w:t>on the basis of</w:t>
            </w:r>
            <w:proofErr w:type="gramEnd"/>
            <w:r w:rsidRPr="002F61BB">
              <w:rPr>
                <w:rFonts w:ascii="Times New Roman" w:hAnsi="Times New Roman" w:cs="Times New Roman"/>
                <w:color w:val="000000" w:themeColor="text1"/>
                <w:sz w:val="20"/>
                <w:szCs w:val="20"/>
                <w:lang w:val="en-GB"/>
              </w:rPr>
              <w:t xml:space="preserve"> the market share, the interconnectedness, the complexity and cross- border activities.</w:t>
            </w:r>
          </w:p>
          <w:p w14:paraId="7FE1BBF2"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Share</w:t>
            </w:r>
          </w:p>
          <w:p w14:paraId="30AC503F" w14:textId="77777777" w:rsidR="00A5354C" w:rsidRDefault="00A5354C" w:rsidP="00A5354C">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reporting entity’s market share is, compared to the national or other relevant market, as indicated in the template. This assessment is expressed qualitatively as </w:t>
            </w:r>
          </w:p>
          <w:p w14:paraId="5D8F45F8" w14:textId="77777777" w:rsidR="00A5354C" w:rsidRPr="00F076D7" w:rsidRDefault="00A5354C" w:rsidP="00A5354C">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High</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large</w:t>
            </w:r>
          </w:p>
          <w:p w14:paraId="5C7C2710" w14:textId="77777777" w:rsidR="00A5354C" w:rsidRPr="00F076D7" w:rsidRDefault="00A5354C" w:rsidP="00A5354C">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Medium-High, if the market share is medium</w:t>
            </w:r>
          </w:p>
          <w:p w14:paraId="21F38734" w14:textId="77777777" w:rsidR="00A5354C" w:rsidRPr="00F076D7" w:rsidRDefault="00A5354C" w:rsidP="00A5354C">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Medium-Low</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small or </w:t>
            </w:r>
          </w:p>
          <w:p w14:paraId="16968912" w14:textId="77777777" w:rsidR="00A5354C" w:rsidRPr="00F076D7" w:rsidRDefault="00A5354C" w:rsidP="00A5354C">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Low</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negligible. </w:t>
            </w:r>
          </w:p>
          <w:p w14:paraId="7FE1BBF7" w14:textId="3931B1D9" w:rsidR="00CC0A94" w:rsidRPr="002F61BB" w:rsidRDefault="00CC0A94" w:rsidP="002F61BB">
            <w:pPr>
              <w:pStyle w:val="ListParagraph"/>
              <w:spacing w:line="276" w:lineRule="auto"/>
              <w:jc w:val="both"/>
              <w:rPr>
                <w:rFonts w:ascii="Times New Roman" w:eastAsiaTheme="minorHAnsi" w:hAnsi="Times New Roman"/>
                <w:color w:val="000000" w:themeColor="text1"/>
                <w:sz w:val="20"/>
                <w:szCs w:val="20"/>
              </w:rPr>
            </w:pPr>
          </w:p>
          <w:p w14:paraId="7FE1BBF8"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assessment </w:t>
            </w:r>
            <w:proofErr w:type="gramStart"/>
            <w:r w:rsidRPr="002F61BB">
              <w:rPr>
                <w:rFonts w:ascii="Times New Roman" w:hAnsi="Times New Roman" w:cs="Times New Roman"/>
                <w:color w:val="000000" w:themeColor="text1"/>
                <w:sz w:val="20"/>
                <w:szCs w:val="20"/>
                <w:lang w:val="en-GB"/>
              </w:rPr>
              <w:t>takes into account</w:t>
            </w:r>
            <w:proofErr w:type="gramEnd"/>
            <w:r w:rsidRPr="002F61BB">
              <w:rPr>
                <w:rFonts w:ascii="Times New Roman" w:hAnsi="Times New Roman" w:cs="Times New Roman"/>
                <w:color w:val="000000" w:themeColor="text1"/>
                <w:sz w:val="20"/>
                <w:szCs w:val="20"/>
                <w:lang w:val="en-GB"/>
              </w:rPr>
              <w:t xml:space="preserve"> the market structure of the reporting entity’s country (or other relevant market), and market shares reported in part </w:t>
            </w:r>
          </w:p>
          <w:p w14:paraId="7FE1BBF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2.Quantitative data:</w:t>
            </w:r>
          </w:p>
          <w:p w14:paraId="7FE1BBFA" w14:textId="77777777" w:rsidR="00CC0A94" w:rsidRDefault="006C1571">
            <w:pPr>
              <w:pStyle w:val="ListParagraph"/>
              <w:numPr>
                <w:ilvl w:val="0"/>
                <w:numId w:val="117"/>
              </w:numPr>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BFB"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BFC"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09" w14:textId="77777777" w:rsidTr="6F08E959">
        <w:tc>
          <w:tcPr>
            <w:tcW w:w="1080" w:type="dxa"/>
            <w:tcBorders>
              <w:top w:val="single" w:sz="4" w:space="0" w:color="1A171C"/>
              <w:left w:val="nil"/>
              <w:bottom w:val="single" w:sz="4" w:space="0" w:color="1A171C"/>
              <w:right w:val="single" w:sz="4" w:space="0" w:color="1A171C"/>
            </w:tcBorders>
            <w:vAlign w:val="center"/>
          </w:tcPr>
          <w:p w14:paraId="7FE1BBFE"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Structure – Market concentration</w:t>
            </w:r>
          </w:p>
          <w:p w14:paraId="7FE1BC0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market concentration, measured by the number of competitors currently performing </w:t>
            </w:r>
          </w:p>
          <w:p w14:paraId="7FE1BC0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similar economic functions and/or offering similar services on equal terms (i.e. to a </w:t>
            </w:r>
          </w:p>
          <w:p w14:paraId="7FE1BC02"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comparable extent and quality and at a comparable cost) that potentially take over </w:t>
            </w:r>
          </w:p>
          <w:p w14:paraId="7FE1BC0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(part of) the clients and/or business of the reporting entity within a reasonable timeframe. </w:t>
            </w:r>
          </w:p>
          <w:p w14:paraId="7FE1BC04"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lastRenderedPageBreak/>
              <w:t xml:space="preserve">This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4C2F14CB"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Pr>
                <w:rFonts w:ascii="Times New Roman" w:eastAsia="Times New Roman" w:hAnsi="Times New Roman"/>
                <w:sz w:val="20"/>
                <w:szCs w:val="20"/>
              </w:rPr>
              <w:t>&gt;</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Pr="002E6230">
              <w:rPr>
                <w:rFonts w:ascii="Times New Roman" w:eastAsia="Times New Roman" w:hAnsi="Times New Roman"/>
                <w:sz w:val="20"/>
                <w:szCs w:val="20"/>
              </w:rPr>
              <w:t>;</w:t>
            </w:r>
            <w:proofErr w:type="gramEnd"/>
            <w:r w:rsidRPr="002E6230">
              <w:rPr>
                <w:rFonts w:ascii="Times New Roman" w:eastAsia="Times New Roman" w:hAnsi="Times New Roman"/>
                <w:sz w:val="20"/>
                <w:szCs w:val="20"/>
              </w:rPr>
              <w:t xml:space="preserve"> </w:t>
            </w:r>
          </w:p>
          <w:p w14:paraId="453D853E"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1</w:t>
            </w:r>
            <w:r>
              <w:rPr>
                <w:rFonts w:ascii="Times New Roman" w:eastAsia="Times New Roman" w:hAnsi="Times New Roman"/>
                <w:sz w:val="20"/>
                <w:szCs w:val="20"/>
              </w:rPr>
              <w:t>1</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Pr="029F4E13">
              <w:rPr>
                <w:rFonts w:ascii="Times New Roman" w:eastAsia="Times New Roman" w:hAnsi="Times New Roman"/>
                <w:sz w:val="20"/>
                <w:szCs w:val="20"/>
              </w:rPr>
              <w:t>;</w:t>
            </w:r>
            <w:proofErr w:type="gramEnd"/>
            <w:r w:rsidRPr="002E6230">
              <w:rPr>
                <w:rFonts w:ascii="Times New Roman" w:eastAsia="Times New Roman" w:hAnsi="Times New Roman"/>
                <w:sz w:val="20"/>
                <w:szCs w:val="20"/>
              </w:rPr>
              <w:t xml:space="preserve"> </w:t>
            </w:r>
          </w:p>
          <w:p w14:paraId="642D6421"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5-10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3C672034" w14:textId="77777777" w:rsidR="00695A00" w:rsidRPr="00CC0A94" w:rsidRDefault="00695A00" w:rsidP="00695A00">
            <w:pPr>
              <w:pStyle w:val="ListParagraph"/>
              <w:numPr>
                <w:ilvl w:val="0"/>
                <w:numId w:val="277"/>
              </w:numPr>
              <w:jc w:val="both"/>
              <w:rPr>
                <w:rFonts w:ascii="Times New Roman" w:hAnsi="Times New Roman"/>
                <w:b/>
                <w:bCs/>
                <w:color w:val="000000" w:themeColor="text1"/>
                <w:sz w:val="20"/>
                <w:szCs w:val="20"/>
              </w:rPr>
            </w:pPr>
            <w:r w:rsidRPr="002E6230">
              <w:rPr>
                <w:rFonts w:ascii="Times New Roman" w:eastAsia="Times New Roman" w:hAnsi="Times New Roman"/>
                <w:sz w:val="20"/>
                <w:szCs w:val="20"/>
              </w:rPr>
              <w:t>&lt;5</w:t>
            </w:r>
            <w:r>
              <w:rPr>
                <w:rFonts w:ascii="Times New Roman" w:eastAsia="Times New Roman" w:hAnsi="Times New Roman"/>
                <w:sz w:val="20"/>
                <w:szCs w:val="20"/>
              </w:rPr>
              <w:t xml:space="preserve"> competitors</w:t>
            </w:r>
          </w:p>
          <w:p w14:paraId="7FE1BC08" w14:textId="3B09659F" w:rsidR="00CC0A94" w:rsidRPr="002F61BB" w:rsidRDefault="00CC0A94" w:rsidP="002F61BB">
            <w:pPr>
              <w:jc w:val="both"/>
              <w:rPr>
                <w:rFonts w:ascii="Times New Roman" w:hAnsi="Times New Roman"/>
                <w:color w:val="000000" w:themeColor="text1"/>
                <w:sz w:val="20"/>
                <w:szCs w:val="20"/>
              </w:rPr>
            </w:pPr>
          </w:p>
        </w:tc>
      </w:tr>
      <w:tr w:rsidR="00CC0A94" w14:paraId="7FE1BC19" w14:textId="77777777" w:rsidTr="6F08E959">
        <w:tc>
          <w:tcPr>
            <w:tcW w:w="1080" w:type="dxa"/>
            <w:tcBorders>
              <w:top w:val="single" w:sz="4" w:space="0" w:color="1A171C"/>
              <w:left w:val="nil"/>
              <w:bottom w:val="single" w:sz="4" w:space="0" w:color="1A171C"/>
              <w:right w:val="single" w:sz="4" w:space="0" w:color="1A171C"/>
            </w:tcBorders>
            <w:vAlign w:val="center"/>
          </w:tcPr>
          <w:p w14:paraId="7FE1BC0A"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Timing - Expected time for substitution</w:t>
            </w:r>
          </w:p>
          <w:p w14:paraId="7FE1BC0C"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 the time necessary for the economic function provided by the reporting</w:t>
            </w:r>
          </w:p>
          <w:p w14:paraId="7FE1BC0D"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entity to be absorbed by the market in </w:t>
            </w:r>
            <w:proofErr w:type="gramStart"/>
            <w:r w:rsidRPr="002F61BB">
              <w:rPr>
                <w:rFonts w:ascii="Times New Roman" w:hAnsi="Times New Roman" w:cs="Times New Roman"/>
                <w:color w:val="000000" w:themeColor="text1"/>
                <w:sz w:val="20"/>
                <w:szCs w:val="20"/>
                <w:lang w:val="en-GB"/>
              </w:rPr>
              <w:t>a crisis situation</w:t>
            </w:r>
            <w:proofErr w:type="gramEnd"/>
            <w:r w:rsidRPr="002F61BB">
              <w:rPr>
                <w:rFonts w:ascii="Times New Roman" w:hAnsi="Times New Roman" w:cs="Times New Roman"/>
                <w:color w:val="000000" w:themeColor="text1"/>
                <w:sz w:val="20"/>
                <w:szCs w:val="20"/>
                <w:lang w:val="en-GB"/>
              </w:rPr>
              <w:t xml:space="preserve">. This includes: </w:t>
            </w:r>
          </w:p>
          <w:p w14:paraId="7FE1BC0E"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expected time needed by one or several competitor(s) to accomplish the legal and technical steps to take over the function; as well as  </w:t>
            </w:r>
          </w:p>
          <w:p w14:paraId="7FE1BC0F"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time required by users of the service to move to another service provider. </w:t>
            </w:r>
          </w:p>
          <w:p w14:paraId="7FE1BC1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1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As a proxy for the former, provide an estimate of the time it would take the reporting entity to absorb in its own business (part of) the service provided by another institution, at a reasonable cost, in </w:t>
            </w:r>
            <w:proofErr w:type="gramStart"/>
            <w:r w:rsidRPr="002F61BB">
              <w:rPr>
                <w:rFonts w:ascii="Times New Roman" w:hAnsi="Times New Roman" w:cs="Times New Roman"/>
                <w:color w:val="000000" w:themeColor="text1"/>
                <w:sz w:val="20"/>
                <w:szCs w:val="20"/>
                <w:lang w:val="en-GB"/>
              </w:rPr>
              <w:t>a crisis situation</w:t>
            </w:r>
            <w:proofErr w:type="gramEnd"/>
            <w:r w:rsidRPr="002F61BB">
              <w:rPr>
                <w:rFonts w:ascii="Times New Roman" w:hAnsi="Times New Roman" w:cs="Times New Roman"/>
                <w:color w:val="000000" w:themeColor="text1"/>
                <w:sz w:val="20"/>
                <w:szCs w:val="20"/>
                <w:lang w:val="en-GB"/>
              </w:rPr>
              <w:t>. Report the estimated time to substitution in the buckets provided in the template:</w:t>
            </w:r>
          </w:p>
          <w:p w14:paraId="7FE1BC12" w14:textId="77777777" w:rsidR="00CC0A94" w:rsidRDefault="00CC0A94">
            <w:pPr>
              <w:jc w:val="both"/>
              <w:rPr>
                <w:rFonts w:ascii="Times New Roman" w:eastAsia="Times New Roman" w:hAnsi="Times New Roman" w:cs="Times New Roman"/>
                <w:sz w:val="20"/>
                <w:szCs w:val="20"/>
                <w:lang w:val="en-GB"/>
              </w:rPr>
            </w:pPr>
          </w:p>
          <w:p w14:paraId="7FE1BC13" w14:textId="77777777" w:rsidR="00CC0A94" w:rsidRDefault="006C1571">
            <w:pPr>
              <w:jc w:val="both"/>
              <w:rPr>
                <w:rFonts w:ascii="Times New Roman" w:eastAsia="Times New Roman" w:hAnsi="Times New Roman" w:cs="Times New Roman"/>
                <w:sz w:val="20"/>
                <w:szCs w:val="20"/>
                <w:lang w:val="en-GB"/>
              </w:rPr>
            </w:pPr>
            <w:bookmarkStart w:id="118" w:name="_Hlk194476081"/>
            <w:r>
              <w:rPr>
                <w:rFonts w:ascii="Times New Roman" w:eastAsia="Times New Roman" w:hAnsi="Times New Roman" w:cs="Times New Roman"/>
                <w:sz w:val="20"/>
                <w:szCs w:val="20"/>
                <w:lang w:val="en-GB"/>
              </w:rPr>
              <w:t xml:space="preserve">Buckets: </w:t>
            </w:r>
          </w:p>
          <w:p w14:paraId="7FE1BC14" w14:textId="728C4DE4" w:rsidR="00CC0A94" w:rsidRPr="00CC0A94" w:rsidRDefault="00081A0B" w:rsidP="002F61BB">
            <w:pPr>
              <w:pStyle w:val="ListParagraph"/>
              <w:numPr>
                <w:ilvl w:val="0"/>
                <w:numId w:val="284"/>
              </w:numPr>
              <w:jc w:val="both"/>
              <w:rPr>
                <w:rFonts w:ascii="Times New Roman" w:eastAsia="Times New Roman" w:hAnsi="Times New Roman"/>
                <w:sz w:val="20"/>
                <w:szCs w:val="20"/>
              </w:rPr>
            </w:pPr>
            <w:r>
              <w:rPr>
                <w:rFonts w:ascii="Times New Roman" w:eastAsia="Times New Roman" w:hAnsi="Times New Roman"/>
                <w:sz w:val="20"/>
                <w:szCs w:val="20"/>
              </w:rPr>
              <w:t>&lt;</w:t>
            </w:r>
            <w:r w:rsidR="006C1571" w:rsidRPr="002F61BB">
              <w:rPr>
                <w:rFonts w:ascii="Times New Roman" w:eastAsia="Times New Roman" w:hAnsi="Times New Roman"/>
                <w:sz w:val="20"/>
                <w:szCs w:val="20"/>
              </w:rPr>
              <w:t xml:space="preserve"> 1 </w:t>
            </w:r>
            <w:proofErr w:type="gramStart"/>
            <w:r w:rsidR="006C1571" w:rsidRPr="002F61BB">
              <w:rPr>
                <w:rFonts w:ascii="Times New Roman" w:eastAsia="Times New Roman" w:hAnsi="Times New Roman"/>
                <w:sz w:val="20"/>
                <w:szCs w:val="20"/>
              </w:rPr>
              <w:t>day;</w:t>
            </w:r>
            <w:proofErr w:type="gramEnd"/>
            <w:r w:rsidR="006C1571" w:rsidRPr="002F61BB">
              <w:rPr>
                <w:rFonts w:ascii="Times New Roman" w:eastAsia="Times New Roman" w:hAnsi="Times New Roman"/>
                <w:sz w:val="20"/>
                <w:szCs w:val="20"/>
              </w:rPr>
              <w:t xml:space="preserve"> </w:t>
            </w:r>
          </w:p>
          <w:p w14:paraId="7FE1BC15" w14:textId="15883A0D" w:rsidR="00CC0A94" w:rsidRPr="00CC0A94" w:rsidRDefault="006C1571" w:rsidP="002F61BB">
            <w:pPr>
              <w:pStyle w:val="ListParagraph"/>
              <w:numPr>
                <w:ilvl w:val="0"/>
                <w:numId w:val="284"/>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1-2 </w:t>
            </w:r>
            <w:proofErr w:type="gramStart"/>
            <w:r w:rsidRPr="002F61BB">
              <w:rPr>
                <w:rFonts w:ascii="Times New Roman" w:eastAsia="Times New Roman" w:hAnsi="Times New Roman"/>
                <w:sz w:val="20"/>
                <w:szCs w:val="20"/>
              </w:rPr>
              <w:t>days;</w:t>
            </w:r>
            <w:proofErr w:type="gramEnd"/>
            <w:r w:rsidRPr="002F61BB">
              <w:rPr>
                <w:rFonts w:ascii="Times New Roman" w:eastAsia="Times New Roman" w:hAnsi="Times New Roman"/>
                <w:sz w:val="20"/>
                <w:szCs w:val="20"/>
              </w:rPr>
              <w:t xml:space="preserve"> </w:t>
            </w:r>
          </w:p>
          <w:p w14:paraId="7FE1BC16" w14:textId="0B950876" w:rsidR="00CC0A94" w:rsidRPr="00CC0A94" w:rsidRDefault="00081A0B" w:rsidP="002F61BB">
            <w:pPr>
              <w:pStyle w:val="ListParagraph"/>
              <w:numPr>
                <w:ilvl w:val="0"/>
                <w:numId w:val="284"/>
              </w:numPr>
              <w:jc w:val="both"/>
              <w:rPr>
                <w:rFonts w:ascii="Times New Roman" w:eastAsia="Times New Roman" w:hAnsi="Times New Roman"/>
                <w:sz w:val="20"/>
                <w:szCs w:val="20"/>
              </w:rPr>
            </w:pPr>
            <w:r>
              <w:rPr>
                <w:rFonts w:ascii="Times New Roman" w:eastAsia="Times New Roman" w:hAnsi="Times New Roman"/>
                <w:sz w:val="20"/>
                <w:szCs w:val="20"/>
              </w:rPr>
              <w:t>&gt;</w:t>
            </w:r>
            <w:r w:rsidR="006C1571" w:rsidRPr="002F61BB">
              <w:rPr>
                <w:rFonts w:ascii="Times New Roman" w:eastAsia="Times New Roman" w:hAnsi="Times New Roman"/>
                <w:sz w:val="20"/>
                <w:szCs w:val="20"/>
              </w:rPr>
              <w:t>2 days</w:t>
            </w:r>
            <w:r>
              <w:rPr>
                <w:rFonts w:ascii="Times New Roman" w:eastAsia="Times New Roman" w:hAnsi="Times New Roman"/>
                <w:sz w:val="20"/>
                <w:szCs w:val="20"/>
              </w:rPr>
              <w:t xml:space="preserve"> </w:t>
            </w:r>
            <w:r w:rsidRPr="029F4E13">
              <w:rPr>
                <w:rFonts w:ascii="Times New Roman" w:eastAsia="Times New Roman" w:hAnsi="Times New Roman"/>
                <w:sz w:val="20"/>
                <w:szCs w:val="20"/>
              </w:rPr>
              <w:t>≤</w:t>
            </w:r>
            <w:r w:rsidR="006C1571" w:rsidRPr="002F61BB">
              <w:rPr>
                <w:rFonts w:ascii="Times New Roman" w:eastAsia="Times New Roman" w:hAnsi="Times New Roman"/>
                <w:sz w:val="20"/>
                <w:szCs w:val="20"/>
              </w:rPr>
              <w:t xml:space="preserve">1 week, </w:t>
            </w:r>
          </w:p>
          <w:p w14:paraId="7FE1BC17" w14:textId="0973D87D" w:rsidR="00CC0A94" w:rsidRPr="00CC0A94" w:rsidRDefault="006C1571" w:rsidP="002F61BB">
            <w:pPr>
              <w:pStyle w:val="ListParagraph"/>
              <w:numPr>
                <w:ilvl w:val="0"/>
                <w:numId w:val="284"/>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&gt;1 week </w:t>
            </w:r>
          </w:p>
          <w:bookmarkEnd w:id="118"/>
          <w:p w14:paraId="7FE1BC18"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1C" w14:textId="77777777" w:rsidTr="6F08E959">
        <w:tc>
          <w:tcPr>
            <w:tcW w:w="1080" w:type="dxa"/>
            <w:tcBorders>
              <w:top w:val="single" w:sz="4" w:space="0" w:color="1A171C"/>
              <w:left w:val="nil"/>
              <w:bottom w:val="single" w:sz="4" w:space="0" w:color="1A171C"/>
              <w:right w:val="single" w:sz="4" w:space="0" w:color="1A171C"/>
            </w:tcBorders>
            <w:vAlign w:val="center"/>
          </w:tcPr>
          <w:p w14:paraId="7FE1BC1A"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Ability for substitution</w:t>
            </w:r>
          </w:p>
        </w:tc>
      </w:tr>
      <w:tr w:rsidR="00CC0A94" w14:paraId="7FE1BC26" w14:textId="77777777" w:rsidTr="6F08E959">
        <w:tc>
          <w:tcPr>
            <w:tcW w:w="1080" w:type="dxa"/>
            <w:tcBorders>
              <w:top w:val="single" w:sz="4" w:space="0" w:color="1A171C"/>
              <w:left w:val="nil"/>
              <w:bottom w:val="single" w:sz="4" w:space="0" w:color="1A171C"/>
              <w:right w:val="single" w:sz="4" w:space="0" w:color="1A171C"/>
            </w:tcBorders>
            <w:vAlign w:val="center"/>
          </w:tcPr>
          <w:p w14:paraId="7FE1BC1D"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Legal barriers to entry or expansion</w:t>
            </w:r>
          </w:p>
          <w:p w14:paraId="7FE1BC1F"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2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w:t>
            </w:r>
            <w:r>
              <w:rPr>
                <w:rFonts w:ascii="Times New Roman" w:hAnsi="Times New Roman" w:cs="Times New Roman"/>
                <w:color w:val="000000" w:themeColor="text1"/>
                <w:sz w:val="20"/>
                <w:szCs w:val="20"/>
                <w:lang w:val="en-GB"/>
              </w:rPr>
              <w:t>are</w:t>
            </w:r>
            <w:r w:rsidRPr="002F61BB">
              <w:rPr>
                <w:rFonts w:ascii="Times New Roman" w:hAnsi="Times New Roman" w:cs="Times New Roman"/>
                <w:color w:val="000000" w:themeColor="text1"/>
                <w:sz w:val="20"/>
                <w:szCs w:val="20"/>
                <w:lang w:val="en-GB"/>
              </w:rPr>
              <w:t xml:space="preserve"> not </w:t>
            </w:r>
            <w:r>
              <w:rPr>
                <w:rFonts w:ascii="Times New Roman" w:hAnsi="Times New Roman" w:cs="Times New Roman"/>
                <w:color w:val="000000" w:themeColor="text1"/>
                <w:sz w:val="20"/>
                <w:szCs w:val="20"/>
                <w:lang w:val="en-GB"/>
              </w:rPr>
              <w:t>to</w:t>
            </w:r>
            <w:r w:rsidRPr="002F61BB">
              <w:rPr>
                <w:rFonts w:ascii="Times New Roman" w:hAnsi="Times New Roman" w:cs="Times New Roman"/>
                <w:color w:val="000000" w:themeColor="text1"/>
                <w:sz w:val="20"/>
                <w:szCs w:val="20"/>
                <w:lang w:val="en-GB"/>
              </w:rPr>
              <w:t xml:space="preserve"> be considered as unsurmountable barriers in the presence of alternative providers. This indicator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7FE1BC21" w14:textId="474C67C3"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barriers, </w:t>
            </w:r>
          </w:p>
          <w:p w14:paraId="7FE1BC22" w14:textId="2597009C"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barriers, </w:t>
            </w:r>
          </w:p>
          <w:p w14:paraId="7FE1BC23" w14:textId="78601E46"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barriers, </w:t>
            </w:r>
          </w:p>
          <w:p w14:paraId="7FE1BC25" w14:textId="12D666ED" w:rsidR="00CC0A94" w:rsidRPr="002F61BB" w:rsidRDefault="006C1571" w:rsidP="002F61BB">
            <w:pPr>
              <w:pStyle w:val="ListParagraph"/>
              <w:numPr>
                <w:ilvl w:val="0"/>
                <w:numId w:val="275"/>
              </w:numPr>
              <w:jc w:val="both"/>
              <w:rPr>
                <w:rFonts w:ascii="Times New Roman" w:hAnsi="Times New Roman"/>
                <w:color w:val="000000" w:themeColor="text1"/>
                <w:sz w:val="20"/>
                <w:szCs w:val="20"/>
              </w:rPr>
            </w:pPr>
            <w:r w:rsidRPr="002F61BB">
              <w:rPr>
                <w:rFonts w:ascii="Times New Roman" w:hAnsi="Times New Roman"/>
                <w:color w:val="000000" w:themeColor="text1"/>
                <w:sz w:val="20"/>
                <w:szCs w:val="20"/>
              </w:rPr>
              <w:t>critical (difficult to surmount) barriers.</w:t>
            </w:r>
          </w:p>
        </w:tc>
      </w:tr>
      <w:tr w:rsidR="00CC0A94" w14:paraId="7FE1BC31" w14:textId="77777777" w:rsidTr="6F08E959">
        <w:tc>
          <w:tcPr>
            <w:tcW w:w="1080" w:type="dxa"/>
            <w:tcBorders>
              <w:top w:val="single" w:sz="4" w:space="0" w:color="1A171C"/>
              <w:left w:val="nil"/>
              <w:bottom w:val="single" w:sz="4" w:space="0" w:color="1A171C"/>
              <w:right w:val="single" w:sz="4" w:space="0" w:color="1A171C"/>
            </w:tcBorders>
            <w:vAlign w:val="center"/>
          </w:tcPr>
          <w:p w14:paraId="7FE1BC27"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Operational requirements to entry or expansion</w:t>
            </w:r>
          </w:p>
          <w:p w14:paraId="7FE1BC29"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2A" w14:textId="46374DD1"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in terms for example of capital requirements. </w:t>
            </w:r>
          </w:p>
          <w:p w14:paraId="7FE1BC2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indicator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7FE1BC2C" w14:textId="59F4E6B2"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proofErr w:type="gramStart"/>
            <w:r w:rsidRPr="002F61BB">
              <w:rPr>
                <w:rFonts w:ascii="Times New Roman" w:eastAsiaTheme="minorEastAsia" w:hAnsi="Times New Roman"/>
                <w:color w:val="000000" w:themeColor="text1"/>
                <w:sz w:val="20"/>
                <w:szCs w:val="20"/>
              </w:rPr>
              <w:t>no  major</w:t>
            </w:r>
            <w:proofErr w:type="gramEnd"/>
            <w:r w:rsidRPr="002F61BB">
              <w:rPr>
                <w:rFonts w:ascii="Times New Roman" w:eastAsiaTheme="minorEastAsia" w:hAnsi="Times New Roman"/>
                <w:color w:val="000000" w:themeColor="text1"/>
                <w:sz w:val="20"/>
                <w:szCs w:val="20"/>
              </w:rPr>
              <w:t xml:space="preserve"> requirements, </w:t>
            </w:r>
          </w:p>
          <w:p w14:paraId="7FE1BC2D" w14:textId="17A47EF8"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requirements, </w:t>
            </w:r>
          </w:p>
          <w:p w14:paraId="7FE1BC2E" w14:textId="6B2B459E"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requirements, </w:t>
            </w:r>
          </w:p>
          <w:p w14:paraId="7FE1BC2F" w14:textId="79851C7C"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critical (difficult to surmount) requirements.</w:t>
            </w:r>
          </w:p>
          <w:p w14:paraId="7FE1BC3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3C" w14:textId="77777777" w:rsidTr="6F08E959">
        <w:tc>
          <w:tcPr>
            <w:tcW w:w="1080" w:type="dxa"/>
            <w:tcBorders>
              <w:top w:val="single" w:sz="4" w:space="0" w:color="1A171C"/>
              <w:left w:val="nil"/>
              <w:bottom w:val="single" w:sz="4" w:space="0" w:color="1A171C"/>
              <w:right w:val="single" w:sz="4" w:space="0" w:color="1A171C"/>
            </w:tcBorders>
            <w:vAlign w:val="center"/>
          </w:tcPr>
          <w:p w14:paraId="7FE1BC32" w14:textId="52B11BD9"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0200 - 02</w:t>
            </w:r>
            <w:r w:rsidR="001B542E">
              <w:rPr>
                <w:rFonts w:ascii="Times New Roman" w:eastAsia="Cambria" w:hAnsi="Times New Roman" w:cs="Times New Roman"/>
                <w:color w:val="000000" w:themeColor="text1"/>
                <w:spacing w:val="-2"/>
                <w:w w:val="95"/>
                <w:sz w:val="20"/>
                <w:szCs w:val="20"/>
                <w:lang w:val="en-GB"/>
              </w:rPr>
              <w:t>1</w:t>
            </w:r>
            <w:r>
              <w:rPr>
                <w:rFonts w:ascii="Times New Roman" w:eastAsia="Cambria" w:hAnsi="Times New Roman" w:cs="Times New Roman"/>
                <w:color w:val="000000" w:themeColor="text1"/>
                <w:spacing w:val="-2"/>
                <w:w w:val="95"/>
                <w:sz w:val="20"/>
                <w:szCs w:val="20"/>
                <w:lang w:val="en-GB"/>
              </w:rPr>
              <w:t>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CC0A94" w:rsidRDefault="006C1571" w:rsidP="002F61BB">
            <w:pPr>
              <w:pStyle w:val="TableParagraph"/>
              <w:spacing w:before="108"/>
              <w:jc w:val="both"/>
              <w:rPr>
                <w:rFonts w:cs="Times New Roman"/>
                <w:b/>
                <w:bCs/>
                <w:lang w:val="en-GB"/>
              </w:rPr>
            </w:pPr>
            <w:r>
              <w:rPr>
                <w:rFonts w:ascii="Times New Roman" w:hAnsi="Times New Roman" w:cs="Times New Roman"/>
                <w:b/>
                <w:bCs/>
                <w:color w:val="000000" w:themeColor="text1"/>
                <w:sz w:val="20"/>
                <w:szCs w:val="20"/>
                <w:lang w:val="en-GB"/>
              </w:rPr>
              <w:t>Onboarding capacity</w:t>
            </w:r>
          </w:p>
        </w:tc>
      </w:tr>
      <w:tr w:rsidR="002415F5" w14:paraId="0BE6FD10" w14:textId="77777777" w:rsidTr="6F08E959">
        <w:tc>
          <w:tcPr>
            <w:tcW w:w="1080" w:type="dxa"/>
            <w:tcBorders>
              <w:top w:val="single" w:sz="4" w:space="0" w:color="1A171C"/>
              <w:left w:val="nil"/>
              <w:bottom w:val="single" w:sz="4" w:space="0" w:color="1A171C"/>
              <w:right w:val="single" w:sz="4" w:space="0" w:color="1A171C"/>
            </w:tcBorders>
            <w:vAlign w:val="center"/>
          </w:tcPr>
          <w:p w14:paraId="1AAF59C4" w14:textId="3EB76F52" w:rsidR="002415F5" w:rsidRDefault="002415F5">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2415F5" w:rsidRDefault="002415F5" w:rsidP="002415F5">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Onboarding capacity - </w:t>
            </w:r>
            <w:r w:rsidRPr="002415F5">
              <w:rPr>
                <w:rFonts w:ascii="Times New Roman" w:hAnsi="Times New Roman" w:cs="Times New Roman"/>
                <w:b/>
                <w:bCs/>
                <w:color w:val="000000" w:themeColor="text1"/>
                <w:sz w:val="20"/>
                <w:szCs w:val="20"/>
                <w:lang w:val="en-GB"/>
              </w:rPr>
              <w:t xml:space="preserve">Number of applications from new </w:t>
            </w:r>
            <w:proofErr w:type="spellStart"/>
            <w:r w:rsidRPr="002415F5">
              <w:rPr>
                <w:rFonts w:ascii="Times New Roman" w:hAnsi="Times New Roman" w:cs="Times New Roman"/>
                <w:b/>
                <w:bCs/>
                <w:color w:val="000000" w:themeColor="text1"/>
                <w:sz w:val="20"/>
                <w:szCs w:val="20"/>
                <w:lang w:val="en-GB"/>
              </w:rPr>
              <w:t>customersover</w:t>
            </w:r>
            <w:proofErr w:type="spellEnd"/>
            <w:r w:rsidRPr="002415F5">
              <w:rPr>
                <w:rFonts w:ascii="Times New Roman" w:hAnsi="Times New Roman" w:cs="Times New Roman"/>
                <w:b/>
                <w:bCs/>
                <w:color w:val="000000" w:themeColor="text1"/>
                <w:sz w:val="20"/>
                <w:szCs w:val="20"/>
                <w:lang w:val="en-GB"/>
              </w:rPr>
              <w:t xml:space="preserve"> 1 working day (Number)</w:t>
            </w:r>
          </w:p>
          <w:p w14:paraId="2BBAFCB8" w14:textId="77777777" w:rsidR="002415F5" w:rsidRPr="003B5733" w:rsidRDefault="002415F5" w:rsidP="002415F5">
            <w:pPr>
              <w:pStyle w:val="TableParagraph"/>
              <w:spacing w:before="108"/>
              <w:rPr>
                <w:rFonts w:ascii="Times New Roman" w:hAnsi="Times New Roman" w:cs="Times New Roman"/>
                <w:color w:val="000000" w:themeColor="text1"/>
                <w:sz w:val="20"/>
                <w:szCs w:val="20"/>
                <w:lang w:val="en-GB"/>
              </w:rPr>
            </w:pPr>
            <w:r w:rsidRPr="003B5733">
              <w:rPr>
                <w:rFonts w:ascii="Times New Roman" w:hAnsi="Times New Roman" w:cs="Times New Roman"/>
                <w:color w:val="000000" w:themeColor="text1"/>
                <w:sz w:val="20"/>
                <w:szCs w:val="20"/>
                <w:lang w:val="en-GB"/>
              </w:rPr>
              <w:t xml:space="preserve">Institutions are requested to provide the </w:t>
            </w:r>
            <w:r>
              <w:rPr>
                <w:rFonts w:ascii="Times New Roman" w:hAnsi="Times New Roman" w:cs="Times New Roman"/>
                <w:color w:val="000000" w:themeColor="text1"/>
                <w:sz w:val="20"/>
                <w:szCs w:val="20"/>
                <w:lang w:val="en-GB"/>
              </w:rPr>
              <w:t xml:space="preserve">highest </w:t>
            </w:r>
            <w:r w:rsidRPr="003B5733">
              <w:rPr>
                <w:rFonts w:ascii="Times New Roman" w:hAnsi="Times New Roman" w:cs="Times New Roman"/>
                <w:color w:val="000000" w:themeColor="text1"/>
                <w:sz w:val="20"/>
                <w:szCs w:val="20"/>
                <w:lang w:val="en-GB"/>
              </w:rPr>
              <w:t>number of applications where the institution has validated the request for a bank service.</w:t>
            </w:r>
          </w:p>
          <w:p w14:paraId="3F7DDDEF" w14:textId="77777777" w:rsidR="002415F5" w:rsidRDefault="002415F5" w:rsidP="002415F5">
            <w:pPr>
              <w:pStyle w:val="TableParagraph"/>
              <w:spacing w:before="108"/>
              <w:jc w:val="both"/>
              <w:rPr>
                <w:rFonts w:ascii="Times New Roman" w:hAnsi="Times New Roman" w:cs="Times New Roman"/>
                <w:color w:val="000000" w:themeColor="text1"/>
                <w:sz w:val="20"/>
                <w:szCs w:val="20"/>
                <w:lang w:val="en-GB"/>
              </w:rPr>
            </w:pPr>
          </w:p>
          <w:p w14:paraId="5AB7F16A" w14:textId="77777777" w:rsidR="002415F5" w:rsidRPr="003B5733" w:rsidRDefault="002415F5" w:rsidP="002415F5">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 xml:space="preserve">The onboarding capacity for Payment services to MFIs, Payment services to non-MFIs and Cash services in terms of number of new accounts is expressed over 1 working day. </w:t>
            </w:r>
          </w:p>
          <w:p w14:paraId="10BCF6A2" w14:textId="77777777" w:rsidR="002415F5" w:rsidRDefault="002415F5" w:rsidP="002415F5">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 xml:space="preserve">The institutions are expected to </w:t>
            </w:r>
            <w:proofErr w:type="gramStart"/>
            <w:r>
              <w:rPr>
                <w:rFonts w:ascii="Times New Roman" w:hAnsi="Times New Roman" w:cs="Times New Roman"/>
                <w:color w:val="000000" w:themeColor="text1"/>
                <w:sz w:val="20"/>
                <w:szCs w:val="20"/>
                <w:lang w:val="en-GB"/>
              </w:rPr>
              <w:t>take into account</w:t>
            </w:r>
            <w:proofErr w:type="gramEnd"/>
            <w:r>
              <w:rPr>
                <w:rFonts w:ascii="Times New Roman" w:hAnsi="Times New Roman" w:cs="Times New Roman"/>
                <w:color w:val="000000" w:themeColor="text1"/>
                <w:sz w:val="20"/>
                <w:szCs w:val="20"/>
                <w:lang w:val="en-GB"/>
              </w:rPr>
              <w:t xml:space="preserve"> the timeframe to onboarding of new customers since a new customer has applied for a bank service.</w:t>
            </w:r>
          </w:p>
          <w:p w14:paraId="54138520" w14:textId="77777777" w:rsidR="002415F5" w:rsidRDefault="002415F5">
            <w:pPr>
              <w:pStyle w:val="TableParagraph"/>
              <w:spacing w:before="108"/>
              <w:rPr>
                <w:rFonts w:ascii="Times New Roman" w:hAnsi="Times New Roman" w:cs="Times New Roman"/>
                <w:b/>
                <w:bCs/>
                <w:color w:val="000000" w:themeColor="text1"/>
                <w:sz w:val="20"/>
                <w:szCs w:val="20"/>
                <w:lang w:val="en-GB"/>
              </w:rPr>
            </w:pPr>
          </w:p>
        </w:tc>
      </w:tr>
      <w:tr w:rsidR="002415F5" w14:paraId="2D232CA8" w14:textId="77777777" w:rsidTr="6F08E959">
        <w:tc>
          <w:tcPr>
            <w:tcW w:w="1080" w:type="dxa"/>
            <w:tcBorders>
              <w:top w:val="single" w:sz="4" w:space="0" w:color="1A171C"/>
              <w:left w:val="nil"/>
              <w:bottom w:val="single" w:sz="4" w:space="0" w:color="1A171C"/>
              <w:right w:val="single" w:sz="4" w:space="0" w:color="1A171C"/>
            </w:tcBorders>
            <w:vAlign w:val="center"/>
          </w:tcPr>
          <w:p w14:paraId="2162C590" w14:textId="3E29DAE4" w:rsidR="002415F5" w:rsidRDefault="002415F5">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2415F5" w:rsidRDefault="002415F5">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Onboarding capacity - </w:t>
            </w:r>
            <w:r w:rsidRPr="002415F5">
              <w:rPr>
                <w:rFonts w:ascii="Times New Roman" w:hAnsi="Times New Roman" w:cs="Times New Roman"/>
                <w:b/>
                <w:bCs/>
                <w:color w:val="000000" w:themeColor="text1"/>
                <w:sz w:val="20"/>
                <w:szCs w:val="20"/>
                <w:lang w:val="en-GB"/>
              </w:rPr>
              <w:t>Number of applications from new customers</w:t>
            </w:r>
            <w:r>
              <w:rPr>
                <w:rFonts w:ascii="Times New Roman" w:hAnsi="Times New Roman" w:cs="Times New Roman"/>
                <w:b/>
                <w:bCs/>
                <w:color w:val="000000" w:themeColor="text1"/>
                <w:sz w:val="20"/>
                <w:szCs w:val="20"/>
                <w:lang w:val="en-GB"/>
              </w:rPr>
              <w:t xml:space="preserve"> </w:t>
            </w:r>
            <w:r w:rsidRPr="002415F5">
              <w:rPr>
                <w:rFonts w:ascii="Times New Roman" w:hAnsi="Times New Roman" w:cs="Times New Roman"/>
                <w:b/>
                <w:bCs/>
                <w:color w:val="000000" w:themeColor="text1"/>
                <w:sz w:val="20"/>
                <w:szCs w:val="20"/>
                <w:lang w:val="en-GB"/>
              </w:rPr>
              <w:t>over 7 working days (Number)</w:t>
            </w:r>
          </w:p>
          <w:p w14:paraId="6C6045B8" w14:textId="77777777" w:rsidR="002415F5" w:rsidRPr="003B5733" w:rsidRDefault="002415F5" w:rsidP="002415F5">
            <w:pPr>
              <w:pStyle w:val="TableParagraph"/>
              <w:spacing w:before="108"/>
              <w:rPr>
                <w:rFonts w:ascii="Times New Roman" w:hAnsi="Times New Roman" w:cs="Times New Roman"/>
                <w:color w:val="000000" w:themeColor="text1"/>
                <w:sz w:val="20"/>
                <w:szCs w:val="20"/>
                <w:lang w:val="en-GB"/>
              </w:rPr>
            </w:pPr>
            <w:r w:rsidRPr="003B5733">
              <w:rPr>
                <w:rFonts w:ascii="Times New Roman" w:hAnsi="Times New Roman" w:cs="Times New Roman"/>
                <w:color w:val="000000" w:themeColor="text1"/>
                <w:sz w:val="20"/>
                <w:szCs w:val="20"/>
                <w:lang w:val="en-GB"/>
              </w:rPr>
              <w:t xml:space="preserve">Institutions are requested to provide the </w:t>
            </w:r>
            <w:r>
              <w:rPr>
                <w:rFonts w:ascii="Times New Roman" w:hAnsi="Times New Roman" w:cs="Times New Roman"/>
                <w:color w:val="000000" w:themeColor="text1"/>
                <w:sz w:val="20"/>
                <w:szCs w:val="20"/>
                <w:lang w:val="en-GB"/>
              </w:rPr>
              <w:t xml:space="preserve">highest </w:t>
            </w:r>
            <w:r w:rsidRPr="003B5733">
              <w:rPr>
                <w:rFonts w:ascii="Times New Roman" w:hAnsi="Times New Roman" w:cs="Times New Roman"/>
                <w:color w:val="000000" w:themeColor="text1"/>
                <w:sz w:val="20"/>
                <w:szCs w:val="20"/>
                <w:lang w:val="en-GB"/>
              </w:rPr>
              <w:t>number of applications where the institution has validated the request for a bank service.</w:t>
            </w:r>
          </w:p>
          <w:p w14:paraId="59CBAFC9" w14:textId="77777777" w:rsidR="002415F5" w:rsidRDefault="002415F5" w:rsidP="002415F5">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onboarding capacity for Securities Settlement services, CCP clearing services, Custody services in terms of number of new accounts is expressed over 7 working days.</w:t>
            </w:r>
          </w:p>
          <w:p w14:paraId="7623A7E1" w14:textId="77777777" w:rsidR="002415F5" w:rsidRDefault="002415F5" w:rsidP="002415F5">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 xml:space="preserve">The institutions are expected to </w:t>
            </w:r>
            <w:proofErr w:type="gramStart"/>
            <w:r>
              <w:rPr>
                <w:rFonts w:ascii="Times New Roman" w:hAnsi="Times New Roman" w:cs="Times New Roman"/>
                <w:color w:val="000000" w:themeColor="text1"/>
                <w:sz w:val="20"/>
                <w:szCs w:val="20"/>
                <w:lang w:val="en-GB"/>
              </w:rPr>
              <w:t>take into account</w:t>
            </w:r>
            <w:proofErr w:type="gramEnd"/>
            <w:r>
              <w:rPr>
                <w:rFonts w:ascii="Times New Roman" w:hAnsi="Times New Roman" w:cs="Times New Roman"/>
                <w:color w:val="000000" w:themeColor="text1"/>
                <w:sz w:val="20"/>
                <w:szCs w:val="20"/>
                <w:lang w:val="en-GB"/>
              </w:rPr>
              <w:t xml:space="preserve"> the timeframe to onboarding of new customers since a new customer has applied for a bank service.</w:t>
            </w:r>
          </w:p>
          <w:p w14:paraId="6541ECB8" w14:textId="7269F4A9" w:rsidR="002415F5" w:rsidRDefault="002415F5">
            <w:pPr>
              <w:pStyle w:val="TableParagraph"/>
              <w:spacing w:before="108"/>
              <w:rPr>
                <w:rFonts w:ascii="Times New Roman" w:hAnsi="Times New Roman" w:cs="Times New Roman"/>
                <w:b/>
                <w:bCs/>
                <w:color w:val="000000" w:themeColor="text1"/>
                <w:sz w:val="20"/>
                <w:szCs w:val="20"/>
                <w:lang w:val="en-GB"/>
              </w:rPr>
            </w:pPr>
          </w:p>
        </w:tc>
      </w:tr>
      <w:tr w:rsidR="00CC0A94" w14:paraId="7FE1BC3F" w14:textId="77777777" w:rsidTr="6F08E959">
        <w:tc>
          <w:tcPr>
            <w:tcW w:w="1080" w:type="dxa"/>
            <w:tcBorders>
              <w:top w:val="single" w:sz="4" w:space="0" w:color="1A171C"/>
              <w:left w:val="nil"/>
              <w:bottom w:val="single" w:sz="4" w:space="0" w:color="1A171C"/>
              <w:right w:val="single" w:sz="4" w:space="0" w:color="1A171C"/>
            </w:tcBorders>
            <w:vAlign w:val="center"/>
          </w:tcPr>
          <w:p w14:paraId="7FE1BC3D"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0230 – 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Criticality Assessment</w:t>
            </w:r>
          </w:p>
        </w:tc>
      </w:tr>
      <w:tr w:rsidR="00CC0A94" w14:paraId="7FE1BC45" w14:textId="77777777" w:rsidTr="6F08E959">
        <w:tc>
          <w:tcPr>
            <w:tcW w:w="1080" w:type="dxa"/>
            <w:tcBorders>
              <w:top w:val="single" w:sz="4" w:space="0" w:color="1A171C"/>
              <w:left w:val="nil"/>
              <w:bottom w:val="single" w:sz="4" w:space="0" w:color="1A171C"/>
              <w:right w:val="single" w:sz="4" w:space="0" w:color="1A171C"/>
            </w:tcBorders>
            <w:vAlign w:val="center"/>
          </w:tcPr>
          <w:p w14:paraId="7FE1BC40"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Impact on market </w:t>
            </w:r>
          </w:p>
          <w:p w14:paraId="7FE1BC42"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Estimated impact of a sudden discontinuation of the function on third parties, financial markets and the real economy,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size, market share in the country, external and internal interconnectedness, complexity, and cross-border activities of the institution.</w:t>
            </w:r>
          </w:p>
          <w:p w14:paraId="7FE1BC43" w14:textId="46266FB9"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assessment shall be expressed qualitatively as ‘High’, ‘Medium-High’, ‘Medium-Low’ or Low’.</w:t>
            </w:r>
          </w:p>
          <w:p w14:paraId="7FE1BC44" w14:textId="7CCB4614"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42579BD"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the discontinuation has a major impact on the national market; ‘M</w:t>
            </w:r>
            <w:r w:rsidR="32066573"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H</w:t>
            </w:r>
            <w:r w:rsidR="3FDE2E1B"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if the impact is significant; ‘M</w:t>
            </w:r>
            <w:r w:rsidR="5C7F6D19"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6BEE00EC"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the impact is </w:t>
            </w:r>
            <w:proofErr w:type="gramStart"/>
            <w:r w:rsidRPr="002F61BB">
              <w:rPr>
                <w:rFonts w:ascii="Times New Roman" w:hAnsi="Times New Roman" w:cs="Times New Roman"/>
                <w:color w:val="000000" w:themeColor="text1"/>
                <w:sz w:val="20"/>
                <w:szCs w:val="20"/>
                <w:lang w:val="en-GB"/>
              </w:rPr>
              <w:t>material, but</w:t>
            </w:r>
            <w:proofErr w:type="gramEnd"/>
            <w:r w:rsidRPr="002F61BB">
              <w:rPr>
                <w:rFonts w:ascii="Times New Roman" w:hAnsi="Times New Roman" w:cs="Times New Roman"/>
                <w:color w:val="000000" w:themeColor="text1"/>
                <w:sz w:val="20"/>
                <w:szCs w:val="20"/>
                <w:lang w:val="en-GB"/>
              </w:rPr>
              <w:t xml:space="preserve"> limited; and ‘L</w:t>
            </w:r>
            <w:r w:rsidR="62B0FEEC"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low.</w:t>
            </w:r>
          </w:p>
        </w:tc>
      </w:tr>
      <w:tr w:rsidR="00CC0A94" w14:paraId="7FE1BC52" w14:textId="77777777" w:rsidTr="6F08E959">
        <w:tc>
          <w:tcPr>
            <w:tcW w:w="1080" w:type="dxa"/>
            <w:tcBorders>
              <w:top w:val="single" w:sz="4" w:space="0" w:color="1A171C"/>
              <w:left w:val="nil"/>
              <w:bottom w:val="single" w:sz="4" w:space="0" w:color="1A171C"/>
              <w:right w:val="single" w:sz="4" w:space="0" w:color="1A171C"/>
            </w:tcBorders>
            <w:vAlign w:val="center"/>
          </w:tcPr>
          <w:p w14:paraId="7FE1BC46"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Substitutability</w:t>
            </w:r>
          </w:p>
          <w:p w14:paraId="7FE1BC48"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Article 6(3) of Delegated regulation (EU) 2016/778.</w:t>
            </w:r>
          </w:p>
          <w:p w14:paraId="7FE1BC49"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function is considered substitutable where it can be replaced in an acceptable manner and within a reasonable timeframe thereby avoiding systemic problems for the real economy and the financial markets. The following shall be </w:t>
            </w:r>
            <w:proofErr w:type="gramStart"/>
            <w:r w:rsidRPr="002F61BB">
              <w:rPr>
                <w:rFonts w:ascii="Times New Roman" w:hAnsi="Times New Roman" w:cs="Times New Roman"/>
                <w:color w:val="000000" w:themeColor="text1"/>
                <w:sz w:val="20"/>
                <w:szCs w:val="20"/>
                <w:lang w:val="en-GB"/>
              </w:rPr>
              <w:t>taken into account</w:t>
            </w:r>
            <w:proofErr w:type="gramEnd"/>
            <w:r w:rsidRPr="002F61BB">
              <w:rPr>
                <w:rFonts w:ascii="Times New Roman" w:hAnsi="Times New Roman" w:cs="Times New Roman"/>
                <w:color w:val="000000" w:themeColor="text1"/>
                <w:sz w:val="20"/>
                <w:szCs w:val="20"/>
                <w:lang w:val="en-GB"/>
              </w:rPr>
              <w:t>:</w:t>
            </w:r>
          </w:p>
          <w:p w14:paraId="7FE1BC4A"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the structure of the market for that function and the availability of substitute </w:t>
            </w:r>
            <w:proofErr w:type="gramStart"/>
            <w:r w:rsidRPr="002F61BB">
              <w:rPr>
                <w:rFonts w:ascii="Times New Roman" w:hAnsi="Times New Roman" w:cs="Times New Roman"/>
                <w:color w:val="000000" w:themeColor="text1"/>
                <w:sz w:val="20"/>
                <w:szCs w:val="20"/>
                <w:lang w:val="en-GB"/>
              </w:rPr>
              <w:t>providers;</w:t>
            </w:r>
            <w:proofErr w:type="gramEnd"/>
            <w:r w:rsidRPr="002F61BB">
              <w:rPr>
                <w:rFonts w:ascii="Times New Roman" w:hAnsi="Times New Roman" w:cs="Times New Roman"/>
                <w:color w:val="000000" w:themeColor="text1"/>
                <w:sz w:val="20"/>
                <w:szCs w:val="20"/>
                <w:lang w:val="en-GB"/>
              </w:rPr>
              <w:t xml:space="preserve"> </w:t>
            </w:r>
          </w:p>
          <w:p w14:paraId="7FE1BC4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(b) the ability of other providers in terms of capacity, the requirements for performing the function, and potential barriers to entry or </w:t>
            </w:r>
            <w:proofErr w:type="gramStart"/>
            <w:r w:rsidRPr="002F61BB">
              <w:rPr>
                <w:rFonts w:ascii="Times New Roman" w:hAnsi="Times New Roman" w:cs="Times New Roman"/>
                <w:color w:val="000000" w:themeColor="text1"/>
                <w:sz w:val="20"/>
                <w:szCs w:val="20"/>
                <w:lang w:val="en-GB"/>
              </w:rPr>
              <w:t>expansion;</w:t>
            </w:r>
            <w:proofErr w:type="gramEnd"/>
            <w:r w:rsidRPr="002F61BB">
              <w:rPr>
                <w:rFonts w:ascii="Times New Roman" w:hAnsi="Times New Roman" w:cs="Times New Roman"/>
                <w:color w:val="000000" w:themeColor="text1"/>
                <w:sz w:val="20"/>
                <w:szCs w:val="20"/>
                <w:lang w:val="en-GB"/>
              </w:rPr>
              <w:t xml:space="preserve"> </w:t>
            </w:r>
          </w:p>
          <w:p w14:paraId="7FE1BC4C"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 the incentive of other providers to take on these </w:t>
            </w:r>
            <w:proofErr w:type="gramStart"/>
            <w:r w:rsidRPr="002F61BB">
              <w:rPr>
                <w:rFonts w:ascii="Times New Roman" w:hAnsi="Times New Roman" w:cs="Times New Roman"/>
                <w:color w:val="000000" w:themeColor="text1"/>
                <w:sz w:val="20"/>
                <w:szCs w:val="20"/>
                <w:lang w:val="en-GB"/>
              </w:rPr>
              <w:t>activities;</w:t>
            </w:r>
            <w:proofErr w:type="gramEnd"/>
            <w:r w:rsidRPr="002F61BB">
              <w:rPr>
                <w:rFonts w:ascii="Times New Roman" w:hAnsi="Times New Roman" w:cs="Times New Roman"/>
                <w:color w:val="000000" w:themeColor="text1"/>
                <w:sz w:val="20"/>
                <w:szCs w:val="20"/>
                <w:lang w:val="en-GB"/>
              </w:rPr>
              <w:t xml:space="preserve"> </w:t>
            </w:r>
          </w:p>
          <w:p w14:paraId="7FE1BC4D"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C4E" w14:textId="5259F9E9"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lastRenderedPageBreak/>
              <w:t xml:space="preserve">Provide an overall assessment of the expected degree of substitutability for each function,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different dimensions assessed previously (market share, market concentration, time to substitution, legal barriers, and operational requirements to entry or expansion</w:t>
            </w:r>
            <w:proofErr w:type="gramStart"/>
            <w:r w:rsidRPr="002F61BB">
              <w:rPr>
                <w:rFonts w:ascii="Times New Roman" w:hAnsi="Times New Roman" w:cs="Times New Roman"/>
                <w:color w:val="000000" w:themeColor="text1"/>
                <w:sz w:val="20"/>
                <w:szCs w:val="20"/>
                <w:lang w:val="en-GB"/>
              </w:rPr>
              <w:t>) .</w:t>
            </w:r>
            <w:proofErr w:type="gramEnd"/>
            <w:r w:rsidRPr="002F61BB">
              <w:rPr>
                <w:rFonts w:ascii="Times New Roman" w:hAnsi="Times New Roman" w:cs="Times New Roman"/>
                <w:color w:val="000000" w:themeColor="text1"/>
                <w:sz w:val="20"/>
                <w:szCs w:val="20"/>
                <w:lang w:val="en-GB"/>
              </w:rPr>
              <w:t xml:space="preserve"> This assessment shall be expressed qualitatively as ‘High’, ‘Medium-High’, ‘Medium-Low’ or Low’. </w:t>
            </w:r>
          </w:p>
          <w:p w14:paraId="7FE1BC4F" w14:textId="2848C2C9"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xml:space="preserve">’ shall be selected if a function can easily be provided by another bank under comparable conditions within a reasonable </w:t>
            </w:r>
            <w:proofErr w:type="gramStart"/>
            <w:r w:rsidRPr="002F61BB">
              <w:rPr>
                <w:rFonts w:ascii="Times New Roman" w:hAnsi="Times New Roman" w:cs="Times New Roman"/>
                <w:color w:val="000000" w:themeColor="text1"/>
                <w:sz w:val="20"/>
                <w:szCs w:val="20"/>
                <w:lang w:val="en-GB"/>
              </w:rPr>
              <w:t>timeframe;</w:t>
            </w:r>
            <w:proofErr w:type="gramEnd"/>
          </w:p>
          <w:p w14:paraId="7FE1BC50" w14:textId="60D54ED6"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a function cannot be easily or rapidly </w:t>
            </w:r>
            <w:proofErr w:type="gramStart"/>
            <w:r w:rsidRPr="002F61BB">
              <w:rPr>
                <w:rFonts w:ascii="Times New Roman" w:hAnsi="Times New Roman" w:cs="Times New Roman"/>
                <w:color w:val="000000" w:themeColor="text1"/>
                <w:sz w:val="20"/>
                <w:szCs w:val="20"/>
                <w:lang w:val="en-GB"/>
              </w:rPr>
              <w:t>substituted;</w:t>
            </w:r>
            <w:proofErr w:type="gramEnd"/>
            <w:r w:rsidRPr="002F61BB">
              <w:rPr>
                <w:rFonts w:ascii="Times New Roman" w:hAnsi="Times New Roman" w:cs="Times New Roman"/>
                <w:color w:val="000000" w:themeColor="text1"/>
                <w:sz w:val="20"/>
                <w:szCs w:val="20"/>
                <w:lang w:val="en-GB"/>
              </w:rPr>
              <w:t xml:space="preserve"> </w:t>
            </w:r>
          </w:p>
          <w:p w14:paraId="7FE1BC51" w14:textId="0F9A1660"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‘M</w:t>
            </w:r>
            <w:r w:rsidR="00A5354C">
              <w:rPr>
                <w:rFonts w:ascii="Times New Roman" w:hAnsi="Times New Roman" w:cs="Times New Roman"/>
                <w:color w:val="000000" w:themeColor="text1"/>
                <w:sz w:val="20"/>
                <w:szCs w:val="20"/>
                <w:lang w:val="en-GB"/>
              </w:rPr>
              <w:t xml:space="preserve">edium </w:t>
            </w: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and ‘M</w:t>
            </w:r>
            <w:r w:rsidR="00A5354C">
              <w:rPr>
                <w:rFonts w:ascii="Times New Roman" w:hAnsi="Times New Roman" w:cs="Times New Roman"/>
                <w:color w:val="000000" w:themeColor="text1"/>
                <w:sz w:val="20"/>
                <w:szCs w:val="20"/>
                <w:lang w:val="en-GB"/>
              </w:rPr>
              <w:t xml:space="preserve">edium </w:t>
            </w: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for intermediate cases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different dimensions (e.g. market share, market concentration, time to substitution, as well as legal barriers to and operational requirements for entry or expansion).</w:t>
            </w:r>
          </w:p>
        </w:tc>
      </w:tr>
      <w:tr w:rsidR="00CC0A94" w14:paraId="7FE1BC57" w14:textId="77777777" w:rsidTr="6F08E959">
        <w:tc>
          <w:tcPr>
            <w:tcW w:w="1080" w:type="dxa"/>
            <w:tcBorders>
              <w:top w:val="single" w:sz="4" w:space="0" w:color="1A171C"/>
              <w:left w:val="nil"/>
              <w:bottom w:val="single" w:sz="4" w:space="0" w:color="1A171C"/>
              <w:right w:val="single" w:sz="4" w:space="0" w:color="1A171C"/>
            </w:tcBorders>
            <w:vAlign w:val="center"/>
          </w:tcPr>
          <w:p w14:paraId="7FE1BC53"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 Function</w:t>
            </w:r>
          </w:p>
          <w:p w14:paraId="7FE1BC55"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In this column it shall be reported whether,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impact and substitutability analysis performed by the institution, the economic function </w:t>
            </w:r>
            <w:proofErr w:type="gramStart"/>
            <w:r w:rsidRPr="002F61BB">
              <w:rPr>
                <w:rFonts w:ascii="Times New Roman" w:hAnsi="Times New Roman" w:cs="Times New Roman"/>
                <w:color w:val="000000" w:themeColor="text1"/>
                <w:sz w:val="20"/>
                <w:szCs w:val="20"/>
                <w:lang w:val="en-GB"/>
              </w:rPr>
              <w:t>is considered to be</w:t>
            </w:r>
            <w:proofErr w:type="gramEnd"/>
            <w:r w:rsidRPr="002F61BB">
              <w:rPr>
                <w:rFonts w:ascii="Times New Roman" w:hAnsi="Times New Roman" w:cs="Times New Roman"/>
                <w:color w:val="000000" w:themeColor="text1"/>
                <w:sz w:val="20"/>
                <w:szCs w:val="20"/>
                <w:lang w:val="en-GB"/>
              </w:rPr>
              <w:t xml:space="preserve"> critical in the market for the relevant country.</w:t>
            </w:r>
          </w:p>
          <w:p w14:paraId="7FE1BC56"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 ‘Yes’ or ‘No’</w:t>
            </w:r>
          </w:p>
        </w:tc>
      </w:tr>
      <w:tr w:rsidR="00CC0A94" w14:paraId="7FE1BC5B" w14:textId="77777777" w:rsidTr="6F08E959">
        <w:tc>
          <w:tcPr>
            <w:tcW w:w="1080" w:type="dxa"/>
            <w:tcBorders>
              <w:top w:val="single" w:sz="4" w:space="0" w:color="1A171C"/>
              <w:left w:val="nil"/>
              <w:bottom w:val="single" w:sz="4" w:space="0" w:color="1A171C"/>
              <w:right w:val="single" w:sz="4" w:space="0" w:color="1A171C"/>
            </w:tcBorders>
            <w:vAlign w:val="center"/>
          </w:tcPr>
          <w:p w14:paraId="7FE1BC58"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Comments from the Group</w:t>
            </w:r>
          </w:p>
          <w:p w14:paraId="7FE1BC5A"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C5C" w14:textId="77777777" w:rsidR="00CC0A94" w:rsidRDefault="00CC0A94">
      <w:pPr>
        <w:pStyle w:val="Instructionsberschrift2"/>
        <w:rPr>
          <w:rFonts w:ascii="Times New Roman" w:hAnsi="Times New Roman" w:cs="Times New Roman"/>
        </w:rPr>
      </w:pPr>
    </w:p>
    <w:p w14:paraId="7FE1BC5D" w14:textId="5C971E12" w:rsidR="00CC0A94" w:rsidRDefault="006C1571">
      <w:pPr>
        <w:pStyle w:val="Instructionsberschrift2"/>
        <w:rPr>
          <w:rFonts w:ascii="Times New Roman" w:hAnsi="Times New Roman" w:cs="Times New Roman"/>
        </w:rPr>
      </w:pPr>
      <w:bookmarkStart w:id="119" w:name="_Toc192249055"/>
      <w:r>
        <w:rPr>
          <w:rFonts w:ascii="Times New Roman" w:hAnsi="Times New Roman" w:cs="Times New Roman"/>
        </w:rPr>
        <w:t>II.13</w:t>
      </w:r>
      <w:r>
        <w:rPr>
          <w:rFonts w:ascii="Times New Roman" w:hAnsi="Times New Roman" w:cs="Times New Roman"/>
        </w:rPr>
        <w:tab/>
      </w:r>
      <w:r w:rsidR="00D34E5E">
        <w:rPr>
          <w:rFonts w:ascii="Times New Roman" w:hAnsi="Times New Roman" w:cs="Times New Roman"/>
        </w:rPr>
        <w:t>Z 07</w:t>
      </w:r>
      <w:r>
        <w:rPr>
          <w:rFonts w:ascii="Times New Roman" w:hAnsi="Times New Roman" w:cs="Times New Roman"/>
        </w:rPr>
        <w:t>.</w:t>
      </w:r>
      <w:r w:rsidR="00D34E5E">
        <w:rPr>
          <w:rFonts w:ascii="Times New Roman" w:hAnsi="Times New Roman" w:cs="Times New Roman"/>
        </w:rPr>
        <w:t>0</w:t>
      </w:r>
      <w:r>
        <w:rPr>
          <w:rFonts w:ascii="Times New Roman" w:hAnsi="Times New Roman" w:cs="Times New Roman"/>
        </w:rPr>
        <w:t>1</w:t>
      </w:r>
      <w:r w:rsidR="00D34E5E">
        <w:rPr>
          <w:rFonts w:ascii="Times New Roman" w:hAnsi="Times New Roman" w:cs="Times New Roman"/>
        </w:rPr>
        <w:t>.4</w:t>
      </w:r>
      <w:r>
        <w:rPr>
          <w:rFonts w:ascii="Times New Roman" w:hAnsi="Times New Roman" w:cs="Times New Roman"/>
        </w:rPr>
        <w:t xml:space="preserve"> FUNC 1 CM</w:t>
      </w:r>
      <w:bookmarkEnd w:id="119"/>
    </w:p>
    <w:p w14:paraId="7FE1BC65" w14:textId="77777777" w:rsidR="00CC0A94" w:rsidRDefault="00CC0A94">
      <w:pPr>
        <w:rPr>
          <w:rFonts w:ascii="Times New Roman" w:hAnsi="Times New Roman" w:cs="Times New Roman"/>
          <w:color w:val="000000" w:themeColor="text1"/>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C68"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C6C" w14:textId="77777777" w:rsidTr="6F08E959">
        <w:tc>
          <w:tcPr>
            <w:tcW w:w="1080" w:type="dxa"/>
            <w:tcBorders>
              <w:top w:val="single" w:sz="4" w:space="0" w:color="1A171C"/>
              <w:left w:val="nil"/>
              <w:bottom w:val="single" w:sz="4" w:space="0" w:color="1A171C"/>
              <w:right w:val="single" w:sz="4" w:space="0" w:color="1A171C"/>
            </w:tcBorders>
            <w:vAlign w:val="center"/>
          </w:tcPr>
          <w:p w14:paraId="7FE1BC6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C6B" w14:textId="673475F1"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Economic function is of the type ‘Other’ (</w:t>
            </w:r>
            <w:r w:rsidR="001B542E">
              <w:t xml:space="preserve">Z 07.01.4 FUNC 1 CM </w:t>
            </w:r>
            <w:r w:rsidR="001B542E">
              <w:rPr>
                <w:rFonts w:ascii="Times New Roman" w:eastAsia="Cambria" w:hAnsi="Times New Roman" w:cs="Times New Roman"/>
                <w:color w:val="000000" w:themeColor="text1"/>
                <w:spacing w:val="-2"/>
                <w:w w:val="95"/>
                <w:sz w:val="20"/>
                <w:szCs w:val="20"/>
                <w:lang w:val="en-GB"/>
              </w:rPr>
              <w:t>r0290 to r0310</w:t>
            </w:r>
            <w:r>
              <w:rPr>
                <w:rFonts w:ascii="Times New Roman" w:eastAsia="Cambria" w:hAnsi="Times New Roman" w:cs="Times New Roman"/>
                <w:color w:val="000000" w:themeColor="text1"/>
                <w:spacing w:val="-2"/>
                <w:w w:val="95"/>
                <w:sz w:val="20"/>
                <w:szCs w:val="20"/>
                <w:lang w:val="en-GB"/>
              </w:rPr>
              <w:t xml:space="preserve">), a description of that function shall be provided. </w:t>
            </w:r>
          </w:p>
        </w:tc>
      </w:tr>
      <w:tr w:rsidR="00CC0A94" w14:paraId="7FE1BC70" w14:textId="77777777" w:rsidTr="6F08E959">
        <w:tc>
          <w:tcPr>
            <w:tcW w:w="1080" w:type="dxa"/>
            <w:tcBorders>
              <w:top w:val="single" w:sz="4" w:space="0" w:color="1A171C"/>
              <w:left w:val="nil"/>
              <w:bottom w:val="single" w:sz="4" w:space="0" w:color="1A171C"/>
              <w:right w:val="single" w:sz="4" w:space="0" w:color="1A171C"/>
            </w:tcBorders>
            <w:vAlign w:val="center"/>
          </w:tcPr>
          <w:p w14:paraId="7FE1BC6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C6F" w14:textId="629D801B"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sidRPr="029F4E13">
              <w:rPr>
                <w:rFonts w:ascii="Times New Roman" w:eastAsia="Cambria" w:hAnsi="Times New Roman" w:cs="Times New Roman"/>
                <w:color w:val="000000" w:themeColor="text1"/>
                <w:sz w:val="20"/>
                <w:szCs w:val="20"/>
                <w:lang w:val="en-GB"/>
              </w:rPr>
              <w:t>Estimate of the market share of the institution or group for the economic function in the respective country or geographic area. A percentage of the total market in terms</w:t>
            </w:r>
            <w:r w:rsidR="00695A00">
              <w:rPr>
                <w:rFonts w:ascii="Times New Roman" w:eastAsia="Cambria" w:hAnsi="Times New Roman" w:cs="Times New Roman"/>
                <w:color w:val="000000" w:themeColor="text1"/>
                <w:sz w:val="20"/>
                <w:szCs w:val="20"/>
                <w:lang w:val="en-GB"/>
              </w:rPr>
              <w:t xml:space="preserve"> of</w:t>
            </w:r>
            <w:r w:rsidRPr="029F4E13">
              <w:rPr>
                <w:rFonts w:ascii="Times New Roman" w:eastAsia="Cambria" w:hAnsi="Times New Roman" w:cs="Times New Roman"/>
                <w:color w:val="000000" w:themeColor="text1"/>
                <w:sz w:val="20"/>
                <w:szCs w:val="20"/>
                <w:lang w:val="en-GB"/>
              </w:rPr>
              <w:t xml:space="preserve"> the </w:t>
            </w:r>
            <w:r w:rsidR="66378C83" w:rsidRPr="029F4E13">
              <w:rPr>
                <w:rFonts w:ascii="Times New Roman" w:eastAsia="Cambria" w:hAnsi="Times New Roman" w:cs="Times New Roman"/>
                <w:color w:val="000000" w:themeColor="text1"/>
                <w:sz w:val="20"/>
                <w:szCs w:val="20"/>
                <w:lang w:val="en-GB"/>
              </w:rPr>
              <w:t>notional amount for derivatives; the carrying amount for secondary markets and fee income for primary markets</w:t>
            </w:r>
            <w:r w:rsidRPr="029F4E13">
              <w:rPr>
                <w:rFonts w:ascii="Times New Roman" w:eastAsia="Cambria" w:hAnsi="Times New Roman" w:cs="Times New Roman"/>
                <w:color w:val="000000" w:themeColor="text1"/>
                <w:sz w:val="20"/>
                <w:szCs w:val="20"/>
                <w:lang w:val="en-GB"/>
              </w:rPr>
              <w:t>.</w:t>
            </w:r>
          </w:p>
        </w:tc>
      </w:tr>
      <w:tr w:rsidR="00CC0A94" w14:paraId="7FE1BC77" w14:textId="77777777" w:rsidTr="6F08E959">
        <w:tc>
          <w:tcPr>
            <w:tcW w:w="1080" w:type="dxa"/>
            <w:tcBorders>
              <w:top w:val="single" w:sz="4" w:space="0" w:color="1A171C"/>
              <w:left w:val="nil"/>
              <w:bottom w:val="single" w:sz="4" w:space="0" w:color="1A171C"/>
              <w:right w:val="single" w:sz="4" w:space="0" w:color="1A171C"/>
            </w:tcBorders>
            <w:vAlign w:val="center"/>
          </w:tcPr>
          <w:p w14:paraId="7FE1BC7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Notional amount</w:t>
            </w:r>
          </w:p>
          <w:p w14:paraId="7FE1BC73"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gross nominal amount of all deals concluded and not yet settled at the reference date. </w:t>
            </w:r>
          </w:p>
          <w:p w14:paraId="7FE1BC74"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References: FINREP Annex V, Part 2, paragraph 133for the definition; for the data FINREP Annex III; IV and V:</w:t>
            </w:r>
          </w:p>
          <w:p w14:paraId="7FE1BC75"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Derivatives total (4.1-4.2): Template F 10.00 column 030 row 290.</w:t>
            </w:r>
          </w:p>
          <w:p w14:paraId="7FE1BC76"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Derivatives OTC (4.1): Template F 10.00 column 030 rows 300+310+320.</w:t>
            </w:r>
          </w:p>
        </w:tc>
      </w:tr>
      <w:tr w:rsidR="00CC0A94" w14:paraId="7FE1BC7C" w14:textId="77777777" w:rsidTr="6F08E959">
        <w:tc>
          <w:tcPr>
            <w:tcW w:w="1080" w:type="dxa"/>
            <w:tcBorders>
              <w:top w:val="single" w:sz="4" w:space="0" w:color="1A171C"/>
              <w:left w:val="nil"/>
              <w:bottom w:val="single" w:sz="4" w:space="0" w:color="1A171C"/>
              <w:right w:val="single" w:sz="4" w:space="0" w:color="1A171C"/>
            </w:tcBorders>
            <w:vAlign w:val="center"/>
          </w:tcPr>
          <w:p w14:paraId="7FE1BC7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Carrying amount</w:t>
            </w:r>
          </w:p>
          <w:p w14:paraId="7FE1BC7A"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carrying amount to be reported on the asset side of the balance sheet, including accrued interest [FINREP: Annex V Part 1, paragraph 27] for equity instruments and debt securities [FINREP: Annex V Part 1, paragraph 31], classified as ‘Held for Trading’ [FINREP: Annex V Part 1, paragraph 15, point (a) </w:t>
            </w:r>
            <w:r>
              <w:rPr>
                <w:rFonts w:ascii="Times New Roman" w:eastAsia="Cambria" w:hAnsi="Times New Roman" w:cs="Times New Roman"/>
                <w:color w:val="000000" w:themeColor="text1"/>
                <w:spacing w:val="-2"/>
                <w:w w:val="95"/>
                <w:sz w:val="20"/>
                <w:szCs w:val="20"/>
                <w:lang w:val="en-GB"/>
              </w:rPr>
              <w:lastRenderedPageBreak/>
              <w:t>and paragraph 16, point (a)].</w:t>
            </w:r>
          </w:p>
          <w:p w14:paraId="7FE1BC7B"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Reference: FINREP: Annex III Template F 04.01 column 010 rows 010+060+120.</w:t>
            </w:r>
          </w:p>
        </w:tc>
      </w:tr>
      <w:tr w:rsidR="00CC0A94" w14:paraId="7FE1BC81" w14:textId="77777777" w:rsidTr="6F08E959">
        <w:tc>
          <w:tcPr>
            <w:tcW w:w="1080" w:type="dxa"/>
            <w:tcBorders>
              <w:top w:val="single" w:sz="4" w:space="0" w:color="1A171C"/>
              <w:left w:val="nil"/>
              <w:bottom w:val="single" w:sz="4" w:space="0" w:color="1A171C"/>
              <w:right w:val="single" w:sz="4" w:space="0" w:color="1A171C"/>
            </w:tcBorders>
            <w:vAlign w:val="center"/>
          </w:tcPr>
          <w:p w14:paraId="7FE1BC7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Fee income</w:t>
            </w:r>
          </w:p>
          <w:p w14:paraId="7FE1BC7F" w14:textId="77777777" w:rsidR="00CC0A94" w:rsidRDefault="006C1571" w:rsidP="002F61BB">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Fees and commissions received for involvement in the origination or issuance of securities not originated or issued by the institution.</w:t>
            </w:r>
          </w:p>
          <w:p w14:paraId="7FE1BC80" w14:textId="77777777" w:rsidR="00CC0A94" w:rsidRDefault="006C1571" w:rsidP="002F61BB">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Reference: FINREP: Annex III, IV Template F 22.01 column 010 rows 030+180.</w:t>
            </w:r>
          </w:p>
        </w:tc>
      </w:tr>
      <w:tr w:rsidR="00CC0A94" w14:paraId="7FE1BC87" w14:textId="77777777" w:rsidTr="6F08E959">
        <w:tc>
          <w:tcPr>
            <w:tcW w:w="1080" w:type="dxa"/>
            <w:tcBorders>
              <w:top w:val="single" w:sz="4" w:space="0" w:color="1A171C"/>
              <w:left w:val="nil"/>
              <w:bottom w:val="single" w:sz="4" w:space="0" w:color="1A171C"/>
              <w:right w:val="single" w:sz="4" w:space="0" w:color="1A171C"/>
            </w:tcBorders>
            <w:vAlign w:val="center"/>
          </w:tcPr>
          <w:p w14:paraId="7FE1BC82"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Cross-border value</w:t>
            </w:r>
          </w:p>
          <w:p w14:paraId="7FE1BC84" w14:textId="4F4878AE" w:rsidR="00CC0A94" w:rsidRPr="002F61BB" w:rsidRDefault="006C1571" w:rsidP="002F61BB">
            <w:pPr>
              <w:pStyle w:val="TableParagraph"/>
              <w:spacing w:before="108"/>
              <w:jc w:val="both"/>
              <w:rPr>
                <w:rFonts w:ascii="Times New Roman" w:hAnsi="Times New Roman" w:cs="Times New Roman"/>
                <w:color w:val="000000" w:themeColor="text1"/>
                <w:sz w:val="20"/>
                <w:szCs w:val="20"/>
                <w:lang w:val="en-GB"/>
              </w:rPr>
            </w:pPr>
            <w:proofErr w:type="spellStart"/>
            <w:proofErr w:type="gramStart"/>
            <w:r w:rsidRPr="002F61BB">
              <w:rPr>
                <w:rFonts w:ascii="Times New Roman" w:hAnsi="Times New Roman" w:cs="Times New Roman"/>
                <w:color w:val="000000" w:themeColor="text1"/>
                <w:sz w:val="20"/>
                <w:szCs w:val="20"/>
                <w:lang w:val="en-GB"/>
              </w:rPr>
              <w:t>Derivatives:</w:t>
            </w:r>
            <w:r w:rsidR="00AE4741">
              <w:rPr>
                <w:rFonts w:ascii="Times New Roman" w:hAnsi="Times New Roman" w:cs="Times New Roman"/>
                <w:color w:val="000000" w:themeColor="text1"/>
                <w:sz w:val="20"/>
                <w:szCs w:val="20"/>
                <w:lang w:val="en-GB"/>
              </w:rPr>
              <w:t>the</w:t>
            </w:r>
            <w:proofErr w:type="spellEnd"/>
            <w:proofErr w:type="gramEnd"/>
            <w:r w:rsidR="00AE4741">
              <w:rPr>
                <w:rFonts w:ascii="Times New Roman" w:hAnsi="Times New Roman" w:cs="Times New Roman"/>
                <w:color w:val="000000" w:themeColor="text1"/>
                <w:sz w:val="20"/>
                <w:szCs w:val="20"/>
                <w:lang w:val="en-GB"/>
              </w:rPr>
              <w:t xml:space="preserve"> notional amount outstanding outside of the home or relevant country</w:t>
            </w:r>
            <w:r w:rsidRPr="002F61BB">
              <w:rPr>
                <w:rFonts w:ascii="Times New Roman" w:hAnsi="Times New Roman" w:cs="Times New Roman"/>
                <w:color w:val="000000" w:themeColor="text1"/>
                <w:sz w:val="20"/>
                <w:szCs w:val="20"/>
                <w:lang w:val="en-GB"/>
              </w:rPr>
              <w:t xml:space="preserve">. </w:t>
            </w:r>
          </w:p>
          <w:p w14:paraId="7FE1BC85" w14:textId="77777777" w:rsidR="00CC0A94" w:rsidRPr="002F61BB" w:rsidRDefault="006C1571" w:rsidP="002F61BB">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Secondary markets: gross carrying amount outstanding outside of the home or relevant country. Background reference: FINREP Annex III Table 20.04 column 011 rows 040+080, all countries except home or relevant country.</w:t>
            </w:r>
          </w:p>
          <w:p w14:paraId="7FE1BC86" w14:textId="68837303" w:rsidR="00CC0A94" w:rsidRPr="002F61BB" w:rsidRDefault="006C1571" w:rsidP="002F61BB">
            <w:pPr>
              <w:pStyle w:val="TableParagraph"/>
              <w:spacing w:before="108"/>
              <w:jc w:val="both"/>
              <w:rPr>
                <w:rFonts w:ascii="Times New Roman" w:hAnsi="Times New Roman" w:cs="Times New Roman"/>
              </w:rPr>
            </w:pPr>
            <w:r w:rsidRPr="002F61BB">
              <w:rPr>
                <w:rFonts w:ascii="Times New Roman" w:hAnsi="Times New Roman" w:cs="Times New Roman"/>
                <w:color w:val="000000" w:themeColor="text1"/>
                <w:sz w:val="20"/>
                <w:szCs w:val="20"/>
                <w:lang w:val="en-GB"/>
              </w:rPr>
              <w:t xml:space="preserve">Primary markets: </w:t>
            </w:r>
            <w:r w:rsidR="00AE4741">
              <w:rPr>
                <w:rFonts w:ascii="Times New Roman" w:hAnsi="Times New Roman" w:cs="Times New Roman"/>
                <w:color w:val="000000" w:themeColor="text1"/>
                <w:sz w:val="20"/>
                <w:szCs w:val="20"/>
                <w:lang w:val="en-GB"/>
              </w:rPr>
              <w:t>the fee income generated outside of the home or relevant country.</w:t>
            </w:r>
          </w:p>
        </w:tc>
      </w:tr>
      <w:tr w:rsidR="00CC0A94" w14:paraId="7FE1BC8B" w14:textId="77777777" w:rsidTr="6F08E959">
        <w:tc>
          <w:tcPr>
            <w:tcW w:w="1080" w:type="dxa"/>
            <w:tcBorders>
              <w:top w:val="single" w:sz="4" w:space="0" w:color="1A171C"/>
              <w:left w:val="nil"/>
              <w:bottom w:val="single" w:sz="4" w:space="0" w:color="1A171C"/>
              <w:right w:val="single" w:sz="4" w:space="0" w:color="1A171C"/>
            </w:tcBorders>
            <w:vAlign w:val="center"/>
          </w:tcPr>
          <w:p w14:paraId="7FE1BC8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counterparties or transactions</w:t>
            </w:r>
          </w:p>
          <w:p w14:paraId="7FE1BC8A"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For derivatives and secondary markets total number of counterparties. For primary markets, total number of underwritten transactions.</w:t>
            </w:r>
          </w:p>
        </w:tc>
      </w:tr>
      <w:tr w:rsidR="00CC0A94" w14:paraId="7FE1BC94" w14:textId="77777777" w:rsidTr="6F08E959">
        <w:tc>
          <w:tcPr>
            <w:tcW w:w="1080" w:type="dxa"/>
            <w:tcBorders>
              <w:top w:val="single" w:sz="4" w:space="0" w:color="1A171C"/>
              <w:left w:val="nil"/>
              <w:bottom w:val="single" w:sz="4" w:space="0" w:color="1A171C"/>
              <w:right w:val="single" w:sz="4" w:space="0" w:color="1A171C"/>
            </w:tcBorders>
            <w:vAlign w:val="center"/>
          </w:tcPr>
          <w:p w14:paraId="7FE1BC8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0110 -0180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Impact and Substitutability analyses</w:t>
            </w:r>
          </w:p>
          <w:p w14:paraId="7FE1BC8E"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assessment criteria for the impact on third parties shall include the following elements in accordance with Commission Delegated Regulation (EU) 2016/778 on critical functions:</w:t>
            </w:r>
          </w:p>
          <w:p w14:paraId="7FE1BC8F"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nature and reach of the activity, the global, national or regional reach, volume and number of transactions; the number of customers and counterparties; the number of customers for which the institution is the only or principal banking partner.</w:t>
            </w:r>
          </w:p>
          <w:p w14:paraId="7FE1BC90"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relevance of the institution, on a local, regional, national or European level, as appropriate for the market concerned. The relevance of the institution may be assessed </w:t>
            </w:r>
            <w:proofErr w:type="gramStart"/>
            <w:r w:rsidRPr="002F61BB">
              <w:rPr>
                <w:rFonts w:ascii="Times New Roman" w:eastAsiaTheme="minorHAnsi" w:hAnsi="Times New Roman"/>
                <w:color w:val="000000" w:themeColor="text1"/>
                <w:sz w:val="20"/>
                <w:szCs w:val="20"/>
              </w:rPr>
              <w:t>on the basis of</w:t>
            </w:r>
            <w:proofErr w:type="gramEnd"/>
            <w:r w:rsidRPr="002F61BB">
              <w:rPr>
                <w:rFonts w:ascii="Times New Roman" w:eastAsiaTheme="minorHAnsi" w:hAnsi="Times New Roman"/>
                <w:color w:val="000000" w:themeColor="text1"/>
                <w:sz w:val="20"/>
                <w:szCs w:val="20"/>
              </w:rPr>
              <w:t xml:space="preserve"> the market share, the interconnectedness, the complexity and cross- border activities.</w:t>
            </w:r>
          </w:p>
          <w:p w14:paraId="7FE1BC91"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nature of the customers and stakeholders affected by the function, such as but not limited to retail customers, corporate customers, interbank customers, central clearing houses and public entities. </w:t>
            </w:r>
          </w:p>
          <w:p w14:paraId="7FE1BC92"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potential disruption of the function on markets, infrastructures, customers and public services.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C93"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98" w14:textId="77777777" w:rsidTr="6F08E959">
        <w:tc>
          <w:tcPr>
            <w:tcW w:w="1080" w:type="dxa"/>
            <w:tcBorders>
              <w:top w:val="single" w:sz="4" w:space="0" w:color="1A171C"/>
              <w:left w:val="nil"/>
              <w:bottom w:val="single" w:sz="4" w:space="0" w:color="1A171C"/>
              <w:right w:val="single" w:sz="4" w:space="0" w:color="1A171C"/>
            </w:tcBorders>
            <w:vAlign w:val="center"/>
          </w:tcPr>
          <w:p w14:paraId="7FE1BC9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0110 - 0130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Nature and Reach </w:t>
            </w:r>
          </w:p>
          <w:p w14:paraId="7FE1BC97"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global, national or regional reach, volume and number of transactions; the number of customers and counterparties; the number of customers for which the institution is the only or principal banking partner.</w:t>
            </w:r>
          </w:p>
        </w:tc>
      </w:tr>
      <w:tr w:rsidR="00CC0A94" w14:paraId="7FE1BC9E" w14:textId="77777777" w:rsidTr="6F08E959">
        <w:tc>
          <w:tcPr>
            <w:tcW w:w="1080" w:type="dxa"/>
            <w:tcBorders>
              <w:top w:val="single" w:sz="4" w:space="0" w:color="1A171C"/>
              <w:left w:val="nil"/>
              <w:bottom w:val="single" w:sz="4" w:space="0" w:color="1A171C"/>
              <w:right w:val="single" w:sz="4" w:space="0" w:color="1A171C"/>
            </w:tcBorders>
            <w:vAlign w:val="center"/>
          </w:tcPr>
          <w:p w14:paraId="7FE1BC9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1</w:t>
            </w:r>
          </w:p>
          <w:p w14:paraId="4965F0DF"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C9B" w14:textId="478A7B58"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 </w:t>
            </w:r>
          </w:p>
          <w:p w14:paraId="7FE1BC9C" w14:textId="3823487E" w:rsidR="00CC0A94" w:rsidRPr="00887021" w:rsidRDefault="00887021">
            <w:pPr>
              <w:pStyle w:val="ListParagraph"/>
              <w:numPr>
                <w:ilvl w:val="0"/>
                <w:numId w:val="126"/>
              </w:numPr>
              <w:spacing w:line="276" w:lineRule="auto"/>
              <w:rPr>
                <w:rFonts w:ascii="Times New Roman" w:eastAsia="Times New Roman" w:hAnsi="Times New Roman"/>
                <w:sz w:val="20"/>
                <w:szCs w:val="20"/>
              </w:rPr>
            </w:pPr>
            <w:r w:rsidRPr="00887021">
              <w:rPr>
                <w:rFonts w:ascii="Times New Roman" w:eastAsia="Times New Roman" w:hAnsi="Times New Roman"/>
                <w:sz w:val="20"/>
                <w:szCs w:val="20"/>
              </w:rPr>
              <w:t xml:space="preserve">Expert judgement of the size of the </w:t>
            </w:r>
            <w:r w:rsidRPr="00887021">
              <w:rPr>
                <w:rFonts w:ascii="Times New Roman" w:eastAsia="Times New Roman" w:hAnsi="Times New Roman"/>
                <w:b/>
                <w:bCs/>
                <w:sz w:val="20"/>
                <w:szCs w:val="20"/>
              </w:rPr>
              <w:t>value</w:t>
            </w:r>
            <w:r w:rsidRPr="00887021">
              <w:rPr>
                <w:rFonts w:ascii="Times New Roman" w:eastAsia="Times New Roman" w:hAnsi="Times New Roman"/>
                <w:sz w:val="20"/>
                <w:szCs w:val="20"/>
              </w:rPr>
              <w:t xml:space="preserve"> of the notional amount outstanding (c0030 for function ID 4.1 and 4.2); carrying amount (c0040 for ID 4.3); or fee income generated (c0050 for ID 4.4) from a </w:t>
            </w:r>
            <w:r w:rsidRPr="00887021">
              <w:rPr>
                <w:rFonts w:ascii="Times New Roman" w:eastAsia="Times New Roman" w:hAnsi="Times New Roman"/>
                <w:b/>
                <w:bCs/>
                <w:sz w:val="20"/>
                <w:szCs w:val="20"/>
              </w:rPr>
              <w:t>global</w:t>
            </w:r>
            <w:r w:rsidRPr="00887021">
              <w:rPr>
                <w:rFonts w:ascii="Times New Roman" w:eastAsia="Times New Roman" w:hAnsi="Times New Roman"/>
                <w:sz w:val="20"/>
                <w:szCs w:val="20"/>
              </w:rPr>
              <w:t xml:space="preserve"> perspective [</w:t>
            </w:r>
            <w:r w:rsidRPr="00887021">
              <w:rPr>
                <w:rFonts w:ascii="Times New Roman" w:eastAsia="Times New Roman" w:hAnsi="Times New Roman"/>
                <w:i/>
                <w:iCs/>
                <w:sz w:val="20"/>
                <w:szCs w:val="20"/>
              </w:rPr>
              <w:t>one level higher than the relevant market. If the relevant market is global, then size 1 becomes redundant and does not need to be reported]</w:t>
            </w:r>
            <w:r w:rsidRPr="00887021">
              <w:rPr>
                <w:rFonts w:ascii="Times New Roman" w:eastAsia="Times New Roman" w:hAnsi="Times New Roman"/>
                <w:sz w:val="20"/>
                <w:szCs w:val="20"/>
              </w:rPr>
              <w:t>:</w:t>
            </w:r>
          </w:p>
          <w:p w14:paraId="7FE1BC9D"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eastAsia="Times New Roman" w:hAnsi="Times New Roman"/>
                <w:sz w:val="20"/>
                <w:szCs w:val="20"/>
              </w:rPr>
              <w:t>From a global perspective, how large do you believe the total notional amount outstanding or carrying amount or fee income generated are?</w:t>
            </w:r>
          </w:p>
        </w:tc>
      </w:tr>
      <w:tr w:rsidR="00CC0A94" w14:paraId="7FE1BCA5" w14:textId="77777777" w:rsidTr="6F08E959">
        <w:tc>
          <w:tcPr>
            <w:tcW w:w="1080" w:type="dxa"/>
            <w:tcBorders>
              <w:top w:val="single" w:sz="4" w:space="0" w:color="1A171C"/>
              <w:left w:val="nil"/>
              <w:bottom w:val="single" w:sz="4" w:space="0" w:color="1A171C"/>
              <w:right w:val="single" w:sz="4" w:space="0" w:color="1A171C"/>
            </w:tcBorders>
            <w:vAlign w:val="center"/>
          </w:tcPr>
          <w:p w14:paraId="7FE1BC9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2</w:t>
            </w:r>
          </w:p>
          <w:p w14:paraId="419C7762"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CA1" w14:textId="7FB998B3"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 </w:t>
            </w:r>
          </w:p>
          <w:p w14:paraId="3C42A32E" w14:textId="77777777" w:rsidR="00887021" w:rsidRDefault="00887021" w:rsidP="00887021">
            <w:pPr>
              <w:pStyle w:val="ListParagraph"/>
              <w:numPr>
                <w:ilvl w:val="0"/>
                <w:numId w:val="124"/>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number of counterparties (c0090 for function ID 4,1, 4.2, 4.3) or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underwritten transactions (c0100 for ID 4.4)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CA3" w14:textId="77777777" w:rsidR="00CC0A94" w:rsidRDefault="006C1571" w:rsidP="00887021">
            <w:pPr>
              <w:pStyle w:val="ListParagraph"/>
              <w:numPr>
                <w:ilvl w:val="1"/>
                <w:numId w:val="124"/>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number of counterparties</w:t>
            </w:r>
            <w:r>
              <w:rPr>
                <w:rFonts w:ascii="Times New Roman" w:eastAsia="Times New Roman" w:hAnsi="Times New Roman"/>
                <w:i/>
                <w:iCs/>
                <w:sz w:val="20"/>
                <w:szCs w:val="20"/>
              </w:rPr>
              <w:t xml:space="preserve"> or</w:t>
            </w:r>
            <w:r>
              <w:rPr>
                <w:rFonts w:ascii="Times New Roman" w:eastAsia="Times New Roman" w:hAnsi="Times New Roman"/>
                <w:sz w:val="20"/>
                <w:szCs w:val="20"/>
              </w:rPr>
              <w:t xml:space="preserve"> underwritten transactions by your institution?</w:t>
            </w:r>
          </w:p>
          <w:p w14:paraId="7FE1BCA4"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B0" w14:textId="77777777" w:rsidTr="6F08E959">
        <w:tc>
          <w:tcPr>
            <w:tcW w:w="1080" w:type="dxa"/>
            <w:tcBorders>
              <w:top w:val="single" w:sz="4" w:space="0" w:color="1A171C"/>
              <w:left w:val="nil"/>
              <w:bottom w:val="single" w:sz="4" w:space="0" w:color="1A171C"/>
              <w:right w:val="single" w:sz="4" w:space="0" w:color="1A171C"/>
            </w:tcBorders>
            <w:vAlign w:val="center"/>
          </w:tcPr>
          <w:p w14:paraId="7FE1BCA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indicator</w:t>
            </w:r>
          </w:p>
          <w:p w14:paraId="7FE1BCA8"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Assess the relative importance of cross-border activities for the different economic functions.</w:t>
            </w:r>
          </w:p>
          <w:p w14:paraId="7FE1BCA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does not need to be assessed in case of reports in which the relevant market </w:t>
            </w:r>
            <w:proofErr w:type="gramStart"/>
            <w:r w:rsidRPr="002F61BB">
              <w:rPr>
                <w:rFonts w:ascii="Times New Roman" w:hAnsi="Times New Roman" w:cs="Times New Roman"/>
                <w:color w:val="000000" w:themeColor="text1"/>
                <w:sz w:val="20"/>
                <w:szCs w:val="20"/>
                <w:lang w:val="en-GB"/>
              </w:rPr>
              <w:t>is considered to be</w:t>
            </w:r>
            <w:proofErr w:type="gramEnd"/>
            <w:r w:rsidRPr="002F61BB">
              <w:rPr>
                <w:rFonts w:ascii="Times New Roman" w:hAnsi="Times New Roman" w:cs="Times New Roman"/>
                <w:color w:val="000000" w:themeColor="text1"/>
                <w:sz w:val="20"/>
                <w:szCs w:val="20"/>
                <w:lang w:val="en-GB"/>
              </w:rPr>
              <w:t xml:space="preserve"> regional. </w:t>
            </w:r>
          </w:p>
          <w:p w14:paraId="7FE1BCAA" w14:textId="77777777" w:rsidR="00CC0A94" w:rsidRPr="002F61BB" w:rsidRDefault="006C1571">
            <w:pPr>
              <w:pStyle w:val="ListParagraph"/>
              <w:numPr>
                <w:ilvl w:val="0"/>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Share of the reporting entity’s cross-jurisdictional activity as percentage of total value, expressed in notional amounts (derivatives), carrying amount (secondary markets), fee income from foreign customers (primary markets). Report: </w:t>
            </w:r>
          </w:p>
          <w:p w14:paraId="7FE1BCAB" w14:textId="7D11D6B0" w:rsidR="00CC0A94" w:rsidRPr="00CC0A94" w:rsidRDefault="006C1571" w:rsidP="029F4E13">
            <w:pPr>
              <w:pStyle w:val="ListParagraph"/>
              <w:numPr>
                <w:ilvl w:val="1"/>
                <w:numId w:val="118"/>
              </w:numPr>
              <w:rPr>
                <w:rFonts w:ascii="Times New Roman" w:eastAsia="Times New Roman" w:hAnsi="Times New Roman"/>
                <w:i/>
                <w:iCs/>
                <w:sz w:val="20"/>
                <w:szCs w:val="20"/>
              </w:rPr>
            </w:pPr>
            <w:bookmarkStart w:id="120" w:name="_Hlk194476322"/>
            <w:r w:rsidRPr="029F4E13">
              <w:rPr>
                <w:rFonts w:ascii="Times New Roman" w:eastAsia="Times New Roman" w:hAnsi="Times New Roman"/>
                <w:sz w:val="20"/>
                <w:szCs w:val="20"/>
              </w:rPr>
              <w:t>&lt;5</w:t>
            </w:r>
            <w:proofErr w:type="gramStart"/>
            <w:r w:rsidRPr="029F4E13">
              <w:rPr>
                <w:rFonts w:ascii="Times New Roman" w:eastAsia="Times New Roman" w:hAnsi="Times New Roman"/>
                <w:sz w:val="20"/>
                <w:szCs w:val="20"/>
              </w:rPr>
              <w:t>%;</w:t>
            </w:r>
            <w:proofErr w:type="gramEnd"/>
            <w:r w:rsidRPr="029F4E13">
              <w:rPr>
                <w:rFonts w:ascii="Times New Roman" w:eastAsia="Times New Roman" w:hAnsi="Times New Roman"/>
                <w:sz w:val="20"/>
                <w:szCs w:val="20"/>
              </w:rPr>
              <w:t xml:space="preserve"> </w:t>
            </w:r>
          </w:p>
          <w:p w14:paraId="7FE1BCAC" w14:textId="35A9186D" w:rsidR="00CC0A94" w:rsidRPr="00CC0A94" w:rsidRDefault="006C1571" w:rsidP="029F4E13">
            <w:pPr>
              <w:pStyle w:val="ListParagraph"/>
              <w:numPr>
                <w:ilvl w:val="1"/>
                <w:numId w:val="118"/>
              </w:numPr>
              <w:rPr>
                <w:rFonts w:ascii="Times New Roman" w:eastAsia="Times New Roman" w:hAnsi="Times New Roman"/>
                <w:i/>
                <w:iCs/>
                <w:sz w:val="20"/>
                <w:szCs w:val="20"/>
              </w:rPr>
            </w:pPr>
            <w:r w:rsidRPr="029F4E13">
              <w:rPr>
                <w:rFonts w:ascii="Times New Roman" w:eastAsia="Times New Roman" w:hAnsi="Times New Roman"/>
                <w:sz w:val="20"/>
                <w:szCs w:val="20"/>
              </w:rPr>
              <w:t>5-15</w:t>
            </w:r>
            <w:proofErr w:type="gramStart"/>
            <w:r w:rsidRPr="029F4E13">
              <w:rPr>
                <w:rFonts w:ascii="Times New Roman" w:eastAsia="Times New Roman" w:hAnsi="Times New Roman"/>
                <w:sz w:val="20"/>
                <w:szCs w:val="20"/>
              </w:rPr>
              <w:t>%;</w:t>
            </w:r>
            <w:proofErr w:type="gramEnd"/>
            <w:r w:rsidRPr="029F4E13">
              <w:rPr>
                <w:rFonts w:ascii="Times New Roman" w:eastAsia="Times New Roman" w:hAnsi="Times New Roman"/>
                <w:sz w:val="20"/>
                <w:szCs w:val="20"/>
              </w:rPr>
              <w:t xml:space="preserve"> </w:t>
            </w:r>
          </w:p>
          <w:p w14:paraId="7FE1BCAD" w14:textId="54C07240" w:rsidR="00CC0A94" w:rsidRPr="00CC0A94" w:rsidRDefault="00FB425E" w:rsidP="029F4E13">
            <w:pPr>
              <w:pStyle w:val="ListParagraph"/>
              <w:numPr>
                <w:ilvl w:val="1"/>
                <w:numId w:val="118"/>
              </w:numPr>
              <w:rPr>
                <w:rFonts w:ascii="Times New Roman" w:eastAsia="Times New Roman" w:hAnsi="Times New Roman"/>
                <w:i/>
                <w:iCs/>
                <w:sz w:val="20"/>
                <w:szCs w:val="20"/>
              </w:rPr>
            </w:pPr>
            <w:r>
              <w:rPr>
                <w:rFonts w:ascii="Times New Roman" w:eastAsia="Times New Roman" w:hAnsi="Times New Roman"/>
                <w:sz w:val="20"/>
                <w:szCs w:val="20"/>
              </w:rPr>
              <w:t>16</w:t>
            </w:r>
            <w:r w:rsidR="006C1571" w:rsidRPr="029F4E13">
              <w:rPr>
                <w:rFonts w:ascii="Times New Roman" w:eastAsia="Times New Roman" w:hAnsi="Times New Roman"/>
                <w:sz w:val="20"/>
                <w:szCs w:val="20"/>
              </w:rPr>
              <w:t xml:space="preserve">-25%, </w:t>
            </w:r>
          </w:p>
          <w:p w14:paraId="7FE1BCAE" w14:textId="34AC2F5B" w:rsidR="00CC0A94" w:rsidRDefault="59B7B240" w:rsidP="002F61BB">
            <w:pPr>
              <w:pStyle w:val="ListParagraph"/>
              <w:numPr>
                <w:ilvl w:val="1"/>
                <w:numId w:val="118"/>
              </w:numPr>
              <w:rPr>
                <w:rFonts w:ascii="Times New Roman" w:eastAsia="Times New Roman" w:hAnsi="Times New Roman"/>
                <w:i/>
                <w:iCs/>
                <w:sz w:val="20"/>
                <w:szCs w:val="20"/>
              </w:rPr>
            </w:pPr>
            <w:r w:rsidRPr="6F08E959">
              <w:rPr>
                <w:rFonts w:ascii="Times New Roman" w:eastAsia="Times New Roman" w:hAnsi="Times New Roman"/>
                <w:sz w:val="20"/>
                <w:szCs w:val="20"/>
              </w:rPr>
              <w:t>&gt;</w:t>
            </w:r>
            <w:r w:rsidR="006C1571" w:rsidRPr="6F08E959">
              <w:rPr>
                <w:rFonts w:ascii="Times New Roman" w:eastAsia="Times New Roman" w:hAnsi="Times New Roman"/>
                <w:sz w:val="20"/>
                <w:szCs w:val="20"/>
              </w:rPr>
              <w:t xml:space="preserve">25%. </w:t>
            </w:r>
          </w:p>
          <w:bookmarkEnd w:id="120"/>
          <w:p w14:paraId="7FE1BCAF"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BF" w14:textId="77777777" w:rsidTr="6F08E959">
        <w:tc>
          <w:tcPr>
            <w:tcW w:w="1080" w:type="dxa"/>
            <w:tcBorders>
              <w:top w:val="single" w:sz="4" w:space="0" w:color="1A171C"/>
              <w:left w:val="nil"/>
              <w:bottom w:val="single" w:sz="4" w:space="0" w:color="1A171C"/>
              <w:right w:val="single" w:sz="4" w:space="0" w:color="1A171C"/>
            </w:tcBorders>
            <w:vAlign w:val="center"/>
          </w:tcPr>
          <w:p w14:paraId="7FE1BCB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Relevance – </w:t>
            </w:r>
          </w:p>
          <w:p w14:paraId="7FE1BCB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On a local, regional, national or European level, as appropriate for the market concerned. The relevance of the institution may be assessed </w:t>
            </w:r>
            <w:proofErr w:type="gramStart"/>
            <w:r w:rsidRPr="002F61BB">
              <w:rPr>
                <w:rFonts w:ascii="Times New Roman" w:hAnsi="Times New Roman" w:cs="Times New Roman"/>
                <w:color w:val="000000" w:themeColor="text1"/>
                <w:sz w:val="20"/>
                <w:szCs w:val="20"/>
                <w:lang w:val="en-GB"/>
              </w:rPr>
              <w:t>on the basis of</w:t>
            </w:r>
            <w:proofErr w:type="gramEnd"/>
            <w:r w:rsidRPr="002F61BB">
              <w:rPr>
                <w:rFonts w:ascii="Times New Roman" w:hAnsi="Times New Roman" w:cs="Times New Roman"/>
                <w:color w:val="000000" w:themeColor="text1"/>
                <w:sz w:val="20"/>
                <w:szCs w:val="20"/>
                <w:lang w:val="en-GB"/>
              </w:rPr>
              <w:t xml:space="preserve"> the market share, the interconnectedness, the complexity and cross- border activities.</w:t>
            </w:r>
          </w:p>
          <w:p w14:paraId="7FE1BCB4"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Share</w:t>
            </w:r>
          </w:p>
          <w:p w14:paraId="7FE1BCB5"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lastRenderedPageBreak/>
              <w:t xml:space="preserve">Assess how important the reporting entity’s market share is, compared to the national or other relevant market, as indicated in the template. This assessment is expressed qualitatively as </w:t>
            </w:r>
          </w:p>
          <w:p w14:paraId="7FE1BCB6" w14:textId="3D988DC8"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High, if the market share is large</w:t>
            </w:r>
          </w:p>
          <w:p w14:paraId="7FE1BCB7" w14:textId="2084195C"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Medium-High, if the market share is medium</w:t>
            </w:r>
          </w:p>
          <w:p w14:paraId="7FE1BCB8" w14:textId="06CDA0E3"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Medium-Low if the market share is small or </w:t>
            </w:r>
          </w:p>
          <w:p w14:paraId="7FE1BCB9" w14:textId="19A1DC5D"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Low’ if the market share is negligible. </w:t>
            </w:r>
          </w:p>
          <w:p w14:paraId="7FE1BCBA"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assessment </w:t>
            </w:r>
            <w:proofErr w:type="gramStart"/>
            <w:r w:rsidRPr="002F61BB">
              <w:rPr>
                <w:rFonts w:ascii="Times New Roman" w:hAnsi="Times New Roman" w:cs="Times New Roman"/>
                <w:color w:val="000000" w:themeColor="text1"/>
                <w:sz w:val="20"/>
                <w:szCs w:val="20"/>
                <w:lang w:val="en-GB"/>
              </w:rPr>
              <w:t>takes into account</w:t>
            </w:r>
            <w:proofErr w:type="gramEnd"/>
            <w:r w:rsidRPr="002F61BB">
              <w:rPr>
                <w:rFonts w:ascii="Times New Roman" w:hAnsi="Times New Roman" w:cs="Times New Roman"/>
                <w:color w:val="000000" w:themeColor="text1"/>
                <w:sz w:val="20"/>
                <w:szCs w:val="20"/>
                <w:lang w:val="en-GB"/>
              </w:rPr>
              <w:t xml:space="preserve"> the market structure of the reporting entity’s country (or other relevant market), and market shares reported in part </w:t>
            </w:r>
          </w:p>
          <w:p w14:paraId="7FE1BCB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2.Quantitative data:</w:t>
            </w:r>
          </w:p>
          <w:p w14:paraId="7FE1BCBC" w14:textId="77777777" w:rsidR="00CC0A94" w:rsidRDefault="006C1571">
            <w:pPr>
              <w:pStyle w:val="ListParagraph"/>
              <w:numPr>
                <w:ilvl w:val="0"/>
                <w:numId w:val="117"/>
              </w:numPr>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CBD"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BE"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CB" w14:textId="77777777" w:rsidTr="6F08E959">
        <w:tc>
          <w:tcPr>
            <w:tcW w:w="1080" w:type="dxa"/>
            <w:tcBorders>
              <w:top w:val="single" w:sz="4" w:space="0" w:color="1A171C"/>
              <w:left w:val="nil"/>
              <w:bottom w:val="single" w:sz="4" w:space="0" w:color="1A171C"/>
              <w:right w:val="single" w:sz="4" w:space="0" w:color="1A171C"/>
            </w:tcBorders>
            <w:vAlign w:val="center"/>
          </w:tcPr>
          <w:p w14:paraId="7FE1BCC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Structure – Market concentration</w:t>
            </w:r>
          </w:p>
          <w:p w14:paraId="7FE1BCC2"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market concentration, measured by the number of competitors currently performing </w:t>
            </w:r>
          </w:p>
          <w:p w14:paraId="7FE1BCC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similar economic functions and/or offering similar services on equal terms (i.e. to a </w:t>
            </w:r>
          </w:p>
          <w:p w14:paraId="7FE1BCC4"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comparable extent and quality and at a comparable cost) that potentially take over </w:t>
            </w:r>
          </w:p>
          <w:p w14:paraId="7FE1BCC5"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(part of) the clients and/or business of the reporting entity within a reasonable timeframe. </w:t>
            </w:r>
          </w:p>
          <w:p w14:paraId="7FE1BCC6"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6E6D19F8"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Pr>
                <w:rFonts w:ascii="Times New Roman" w:eastAsia="Times New Roman" w:hAnsi="Times New Roman"/>
                <w:sz w:val="20"/>
                <w:szCs w:val="20"/>
              </w:rPr>
              <w:t>&gt;</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Pr="002E6230">
              <w:rPr>
                <w:rFonts w:ascii="Times New Roman" w:eastAsia="Times New Roman" w:hAnsi="Times New Roman"/>
                <w:sz w:val="20"/>
                <w:szCs w:val="20"/>
              </w:rPr>
              <w:t>;</w:t>
            </w:r>
            <w:proofErr w:type="gramEnd"/>
            <w:r w:rsidRPr="002E6230">
              <w:rPr>
                <w:rFonts w:ascii="Times New Roman" w:eastAsia="Times New Roman" w:hAnsi="Times New Roman"/>
                <w:sz w:val="20"/>
                <w:szCs w:val="20"/>
              </w:rPr>
              <w:t xml:space="preserve"> </w:t>
            </w:r>
          </w:p>
          <w:p w14:paraId="6A8A3C5F"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1</w:t>
            </w:r>
            <w:r>
              <w:rPr>
                <w:rFonts w:ascii="Times New Roman" w:eastAsia="Times New Roman" w:hAnsi="Times New Roman"/>
                <w:sz w:val="20"/>
                <w:szCs w:val="20"/>
              </w:rPr>
              <w:t>1</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Pr="029F4E13">
              <w:rPr>
                <w:rFonts w:ascii="Times New Roman" w:eastAsia="Times New Roman" w:hAnsi="Times New Roman"/>
                <w:sz w:val="20"/>
                <w:szCs w:val="20"/>
              </w:rPr>
              <w:t>;</w:t>
            </w:r>
            <w:proofErr w:type="gramEnd"/>
            <w:r w:rsidRPr="002E6230">
              <w:rPr>
                <w:rFonts w:ascii="Times New Roman" w:eastAsia="Times New Roman" w:hAnsi="Times New Roman"/>
                <w:sz w:val="20"/>
                <w:szCs w:val="20"/>
              </w:rPr>
              <w:t xml:space="preserve"> </w:t>
            </w:r>
          </w:p>
          <w:p w14:paraId="543AFD53"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5-10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761539CF" w14:textId="77777777" w:rsidR="00695A00" w:rsidRPr="00CC0A94" w:rsidRDefault="00695A00" w:rsidP="00695A00">
            <w:pPr>
              <w:pStyle w:val="ListParagraph"/>
              <w:numPr>
                <w:ilvl w:val="0"/>
                <w:numId w:val="277"/>
              </w:numPr>
              <w:jc w:val="both"/>
              <w:rPr>
                <w:rFonts w:ascii="Times New Roman" w:hAnsi="Times New Roman"/>
                <w:b/>
                <w:bCs/>
                <w:color w:val="000000" w:themeColor="text1"/>
                <w:sz w:val="20"/>
                <w:szCs w:val="20"/>
              </w:rPr>
            </w:pPr>
            <w:r w:rsidRPr="002E6230">
              <w:rPr>
                <w:rFonts w:ascii="Times New Roman" w:eastAsia="Times New Roman" w:hAnsi="Times New Roman"/>
                <w:sz w:val="20"/>
                <w:szCs w:val="20"/>
              </w:rPr>
              <w:t>&lt;5</w:t>
            </w:r>
            <w:r>
              <w:rPr>
                <w:rFonts w:ascii="Times New Roman" w:eastAsia="Times New Roman" w:hAnsi="Times New Roman"/>
                <w:sz w:val="20"/>
                <w:szCs w:val="20"/>
              </w:rPr>
              <w:t xml:space="preserve"> competitors</w:t>
            </w:r>
          </w:p>
          <w:p w14:paraId="7FE1BCCA" w14:textId="06EC2320" w:rsidR="00CC0A94" w:rsidRPr="002F61BB" w:rsidRDefault="00CC0A94" w:rsidP="002F61BB">
            <w:pPr>
              <w:jc w:val="both"/>
              <w:rPr>
                <w:rFonts w:ascii="Times New Roman" w:hAnsi="Times New Roman"/>
                <w:color w:val="000000" w:themeColor="text1"/>
                <w:sz w:val="20"/>
                <w:szCs w:val="20"/>
              </w:rPr>
            </w:pPr>
          </w:p>
        </w:tc>
      </w:tr>
      <w:tr w:rsidR="00CC0A94" w14:paraId="7FE1BCDA" w14:textId="77777777" w:rsidTr="6F08E959">
        <w:tc>
          <w:tcPr>
            <w:tcW w:w="1080" w:type="dxa"/>
            <w:tcBorders>
              <w:top w:val="single" w:sz="4" w:space="0" w:color="1A171C"/>
              <w:left w:val="nil"/>
              <w:bottom w:val="single" w:sz="4" w:space="0" w:color="1A171C"/>
              <w:right w:val="single" w:sz="4" w:space="0" w:color="1A171C"/>
            </w:tcBorders>
            <w:vAlign w:val="center"/>
          </w:tcPr>
          <w:p w14:paraId="7FE1BCC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Timing - Expected time for substitution</w:t>
            </w:r>
          </w:p>
          <w:p w14:paraId="7FE1BCCE"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 the time necessary for the economic function provided by the reporting</w:t>
            </w:r>
          </w:p>
          <w:p w14:paraId="7FE1BCCF"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entity to be absorbed by the market in </w:t>
            </w:r>
            <w:proofErr w:type="gramStart"/>
            <w:r w:rsidRPr="002F61BB">
              <w:rPr>
                <w:rFonts w:ascii="Times New Roman" w:hAnsi="Times New Roman" w:cs="Times New Roman"/>
                <w:color w:val="000000" w:themeColor="text1"/>
                <w:sz w:val="20"/>
                <w:szCs w:val="20"/>
                <w:lang w:val="en-GB"/>
              </w:rPr>
              <w:t>a crisis situation</w:t>
            </w:r>
            <w:proofErr w:type="gramEnd"/>
            <w:r w:rsidRPr="002F61BB">
              <w:rPr>
                <w:rFonts w:ascii="Times New Roman" w:hAnsi="Times New Roman" w:cs="Times New Roman"/>
                <w:color w:val="000000" w:themeColor="text1"/>
                <w:sz w:val="20"/>
                <w:szCs w:val="20"/>
                <w:lang w:val="en-GB"/>
              </w:rPr>
              <w:t xml:space="preserve">. This includes: </w:t>
            </w:r>
          </w:p>
          <w:p w14:paraId="7FE1BCD0"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expected time needed by one or several competitor(s) to accomplish the legal and technical steps to take over the function; as well as  </w:t>
            </w:r>
          </w:p>
          <w:p w14:paraId="7FE1BCD1"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time required by users of the service to move to another service provider. </w:t>
            </w:r>
          </w:p>
          <w:p w14:paraId="7FE1BCD2"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D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As a proxy for the former, provide an estimate of the time it would take the reporting entity to absorb in its own business (part of) the service provided by another institution, at a reasonable cost, in </w:t>
            </w:r>
            <w:proofErr w:type="gramStart"/>
            <w:r w:rsidRPr="002F61BB">
              <w:rPr>
                <w:rFonts w:ascii="Times New Roman" w:hAnsi="Times New Roman" w:cs="Times New Roman"/>
                <w:color w:val="000000" w:themeColor="text1"/>
                <w:sz w:val="20"/>
                <w:szCs w:val="20"/>
                <w:lang w:val="en-GB"/>
              </w:rPr>
              <w:t>a crisis situation</w:t>
            </w:r>
            <w:proofErr w:type="gramEnd"/>
            <w:r w:rsidRPr="002F61BB">
              <w:rPr>
                <w:rFonts w:ascii="Times New Roman" w:hAnsi="Times New Roman" w:cs="Times New Roman"/>
                <w:color w:val="000000" w:themeColor="text1"/>
                <w:sz w:val="20"/>
                <w:szCs w:val="20"/>
                <w:lang w:val="en-GB"/>
              </w:rPr>
              <w:t>. Report the estimated time to substitution in the buckets provided in the template:</w:t>
            </w:r>
          </w:p>
          <w:p w14:paraId="7FE1BCD4"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Buckets: </w:t>
            </w:r>
          </w:p>
          <w:p w14:paraId="7FE1BCD5" w14:textId="275C74C6" w:rsidR="00CC0A94" w:rsidRPr="00CC0A94" w:rsidRDefault="006C1571" w:rsidP="002F61BB">
            <w:pPr>
              <w:pStyle w:val="ListParagraph"/>
              <w:numPr>
                <w:ilvl w:val="0"/>
                <w:numId w:val="286"/>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&lt; 1 </w:t>
            </w:r>
            <w:proofErr w:type="gramStart"/>
            <w:r w:rsidRPr="002F61BB">
              <w:rPr>
                <w:rFonts w:ascii="Times New Roman" w:eastAsia="Times New Roman" w:hAnsi="Times New Roman"/>
                <w:sz w:val="20"/>
                <w:szCs w:val="20"/>
              </w:rPr>
              <w:t>week;</w:t>
            </w:r>
            <w:proofErr w:type="gramEnd"/>
            <w:r w:rsidRPr="002F61BB">
              <w:rPr>
                <w:rFonts w:ascii="Times New Roman" w:eastAsia="Times New Roman" w:hAnsi="Times New Roman"/>
                <w:sz w:val="20"/>
                <w:szCs w:val="20"/>
              </w:rPr>
              <w:t xml:space="preserve"> </w:t>
            </w:r>
          </w:p>
          <w:p w14:paraId="7FE1BCD6" w14:textId="712CDEEF" w:rsidR="00CC0A94" w:rsidRPr="00CC0A94" w:rsidRDefault="006C1571" w:rsidP="002F61BB">
            <w:pPr>
              <w:pStyle w:val="ListParagraph"/>
              <w:numPr>
                <w:ilvl w:val="0"/>
                <w:numId w:val="286"/>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1 week-1 </w:t>
            </w:r>
            <w:proofErr w:type="gramStart"/>
            <w:r w:rsidRPr="002F61BB">
              <w:rPr>
                <w:rFonts w:ascii="Times New Roman" w:eastAsia="Times New Roman" w:hAnsi="Times New Roman"/>
                <w:sz w:val="20"/>
                <w:szCs w:val="20"/>
              </w:rPr>
              <w:t>month;</w:t>
            </w:r>
            <w:proofErr w:type="gramEnd"/>
            <w:r w:rsidRPr="002F61BB">
              <w:rPr>
                <w:rFonts w:ascii="Times New Roman" w:eastAsia="Times New Roman" w:hAnsi="Times New Roman"/>
                <w:sz w:val="20"/>
                <w:szCs w:val="20"/>
              </w:rPr>
              <w:t xml:space="preserve"> </w:t>
            </w:r>
          </w:p>
          <w:p w14:paraId="7FE1BCD7" w14:textId="5ECCCD1B" w:rsidR="00CC0A94" w:rsidRPr="00CC0A94" w:rsidRDefault="00FB425E" w:rsidP="002F61BB">
            <w:pPr>
              <w:pStyle w:val="ListParagraph"/>
              <w:numPr>
                <w:ilvl w:val="0"/>
                <w:numId w:val="286"/>
              </w:numPr>
              <w:jc w:val="both"/>
              <w:rPr>
                <w:rFonts w:ascii="Times New Roman" w:eastAsia="Times New Roman" w:hAnsi="Times New Roman"/>
                <w:sz w:val="20"/>
                <w:szCs w:val="20"/>
              </w:rPr>
            </w:pPr>
            <w:r>
              <w:rPr>
                <w:rFonts w:ascii="Times New Roman" w:eastAsia="Times New Roman" w:hAnsi="Times New Roman"/>
                <w:sz w:val="20"/>
                <w:szCs w:val="20"/>
              </w:rPr>
              <w:t>&gt;</w:t>
            </w:r>
            <w:r w:rsidR="006C1571" w:rsidRPr="002F61BB">
              <w:rPr>
                <w:rFonts w:ascii="Times New Roman" w:eastAsia="Times New Roman" w:hAnsi="Times New Roman"/>
                <w:sz w:val="20"/>
                <w:szCs w:val="20"/>
              </w:rPr>
              <w:t>1</w:t>
            </w:r>
            <w:r>
              <w:rPr>
                <w:rFonts w:ascii="Times New Roman" w:eastAsia="Times New Roman" w:hAnsi="Times New Roman"/>
                <w:sz w:val="20"/>
                <w:szCs w:val="20"/>
              </w:rPr>
              <w:t xml:space="preserve"> month</w:t>
            </w:r>
            <w:r w:rsidR="006C1571" w:rsidRPr="002F61BB">
              <w:rPr>
                <w:rFonts w:ascii="Times New Roman" w:eastAsia="Times New Roman" w:hAnsi="Times New Roman"/>
                <w:sz w:val="20"/>
                <w:szCs w:val="20"/>
              </w:rPr>
              <w:t xml:space="preserve">-6 months, </w:t>
            </w:r>
          </w:p>
          <w:p w14:paraId="7FE1BCD8" w14:textId="66817B18" w:rsidR="00CC0A94" w:rsidRPr="00CC0A94" w:rsidRDefault="006C1571" w:rsidP="002F61BB">
            <w:pPr>
              <w:pStyle w:val="ListParagraph"/>
              <w:numPr>
                <w:ilvl w:val="0"/>
                <w:numId w:val="286"/>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&gt;6 months  </w:t>
            </w:r>
          </w:p>
          <w:p w14:paraId="7FE1BCD9"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DD" w14:textId="77777777" w:rsidTr="6F08E959">
        <w:tc>
          <w:tcPr>
            <w:tcW w:w="1080" w:type="dxa"/>
            <w:tcBorders>
              <w:top w:val="single" w:sz="4" w:space="0" w:color="1A171C"/>
              <w:left w:val="nil"/>
              <w:bottom w:val="single" w:sz="4" w:space="0" w:color="1A171C"/>
              <w:right w:val="single" w:sz="4" w:space="0" w:color="1A171C"/>
            </w:tcBorders>
            <w:vAlign w:val="center"/>
          </w:tcPr>
          <w:p w14:paraId="7FE1BCD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Ability for substitution</w:t>
            </w:r>
          </w:p>
        </w:tc>
      </w:tr>
      <w:tr w:rsidR="00CC0A94" w14:paraId="7FE1BCE7" w14:textId="77777777" w:rsidTr="6F08E959">
        <w:tc>
          <w:tcPr>
            <w:tcW w:w="1080" w:type="dxa"/>
            <w:tcBorders>
              <w:top w:val="single" w:sz="4" w:space="0" w:color="1A171C"/>
              <w:left w:val="nil"/>
              <w:bottom w:val="single" w:sz="4" w:space="0" w:color="1A171C"/>
              <w:right w:val="single" w:sz="4" w:space="0" w:color="1A171C"/>
            </w:tcBorders>
            <w:vAlign w:val="center"/>
          </w:tcPr>
          <w:p w14:paraId="7FE1BCD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Legal barriers to entry or expansion</w:t>
            </w:r>
          </w:p>
          <w:p w14:paraId="7FE1BCE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E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lastRenderedPageBreak/>
              <w:t xml:space="preserve">Legal barriers for competitors to offer the service. Legal requirements for performing the business of credit institutions (e.g. banking licences or capital requirements) </w:t>
            </w:r>
            <w:r>
              <w:rPr>
                <w:rFonts w:ascii="Times New Roman" w:hAnsi="Times New Roman" w:cs="Times New Roman"/>
                <w:color w:val="000000" w:themeColor="text1"/>
                <w:sz w:val="20"/>
                <w:szCs w:val="20"/>
                <w:lang w:val="en-GB"/>
              </w:rPr>
              <w:t>are</w:t>
            </w:r>
            <w:r w:rsidRPr="002F61BB">
              <w:rPr>
                <w:rFonts w:ascii="Times New Roman" w:hAnsi="Times New Roman" w:cs="Times New Roman"/>
                <w:color w:val="000000" w:themeColor="text1"/>
                <w:sz w:val="20"/>
                <w:szCs w:val="20"/>
                <w:lang w:val="en-GB"/>
              </w:rPr>
              <w:t xml:space="preserve"> not </w:t>
            </w:r>
            <w:r>
              <w:rPr>
                <w:rFonts w:ascii="Times New Roman" w:hAnsi="Times New Roman" w:cs="Times New Roman"/>
                <w:color w:val="000000" w:themeColor="text1"/>
                <w:sz w:val="20"/>
                <w:szCs w:val="20"/>
                <w:lang w:val="en-GB"/>
              </w:rPr>
              <w:t>to</w:t>
            </w:r>
            <w:r w:rsidRPr="002F61BB">
              <w:rPr>
                <w:rFonts w:ascii="Times New Roman" w:hAnsi="Times New Roman" w:cs="Times New Roman"/>
                <w:color w:val="000000" w:themeColor="text1"/>
                <w:sz w:val="20"/>
                <w:szCs w:val="20"/>
                <w:lang w:val="en-GB"/>
              </w:rPr>
              <w:t xml:space="preserve"> be considered as unsurmountable barriers in the presence of alternative providers. This indicator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7FE1BCE2" w14:textId="67FD7AF2"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barriers, </w:t>
            </w:r>
          </w:p>
          <w:p w14:paraId="7FE1BCE3" w14:textId="6C8F8F76"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barriers, </w:t>
            </w:r>
          </w:p>
          <w:p w14:paraId="7FE1BCE4" w14:textId="389397E1"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barriers, </w:t>
            </w:r>
          </w:p>
          <w:p w14:paraId="7FE1BCE6" w14:textId="5882E7D2" w:rsidR="00CC0A94" w:rsidRPr="002F61BB" w:rsidRDefault="006C1571" w:rsidP="002F61BB">
            <w:pPr>
              <w:pStyle w:val="ListParagraph"/>
              <w:numPr>
                <w:ilvl w:val="0"/>
                <w:numId w:val="275"/>
              </w:numPr>
              <w:jc w:val="both"/>
              <w:rPr>
                <w:rFonts w:ascii="Times New Roman" w:hAnsi="Times New Roman"/>
                <w:color w:val="000000" w:themeColor="text1"/>
                <w:sz w:val="20"/>
                <w:szCs w:val="20"/>
              </w:rPr>
            </w:pPr>
            <w:r w:rsidRPr="002F61BB">
              <w:rPr>
                <w:rFonts w:ascii="Times New Roman" w:hAnsi="Times New Roman"/>
                <w:color w:val="000000" w:themeColor="text1"/>
                <w:sz w:val="20"/>
                <w:szCs w:val="20"/>
              </w:rPr>
              <w:t>critical (difficult to surmount) barriers.</w:t>
            </w:r>
          </w:p>
        </w:tc>
      </w:tr>
      <w:tr w:rsidR="00CC0A94" w14:paraId="7FE1BCF2" w14:textId="77777777" w:rsidTr="6F08E959">
        <w:tc>
          <w:tcPr>
            <w:tcW w:w="1080" w:type="dxa"/>
            <w:tcBorders>
              <w:top w:val="single" w:sz="4" w:space="0" w:color="1A171C"/>
              <w:left w:val="nil"/>
              <w:bottom w:val="single" w:sz="4" w:space="0" w:color="1A171C"/>
              <w:right w:val="single" w:sz="4" w:space="0" w:color="1A171C"/>
            </w:tcBorders>
            <w:vAlign w:val="center"/>
          </w:tcPr>
          <w:p w14:paraId="7FE1BCE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Operational requirements to entry or expansion</w:t>
            </w:r>
          </w:p>
          <w:p w14:paraId="7FE1BCEA"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EB" w14:textId="31044453"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in terms for example of capital requirements. </w:t>
            </w:r>
          </w:p>
          <w:p w14:paraId="7FE1BCEC"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indicator </w:t>
            </w:r>
            <w:proofErr w:type="gramStart"/>
            <w:r w:rsidRPr="002F61BB">
              <w:rPr>
                <w:rFonts w:ascii="Times New Roman" w:hAnsi="Times New Roman" w:cs="Times New Roman"/>
                <w:color w:val="000000" w:themeColor="text1"/>
                <w:sz w:val="20"/>
                <w:szCs w:val="20"/>
                <w:lang w:val="en-GB"/>
              </w:rPr>
              <w:t>has to</w:t>
            </w:r>
            <w:proofErr w:type="gramEnd"/>
            <w:r w:rsidRPr="002F61BB">
              <w:rPr>
                <w:rFonts w:ascii="Times New Roman" w:hAnsi="Times New Roman" w:cs="Times New Roman"/>
                <w:color w:val="000000" w:themeColor="text1"/>
                <w:sz w:val="20"/>
                <w:szCs w:val="20"/>
                <w:lang w:val="en-GB"/>
              </w:rPr>
              <w:t xml:space="preserve"> be reported in buckets, which are the same for each sub-function: </w:t>
            </w:r>
          </w:p>
          <w:p w14:paraId="7FE1BCED" w14:textId="5283E021"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requirements, </w:t>
            </w:r>
          </w:p>
          <w:p w14:paraId="7FE1BCEE" w14:textId="5ADAB5CD"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requirements, </w:t>
            </w:r>
          </w:p>
          <w:p w14:paraId="7FE1BCEF" w14:textId="579CC165"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requirements, </w:t>
            </w:r>
          </w:p>
          <w:p w14:paraId="7FE1BCF0" w14:textId="5F9F9690"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critical (difficult to surmount) requirements.</w:t>
            </w:r>
          </w:p>
          <w:p w14:paraId="7FE1BCF1"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F5" w14:textId="77777777" w:rsidTr="6F08E959">
        <w:tc>
          <w:tcPr>
            <w:tcW w:w="1080" w:type="dxa"/>
            <w:tcBorders>
              <w:top w:val="single" w:sz="4" w:space="0" w:color="1A171C"/>
              <w:left w:val="nil"/>
              <w:bottom w:val="single" w:sz="4" w:space="0" w:color="1A171C"/>
              <w:right w:val="single" w:sz="4" w:space="0" w:color="1A171C"/>
            </w:tcBorders>
            <w:vAlign w:val="center"/>
          </w:tcPr>
          <w:p w14:paraId="7FE1BCF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Criticality Assessment</w:t>
            </w:r>
          </w:p>
        </w:tc>
      </w:tr>
      <w:tr w:rsidR="00CC0A94" w14:paraId="7FE1BCFB" w14:textId="77777777" w:rsidTr="6F08E959">
        <w:tc>
          <w:tcPr>
            <w:tcW w:w="1080" w:type="dxa"/>
            <w:tcBorders>
              <w:top w:val="single" w:sz="4" w:space="0" w:color="1A171C"/>
              <w:left w:val="nil"/>
              <w:bottom w:val="single" w:sz="4" w:space="0" w:color="1A171C"/>
              <w:right w:val="single" w:sz="4" w:space="0" w:color="1A171C"/>
            </w:tcBorders>
            <w:vAlign w:val="center"/>
          </w:tcPr>
          <w:p w14:paraId="7FE1BCF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Impact on market </w:t>
            </w:r>
          </w:p>
          <w:p w14:paraId="7FE1BCF8"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Estimated impact of a sudden discontinuation of the function on third parties, financial markets and the real economy,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size, market share in the country, external and internal interconnectedness, complexity, and cross-border activities of the institution.</w:t>
            </w:r>
          </w:p>
          <w:p w14:paraId="7FE1BCF9" w14:textId="22534111"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assessment shall be expressed qualitatively as ‘High’, ‘Medium-High’, ‘Medium-Low’ or Low’.</w:t>
            </w:r>
          </w:p>
          <w:p w14:paraId="7FE1BCFA" w14:textId="60C791C3"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the discontinuation has a major impact on the national market; ‘M</w:t>
            </w:r>
            <w:r w:rsidR="00A5354C">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if the impact is significant; ‘M</w:t>
            </w:r>
            <w:r w:rsidR="00A5354C">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the impact is </w:t>
            </w:r>
            <w:proofErr w:type="gramStart"/>
            <w:r w:rsidRPr="002F61BB">
              <w:rPr>
                <w:rFonts w:ascii="Times New Roman" w:hAnsi="Times New Roman" w:cs="Times New Roman"/>
                <w:color w:val="000000" w:themeColor="text1"/>
                <w:sz w:val="20"/>
                <w:szCs w:val="20"/>
                <w:lang w:val="en-GB"/>
              </w:rPr>
              <w:t>material, but</w:t>
            </w:r>
            <w:proofErr w:type="gramEnd"/>
            <w:r w:rsidRPr="002F61BB">
              <w:rPr>
                <w:rFonts w:ascii="Times New Roman" w:hAnsi="Times New Roman" w:cs="Times New Roman"/>
                <w:color w:val="000000" w:themeColor="text1"/>
                <w:sz w:val="20"/>
                <w:szCs w:val="20"/>
                <w:lang w:val="en-GB"/>
              </w:rPr>
              <w:t xml:space="preserve"> limited; and ‘L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low.</w:t>
            </w:r>
          </w:p>
        </w:tc>
      </w:tr>
      <w:tr w:rsidR="00CC0A94" w14:paraId="7FE1BD08" w14:textId="77777777" w:rsidTr="6F08E959">
        <w:tc>
          <w:tcPr>
            <w:tcW w:w="1080" w:type="dxa"/>
            <w:tcBorders>
              <w:top w:val="single" w:sz="4" w:space="0" w:color="1A171C"/>
              <w:left w:val="nil"/>
              <w:bottom w:val="single" w:sz="4" w:space="0" w:color="1A171C"/>
              <w:right w:val="single" w:sz="4" w:space="0" w:color="1A171C"/>
            </w:tcBorders>
            <w:vAlign w:val="center"/>
          </w:tcPr>
          <w:p w14:paraId="7FE1BCF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Substitutability</w:t>
            </w:r>
          </w:p>
          <w:p w14:paraId="7FE1BCFE"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Article 6(3) of Delegated regulation (EU) 2016/778.</w:t>
            </w:r>
          </w:p>
          <w:p w14:paraId="7FE1BCFF"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function is considered substitutable where it can be replaced in an acceptable manner and within a reasonable timeframe thereby avoiding systemic problems for the real economy and the financial markets. The following shall be </w:t>
            </w:r>
            <w:proofErr w:type="gramStart"/>
            <w:r w:rsidRPr="002F61BB">
              <w:rPr>
                <w:rFonts w:ascii="Times New Roman" w:hAnsi="Times New Roman" w:cs="Times New Roman"/>
                <w:color w:val="000000" w:themeColor="text1"/>
                <w:sz w:val="20"/>
                <w:szCs w:val="20"/>
                <w:lang w:val="en-GB"/>
              </w:rPr>
              <w:t>taken into account</w:t>
            </w:r>
            <w:proofErr w:type="gramEnd"/>
            <w:r w:rsidRPr="002F61BB">
              <w:rPr>
                <w:rFonts w:ascii="Times New Roman" w:hAnsi="Times New Roman" w:cs="Times New Roman"/>
                <w:color w:val="000000" w:themeColor="text1"/>
                <w:sz w:val="20"/>
                <w:szCs w:val="20"/>
                <w:lang w:val="en-GB"/>
              </w:rPr>
              <w:t>:</w:t>
            </w:r>
          </w:p>
          <w:p w14:paraId="7FE1BD0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the structure of the market for that function and the availability of substitute </w:t>
            </w:r>
            <w:proofErr w:type="gramStart"/>
            <w:r w:rsidRPr="002F61BB">
              <w:rPr>
                <w:rFonts w:ascii="Times New Roman" w:hAnsi="Times New Roman" w:cs="Times New Roman"/>
                <w:color w:val="000000" w:themeColor="text1"/>
                <w:sz w:val="20"/>
                <w:szCs w:val="20"/>
                <w:lang w:val="en-GB"/>
              </w:rPr>
              <w:t>providers;</w:t>
            </w:r>
            <w:proofErr w:type="gramEnd"/>
            <w:r w:rsidRPr="002F61BB">
              <w:rPr>
                <w:rFonts w:ascii="Times New Roman" w:hAnsi="Times New Roman" w:cs="Times New Roman"/>
                <w:color w:val="000000" w:themeColor="text1"/>
                <w:sz w:val="20"/>
                <w:szCs w:val="20"/>
                <w:lang w:val="en-GB"/>
              </w:rPr>
              <w:t xml:space="preserve"> </w:t>
            </w:r>
          </w:p>
          <w:p w14:paraId="7FE1BD0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(b) the ability of other providers in terms of capacity, the requirements for performing the function, and potential barriers to entry or </w:t>
            </w:r>
            <w:proofErr w:type="gramStart"/>
            <w:r w:rsidRPr="002F61BB">
              <w:rPr>
                <w:rFonts w:ascii="Times New Roman" w:hAnsi="Times New Roman" w:cs="Times New Roman"/>
                <w:color w:val="000000" w:themeColor="text1"/>
                <w:sz w:val="20"/>
                <w:szCs w:val="20"/>
                <w:lang w:val="en-GB"/>
              </w:rPr>
              <w:t>expansion;</w:t>
            </w:r>
            <w:proofErr w:type="gramEnd"/>
            <w:r w:rsidRPr="002F61BB">
              <w:rPr>
                <w:rFonts w:ascii="Times New Roman" w:hAnsi="Times New Roman" w:cs="Times New Roman"/>
                <w:color w:val="000000" w:themeColor="text1"/>
                <w:sz w:val="20"/>
                <w:szCs w:val="20"/>
                <w:lang w:val="en-GB"/>
              </w:rPr>
              <w:t xml:space="preserve"> </w:t>
            </w:r>
          </w:p>
          <w:p w14:paraId="7FE1BD02"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 the incentive of other providers to take on these </w:t>
            </w:r>
            <w:proofErr w:type="gramStart"/>
            <w:r w:rsidRPr="002F61BB">
              <w:rPr>
                <w:rFonts w:ascii="Times New Roman" w:hAnsi="Times New Roman" w:cs="Times New Roman"/>
                <w:color w:val="000000" w:themeColor="text1"/>
                <w:sz w:val="20"/>
                <w:szCs w:val="20"/>
                <w:lang w:val="en-GB"/>
              </w:rPr>
              <w:t>activities;</w:t>
            </w:r>
            <w:proofErr w:type="gramEnd"/>
            <w:r w:rsidRPr="002F61BB">
              <w:rPr>
                <w:rFonts w:ascii="Times New Roman" w:hAnsi="Times New Roman" w:cs="Times New Roman"/>
                <w:color w:val="000000" w:themeColor="text1"/>
                <w:sz w:val="20"/>
                <w:szCs w:val="20"/>
                <w:lang w:val="en-GB"/>
              </w:rPr>
              <w:t xml:space="preserve"> </w:t>
            </w:r>
          </w:p>
          <w:p w14:paraId="7FE1BD0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D04" w14:textId="379B1AA4"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different dimensions assessed previously (market share, market concentration, time to substitution, legal barriers, and operational requirements to entry or expansion</w:t>
            </w:r>
            <w:proofErr w:type="gramStart"/>
            <w:r w:rsidRPr="002F61BB">
              <w:rPr>
                <w:rFonts w:ascii="Times New Roman" w:hAnsi="Times New Roman" w:cs="Times New Roman"/>
                <w:color w:val="000000" w:themeColor="text1"/>
                <w:sz w:val="20"/>
                <w:szCs w:val="20"/>
                <w:lang w:val="en-GB"/>
              </w:rPr>
              <w:t>) .</w:t>
            </w:r>
            <w:proofErr w:type="gramEnd"/>
            <w:r w:rsidRPr="002F61BB">
              <w:rPr>
                <w:rFonts w:ascii="Times New Roman" w:hAnsi="Times New Roman" w:cs="Times New Roman"/>
                <w:color w:val="000000" w:themeColor="text1"/>
                <w:sz w:val="20"/>
                <w:szCs w:val="20"/>
                <w:lang w:val="en-GB"/>
              </w:rPr>
              <w:t xml:space="preserve"> This assessment </w:t>
            </w:r>
            <w:r w:rsidRPr="002F61BB">
              <w:rPr>
                <w:rFonts w:ascii="Times New Roman" w:hAnsi="Times New Roman" w:cs="Times New Roman"/>
                <w:color w:val="000000" w:themeColor="text1"/>
                <w:sz w:val="20"/>
                <w:szCs w:val="20"/>
                <w:lang w:val="en-GB"/>
              </w:rPr>
              <w:lastRenderedPageBreak/>
              <w:t xml:space="preserve">shall be expressed qualitatively as ‘High’, ‘Medium-High’, ‘Medium-Low’ or Low’. </w:t>
            </w:r>
          </w:p>
          <w:p w14:paraId="7FE1BD05" w14:textId="3E0B01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xml:space="preserve">’ shall be selected if a function can easily be provided by another bank under comparable conditions within a reasonable </w:t>
            </w:r>
            <w:proofErr w:type="gramStart"/>
            <w:r w:rsidRPr="002F61BB">
              <w:rPr>
                <w:rFonts w:ascii="Times New Roman" w:hAnsi="Times New Roman" w:cs="Times New Roman"/>
                <w:color w:val="000000" w:themeColor="text1"/>
                <w:sz w:val="20"/>
                <w:szCs w:val="20"/>
                <w:lang w:val="en-GB"/>
              </w:rPr>
              <w:t>timeframe;</w:t>
            </w:r>
            <w:proofErr w:type="gramEnd"/>
          </w:p>
          <w:p w14:paraId="7FE1BD06" w14:textId="5459DD51"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a function cannot be easily or rapidly </w:t>
            </w:r>
            <w:proofErr w:type="gramStart"/>
            <w:r w:rsidRPr="002F61BB">
              <w:rPr>
                <w:rFonts w:ascii="Times New Roman" w:hAnsi="Times New Roman" w:cs="Times New Roman"/>
                <w:color w:val="000000" w:themeColor="text1"/>
                <w:sz w:val="20"/>
                <w:szCs w:val="20"/>
                <w:lang w:val="en-GB"/>
              </w:rPr>
              <w:t>substituted;</w:t>
            </w:r>
            <w:proofErr w:type="gramEnd"/>
            <w:r w:rsidRPr="002F61BB">
              <w:rPr>
                <w:rFonts w:ascii="Times New Roman" w:hAnsi="Times New Roman" w:cs="Times New Roman"/>
                <w:color w:val="000000" w:themeColor="text1"/>
                <w:sz w:val="20"/>
                <w:szCs w:val="20"/>
                <w:lang w:val="en-GB"/>
              </w:rPr>
              <w:t xml:space="preserve"> </w:t>
            </w:r>
          </w:p>
          <w:p w14:paraId="7FE1BD07" w14:textId="113A35A6"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‘M</w:t>
            </w:r>
            <w:r w:rsidR="00A5354C">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and ‘M</w:t>
            </w:r>
            <w:r w:rsidR="00A5354C">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for intermediate cases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different dimensions (e.g. market share, market concentration, time to substitution, as well as legal barriers to and operational requirements for entry or expansion).</w:t>
            </w:r>
          </w:p>
        </w:tc>
      </w:tr>
      <w:tr w:rsidR="00CC0A94" w14:paraId="7FE1BD0D" w14:textId="77777777" w:rsidTr="6F08E959">
        <w:tc>
          <w:tcPr>
            <w:tcW w:w="1080" w:type="dxa"/>
            <w:tcBorders>
              <w:top w:val="single" w:sz="4" w:space="0" w:color="1A171C"/>
              <w:left w:val="nil"/>
              <w:bottom w:val="single" w:sz="4" w:space="0" w:color="1A171C"/>
              <w:right w:val="single" w:sz="4" w:space="0" w:color="1A171C"/>
            </w:tcBorders>
            <w:vAlign w:val="center"/>
          </w:tcPr>
          <w:p w14:paraId="7FE1BD0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 Function</w:t>
            </w:r>
          </w:p>
          <w:p w14:paraId="7FE1BD0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In this column it shall be reported whether,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impact and substitutability analysis performed by the institution, the economic function </w:t>
            </w:r>
            <w:proofErr w:type="gramStart"/>
            <w:r w:rsidRPr="002F61BB">
              <w:rPr>
                <w:rFonts w:ascii="Times New Roman" w:hAnsi="Times New Roman" w:cs="Times New Roman"/>
                <w:color w:val="000000" w:themeColor="text1"/>
                <w:sz w:val="20"/>
                <w:szCs w:val="20"/>
                <w:lang w:val="en-GB"/>
              </w:rPr>
              <w:t>is considered to be</w:t>
            </w:r>
            <w:proofErr w:type="gramEnd"/>
            <w:r w:rsidRPr="002F61BB">
              <w:rPr>
                <w:rFonts w:ascii="Times New Roman" w:hAnsi="Times New Roman" w:cs="Times New Roman"/>
                <w:color w:val="000000" w:themeColor="text1"/>
                <w:sz w:val="20"/>
                <w:szCs w:val="20"/>
                <w:lang w:val="en-GB"/>
              </w:rPr>
              <w:t xml:space="preserve"> critical in the market for the relevant country.</w:t>
            </w:r>
          </w:p>
          <w:p w14:paraId="7FE1BD0C"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 ‘Yes’ or ‘No’</w:t>
            </w:r>
          </w:p>
        </w:tc>
      </w:tr>
      <w:tr w:rsidR="00CC0A94" w14:paraId="7FE1BD11" w14:textId="77777777" w:rsidTr="6F08E959">
        <w:tc>
          <w:tcPr>
            <w:tcW w:w="1080" w:type="dxa"/>
            <w:tcBorders>
              <w:top w:val="single" w:sz="4" w:space="0" w:color="1A171C"/>
              <w:left w:val="nil"/>
              <w:bottom w:val="single" w:sz="4" w:space="0" w:color="1A171C"/>
              <w:right w:val="single" w:sz="4" w:space="0" w:color="1A171C"/>
            </w:tcBorders>
            <w:vAlign w:val="center"/>
          </w:tcPr>
          <w:p w14:paraId="7FE1BD0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Comments from the Group</w:t>
            </w:r>
          </w:p>
          <w:p w14:paraId="7FE1BD1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D12" w14:textId="77777777" w:rsidR="00CC0A94" w:rsidRDefault="00CC0A94">
      <w:pPr>
        <w:rPr>
          <w:rFonts w:ascii="Times New Roman" w:hAnsi="Times New Roman" w:cs="Times New Roman"/>
          <w:color w:val="000000" w:themeColor="text1"/>
          <w:sz w:val="20"/>
          <w:szCs w:val="20"/>
          <w:lang w:val="en-GB"/>
        </w:rPr>
      </w:pPr>
    </w:p>
    <w:p w14:paraId="7FE1BD13" w14:textId="77777777" w:rsidR="00CC0A94" w:rsidRDefault="00CC0A94">
      <w:pPr>
        <w:rPr>
          <w:rFonts w:ascii="Times New Roman" w:hAnsi="Times New Roman" w:cs="Times New Roman"/>
          <w:color w:val="000000" w:themeColor="text1"/>
          <w:sz w:val="20"/>
          <w:szCs w:val="20"/>
          <w:lang w:val="en-GB"/>
        </w:rPr>
      </w:pPr>
    </w:p>
    <w:p w14:paraId="7FE1BD14" w14:textId="168C612B" w:rsidR="00CC0A94" w:rsidRDefault="006C1571">
      <w:pPr>
        <w:pStyle w:val="Instructionsberschrift2"/>
        <w:rPr>
          <w:rFonts w:ascii="Times New Roman" w:hAnsi="Times New Roman" w:cs="Times New Roman"/>
        </w:rPr>
      </w:pPr>
      <w:bookmarkStart w:id="121" w:name="_Toc192249056"/>
      <w:r>
        <w:rPr>
          <w:rFonts w:ascii="Times New Roman" w:hAnsi="Times New Roman" w:cs="Times New Roman"/>
        </w:rPr>
        <w:t>II.13</w:t>
      </w:r>
      <w:r>
        <w:rPr>
          <w:rFonts w:ascii="Times New Roman" w:hAnsi="Times New Roman" w:cs="Times New Roman"/>
        </w:rPr>
        <w:tab/>
      </w:r>
      <w:r w:rsidR="00D34E5E">
        <w:rPr>
          <w:rFonts w:ascii="Times New Roman" w:hAnsi="Times New Roman" w:cs="Times New Roman"/>
        </w:rPr>
        <w:t>Z 0</w:t>
      </w:r>
      <w:r>
        <w:rPr>
          <w:rFonts w:ascii="Times New Roman" w:hAnsi="Times New Roman" w:cs="Times New Roman"/>
        </w:rPr>
        <w:t>7.</w:t>
      </w:r>
      <w:r w:rsidR="00D34E5E">
        <w:rPr>
          <w:rFonts w:ascii="Times New Roman" w:hAnsi="Times New Roman" w:cs="Times New Roman"/>
        </w:rPr>
        <w:t>0</w:t>
      </w:r>
      <w:r>
        <w:rPr>
          <w:rFonts w:ascii="Times New Roman" w:hAnsi="Times New Roman" w:cs="Times New Roman"/>
        </w:rPr>
        <w:t>1</w:t>
      </w:r>
      <w:r w:rsidR="00D34E5E">
        <w:rPr>
          <w:rFonts w:ascii="Times New Roman" w:hAnsi="Times New Roman" w:cs="Times New Roman"/>
        </w:rPr>
        <w:t>.5</w:t>
      </w:r>
      <w:r>
        <w:rPr>
          <w:rFonts w:ascii="Times New Roman" w:hAnsi="Times New Roman" w:cs="Times New Roman"/>
        </w:rPr>
        <w:t xml:space="preserve"> FUNC 1 WF</w:t>
      </w:r>
      <w:bookmarkEnd w:id="121"/>
    </w:p>
    <w:p w14:paraId="7FE1BD1C" w14:textId="77777777" w:rsidR="00CC0A94" w:rsidRDefault="00CC0A94">
      <w:pPr>
        <w:rPr>
          <w:rFonts w:ascii="Times New Roman" w:hAnsi="Times New Roman" w:cs="Times New Roman"/>
          <w:color w:val="000000" w:themeColor="text1"/>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D1F"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D23" w14:textId="77777777" w:rsidTr="6F08E959">
        <w:tc>
          <w:tcPr>
            <w:tcW w:w="1080" w:type="dxa"/>
            <w:tcBorders>
              <w:top w:val="single" w:sz="4" w:space="0" w:color="1A171C"/>
              <w:left w:val="nil"/>
              <w:bottom w:val="single" w:sz="4" w:space="0" w:color="1A171C"/>
              <w:right w:val="single" w:sz="4" w:space="0" w:color="1A171C"/>
            </w:tcBorders>
            <w:vAlign w:val="center"/>
          </w:tcPr>
          <w:p w14:paraId="7FE1BD2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D22" w14:textId="3E7FC74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Economic function is of the type ‘Other’ (</w:t>
            </w:r>
            <w:r w:rsidR="001B542E" w:rsidRPr="002F61BB">
              <w:rPr>
                <w:rFonts w:ascii="Times New Roman" w:eastAsia="Cambria" w:hAnsi="Times New Roman" w:cs="Times New Roman"/>
                <w:color w:val="000000" w:themeColor="text1"/>
                <w:spacing w:val="-2"/>
                <w:w w:val="95"/>
                <w:sz w:val="20"/>
                <w:szCs w:val="20"/>
                <w:lang w:val="en-GB"/>
              </w:rPr>
              <w:t>Z 07.01.5 FUNC 1 WF r0360 to r0380</w:t>
            </w:r>
            <w:r>
              <w:rPr>
                <w:rFonts w:ascii="Times New Roman" w:eastAsia="Cambria" w:hAnsi="Times New Roman" w:cs="Times New Roman"/>
                <w:color w:val="000000" w:themeColor="text1"/>
                <w:spacing w:val="-2"/>
                <w:w w:val="95"/>
                <w:sz w:val="20"/>
                <w:szCs w:val="20"/>
                <w:lang w:val="en-GB"/>
              </w:rPr>
              <w:t xml:space="preserve">), a description of that function shall be provided. </w:t>
            </w:r>
          </w:p>
        </w:tc>
      </w:tr>
      <w:tr w:rsidR="00CC0A94" w14:paraId="7FE1BD27" w14:textId="77777777" w:rsidTr="6F08E959">
        <w:tc>
          <w:tcPr>
            <w:tcW w:w="1080" w:type="dxa"/>
            <w:tcBorders>
              <w:top w:val="single" w:sz="4" w:space="0" w:color="1A171C"/>
              <w:left w:val="nil"/>
              <w:bottom w:val="single" w:sz="4" w:space="0" w:color="1A171C"/>
              <w:right w:val="single" w:sz="4" w:space="0" w:color="1A171C"/>
            </w:tcBorders>
            <w:vAlign w:val="center"/>
          </w:tcPr>
          <w:p w14:paraId="7FE1BD2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D26" w14:textId="470CCD5A"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sidRPr="029F4E13">
              <w:rPr>
                <w:rFonts w:ascii="Times New Roman" w:eastAsia="Cambria" w:hAnsi="Times New Roman" w:cs="Times New Roman"/>
                <w:color w:val="000000" w:themeColor="text1"/>
                <w:sz w:val="20"/>
                <w:szCs w:val="20"/>
                <w:lang w:val="en-GB"/>
              </w:rPr>
              <w:t>Estimate of the market share of the institution or group for the economic function in the respective country or geographic area. A percentage of the total market in terms</w:t>
            </w:r>
            <w:r w:rsidR="00695A00">
              <w:rPr>
                <w:rFonts w:ascii="Times New Roman" w:eastAsia="Cambria" w:hAnsi="Times New Roman" w:cs="Times New Roman"/>
                <w:color w:val="000000" w:themeColor="text1"/>
                <w:sz w:val="20"/>
                <w:szCs w:val="20"/>
                <w:lang w:val="en-GB"/>
              </w:rPr>
              <w:t xml:space="preserve"> of</w:t>
            </w:r>
            <w:r w:rsidRPr="029F4E13">
              <w:rPr>
                <w:rFonts w:ascii="Times New Roman" w:eastAsia="Cambria" w:hAnsi="Times New Roman" w:cs="Times New Roman"/>
                <w:color w:val="000000" w:themeColor="text1"/>
                <w:sz w:val="20"/>
                <w:szCs w:val="20"/>
                <w:lang w:val="en-GB"/>
              </w:rPr>
              <w:t xml:space="preserve"> the </w:t>
            </w:r>
            <w:r w:rsidR="203AB394" w:rsidRPr="029F4E13">
              <w:rPr>
                <w:rFonts w:ascii="Times New Roman" w:eastAsia="Cambria" w:hAnsi="Times New Roman" w:cs="Times New Roman"/>
                <w:color w:val="000000" w:themeColor="text1"/>
                <w:sz w:val="20"/>
                <w:szCs w:val="20"/>
                <w:lang w:val="en-GB"/>
              </w:rPr>
              <w:t>gross carrying amount</w:t>
            </w:r>
            <w:r w:rsidRPr="029F4E13">
              <w:rPr>
                <w:rFonts w:ascii="Times New Roman" w:eastAsia="Cambria" w:hAnsi="Times New Roman" w:cs="Times New Roman"/>
                <w:color w:val="000000" w:themeColor="text1"/>
                <w:sz w:val="20"/>
                <w:szCs w:val="20"/>
                <w:lang w:val="en-GB"/>
              </w:rPr>
              <w:t>.</w:t>
            </w:r>
          </w:p>
        </w:tc>
      </w:tr>
      <w:tr w:rsidR="00CC0A94" w14:paraId="7FE1BD31" w14:textId="77777777" w:rsidTr="6F08E959">
        <w:tc>
          <w:tcPr>
            <w:tcW w:w="1080" w:type="dxa"/>
            <w:tcBorders>
              <w:top w:val="single" w:sz="4" w:space="0" w:color="1A171C"/>
              <w:left w:val="nil"/>
              <w:bottom w:val="single" w:sz="4" w:space="0" w:color="1A171C"/>
              <w:right w:val="single" w:sz="4" w:space="0" w:color="1A171C"/>
            </w:tcBorders>
            <w:vAlign w:val="center"/>
          </w:tcPr>
          <w:p w14:paraId="7FE1BD2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Gross carrying amount</w:t>
            </w:r>
          </w:p>
          <w:p w14:paraId="7FE1BD2A"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Use gross carrying amount as defined in FINREP’. </w:t>
            </w:r>
          </w:p>
          <w:p w14:paraId="7FE1BD2B"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References: FINREP: Annex V Part 1, paragraph 34, FINREP: Annex III, IV, Templates: </w:t>
            </w:r>
          </w:p>
          <w:p w14:paraId="7FE1BD2C"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Borrowing (5.1): Template F 20.06 column 010 rows 100+110, all countries.</w:t>
            </w:r>
          </w:p>
          <w:p w14:paraId="7FE1BD2D"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Derivatives (assets) (5.2): Template F20.04 column 010 row 010, all countries.</w:t>
            </w:r>
          </w:p>
          <w:p w14:paraId="7FE1BD2E"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 Lending (5.3): Template F 20.04, column 010 rows 170+180, all countries. </w:t>
            </w:r>
          </w:p>
          <w:p w14:paraId="7FE1BD30" w14:textId="58CF223C"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Derivatives (liabilities) (5.4): Template F 20.06, column 010, row 010, all countries.</w:t>
            </w:r>
          </w:p>
        </w:tc>
      </w:tr>
      <w:tr w:rsidR="00CC0A94" w14:paraId="7FE1BD35" w14:textId="77777777" w:rsidTr="6F08E959">
        <w:tc>
          <w:tcPr>
            <w:tcW w:w="1080" w:type="dxa"/>
            <w:tcBorders>
              <w:top w:val="single" w:sz="4" w:space="0" w:color="1A171C"/>
              <w:left w:val="nil"/>
              <w:bottom w:val="single" w:sz="4" w:space="0" w:color="1A171C"/>
              <w:right w:val="single" w:sz="4" w:space="0" w:color="1A171C"/>
            </w:tcBorders>
            <w:vAlign w:val="center"/>
          </w:tcPr>
          <w:p w14:paraId="7FE1BD3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Number of Counterparties</w:t>
            </w:r>
          </w:p>
          <w:p w14:paraId="7FE1BD34"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Total number of counterparties. If one counterparty has more than one account and/or more than one transaction, the counterparty shall be counted only once.</w:t>
            </w:r>
          </w:p>
        </w:tc>
      </w:tr>
      <w:tr w:rsidR="00CC0A94" w14:paraId="7FE1BD43" w14:textId="77777777" w:rsidTr="6F08E959">
        <w:tc>
          <w:tcPr>
            <w:tcW w:w="1080" w:type="dxa"/>
            <w:tcBorders>
              <w:top w:val="single" w:sz="4" w:space="0" w:color="1A171C"/>
              <w:left w:val="nil"/>
              <w:bottom w:val="single" w:sz="4" w:space="0" w:color="1A171C"/>
              <w:right w:val="single" w:sz="4" w:space="0" w:color="1A171C"/>
            </w:tcBorders>
            <w:vAlign w:val="center"/>
          </w:tcPr>
          <w:p w14:paraId="7FE1BD3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(Reverse) repurchase agreements</w:t>
            </w:r>
          </w:p>
          <w:p w14:paraId="7FE1BD38"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Report </w:t>
            </w:r>
            <w:proofErr w:type="gramStart"/>
            <w:r>
              <w:rPr>
                <w:rFonts w:ascii="Times New Roman" w:hAnsi="Times New Roman" w:cs="Times New Roman"/>
                <w:color w:val="000000" w:themeColor="text1"/>
                <w:sz w:val="20"/>
                <w:szCs w:val="20"/>
                <w:lang w:val="en-GB"/>
              </w:rPr>
              <w:t>repurchase</w:t>
            </w:r>
            <w:proofErr w:type="gramEnd"/>
            <w:r>
              <w:rPr>
                <w:rFonts w:ascii="Times New Roman" w:hAnsi="Times New Roman" w:cs="Times New Roman"/>
                <w:color w:val="000000" w:themeColor="text1"/>
                <w:sz w:val="20"/>
                <w:szCs w:val="20"/>
                <w:lang w:val="en-GB"/>
              </w:rPr>
              <w:t xml:space="preserve"> agreements under wholesale borrowing. Repurchase</w:t>
            </w:r>
          </w:p>
          <w:p w14:paraId="7FE1BD39"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agreements mean cash received in exchange for securities sold at a given price under a</w:t>
            </w:r>
          </w:p>
          <w:p w14:paraId="7FE1BD3A"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firm commitment to repurchase the same (or similar) securities at a fixed price on a</w:t>
            </w:r>
          </w:p>
          <w:p w14:paraId="7FE1BD3B"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specified future date. </w:t>
            </w:r>
          </w:p>
          <w:p w14:paraId="7FE1BD3C"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Report reverse </w:t>
            </w:r>
            <w:proofErr w:type="gramStart"/>
            <w:r>
              <w:rPr>
                <w:rFonts w:ascii="Times New Roman" w:hAnsi="Times New Roman" w:cs="Times New Roman"/>
                <w:color w:val="000000" w:themeColor="text1"/>
                <w:sz w:val="20"/>
                <w:szCs w:val="20"/>
                <w:lang w:val="en-GB"/>
              </w:rPr>
              <w:t>repurchase</w:t>
            </w:r>
            <w:proofErr w:type="gramEnd"/>
            <w:r>
              <w:rPr>
                <w:rFonts w:ascii="Times New Roman" w:hAnsi="Times New Roman" w:cs="Times New Roman"/>
                <w:color w:val="000000" w:themeColor="text1"/>
                <w:sz w:val="20"/>
                <w:szCs w:val="20"/>
                <w:lang w:val="en-GB"/>
              </w:rPr>
              <w:t xml:space="preserve"> loans under wholesale lending. Reverse repurchase loans mean finance granted in exchange for securities bought</w:t>
            </w:r>
          </w:p>
          <w:p w14:paraId="7FE1BD3D"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under repurchase agreements or borrowed under securities lending agreements.</w:t>
            </w:r>
          </w:p>
          <w:p w14:paraId="7FE1BD3E"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Background references: Regulation (2015/2365) on transparency of securities financing</w:t>
            </w:r>
          </w:p>
          <w:p w14:paraId="7FE1BD3F"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transactions and of reuse Art. 3(9); FINREP: Annex V. Part 2. Chapter 5, paragraph 85(e)</w:t>
            </w:r>
          </w:p>
          <w:p w14:paraId="7FE1BD40"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and chapter 14, paragraph 183; FINREP Annex III:</w:t>
            </w:r>
          </w:p>
          <w:p w14:paraId="7FE1BD41" w14:textId="77777777" w:rsidR="00CC0A94"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Repurchase agreements: Table 08.01 columns 010+020+030 rows 200+250.</w:t>
            </w:r>
          </w:p>
          <w:p w14:paraId="7FE1BD42" w14:textId="77777777" w:rsidR="00CC0A94"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Reverse </w:t>
            </w:r>
            <w:proofErr w:type="gramStart"/>
            <w:r>
              <w:rPr>
                <w:rFonts w:ascii="Times New Roman" w:hAnsi="Times New Roman" w:cs="Times New Roman"/>
                <w:color w:val="000000" w:themeColor="text1"/>
                <w:sz w:val="20"/>
                <w:szCs w:val="20"/>
                <w:lang w:val="en-GB"/>
              </w:rPr>
              <w:t>repurchase</w:t>
            </w:r>
            <w:proofErr w:type="gramEnd"/>
            <w:r>
              <w:rPr>
                <w:rFonts w:ascii="Times New Roman" w:hAnsi="Times New Roman" w:cs="Times New Roman"/>
                <w:color w:val="000000" w:themeColor="text1"/>
                <w:sz w:val="20"/>
                <w:szCs w:val="20"/>
                <w:lang w:val="en-GB"/>
              </w:rPr>
              <w:t xml:space="preserve"> agreements: Table 05.00 columns 030+040 row 050.</w:t>
            </w:r>
          </w:p>
        </w:tc>
      </w:tr>
      <w:tr w:rsidR="00CC0A94" w14:paraId="7FE1BD47" w14:textId="77777777" w:rsidTr="6F08E959">
        <w:tc>
          <w:tcPr>
            <w:tcW w:w="1080" w:type="dxa"/>
            <w:tcBorders>
              <w:top w:val="single" w:sz="4" w:space="0" w:color="1A171C"/>
              <w:left w:val="nil"/>
              <w:bottom w:val="single" w:sz="4" w:space="0" w:color="1A171C"/>
              <w:right w:val="single" w:sz="4" w:space="0" w:color="1A171C"/>
            </w:tcBorders>
            <w:vAlign w:val="center"/>
          </w:tcPr>
          <w:p w14:paraId="7FE1BD44" w14:textId="1D61499E"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Cross-border value</w:t>
            </w:r>
          </w:p>
          <w:p w14:paraId="7FE1BD46" w14:textId="77777777" w:rsidR="00CC0A94" w:rsidRPr="002F61BB" w:rsidRDefault="006C1571">
            <w:pPr>
              <w:pStyle w:val="TableParagraph"/>
              <w:spacing w:before="108"/>
              <w:jc w:val="both"/>
              <w:rPr>
                <w:rFonts w:ascii="Times New Roman" w:hAnsi="Times New Roman" w:cs="Times New Roman"/>
              </w:rPr>
            </w:pPr>
            <w:r>
              <w:rPr>
                <w:rFonts w:ascii="Times New Roman" w:hAnsi="Times New Roman" w:cs="Times New Roman"/>
                <w:color w:val="000000" w:themeColor="text1"/>
                <w:sz w:val="20"/>
                <w:szCs w:val="20"/>
                <w:lang w:val="en-GB"/>
              </w:rPr>
              <w:t>Add the gross carrying amounts of all countries, except for the home or relevant country.</w:t>
            </w:r>
          </w:p>
        </w:tc>
      </w:tr>
      <w:tr w:rsidR="00CC0A94" w14:paraId="7FE1BD51" w14:textId="77777777" w:rsidTr="6F08E959">
        <w:tc>
          <w:tcPr>
            <w:tcW w:w="1080" w:type="dxa"/>
            <w:tcBorders>
              <w:top w:val="single" w:sz="4" w:space="0" w:color="1A171C"/>
              <w:left w:val="nil"/>
              <w:bottom w:val="single" w:sz="4" w:space="0" w:color="1A171C"/>
              <w:right w:val="single" w:sz="4" w:space="0" w:color="1A171C"/>
            </w:tcBorders>
            <w:vAlign w:val="center"/>
          </w:tcPr>
          <w:p w14:paraId="7FE1BD4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Value at Credit Institutions</w:t>
            </w:r>
          </w:p>
          <w:p w14:paraId="7FE1BD4A"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Gross carrying amount outstanding at credit institutions. Sector definition according to</w:t>
            </w:r>
          </w:p>
          <w:p w14:paraId="7FE1BD4B"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FINREP (Annex V). </w:t>
            </w:r>
          </w:p>
          <w:p w14:paraId="7FE1BD4C"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Background references: FINREP: Annex III:</w:t>
            </w:r>
          </w:p>
          <w:p w14:paraId="7FE1BD4D" w14:textId="77777777" w:rsidR="00CC0A94"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Borrowing: Table 20.06, column 010, row 100, all countries.</w:t>
            </w:r>
          </w:p>
          <w:p w14:paraId="7FE1BD4E" w14:textId="77777777" w:rsidR="00CC0A94"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Derivatives (assets): Table 20.04, column 010, row 020, all countries.</w:t>
            </w:r>
          </w:p>
          <w:p w14:paraId="7FE1BD4F" w14:textId="77777777" w:rsidR="00CC0A94" w:rsidRDefault="006C1571">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Lending: Table 20.04, column 010, row 170, all countries.</w:t>
            </w:r>
          </w:p>
          <w:p w14:paraId="7FE1BD50" w14:textId="77777777" w:rsidR="00CC0A94" w:rsidRPr="002F61BB"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Derivatives liabilities: Table 20.06, column 010, row 020, all countries.</w:t>
            </w:r>
          </w:p>
        </w:tc>
      </w:tr>
      <w:tr w:rsidR="00CC0A94" w14:paraId="7FE1BD5A" w14:textId="77777777" w:rsidTr="6F08E959">
        <w:tc>
          <w:tcPr>
            <w:tcW w:w="1080" w:type="dxa"/>
            <w:tcBorders>
              <w:top w:val="single" w:sz="4" w:space="0" w:color="1A171C"/>
              <w:left w:val="nil"/>
              <w:bottom w:val="single" w:sz="4" w:space="0" w:color="1A171C"/>
              <w:right w:val="single" w:sz="4" w:space="0" w:color="1A171C"/>
            </w:tcBorders>
            <w:vAlign w:val="center"/>
          </w:tcPr>
          <w:p w14:paraId="7FE1BD5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0080 - 0150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Impact and Substitutability analyses</w:t>
            </w:r>
          </w:p>
          <w:p w14:paraId="7FE1BD54"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The assessment criteria for the impact on third parties shall include the following elements in accordance with Commission Delegated Regulation (EU) 2016/778 on critical functions:</w:t>
            </w:r>
          </w:p>
          <w:p w14:paraId="7FE1BD55"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nature and reach of the activity, the global, national or regional reach, volume and number of transactions; the number of customers and counterparties; the number of customers for which the institution is the only or principal banking partner.</w:t>
            </w:r>
          </w:p>
          <w:p w14:paraId="7FE1BD56"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relevance of the institution, on a local, regional, national or European level, as appropriate for the market concerned. The relevance of the institution may be assessed </w:t>
            </w:r>
            <w:proofErr w:type="gramStart"/>
            <w:r w:rsidRPr="002F61BB">
              <w:rPr>
                <w:rFonts w:ascii="Times New Roman" w:eastAsiaTheme="minorHAnsi" w:hAnsi="Times New Roman"/>
                <w:color w:val="000000" w:themeColor="text1"/>
                <w:sz w:val="20"/>
                <w:szCs w:val="20"/>
              </w:rPr>
              <w:t>on the basis of</w:t>
            </w:r>
            <w:proofErr w:type="gramEnd"/>
            <w:r w:rsidRPr="002F61BB">
              <w:rPr>
                <w:rFonts w:ascii="Times New Roman" w:eastAsiaTheme="minorHAnsi" w:hAnsi="Times New Roman"/>
                <w:color w:val="000000" w:themeColor="text1"/>
                <w:sz w:val="20"/>
                <w:szCs w:val="20"/>
              </w:rPr>
              <w:t xml:space="preserve"> the market share, the interconnectedness, the complexity and cross- border activities.</w:t>
            </w:r>
          </w:p>
          <w:p w14:paraId="7FE1BD57"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nature of the customers and stakeholders affected by the function, such as but not limited to retail customers, corporate customers, interbank customers, central clearing houses and public entities. </w:t>
            </w:r>
          </w:p>
          <w:p w14:paraId="7FE1BD58"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potential disruption of the function on markets, infrastructures, customers and public services.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D59"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5E" w14:textId="77777777" w:rsidTr="6F08E959">
        <w:tc>
          <w:tcPr>
            <w:tcW w:w="1080" w:type="dxa"/>
            <w:tcBorders>
              <w:top w:val="single" w:sz="4" w:space="0" w:color="1A171C"/>
              <w:left w:val="nil"/>
              <w:bottom w:val="single" w:sz="4" w:space="0" w:color="1A171C"/>
              <w:right w:val="single" w:sz="4" w:space="0" w:color="1A171C"/>
            </w:tcBorders>
            <w:vAlign w:val="center"/>
          </w:tcPr>
          <w:p w14:paraId="7FE1BD5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0080 - 0100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 xml:space="preserve">Nature and Reach </w:t>
            </w:r>
          </w:p>
          <w:p w14:paraId="7FE1BD5D"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The global, national or regional reach, volume and number of transactions; the number of customers and counterparties; the number of customers for which the institution is the only or principal banking partner.</w:t>
            </w:r>
          </w:p>
        </w:tc>
      </w:tr>
      <w:tr w:rsidR="00CC0A94" w14:paraId="7FE1BD65" w14:textId="77777777" w:rsidTr="6F08E959">
        <w:tc>
          <w:tcPr>
            <w:tcW w:w="1080" w:type="dxa"/>
            <w:tcBorders>
              <w:top w:val="single" w:sz="4" w:space="0" w:color="1A171C"/>
              <w:left w:val="nil"/>
              <w:bottom w:val="single" w:sz="4" w:space="0" w:color="1A171C"/>
              <w:right w:val="single" w:sz="4" w:space="0" w:color="1A171C"/>
            </w:tcBorders>
            <w:vAlign w:val="center"/>
          </w:tcPr>
          <w:p w14:paraId="7FE1BD5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Size Indicator 1</w:t>
            </w:r>
          </w:p>
          <w:p w14:paraId="611DAB08"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D61" w14:textId="0497CCAC"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 </w:t>
            </w:r>
          </w:p>
          <w:p w14:paraId="7FE1BD62" w14:textId="77777777" w:rsidR="00CC0A94" w:rsidRDefault="006C1571">
            <w:pPr>
              <w:pStyle w:val="ListParagraph"/>
              <w:numPr>
                <w:ilvl w:val="0"/>
                <w:numId w:val="125"/>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value</w:t>
            </w:r>
            <w:r>
              <w:rPr>
                <w:rFonts w:ascii="Times New Roman" w:eastAsia="Times New Roman" w:hAnsi="Times New Roman"/>
                <w:sz w:val="20"/>
                <w:szCs w:val="20"/>
              </w:rPr>
              <w:t xml:space="preserve"> of the gross carrying amount of reporting institution (c0030) from a </w:t>
            </w:r>
            <w:r>
              <w:rPr>
                <w:rFonts w:ascii="Times New Roman" w:eastAsia="Times New Roman" w:hAnsi="Times New Roman"/>
                <w:b/>
                <w:bCs/>
                <w:sz w:val="20"/>
                <w:szCs w:val="20"/>
              </w:rPr>
              <w:t>global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one level higher than the relevant market. If the relevant market is global, then size 1 becomes redundant and does not need to be reported]</w:t>
            </w:r>
            <w:r>
              <w:rPr>
                <w:rFonts w:ascii="Times New Roman" w:eastAsia="Times New Roman" w:hAnsi="Times New Roman"/>
                <w:sz w:val="20"/>
                <w:szCs w:val="20"/>
              </w:rPr>
              <w:t>:</w:t>
            </w:r>
          </w:p>
          <w:p w14:paraId="7FE1BD63" w14:textId="77777777" w:rsidR="00CC0A94" w:rsidRDefault="006C1571">
            <w:pPr>
              <w:pStyle w:val="ListParagraph"/>
              <w:numPr>
                <w:ilvl w:val="1"/>
                <w:numId w:val="125"/>
              </w:numPr>
              <w:spacing w:line="276" w:lineRule="auto"/>
              <w:rPr>
                <w:rFonts w:ascii="Times New Roman" w:eastAsia="Times New Roman" w:hAnsi="Times New Roman"/>
                <w:sz w:val="20"/>
                <w:szCs w:val="20"/>
              </w:rPr>
            </w:pPr>
            <w:r>
              <w:rPr>
                <w:rFonts w:ascii="Times New Roman" w:eastAsia="Times New Roman" w:hAnsi="Times New Roman"/>
                <w:sz w:val="20"/>
                <w:szCs w:val="20"/>
              </w:rPr>
              <w:t>From a global perspective, how large do you believe the gross carrying amount of the reporting entity is?</w:t>
            </w:r>
          </w:p>
          <w:p w14:paraId="7FE1BD64"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6C" w14:textId="77777777" w:rsidTr="6F08E959">
        <w:tc>
          <w:tcPr>
            <w:tcW w:w="1080" w:type="dxa"/>
            <w:tcBorders>
              <w:top w:val="single" w:sz="4" w:space="0" w:color="1A171C"/>
              <w:left w:val="nil"/>
              <w:bottom w:val="single" w:sz="4" w:space="0" w:color="1A171C"/>
              <w:right w:val="single" w:sz="4" w:space="0" w:color="1A171C"/>
            </w:tcBorders>
            <w:vAlign w:val="center"/>
          </w:tcPr>
          <w:p w14:paraId="7FE1BD6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Size Indicator 2</w:t>
            </w:r>
          </w:p>
          <w:p w14:paraId="75C87AE7"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proofErr w:type="gramStart"/>
            <w:r>
              <w:rPr>
                <w:rFonts w:ascii="Times New Roman" w:eastAsia="Times New Roman" w:hAnsi="Times New Roman" w:cs="Times New Roman"/>
                <w:sz w:val="20"/>
                <w:szCs w:val="20"/>
                <w:lang w:val="en-GB"/>
              </w:rPr>
              <w:t>’ ,</w:t>
            </w:r>
            <w:proofErr w:type="gramEnd"/>
            <w:r>
              <w:rPr>
                <w:rFonts w:ascii="Times New Roman" w:eastAsia="Times New Roman" w:hAnsi="Times New Roman" w:cs="Times New Roman"/>
                <w:sz w:val="20"/>
                <w:szCs w:val="20"/>
                <w:lang w:val="en-GB"/>
              </w:rPr>
              <w:t xml:space="preserve">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D68" w14:textId="10683EF9"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 </w:t>
            </w:r>
          </w:p>
          <w:p w14:paraId="7FE1BD69" w14:textId="77777777" w:rsidR="00CC0A94" w:rsidRDefault="006C1571">
            <w:pPr>
              <w:pStyle w:val="ListParagraph"/>
              <w:numPr>
                <w:ilvl w:val="0"/>
                <w:numId w:val="119"/>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counterparties or transactions (c0040)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D6A" w14:textId="77777777" w:rsidR="00CC0A94" w:rsidRDefault="006C1571">
            <w:pPr>
              <w:pStyle w:val="ListParagraph"/>
              <w:numPr>
                <w:ilvl w:val="1"/>
                <w:numId w:val="119"/>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number of counterparties of your institutions?</w:t>
            </w:r>
          </w:p>
          <w:p w14:paraId="7FE1BD6B"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73" w14:textId="77777777" w:rsidTr="6F08E959">
        <w:tc>
          <w:tcPr>
            <w:tcW w:w="1080" w:type="dxa"/>
            <w:tcBorders>
              <w:top w:val="single" w:sz="4" w:space="0" w:color="1A171C"/>
              <w:left w:val="nil"/>
              <w:bottom w:val="single" w:sz="4" w:space="0" w:color="1A171C"/>
              <w:right w:val="single" w:sz="4" w:space="0" w:color="1A171C"/>
            </w:tcBorders>
            <w:vAlign w:val="center"/>
          </w:tcPr>
          <w:p w14:paraId="7FE1BD6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Cross border indicator</w:t>
            </w:r>
          </w:p>
          <w:p w14:paraId="7FE1BD6F"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Assess the relative importance of cross-border activities for the different economic functions.</w:t>
            </w:r>
          </w:p>
          <w:p w14:paraId="7FE1BD70"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This does not need to be assessed in case of reports in which the relevant market </w:t>
            </w:r>
            <w:proofErr w:type="gramStart"/>
            <w:r w:rsidRPr="002F61BB">
              <w:rPr>
                <w:rFonts w:ascii="Times New Roman" w:eastAsiaTheme="minorHAnsi" w:hAnsi="Times New Roman" w:cs="Times New Roman"/>
                <w:color w:val="000000" w:themeColor="text1"/>
                <w:sz w:val="20"/>
                <w:szCs w:val="20"/>
                <w:lang w:val="en-GB"/>
              </w:rPr>
              <w:t>is considered to be</w:t>
            </w:r>
            <w:proofErr w:type="gramEnd"/>
            <w:r w:rsidRPr="002F61BB">
              <w:rPr>
                <w:rFonts w:ascii="Times New Roman" w:eastAsiaTheme="minorHAnsi" w:hAnsi="Times New Roman" w:cs="Times New Roman"/>
                <w:color w:val="000000" w:themeColor="text1"/>
                <w:sz w:val="20"/>
                <w:szCs w:val="20"/>
                <w:lang w:val="en-GB"/>
              </w:rPr>
              <w:t xml:space="preserve"> regional. </w:t>
            </w:r>
          </w:p>
          <w:p w14:paraId="482F1D03" w14:textId="77777777" w:rsidR="00A4142A" w:rsidRPr="002F61BB" w:rsidRDefault="006C1571">
            <w:pPr>
              <w:pStyle w:val="ListParagraph"/>
              <w:numPr>
                <w:ilvl w:val="0"/>
                <w:numId w:val="118"/>
              </w:numPr>
              <w:rPr>
                <w:rFonts w:ascii="Times New Roman" w:eastAsia="Times New Roman" w:hAnsi="Times New Roman"/>
                <w:i/>
                <w:iCs/>
                <w:sz w:val="20"/>
                <w:szCs w:val="20"/>
              </w:rPr>
            </w:pPr>
            <w:r>
              <w:rPr>
                <w:rFonts w:ascii="Times New Roman" w:eastAsia="Times New Roman" w:hAnsi="Times New Roman"/>
                <w:sz w:val="20"/>
                <w:szCs w:val="20"/>
              </w:rPr>
              <w:t>Share of the reporting entity’s cross-jurisdictional activity as percentage of total value, expressed in gross carrying amount. Report:</w:t>
            </w:r>
          </w:p>
          <w:p w14:paraId="7E6697A4" w14:textId="0A448298" w:rsidR="00A4142A" w:rsidRPr="002F61BB" w:rsidRDefault="006C1571" w:rsidP="002415F5">
            <w:pPr>
              <w:pStyle w:val="ListParagraph"/>
              <w:numPr>
                <w:ilvl w:val="1"/>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 &lt;5</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14:paraId="30B91FAF" w14:textId="5CD6C33D" w:rsidR="00A4142A" w:rsidRPr="002F61BB" w:rsidRDefault="006C1571" w:rsidP="002415F5">
            <w:pPr>
              <w:pStyle w:val="ListParagraph"/>
              <w:numPr>
                <w:ilvl w:val="1"/>
                <w:numId w:val="118"/>
              </w:numPr>
              <w:rPr>
                <w:rFonts w:ascii="Times New Roman" w:eastAsia="Times New Roman" w:hAnsi="Times New Roman"/>
                <w:i/>
                <w:iCs/>
                <w:sz w:val="20"/>
                <w:szCs w:val="20"/>
              </w:rPr>
            </w:pPr>
            <w:r>
              <w:rPr>
                <w:rFonts w:ascii="Times New Roman" w:eastAsia="Times New Roman" w:hAnsi="Times New Roman"/>
                <w:sz w:val="20"/>
                <w:szCs w:val="20"/>
              </w:rPr>
              <w:t>5-15</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14:paraId="50353685" w14:textId="2995AD20" w:rsidR="00A4142A" w:rsidRPr="002F61BB" w:rsidRDefault="006C1571" w:rsidP="002415F5">
            <w:pPr>
              <w:pStyle w:val="ListParagraph"/>
              <w:numPr>
                <w:ilvl w:val="1"/>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15-25%, </w:t>
            </w:r>
          </w:p>
          <w:p w14:paraId="7FE1BD71" w14:textId="6E1F5AA5" w:rsidR="00CC0A94" w:rsidRDefault="52B5BC27" w:rsidP="002F61BB">
            <w:pPr>
              <w:pStyle w:val="ListParagraph"/>
              <w:numPr>
                <w:ilvl w:val="1"/>
                <w:numId w:val="118"/>
              </w:numPr>
              <w:rPr>
                <w:rFonts w:ascii="Times New Roman" w:eastAsia="Times New Roman" w:hAnsi="Times New Roman"/>
                <w:i/>
                <w:iCs/>
                <w:sz w:val="20"/>
                <w:szCs w:val="20"/>
              </w:rPr>
            </w:pPr>
            <w:r w:rsidRPr="6F08E959">
              <w:rPr>
                <w:rFonts w:ascii="Times New Roman" w:eastAsia="Times New Roman" w:hAnsi="Times New Roman"/>
                <w:sz w:val="20"/>
                <w:szCs w:val="20"/>
              </w:rPr>
              <w:t>&gt;</w:t>
            </w:r>
            <w:r w:rsidR="006C1571" w:rsidRPr="6F08E959">
              <w:rPr>
                <w:rFonts w:ascii="Times New Roman" w:eastAsia="Times New Roman" w:hAnsi="Times New Roman"/>
                <w:sz w:val="20"/>
                <w:szCs w:val="20"/>
              </w:rPr>
              <w:t>25%.</w:t>
            </w:r>
          </w:p>
          <w:p w14:paraId="7FE1BD72"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82" w14:textId="77777777" w:rsidTr="6F08E959">
        <w:tc>
          <w:tcPr>
            <w:tcW w:w="1080" w:type="dxa"/>
            <w:tcBorders>
              <w:top w:val="single" w:sz="4" w:space="0" w:color="1A171C"/>
              <w:left w:val="nil"/>
              <w:bottom w:val="single" w:sz="4" w:space="0" w:color="1A171C"/>
              <w:right w:val="single" w:sz="4" w:space="0" w:color="1A171C"/>
            </w:tcBorders>
            <w:vAlign w:val="center"/>
          </w:tcPr>
          <w:p w14:paraId="7FE1BD7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 xml:space="preserve">Relevance – </w:t>
            </w:r>
          </w:p>
          <w:p w14:paraId="7FE1BD76"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On a local, regional, national or European level, as appropriate for the market concerned. The relevance of the institution may be assessed </w:t>
            </w:r>
            <w:proofErr w:type="gramStart"/>
            <w:r w:rsidRPr="002F61BB">
              <w:rPr>
                <w:rFonts w:ascii="Times New Roman" w:eastAsiaTheme="minorHAnsi" w:hAnsi="Times New Roman" w:cs="Times New Roman"/>
                <w:color w:val="000000" w:themeColor="text1"/>
                <w:sz w:val="20"/>
                <w:szCs w:val="20"/>
                <w:lang w:val="en-GB"/>
              </w:rPr>
              <w:t>on the basis of</w:t>
            </w:r>
            <w:proofErr w:type="gramEnd"/>
            <w:r w:rsidRPr="002F61BB">
              <w:rPr>
                <w:rFonts w:ascii="Times New Roman" w:eastAsiaTheme="minorHAnsi" w:hAnsi="Times New Roman" w:cs="Times New Roman"/>
                <w:color w:val="000000" w:themeColor="text1"/>
                <w:sz w:val="20"/>
                <w:szCs w:val="20"/>
                <w:lang w:val="en-GB"/>
              </w:rPr>
              <w:t xml:space="preserve"> the market share, the interconnectedness, the complexity and cross- border activities.</w:t>
            </w:r>
          </w:p>
          <w:p w14:paraId="7FE1BD77"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Market Share</w:t>
            </w:r>
          </w:p>
          <w:p w14:paraId="7FE1BD78"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Assess how important the reporting entity’s market share is, compared to the national or other relevant market, as indicated in the template. This assessment is expressed qualitatively as </w:t>
            </w:r>
          </w:p>
          <w:p w14:paraId="7FE1BD79" w14:textId="43E56AB8"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High, if the market share is large</w:t>
            </w:r>
          </w:p>
          <w:p w14:paraId="7FE1BD7A" w14:textId="533BFB92"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lastRenderedPageBreak/>
              <w:t>Medium-High, if the market share is medium</w:t>
            </w:r>
          </w:p>
          <w:p w14:paraId="7FE1BD7B" w14:textId="3F2EEB01"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Medium-Low if the market share is small or </w:t>
            </w:r>
          </w:p>
          <w:p w14:paraId="7FE1BD7C" w14:textId="05FA4C79"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Low if the market share is negligible. </w:t>
            </w:r>
          </w:p>
          <w:p w14:paraId="7FE1BD7D"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This assessment </w:t>
            </w:r>
            <w:proofErr w:type="gramStart"/>
            <w:r w:rsidRPr="002F61BB">
              <w:rPr>
                <w:rFonts w:ascii="Times New Roman" w:eastAsiaTheme="minorHAnsi" w:hAnsi="Times New Roman" w:cs="Times New Roman"/>
                <w:color w:val="000000" w:themeColor="text1"/>
                <w:sz w:val="20"/>
                <w:szCs w:val="20"/>
                <w:lang w:val="en-GB"/>
              </w:rPr>
              <w:t>takes into account</w:t>
            </w:r>
            <w:proofErr w:type="gramEnd"/>
            <w:r w:rsidRPr="002F61BB">
              <w:rPr>
                <w:rFonts w:ascii="Times New Roman" w:eastAsiaTheme="minorHAnsi" w:hAnsi="Times New Roman" w:cs="Times New Roman"/>
                <w:color w:val="000000" w:themeColor="text1"/>
                <w:sz w:val="20"/>
                <w:szCs w:val="20"/>
                <w:lang w:val="en-GB"/>
              </w:rPr>
              <w:t xml:space="preserve"> the market structure of the reporting entity’s country (or other relevant market), and market shares reported in part </w:t>
            </w:r>
          </w:p>
          <w:p w14:paraId="7FE1BD7E"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2.Quantitative data:</w:t>
            </w:r>
          </w:p>
          <w:p w14:paraId="7FE1BD7F" w14:textId="77777777" w:rsidR="00CC0A94" w:rsidRDefault="006C1571">
            <w:pPr>
              <w:pStyle w:val="ListParagraph"/>
              <w:numPr>
                <w:ilvl w:val="0"/>
                <w:numId w:val="116"/>
              </w:numPr>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D80" w14:textId="77777777" w:rsidR="00CC0A94" w:rsidRPr="002F61BB" w:rsidRDefault="00CC0A94">
            <w:pPr>
              <w:rPr>
                <w:rFonts w:ascii="Times New Roman" w:eastAsiaTheme="minorHAnsi" w:hAnsi="Times New Roman" w:cs="Times New Roman"/>
                <w:color w:val="000000" w:themeColor="text1"/>
                <w:sz w:val="20"/>
                <w:szCs w:val="20"/>
                <w:lang w:val="en-GB"/>
              </w:rPr>
            </w:pPr>
          </w:p>
          <w:p w14:paraId="7FE1BD81"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8E" w14:textId="77777777" w:rsidTr="6F08E959">
        <w:tc>
          <w:tcPr>
            <w:tcW w:w="1080" w:type="dxa"/>
            <w:tcBorders>
              <w:top w:val="single" w:sz="4" w:space="0" w:color="1A171C"/>
              <w:left w:val="nil"/>
              <w:bottom w:val="single" w:sz="4" w:space="0" w:color="1A171C"/>
              <w:right w:val="single" w:sz="4" w:space="0" w:color="1A171C"/>
            </w:tcBorders>
            <w:vAlign w:val="center"/>
          </w:tcPr>
          <w:p w14:paraId="7FE1BD8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Market Structure – Market concentration</w:t>
            </w:r>
          </w:p>
          <w:p w14:paraId="7FE1BD85"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The market concentration, measured by the number of competitors currently performing </w:t>
            </w:r>
          </w:p>
          <w:p w14:paraId="7FE1BD86"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similar economic functions and/or offering similar services on equal terms (i.e. to a </w:t>
            </w:r>
          </w:p>
          <w:p w14:paraId="7FE1BD87"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comparable extent and quality and at a comparable cost) that potentially take over </w:t>
            </w:r>
          </w:p>
          <w:p w14:paraId="7FE1BD88"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(part of) the clients and/or business of the reporting entity within a reasonable timeframe. </w:t>
            </w:r>
          </w:p>
          <w:p w14:paraId="7FE1BD89"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This </w:t>
            </w:r>
            <w:proofErr w:type="gramStart"/>
            <w:r w:rsidRPr="002F61BB">
              <w:rPr>
                <w:rFonts w:ascii="Times New Roman" w:eastAsiaTheme="minorHAnsi" w:hAnsi="Times New Roman" w:cs="Times New Roman"/>
                <w:color w:val="000000" w:themeColor="text1"/>
                <w:sz w:val="20"/>
                <w:szCs w:val="20"/>
                <w:lang w:val="en-GB"/>
              </w:rPr>
              <w:t>has to</w:t>
            </w:r>
            <w:proofErr w:type="gramEnd"/>
            <w:r w:rsidRPr="002F61BB">
              <w:rPr>
                <w:rFonts w:ascii="Times New Roman" w:eastAsiaTheme="minorHAnsi" w:hAnsi="Times New Roman" w:cs="Times New Roman"/>
                <w:color w:val="000000" w:themeColor="text1"/>
                <w:sz w:val="20"/>
                <w:szCs w:val="20"/>
                <w:lang w:val="en-GB"/>
              </w:rPr>
              <w:t xml:space="preserve"> be reported in buckets, which are the same for each sub-function </w:t>
            </w:r>
          </w:p>
          <w:p w14:paraId="5A8DDF15" w14:textId="77777777" w:rsidR="00CE7459" w:rsidRPr="00CC0A94" w:rsidRDefault="00CE7459" w:rsidP="00CE7459">
            <w:pPr>
              <w:pStyle w:val="ListParagraph"/>
              <w:numPr>
                <w:ilvl w:val="0"/>
                <w:numId w:val="277"/>
              </w:numPr>
              <w:jc w:val="both"/>
              <w:rPr>
                <w:rFonts w:ascii="Times New Roman" w:eastAsia="Times New Roman" w:hAnsi="Times New Roman"/>
                <w:sz w:val="20"/>
                <w:szCs w:val="20"/>
              </w:rPr>
            </w:pPr>
            <w:r>
              <w:rPr>
                <w:rFonts w:ascii="Times New Roman" w:eastAsia="Times New Roman" w:hAnsi="Times New Roman"/>
                <w:sz w:val="20"/>
                <w:szCs w:val="20"/>
              </w:rPr>
              <w:t>&gt;</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Pr="002E6230">
              <w:rPr>
                <w:rFonts w:ascii="Times New Roman" w:eastAsia="Times New Roman" w:hAnsi="Times New Roman"/>
                <w:sz w:val="20"/>
                <w:szCs w:val="20"/>
              </w:rPr>
              <w:t>;</w:t>
            </w:r>
            <w:proofErr w:type="gramEnd"/>
            <w:r w:rsidRPr="002E6230">
              <w:rPr>
                <w:rFonts w:ascii="Times New Roman" w:eastAsia="Times New Roman" w:hAnsi="Times New Roman"/>
                <w:sz w:val="20"/>
                <w:szCs w:val="20"/>
              </w:rPr>
              <w:t xml:space="preserve"> </w:t>
            </w:r>
          </w:p>
          <w:p w14:paraId="0FB3FECD" w14:textId="77777777" w:rsidR="00CE7459" w:rsidRPr="00CC0A94" w:rsidRDefault="00CE7459" w:rsidP="00CE7459">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1</w:t>
            </w:r>
            <w:r>
              <w:rPr>
                <w:rFonts w:ascii="Times New Roman" w:eastAsia="Times New Roman" w:hAnsi="Times New Roman"/>
                <w:sz w:val="20"/>
                <w:szCs w:val="20"/>
              </w:rPr>
              <w:t>1</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competitors</w:t>
            </w:r>
            <w:r w:rsidRPr="029F4E13">
              <w:rPr>
                <w:rFonts w:ascii="Times New Roman" w:eastAsia="Times New Roman" w:hAnsi="Times New Roman"/>
                <w:sz w:val="20"/>
                <w:szCs w:val="20"/>
              </w:rPr>
              <w:t>;</w:t>
            </w:r>
            <w:proofErr w:type="gramEnd"/>
            <w:r w:rsidRPr="002E6230">
              <w:rPr>
                <w:rFonts w:ascii="Times New Roman" w:eastAsia="Times New Roman" w:hAnsi="Times New Roman"/>
                <w:sz w:val="20"/>
                <w:szCs w:val="20"/>
              </w:rPr>
              <w:t xml:space="preserve"> </w:t>
            </w:r>
          </w:p>
          <w:p w14:paraId="0742AD9B" w14:textId="77777777" w:rsidR="00CE7459" w:rsidRPr="00CC0A94" w:rsidRDefault="00CE7459" w:rsidP="00CE7459">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5-10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240AD074" w14:textId="77777777" w:rsidR="00CE7459" w:rsidRPr="00CC0A94" w:rsidRDefault="00CE7459" w:rsidP="00CE7459">
            <w:pPr>
              <w:pStyle w:val="ListParagraph"/>
              <w:numPr>
                <w:ilvl w:val="0"/>
                <w:numId w:val="277"/>
              </w:numPr>
              <w:jc w:val="both"/>
              <w:rPr>
                <w:rFonts w:ascii="Times New Roman" w:hAnsi="Times New Roman"/>
                <w:b/>
                <w:bCs/>
                <w:color w:val="000000" w:themeColor="text1"/>
                <w:sz w:val="20"/>
                <w:szCs w:val="20"/>
              </w:rPr>
            </w:pPr>
            <w:r w:rsidRPr="002E6230">
              <w:rPr>
                <w:rFonts w:ascii="Times New Roman" w:eastAsia="Times New Roman" w:hAnsi="Times New Roman"/>
                <w:sz w:val="20"/>
                <w:szCs w:val="20"/>
              </w:rPr>
              <w:t>&lt;5</w:t>
            </w:r>
            <w:r>
              <w:rPr>
                <w:rFonts w:ascii="Times New Roman" w:eastAsia="Times New Roman" w:hAnsi="Times New Roman"/>
                <w:sz w:val="20"/>
                <w:szCs w:val="20"/>
              </w:rPr>
              <w:t xml:space="preserve"> competitors</w:t>
            </w:r>
          </w:p>
          <w:p w14:paraId="7FE1BD8D" w14:textId="2F17E01A" w:rsidR="00CC0A94" w:rsidRPr="002F61BB" w:rsidRDefault="00CC0A94" w:rsidP="002F61BB">
            <w:pPr>
              <w:jc w:val="both"/>
              <w:rPr>
                <w:rFonts w:ascii="Times New Roman" w:hAnsi="Times New Roman"/>
                <w:color w:val="000000" w:themeColor="text1"/>
                <w:sz w:val="20"/>
                <w:szCs w:val="20"/>
              </w:rPr>
            </w:pPr>
          </w:p>
        </w:tc>
      </w:tr>
      <w:tr w:rsidR="00CC0A94" w14:paraId="7FE1BD9C" w14:textId="77777777" w:rsidTr="6F08E959">
        <w:tc>
          <w:tcPr>
            <w:tcW w:w="1080" w:type="dxa"/>
            <w:tcBorders>
              <w:top w:val="single" w:sz="4" w:space="0" w:color="1A171C"/>
              <w:left w:val="nil"/>
              <w:bottom w:val="single" w:sz="4" w:space="0" w:color="1A171C"/>
              <w:right w:val="single" w:sz="4" w:space="0" w:color="1A171C"/>
            </w:tcBorders>
            <w:vAlign w:val="center"/>
          </w:tcPr>
          <w:p w14:paraId="7FE1BD8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Timing - Expected time for substitution</w:t>
            </w:r>
          </w:p>
          <w:p w14:paraId="7FE1BD91"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Estimate the time necessary for the economic function provided by the reporting</w:t>
            </w:r>
          </w:p>
          <w:p w14:paraId="7FE1BD92"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entity to be absorbed by the market in </w:t>
            </w:r>
            <w:proofErr w:type="gramStart"/>
            <w:r w:rsidRPr="002F61BB">
              <w:rPr>
                <w:rFonts w:ascii="Times New Roman" w:eastAsiaTheme="minorHAnsi" w:hAnsi="Times New Roman" w:cs="Times New Roman"/>
                <w:color w:val="000000" w:themeColor="text1"/>
                <w:sz w:val="20"/>
                <w:szCs w:val="20"/>
                <w:lang w:val="en-GB"/>
              </w:rPr>
              <w:t>a crisis situation</w:t>
            </w:r>
            <w:proofErr w:type="gramEnd"/>
            <w:r w:rsidRPr="002F61BB">
              <w:rPr>
                <w:rFonts w:ascii="Times New Roman" w:eastAsiaTheme="minorHAnsi" w:hAnsi="Times New Roman" w:cs="Times New Roman"/>
                <w:color w:val="000000" w:themeColor="text1"/>
                <w:sz w:val="20"/>
                <w:szCs w:val="20"/>
                <w:lang w:val="en-GB"/>
              </w:rPr>
              <w:t xml:space="preserve">. This includes: </w:t>
            </w:r>
          </w:p>
          <w:p w14:paraId="7FE1BD93"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expected time needed by one or several competitor(s) to accomplish the legal and technical steps to take over the function; as well as  </w:t>
            </w:r>
          </w:p>
          <w:p w14:paraId="7FE1BD94"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time required by users of the service to move to another service provider. </w:t>
            </w:r>
          </w:p>
          <w:p w14:paraId="7FE1BD95" w14:textId="77777777" w:rsidR="00CC0A94" w:rsidRPr="002F61BB" w:rsidRDefault="00CC0A94">
            <w:pPr>
              <w:rPr>
                <w:rFonts w:ascii="Times New Roman" w:eastAsiaTheme="minorHAnsi" w:hAnsi="Times New Roman" w:cs="Times New Roman"/>
                <w:color w:val="000000" w:themeColor="text1"/>
                <w:sz w:val="20"/>
                <w:szCs w:val="20"/>
                <w:lang w:val="en-GB"/>
              </w:rPr>
            </w:pPr>
          </w:p>
          <w:p w14:paraId="7FE1BD96"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As a proxy for the former, provide an estimate of the time it would take the reporting entity to absorb in its own business (part of) the service provided by another institution, at a reasonable cost, in </w:t>
            </w:r>
            <w:proofErr w:type="gramStart"/>
            <w:r w:rsidRPr="002F61BB">
              <w:rPr>
                <w:rFonts w:ascii="Times New Roman" w:eastAsiaTheme="minorHAnsi" w:hAnsi="Times New Roman" w:cs="Times New Roman"/>
                <w:color w:val="000000" w:themeColor="text1"/>
                <w:sz w:val="20"/>
                <w:szCs w:val="20"/>
                <w:lang w:val="en-GB"/>
              </w:rPr>
              <w:t>a crisis situation</w:t>
            </w:r>
            <w:proofErr w:type="gramEnd"/>
            <w:r w:rsidRPr="002F61BB">
              <w:rPr>
                <w:rFonts w:ascii="Times New Roman" w:eastAsiaTheme="minorHAnsi" w:hAnsi="Times New Roman" w:cs="Times New Roman"/>
                <w:color w:val="000000" w:themeColor="text1"/>
                <w:sz w:val="20"/>
                <w:szCs w:val="20"/>
                <w:lang w:val="en-GB"/>
              </w:rPr>
              <w:t>. Report the estimated time to substitution in the buckets provided in the template:</w:t>
            </w:r>
          </w:p>
          <w:p w14:paraId="7FE1BD97" w14:textId="77777777" w:rsidR="00CC0A94" w:rsidRDefault="006C1571">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Buckets: </w:t>
            </w:r>
          </w:p>
          <w:p w14:paraId="7FE1BD98" w14:textId="077A9BD3" w:rsidR="00CC0A94" w:rsidRPr="00CC0A94" w:rsidRDefault="006C1571" w:rsidP="002F61BB">
            <w:pPr>
              <w:pStyle w:val="ListParagraph"/>
              <w:numPr>
                <w:ilvl w:val="0"/>
                <w:numId w:val="287"/>
              </w:numPr>
              <w:rPr>
                <w:rFonts w:ascii="Times New Roman" w:eastAsia="Times New Roman" w:hAnsi="Times New Roman"/>
                <w:sz w:val="20"/>
                <w:szCs w:val="20"/>
              </w:rPr>
            </w:pPr>
            <w:r w:rsidRPr="002F61BB">
              <w:rPr>
                <w:rFonts w:ascii="Times New Roman" w:eastAsia="Times New Roman" w:hAnsi="Times New Roman"/>
                <w:sz w:val="20"/>
                <w:szCs w:val="20"/>
              </w:rPr>
              <w:t xml:space="preserve">≤ 1 </w:t>
            </w:r>
            <w:proofErr w:type="gramStart"/>
            <w:r w:rsidRPr="002F61BB">
              <w:rPr>
                <w:rFonts w:ascii="Times New Roman" w:eastAsia="Times New Roman" w:hAnsi="Times New Roman"/>
                <w:sz w:val="20"/>
                <w:szCs w:val="20"/>
              </w:rPr>
              <w:t>day;</w:t>
            </w:r>
            <w:proofErr w:type="gramEnd"/>
            <w:r w:rsidRPr="002F61BB">
              <w:rPr>
                <w:rFonts w:ascii="Times New Roman" w:eastAsia="Times New Roman" w:hAnsi="Times New Roman"/>
                <w:sz w:val="20"/>
                <w:szCs w:val="20"/>
              </w:rPr>
              <w:t xml:space="preserve"> </w:t>
            </w:r>
          </w:p>
          <w:p w14:paraId="7FE1BD99" w14:textId="07CCFE77" w:rsidR="00CC0A94" w:rsidRPr="00CC0A94" w:rsidRDefault="006C1571" w:rsidP="002F61BB">
            <w:pPr>
              <w:pStyle w:val="ListParagraph"/>
              <w:numPr>
                <w:ilvl w:val="0"/>
                <w:numId w:val="287"/>
              </w:numPr>
              <w:rPr>
                <w:rFonts w:ascii="Times New Roman" w:eastAsia="Times New Roman" w:hAnsi="Times New Roman"/>
                <w:sz w:val="20"/>
                <w:szCs w:val="20"/>
              </w:rPr>
            </w:pPr>
            <w:r w:rsidRPr="002F61BB">
              <w:rPr>
                <w:rFonts w:ascii="Times New Roman" w:eastAsia="Times New Roman" w:hAnsi="Times New Roman"/>
                <w:sz w:val="20"/>
                <w:szCs w:val="20"/>
              </w:rPr>
              <w:t xml:space="preserve">1 day-1 </w:t>
            </w:r>
            <w:proofErr w:type="gramStart"/>
            <w:r w:rsidRPr="002F61BB">
              <w:rPr>
                <w:rFonts w:ascii="Times New Roman" w:eastAsia="Times New Roman" w:hAnsi="Times New Roman"/>
                <w:sz w:val="20"/>
                <w:szCs w:val="20"/>
              </w:rPr>
              <w:t>week;</w:t>
            </w:r>
            <w:proofErr w:type="gramEnd"/>
            <w:r w:rsidRPr="002F61BB">
              <w:rPr>
                <w:rFonts w:ascii="Times New Roman" w:eastAsia="Times New Roman" w:hAnsi="Times New Roman"/>
                <w:sz w:val="20"/>
                <w:szCs w:val="20"/>
              </w:rPr>
              <w:t xml:space="preserve"> </w:t>
            </w:r>
          </w:p>
          <w:p w14:paraId="7FE1BD9A" w14:textId="47AC6C88" w:rsidR="00CC0A94" w:rsidRPr="00CC0A94" w:rsidRDefault="00A4142A" w:rsidP="002F61BB">
            <w:pPr>
              <w:pStyle w:val="ListParagraph"/>
              <w:numPr>
                <w:ilvl w:val="0"/>
                <w:numId w:val="287"/>
              </w:numPr>
              <w:rPr>
                <w:rFonts w:ascii="Times New Roman" w:eastAsia="Times New Roman" w:hAnsi="Times New Roman"/>
                <w:sz w:val="20"/>
                <w:szCs w:val="20"/>
              </w:rPr>
            </w:pPr>
            <w:r>
              <w:rPr>
                <w:rFonts w:ascii="Times New Roman" w:eastAsia="Times New Roman" w:hAnsi="Times New Roman"/>
                <w:sz w:val="20"/>
                <w:szCs w:val="20"/>
              </w:rPr>
              <w:t>&gt;</w:t>
            </w:r>
            <w:r w:rsidR="006C1571" w:rsidRPr="002F61BB">
              <w:rPr>
                <w:rFonts w:ascii="Times New Roman" w:eastAsia="Times New Roman" w:hAnsi="Times New Roman"/>
                <w:sz w:val="20"/>
                <w:szCs w:val="20"/>
              </w:rPr>
              <w:t>1 week- 1</w:t>
            </w:r>
            <w:r>
              <w:rPr>
                <w:rFonts w:ascii="Times New Roman" w:eastAsia="Times New Roman" w:hAnsi="Times New Roman"/>
                <w:sz w:val="20"/>
                <w:szCs w:val="20"/>
              </w:rPr>
              <w:t xml:space="preserve"> </w:t>
            </w:r>
            <w:proofErr w:type="gramStart"/>
            <w:r w:rsidR="006C1571" w:rsidRPr="002F61BB">
              <w:rPr>
                <w:rFonts w:ascii="Times New Roman" w:eastAsia="Times New Roman" w:hAnsi="Times New Roman"/>
                <w:sz w:val="20"/>
                <w:szCs w:val="20"/>
              </w:rPr>
              <w:t>month</w:t>
            </w:r>
            <w:r w:rsidR="665A2B50" w:rsidRPr="029F4E13">
              <w:rPr>
                <w:rFonts w:ascii="Times New Roman" w:eastAsia="Times New Roman" w:hAnsi="Times New Roman"/>
                <w:sz w:val="20"/>
                <w:szCs w:val="20"/>
              </w:rPr>
              <w:t>;</w:t>
            </w:r>
            <w:proofErr w:type="gramEnd"/>
            <w:r w:rsidR="006C1571" w:rsidRPr="002F61BB">
              <w:rPr>
                <w:rFonts w:ascii="Times New Roman" w:eastAsia="Times New Roman" w:hAnsi="Times New Roman"/>
                <w:sz w:val="20"/>
                <w:szCs w:val="20"/>
              </w:rPr>
              <w:t xml:space="preserve"> </w:t>
            </w:r>
          </w:p>
          <w:p w14:paraId="7FE1BD9B" w14:textId="3CEE3934" w:rsidR="00CC0A94" w:rsidRPr="00CC0A94" w:rsidRDefault="006C1571" w:rsidP="002F61BB">
            <w:pPr>
              <w:pStyle w:val="ListParagraph"/>
              <w:numPr>
                <w:ilvl w:val="0"/>
                <w:numId w:val="287"/>
              </w:numPr>
              <w:rPr>
                <w:rFonts w:ascii="Times New Roman" w:hAnsi="Times New Roman"/>
                <w:color w:val="000000" w:themeColor="text1"/>
                <w:sz w:val="20"/>
                <w:szCs w:val="20"/>
              </w:rPr>
            </w:pPr>
            <w:r w:rsidRPr="002F61BB">
              <w:rPr>
                <w:rFonts w:ascii="Times New Roman" w:eastAsia="Times New Roman" w:hAnsi="Times New Roman"/>
                <w:sz w:val="20"/>
                <w:szCs w:val="20"/>
              </w:rPr>
              <w:t>&gt;1 month</w:t>
            </w:r>
          </w:p>
        </w:tc>
      </w:tr>
      <w:tr w:rsidR="00CC0A94" w14:paraId="7FE1BD9F" w14:textId="77777777" w:rsidTr="6F08E959">
        <w:tc>
          <w:tcPr>
            <w:tcW w:w="1080" w:type="dxa"/>
            <w:tcBorders>
              <w:top w:val="single" w:sz="4" w:space="0" w:color="1A171C"/>
              <w:left w:val="nil"/>
              <w:bottom w:val="single" w:sz="4" w:space="0" w:color="1A171C"/>
              <w:right w:val="single" w:sz="4" w:space="0" w:color="1A171C"/>
            </w:tcBorders>
            <w:vAlign w:val="center"/>
          </w:tcPr>
          <w:p w14:paraId="7FE1BD9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Ability for substitution</w:t>
            </w:r>
          </w:p>
        </w:tc>
      </w:tr>
      <w:tr w:rsidR="00CC0A94" w14:paraId="7FE1BDA9" w14:textId="77777777" w:rsidTr="6F08E959">
        <w:tc>
          <w:tcPr>
            <w:tcW w:w="1080" w:type="dxa"/>
            <w:tcBorders>
              <w:top w:val="single" w:sz="4" w:space="0" w:color="1A171C"/>
              <w:left w:val="nil"/>
              <w:bottom w:val="single" w:sz="4" w:space="0" w:color="1A171C"/>
              <w:right w:val="single" w:sz="4" w:space="0" w:color="1A171C"/>
            </w:tcBorders>
            <w:vAlign w:val="center"/>
          </w:tcPr>
          <w:p w14:paraId="7FE1BDA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Legal barriers to entry or expansion</w:t>
            </w:r>
          </w:p>
          <w:p w14:paraId="7FE1BDA2" w14:textId="77777777" w:rsidR="00CC0A94" w:rsidRPr="002F61BB" w:rsidRDefault="00CC0A94">
            <w:pPr>
              <w:rPr>
                <w:rFonts w:ascii="Times New Roman" w:eastAsiaTheme="minorHAnsi" w:hAnsi="Times New Roman" w:cs="Times New Roman"/>
                <w:color w:val="000000" w:themeColor="text1"/>
                <w:sz w:val="20"/>
                <w:szCs w:val="20"/>
                <w:lang w:val="en-GB"/>
              </w:rPr>
            </w:pPr>
          </w:p>
          <w:p w14:paraId="7FE1BDA3"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w:t>
            </w:r>
            <w:r>
              <w:rPr>
                <w:rFonts w:ascii="Times New Roman" w:eastAsiaTheme="minorHAnsi" w:hAnsi="Times New Roman" w:cs="Times New Roman"/>
                <w:color w:val="000000" w:themeColor="text1"/>
                <w:sz w:val="20"/>
                <w:szCs w:val="20"/>
                <w:lang w:val="en-GB"/>
              </w:rPr>
              <w:t>are</w:t>
            </w:r>
            <w:r w:rsidRPr="002F61BB">
              <w:rPr>
                <w:rFonts w:ascii="Times New Roman" w:eastAsiaTheme="minorHAnsi" w:hAnsi="Times New Roman" w:cs="Times New Roman"/>
                <w:color w:val="000000" w:themeColor="text1"/>
                <w:sz w:val="20"/>
                <w:szCs w:val="20"/>
                <w:lang w:val="en-GB"/>
              </w:rPr>
              <w:t xml:space="preserve"> not </w:t>
            </w:r>
            <w:r>
              <w:rPr>
                <w:rFonts w:ascii="Times New Roman" w:eastAsiaTheme="minorHAnsi" w:hAnsi="Times New Roman" w:cs="Times New Roman"/>
                <w:color w:val="000000" w:themeColor="text1"/>
                <w:sz w:val="20"/>
                <w:szCs w:val="20"/>
                <w:lang w:val="en-GB"/>
              </w:rPr>
              <w:t>to</w:t>
            </w:r>
            <w:r w:rsidRPr="002F61BB">
              <w:rPr>
                <w:rFonts w:ascii="Times New Roman" w:eastAsiaTheme="minorHAnsi" w:hAnsi="Times New Roman" w:cs="Times New Roman"/>
                <w:color w:val="000000" w:themeColor="text1"/>
                <w:sz w:val="20"/>
                <w:szCs w:val="20"/>
                <w:lang w:val="en-GB"/>
              </w:rPr>
              <w:t xml:space="preserve"> be considered as unsurmountable barriers in the presence of alternative providers. This indicator </w:t>
            </w:r>
            <w:proofErr w:type="gramStart"/>
            <w:r w:rsidRPr="002F61BB">
              <w:rPr>
                <w:rFonts w:ascii="Times New Roman" w:eastAsiaTheme="minorHAnsi" w:hAnsi="Times New Roman" w:cs="Times New Roman"/>
                <w:color w:val="000000" w:themeColor="text1"/>
                <w:sz w:val="20"/>
                <w:szCs w:val="20"/>
                <w:lang w:val="en-GB"/>
              </w:rPr>
              <w:t>has to</w:t>
            </w:r>
            <w:proofErr w:type="gramEnd"/>
            <w:r w:rsidRPr="002F61BB">
              <w:rPr>
                <w:rFonts w:ascii="Times New Roman" w:eastAsiaTheme="minorHAnsi" w:hAnsi="Times New Roman" w:cs="Times New Roman"/>
                <w:color w:val="000000" w:themeColor="text1"/>
                <w:sz w:val="20"/>
                <w:szCs w:val="20"/>
                <w:lang w:val="en-GB"/>
              </w:rPr>
              <w:t xml:space="preserve"> be reported in buckets, which are the same for each sub-function: </w:t>
            </w:r>
          </w:p>
          <w:p w14:paraId="7FE1BDA4" w14:textId="5F64D555"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barriers, </w:t>
            </w:r>
          </w:p>
          <w:p w14:paraId="7FE1BDA5" w14:textId="09B8D427"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barriers, </w:t>
            </w:r>
          </w:p>
          <w:p w14:paraId="7FE1BDA6" w14:textId="14CFE055"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barriers, </w:t>
            </w:r>
          </w:p>
          <w:p w14:paraId="7FE1BDA8" w14:textId="2895BA0A" w:rsidR="00CC0A94" w:rsidRPr="002F61BB" w:rsidRDefault="006C1571" w:rsidP="002F61BB">
            <w:pPr>
              <w:pStyle w:val="ListParagraph"/>
              <w:numPr>
                <w:ilvl w:val="0"/>
                <w:numId w:val="275"/>
              </w:numPr>
              <w:jc w:val="both"/>
              <w:rPr>
                <w:rFonts w:ascii="Times New Roman" w:eastAsiaTheme="minorHAnsi" w:hAnsi="Times New Roman"/>
                <w:color w:val="000000" w:themeColor="text1"/>
                <w:sz w:val="20"/>
                <w:szCs w:val="20"/>
              </w:rPr>
            </w:pPr>
            <w:r w:rsidRPr="002F61BB">
              <w:rPr>
                <w:rFonts w:ascii="Times New Roman" w:hAnsi="Times New Roman"/>
                <w:color w:val="000000" w:themeColor="text1"/>
                <w:sz w:val="20"/>
                <w:szCs w:val="20"/>
              </w:rPr>
              <w:t xml:space="preserve">critical </w:t>
            </w:r>
            <w:r w:rsidRPr="002F61BB">
              <w:rPr>
                <w:rFonts w:ascii="Times New Roman" w:eastAsiaTheme="minorHAnsi" w:hAnsi="Times New Roman"/>
                <w:color w:val="000000" w:themeColor="text1"/>
                <w:sz w:val="20"/>
                <w:szCs w:val="20"/>
              </w:rPr>
              <w:t>(difficult to surmount) barriers.</w:t>
            </w:r>
          </w:p>
        </w:tc>
      </w:tr>
      <w:tr w:rsidR="00CC0A94" w14:paraId="7FE1BDB4" w14:textId="77777777" w:rsidTr="6F08E959">
        <w:tc>
          <w:tcPr>
            <w:tcW w:w="1080" w:type="dxa"/>
            <w:tcBorders>
              <w:top w:val="single" w:sz="4" w:space="0" w:color="1A171C"/>
              <w:left w:val="nil"/>
              <w:bottom w:val="single" w:sz="4" w:space="0" w:color="1A171C"/>
              <w:right w:val="single" w:sz="4" w:space="0" w:color="1A171C"/>
            </w:tcBorders>
            <w:vAlign w:val="center"/>
          </w:tcPr>
          <w:p w14:paraId="7FE1BDA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Operational requirements to entry or expansion</w:t>
            </w:r>
          </w:p>
          <w:p w14:paraId="7FE1BDAC" w14:textId="77777777" w:rsidR="00CC0A94" w:rsidRPr="002F61BB" w:rsidRDefault="00CC0A94">
            <w:pPr>
              <w:rPr>
                <w:rFonts w:ascii="Times New Roman" w:eastAsiaTheme="minorHAnsi" w:hAnsi="Times New Roman" w:cs="Times New Roman"/>
                <w:color w:val="000000" w:themeColor="text1"/>
                <w:sz w:val="20"/>
                <w:szCs w:val="20"/>
                <w:lang w:val="en-GB"/>
              </w:rPr>
            </w:pPr>
          </w:p>
          <w:p w14:paraId="7FE1BDAD" w14:textId="130EC7BC"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lastRenderedPageBreak/>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in terms for example of capital requirements. </w:t>
            </w:r>
          </w:p>
          <w:p w14:paraId="7FE1BDAE"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This indicator </w:t>
            </w:r>
            <w:proofErr w:type="gramStart"/>
            <w:r w:rsidRPr="002F61BB">
              <w:rPr>
                <w:rFonts w:ascii="Times New Roman" w:eastAsiaTheme="minorHAnsi" w:hAnsi="Times New Roman" w:cs="Times New Roman"/>
                <w:color w:val="000000" w:themeColor="text1"/>
                <w:sz w:val="20"/>
                <w:szCs w:val="20"/>
                <w:lang w:val="en-GB"/>
              </w:rPr>
              <w:t>has to</w:t>
            </w:r>
            <w:proofErr w:type="gramEnd"/>
            <w:r w:rsidRPr="002F61BB">
              <w:rPr>
                <w:rFonts w:ascii="Times New Roman" w:eastAsiaTheme="minorHAnsi" w:hAnsi="Times New Roman" w:cs="Times New Roman"/>
                <w:color w:val="000000" w:themeColor="text1"/>
                <w:sz w:val="20"/>
                <w:szCs w:val="20"/>
                <w:lang w:val="en-GB"/>
              </w:rPr>
              <w:t xml:space="preserve"> be reported in buckets, which are the same for each sub-function: </w:t>
            </w:r>
          </w:p>
          <w:p w14:paraId="7FE1BDAF" w14:textId="39113051" w:rsidR="00CC0A94" w:rsidRPr="002F61BB" w:rsidRDefault="00A5354C">
            <w:pPr>
              <w:pStyle w:val="ListParagraph"/>
              <w:numPr>
                <w:ilvl w:val="0"/>
                <w:numId w:val="278"/>
              </w:numPr>
              <w:jc w:val="both"/>
              <w:rPr>
                <w:rFonts w:ascii="Times New Roman" w:eastAsiaTheme="minorHAnsi" w:hAnsi="Times New Roman"/>
                <w:color w:val="000000" w:themeColor="text1"/>
                <w:sz w:val="20"/>
                <w:szCs w:val="20"/>
              </w:rPr>
            </w:pPr>
            <w:proofErr w:type="gramStart"/>
            <w:r>
              <w:rPr>
                <w:rFonts w:ascii="Times New Roman" w:eastAsiaTheme="minorHAnsi" w:hAnsi="Times New Roman"/>
                <w:color w:val="000000" w:themeColor="text1"/>
                <w:sz w:val="20"/>
                <w:szCs w:val="20"/>
              </w:rPr>
              <w:t>n</w:t>
            </w:r>
            <w:r w:rsidR="006C1571" w:rsidRPr="002F61BB">
              <w:rPr>
                <w:rFonts w:ascii="Times New Roman" w:eastAsiaTheme="minorHAnsi" w:hAnsi="Times New Roman"/>
                <w:color w:val="000000" w:themeColor="text1"/>
                <w:sz w:val="20"/>
                <w:szCs w:val="20"/>
              </w:rPr>
              <w:t>o  major</w:t>
            </w:r>
            <w:proofErr w:type="gramEnd"/>
            <w:r w:rsidR="006C1571" w:rsidRPr="002F61BB">
              <w:rPr>
                <w:rFonts w:ascii="Times New Roman" w:eastAsiaTheme="minorHAnsi" w:hAnsi="Times New Roman"/>
                <w:color w:val="000000" w:themeColor="text1"/>
                <w:sz w:val="20"/>
                <w:szCs w:val="20"/>
              </w:rPr>
              <w:t xml:space="preserve"> requirements, </w:t>
            </w:r>
          </w:p>
          <w:p w14:paraId="7FE1BDB0" w14:textId="63777608" w:rsidR="00CC0A94" w:rsidRPr="002F61BB" w:rsidRDefault="006C1571">
            <w:pPr>
              <w:pStyle w:val="ListParagraph"/>
              <w:numPr>
                <w:ilvl w:val="0"/>
                <w:numId w:val="278"/>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some requirements, </w:t>
            </w:r>
          </w:p>
          <w:p w14:paraId="7FE1BDB1" w14:textId="78F7EC3E" w:rsidR="00CC0A94" w:rsidRPr="002F61BB" w:rsidRDefault="006C1571">
            <w:pPr>
              <w:pStyle w:val="ListParagraph"/>
              <w:numPr>
                <w:ilvl w:val="0"/>
                <w:numId w:val="278"/>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substantial (but surmountable) requirements, </w:t>
            </w:r>
          </w:p>
          <w:p w14:paraId="7FE1BDB2" w14:textId="5A2EF079" w:rsidR="00CC0A94" w:rsidRPr="002F61BB" w:rsidRDefault="006C1571">
            <w:pPr>
              <w:pStyle w:val="ListParagraph"/>
              <w:numPr>
                <w:ilvl w:val="0"/>
                <w:numId w:val="278"/>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critical (difficult to surmount) requirements.</w:t>
            </w:r>
          </w:p>
          <w:p w14:paraId="7FE1BDB3"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B7" w14:textId="77777777" w:rsidTr="6F08E959">
        <w:tc>
          <w:tcPr>
            <w:tcW w:w="1080" w:type="dxa"/>
            <w:tcBorders>
              <w:top w:val="single" w:sz="4" w:space="0" w:color="1A171C"/>
              <w:left w:val="nil"/>
              <w:bottom w:val="single" w:sz="4" w:space="0" w:color="1A171C"/>
              <w:right w:val="single" w:sz="4" w:space="0" w:color="1A171C"/>
            </w:tcBorders>
            <w:vAlign w:val="center"/>
          </w:tcPr>
          <w:p w14:paraId="7FE1BDB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lastRenderedPageBreak/>
              <w:t>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Criticality Assessment</w:t>
            </w:r>
          </w:p>
        </w:tc>
      </w:tr>
      <w:tr w:rsidR="00CC0A94" w14:paraId="7FE1BDBD" w14:textId="77777777" w:rsidTr="6F08E959">
        <w:tc>
          <w:tcPr>
            <w:tcW w:w="1080" w:type="dxa"/>
            <w:tcBorders>
              <w:top w:val="single" w:sz="4" w:space="0" w:color="1A171C"/>
              <w:left w:val="nil"/>
              <w:bottom w:val="single" w:sz="4" w:space="0" w:color="1A171C"/>
              <w:right w:val="single" w:sz="4" w:space="0" w:color="1A171C"/>
            </w:tcBorders>
            <w:vAlign w:val="center"/>
          </w:tcPr>
          <w:p w14:paraId="7FE1BDB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 xml:space="preserve">Impact on market </w:t>
            </w:r>
          </w:p>
          <w:p w14:paraId="7FE1BDBA"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Estimated impact of a sudden discontinuation of the function on third parties, financial markets and the real economy, </w:t>
            </w:r>
            <w:proofErr w:type="gramStart"/>
            <w:r w:rsidRPr="002F61BB">
              <w:rPr>
                <w:rFonts w:ascii="Times New Roman" w:eastAsiaTheme="minorHAnsi" w:hAnsi="Times New Roman" w:cs="Times New Roman"/>
                <w:color w:val="000000" w:themeColor="text1"/>
                <w:sz w:val="20"/>
                <w:szCs w:val="20"/>
                <w:lang w:val="en-GB"/>
              </w:rPr>
              <w:t>taking into account</w:t>
            </w:r>
            <w:proofErr w:type="gramEnd"/>
            <w:r w:rsidRPr="002F61BB">
              <w:rPr>
                <w:rFonts w:ascii="Times New Roman" w:eastAsiaTheme="minorHAnsi" w:hAnsi="Times New Roman" w:cs="Times New Roman"/>
                <w:color w:val="000000" w:themeColor="text1"/>
                <w:sz w:val="20"/>
                <w:szCs w:val="20"/>
                <w:lang w:val="en-GB"/>
              </w:rPr>
              <w:t xml:space="preserve"> the size, market share in the country, external and internal interconnectedness, complexity, and cross-border activities of the institution.</w:t>
            </w:r>
          </w:p>
          <w:p w14:paraId="7FE1BDBB" w14:textId="26AC665D"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This assessment shall be expressed qualitatively as ‘High’, ‘Medium-High</w:t>
            </w:r>
            <w:r w:rsidR="00A5354C">
              <w:rPr>
                <w:rFonts w:ascii="Times New Roman" w:eastAsiaTheme="minorHAnsi" w:hAnsi="Times New Roman" w:cs="Times New Roman"/>
                <w:color w:val="000000" w:themeColor="text1"/>
                <w:sz w:val="20"/>
                <w:szCs w:val="20"/>
                <w:lang w:val="en-GB"/>
              </w:rPr>
              <w:t>’</w:t>
            </w:r>
            <w:r w:rsidRPr="002F61BB">
              <w:rPr>
                <w:rFonts w:ascii="Times New Roman" w:eastAsiaTheme="minorHAnsi" w:hAnsi="Times New Roman" w:cs="Times New Roman"/>
                <w:color w:val="000000" w:themeColor="text1"/>
                <w:sz w:val="20"/>
                <w:szCs w:val="20"/>
                <w:lang w:val="en-GB"/>
              </w:rPr>
              <w:t>, ‘Medium-Low’ or Low’.</w:t>
            </w:r>
          </w:p>
          <w:p w14:paraId="7FE1BDBC" w14:textId="64D10370"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‘H</w:t>
            </w:r>
            <w:r w:rsidR="00A5354C">
              <w:rPr>
                <w:rFonts w:ascii="Times New Roman" w:eastAsiaTheme="minorHAnsi" w:hAnsi="Times New Roman" w:cs="Times New Roman"/>
                <w:color w:val="000000" w:themeColor="text1"/>
                <w:sz w:val="20"/>
                <w:szCs w:val="20"/>
                <w:lang w:val="en-GB"/>
              </w:rPr>
              <w:t>igh</w:t>
            </w:r>
            <w:r w:rsidRPr="002F61BB">
              <w:rPr>
                <w:rFonts w:ascii="Times New Roman" w:eastAsiaTheme="minorHAnsi" w:hAnsi="Times New Roman" w:cs="Times New Roman"/>
                <w:color w:val="000000" w:themeColor="text1"/>
                <w:sz w:val="20"/>
                <w:szCs w:val="20"/>
                <w:lang w:val="en-GB"/>
              </w:rPr>
              <w:t>’ shall be selected if the discontinuation has a major impact on the national market; ‘M</w:t>
            </w:r>
            <w:r w:rsidR="00A5354C">
              <w:rPr>
                <w:rFonts w:ascii="Times New Roman" w:eastAsiaTheme="minorHAnsi" w:hAnsi="Times New Roman" w:cs="Times New Roman"/>
                <w:color w:val="000000" w:themeColor="text1"/>
                <w:sz w:val="20"/>
                <w:szCs w:val="20"/>
                <w:lang w:val="en-GB"/>
              </w:rPr>
              <w:t>edium-</w:t>
            </w:r>
            <w:r w:rsidRPr="002F61BB">
              <w:rPr>
                <w:rFonts w:ascii="Times New Roman" w:eastAsiaTheme="minorHAnsi" w:hAnsi="Times New Roman" w:cs="Times New Roman"/>
                <w:color w:val="000000" w:themeColor="text1"/>
                <w:sz w:val="20"/>
                <w:szCs w:val="20"/>
                <w:lang w:val="en-GB"/>
              </w:rPr>
              <w:t>H</w:t>
            </w:r>
            <w:r w:rsidR="00A5354C">
              <w:rPr>
                <w:rFonts w:ascii="Times New Roman" w:eastAsiaTheme="minorHAnsi" w:hAnsi="Times New Roman" w:cs="Times New Roman"/>
                <w:color w:val="000000" w:themeColor="text1"/>
                <w:sz w:val="20"/>
                <w:szCs w:val="20"/>
                <w:lang w:val="en-GB"/>
              </w:rPr>
              <w:t>igh</w:t>
            </w:r>
            <w:r w:rsidRPr="002F61BB">
              <w:rPr>
                <w:rFonts w:ascii="Times New Roman" w:eastAsiaTheme="minorHAnsi" w:hAnsi="Times New Roman" w:cs="Times New Roman"/>
                <w:color w:val="000000" w:themeColor="text1"/>
                <w:sz w:val="20"/>
                <w:szCs w:val="20"/>
                <w:lang w:val="en-GB"/>
              </w:rPr>
              <w:t>’ if the impact is significant; ‘M</w:t>
            </w:r>
            <w:r w:rsidR="00A5354C">
              <w:rPr>
                <w:rFonts w:ascii="Times New Roman" w:eastAsiaTheme="minorHAnsi" w:hAnsi="Times New Roman" w:cs="Times New Roman"/>
                <w:color w:val="000000" w:themeColor="text1"/>
                <w:sz w:val="20"/>
                <w:szCs w:val="20"/>
                <w:lang w:val="en-GB"/>
              </w:rPr>
              <w:t>edium-</w:t>
            </w:r>
            <w:r w:rsidRPr="002F61BB">
              <w:rPr>
                <w:rFonts w:ascii="Times New Roman" w:eastAsiaTheme="minorHAnsi" w:hAnsi="Times New Roman" w:cs="Times New Roman"/>
                <w:color w:val="000000" w:themeColor="text1"/>
                <w:sz w:val="20"/>
                <w:szCs w:val="20"/>
                <w:lang w:val="en-GB"/>
              </w:rPr>
              <w:t>L</w:t>
            </w:r>
            <w:r w:rsidR="00A5354C">
              <w:rPr>
                <w:rFonts w:ascii="Times New Roman" w:eastAsiaTheme="minorHAnsi" w:hAnsi="Times New Roman" w:cs="Times New Roman"/>
                <w:color w:val="000000" w:themeColor="text1"/>
                <w:sz w:val="20"/>
                <w:szCs w:val="20"/>
                <w:lang w:val="en-GB"/>
              </w:rPr>
              <w:t>ow</w:t>
            </w:r>
            <w:r w:rsidRPr="002F61BB">
              <w:rPr>
                <w:rFonts w:ascii="Times New Roman" w:eastAsiaTheme="minorHAnsi" w:hAnsi="Times New Roman" w:cs="Times New Roman"/>
                <w:color w:val="000000" w:themeColor="text1"/>
                <w:sz w:val="20"/>
                <w:szCs w:val="20"/>
                <w:lang w:val="en-GB"/>
              </w:rPr>
              <w:t xml:space="preserve">’ if the impact is </w:t>
            </w:r>
            <w:proofErr w:type="gramStart"/>
            <w:r w:rsidRPr="002F61BB">
              <w:rPr>
                <w:rFonts w:ascii="Times New Roman" w:eastAsiaTheme="minorHAnsi" w:hAnsi="Times New Roman" w:cs="Times New Roman"/>
                <w:color w:val="000000" w:themeColor="text1"/>
                <w:sz w:val="20"/>
                <w:szCs w:val="20"/>
                <w:lang w:val="en-GB"/>
              </w:rPr>
              <w:t>material, but</w:t>
            </w:r>
            <w:proofErr w:type="gramEnd"/>
            <w:r w:rsidRPr="002F61BB">
              <w:rPr>
                <w:rFonts w:ascii="Times New Roman" w:eastAsiaTheme="minorHAnsi" w:hAnsi="Times New Roman" w:cs="Times New Roman"/>
                <w:color w:val="000000" w:themeColor="text1"/>
                <w:sz w:val="20"/>
                <w:szCs w:val="20"/>
                <w:lang w:val="en-GB"/>
              </w:rPr>
              <w:t xml:space="preserve"> limited; and ‘L</w:t>
            </w:r>
            <w:r w:rsidR="00A5354C">
              <w:rPr>
                <w:rFonts w:ascii="Times New Roman" w:eastAsiaTheme="minorHAnsi" w:hAnsi="Times New Roman" w:cs="Times New Roman"/>
                <w:color w:val="000000" w:themeColor="text1"/>
                <w:sz w:val="20"/>
                <w:szCs w:val="20"/>
                <w:lang w:val="en-GB"/>
              </w:rPr>
              <w:t>ow</w:t>
            </w:r>
            <w:r w:rsidRPr="002F61BB">
              <w:rPr>
                <w:rFonts w:ascii="Times New Roman" w:eastAsiaTheme="minorHAnsi" w:hAnsi="Times New Roman" w:cs="Times New Roman"/>
                <w:color w:val="000000" w:themeColor="text1"/>
                <w:sz w:val="20"/>
                <w:szCs w:val="20"/>
                <w:lang w:val="en-GB"/>
              </w:rPr>
              <w:t>’ if the impact is low.</w:t>
            </w:r>
          </w:p>
        </w:tc>
      </w:tr>
      <w:tr w:rsidR="00CC0A94" w14:paraId="7FE1BDCA" w14:textId="77777777" w:rsidTr="6F08E959">
        <w:tc>
          <w:tcPr>
            <w:tcW w:w="1080" w:type="dxa"/>
            <w:tcBorders>
              <w:top w:val="single" w:sz="4" w:space="0" w:color="1A171C"/>
              <w:left w:val="nil"/>
              <w:bottom w:val="single" w:sz="4" w:space="0" w:color="1A171C"/>
              <w:right w:val="single" w:sz="4" w:space="0" w:color="1A171C"/>
            </w:tcBorders>
            <w:vAlign w:val="center"/>
          </w:tcPr>
          <w:p w14:paraId="7FE1BDB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Substitutability</w:t>
            </w:r>
          </w:p>
          <w:p w14:paraId="7FE1BDC0"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Article 6(3) of Delegated regulation (EU) 2016/778.</w:t>
            </w:r>
          </w:p>
          <w:p w14:paraId="7FE1BDC1"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A function is considered substitutable where it can be replaced in an acceptable manner and within a reasonable timeframe thereby avoiding systemic problems for the real economy and the financial markets. The following shall be </w:t>
            </w:r>
            <w:proofErr w:type="gramStart"/>
            <w:r w:rsidRPr="002F61BB">
              <w:rPr>
                <w:rFonts w:ascii="Times New Roman" w:eastAsiaTheme="minorHAnsi" w:hAnsi="Times New Roman" w:cs="Times New Roman"/>
                <w:color w:val="000000" w:themeColor="text1"/>
                <w:sz w:val="20"/>
                <w:szCs w:val="20"/>
                <w:lang w:val="en-GB"/>
              </w:rPr>
              <w:t>taken into account</w:t>
            </w:r>
            <w:proofErr w:type="gramEnd"/>
            <w:r w:rsidRPr="002F61BB">
              <w:rPr>
                <w:rFonts w:ascii="Times New Roman" w:eastAsiaTheme="minorHAnsi" w:hAnsi="Times New Roman" w:cs="Times New Roman"/>
                <w:color w:val="000000" w:themeColor="text1"/>
                <w:sz w:val="20"/>
                <w:szCs w:val="20"/>
                <w:lang w:val="en-GB"/>
              </w:rPr>
              <w:t>:</w:t>
            </w:r>
          </w:p>
          <w:p w14:paraId="7FE1BDC2"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(a) the structure of the market for that function and the availability of substitute </w:t>
            </w:r>
            <w:proofErr w:type="gramStart"/>
            <w:r w:rsidRPr="002F61BB">
              <w:rPr>
                <w:rFonts w:ascii="Times New Roman" w:eastAsiaTheme="minorHAnsi" w:hAnsi="Times New Roman" w:cs="Times New Roman"/>
                <w:color w:val="000000" w:themeColor="text1"/>
                <w:sz w:val="20"/>
                <w:szCs w:val="20"/>
                <w:lang w:val="en-GB"/>
              </w:rPr>
              <w:t>providers;</w:t>
            </w:r>
            <w:proofErr w:type="gramEnd"/>
            <w:r w:rsidRPr="002F61BB">
              <w:rPr>
                <w:rFonts w:ascii="Times New Roman" w:eastAsiaTheme="minorHAnsi" w:hAnsi="Times New Roman" w:cs="Times New Roman"/>
                <w:color w:val="000000" w:themeColor="text1"/>
                <w:sz w:val="20"/>
                <w:szCs w:val="20"/>
                <w:lang w:val="en-GB"/>
              </w:rPr>
              <w:t xml:space="preserve"> </w:t>
            </w:r>
          </w:p>
          <w:p w14:paraId="7FE1BDC3"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(b) the ability of other providers in terms of capacity, the requirements for performing the function, and potential barriers to entry or </w:t>
            </w:r>
            <w:proofErr w:type="gramStart"/>
            <w:r w:rsidRPr="002F61BB">
              <w:rPr>
                <w:rFonts w:ascii="Times New Roman" w:eastAsiaTheme="minorHAnsi" w:hAnsi="Times New Roman" w:cs="Times New Roman"/>
                <w:color w:val="000000" w:themeColor="text1"/>
                <w:sz w:val="20"/>
                <w:szCs w:val="20"/>
                <w:lang w:val="en-GB"/>
              </w:rPr>
              <w:t>expansion;</w:t>
            </w:r>
            <w:proofErr w:type="gramEnd"/>
            <w:r w:rsidRPr="002F61BB">
              <w:rPr>
                <w:rFonts w:ascii="Times New Roman" w:eastAsiaTheme="minorHAnsi" w:hAnsi="Times New Roman" w:cs="Times New Roman"/>
                <w:color w:val="000000" w:themeColor="text1"/>
                <w:sz w:val="20"/>
                <w:szCs w:val="20"/>
                <w:lang w:val="en-GB"/>
              </w:rPr>
              <w:t xml:space="preserve"> </w:t>
            </w:r>
          </w:p>
          <w:p w14:paraId="7FE1BDC4"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(c) the incentive of other providers to take on these </w:t>
            </w:r>
            <w:proofErr w:type="gramStart"/>
            <w:r w:rsidRPr="002F61BB">
              <w:rPr>
                <w:rFonts w:ascii="Times New Roman" w:eastAsiaTheme="minorHAnsi" w:hAnsi="Times New Roman" w:cs="Times New Roman"/>
                <w:color w:val="000000" w:themeColor="text1"/>
                <w:sz w:val="20"/>
                <w:szCs w:val="20"/>
                <w:lang w:val="en-GB"/>
              </w:rPr>
              <w:t>activities;</w:t>
            </w:r>
            <w:proofErr w:type="gramEnd"/>
            <w:r w:rsidRPr="002F61BB">
              <w:rPr>
                <w:rFonts w:ascii="Times New Roman" w:eastAsiaTheme="minorHAnsi" w:hAnsi="Times New Roman" w:cs="Times New Roman"/>
                <w:color w:val="000000" w:themeColor="text1"/>
                <w:sz w:val="20"/>
                <w:szCs w:val="20"/>
                <w:lang w:val="en-GB"/>
              </w:rPr>
              <w:t xml:space="preserve"> </w:t>
            </w:r>
          </w:p>
          <w:p w14:paraId="7FE1BDC5"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DC6" w14:textId="024DAF4C" w:rsidR="00CC0A94" w:rsidRPr="00CC0A94" w:rsidRDefault="006C1571" w:rsidP="029F4E13">
            <w:pPr>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w:t>
            </w:r>
            <w:proofErr w:type="gramStart"/>
            <w:r w:rsidRPr="002F61BB">
              <w:rPr>
                <w:rFonts w:ascii="Times New Roman" w:hAnsi="Times New Roman" w:cs="Times New Roman"/>
                <w:color w:val="000000" w:themeColor="text1"/>
                <w:sz w:val="20"/>
                <w:szCs w:val="20"/>
                <w:lang w:val="en-GB"/>
              </w:rPr>
              <w:t>taking into account</w:t>
            </w:r>
            <w:proofErr w:type="gramEnd"/>
            <w:r w:rsidRPr="002F61BB">
              <w:rPr>
                <w:rFonts w:ascii="Times New Roman" w:hAnsi="Times New Roman" w:cs="Times New Roman"/>
                <w:color w:val="000000" w:themeColor="text1"/>
                <w:sz w:val="20"/>
                <w:szCs w:val="20"/>
                <w:lang w:val="en-GB"/>
              </w:rPr>
              <w:t xml:space="preserve"> the different dimensions assessed previously (market share, market concentration, time to substitution, legal barriers, and operational requirements to entry or expansion</w:t>
            </w:r>
            <w:proofErr w:type="gramStart"/>
            <w:r w:rsidRPr="002F61BB">
              <w:rPr>
                <w:rFonts w:ascii="Times New Roman" w:hAnsi="Times New Roman" w:cs="Times New Roman"/>
                <w:color w:val="000000" w:themeColor="text1"/>
                <w:sz w:val="20"/>
                <w:szCs w:val="20"/>
                <w:lang w:val="en-GB"/>
              </w:rPr>
              <w:t>) .</w:t>
            </w:r>
            <w:proofErr w:type="gramEnd"/>
            <w:r w:rsidRPr="002F61BB">
              <w:rPr>
                <w:rFonts w:ascii="Times New Roman" w:hAnsi="Times New Roman" w:cs="Times New Roman"/>
                <w:color w:val="000000" w:themeColor="text1"/>
                <w:sz w:val="20"/>
                <w:szCs w:val="20"/>
                <w:lang w:val="en-GB"/>
              </w:rPr>
              <w:t xml:space="preserve"> This assessment shall be expressed qualitatively as ‘High’, ‘Medium-High’, ‘Medium-Low’ or Low’. </w:t>
            </w:r>
          </w:p>
          <w:p w14:paraId="07F40115" w14:textId="77777777" w:rsidR="00A5354C" w:rsidRDefault="00A5354C">
            <w:pPr>
              <w:rPr>
                <w:rFonts w:ascii="Times New Roman" w:eastAsiaTheme="minorHAnsi" w:hAnsi="Times New Roman" w:cs="Times New Roman"/>
                <w:color w:val="000000" w:themeColor="text1"/>
                <w:sz w:val="20"/>
                <w:szCs w:val="20"/>
                <w:lang w:val="en-GB"/>
              </w:rPr>
            </w:pPr>
          </w:p>
          <w:p w14:paraId="7FE1BDC7" w14:textId="704E53DC"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‘H</w:t>
            </w:r>
            <w:r w:rsidR="00A5354C">
              <w:rPr>
                <w:rFonts w:ascii="Times New Roman" w:eastAsiaTheme="minorHAnsi" w:hAnsi="Times New Roman" w:cs="Times New Roman"/>
                <w:color w:val="000000" w:themeColor="text1"/>
                <w:sz w:val="20"/>
                <w:szCs w:val="20"/>
                <w:lang w:val="en-GB"/>
              </w:rPr>
              <w:t>igh</w:t>
            </w:r>
            <w:r w:rsidRPr="002F61BB">
              <w:rPr>
                <w:rFonts w:ascii="Times New Roman" w:eastAsiaTheme="minorHAnsi" w:hAnsi="Times New Roman" w:cs="Times New Roman"/>
                <w:color w:val="000000" w:themeColor="text1"/>
                <w:sz w:val="20"/>
                <w:szCs w:val="20"/>
                <w:lang w:val="en-GB"/>
              </w:rPr>
              <w:t xml:space="preserve">’ shall be selected if a function can easily be provided by another bank under comparable conditions within a reasonable </w:t>
            </w:r>
            <w:proofErr w:type="gramStart"/>
            <w:r w:rsidRPr="002F61BB">
              <w:rPr>
                <w:rFonts w:ascii="Times New Roman" w:eastAsiaTheme="minorHAnsi" w:hAnsi="Times New Roman" w:cs="Times New Roman"/>
                <w:color w:val="000000" w:themeColor="text1"/>
                <w:sz w:val="20"/>
                <w:szCs w:val="20"/>
                <w:lang w:val="en-GB"/>
              </w:rPr>
              <w:t>timeframe;</w:t>
            </w:r>
            <w:proofErr w:type="gramEnd"/>
          </w:p>
          <w:p w14:paraId="7FE1BDC8" w14:textId="794A9FE4"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‘L</w:t>
            </w:r>
            <w:r w:rsidR="00A5354C">
              <w:rPr>
                <w:rFonts w:ascii="Times New Roman" w:eastAsiaTheme="minorHAnsi" w:hAnsi="Times New Roman" w:cs="Times New Roman"/>
                <w:color w:val="000000" w:themeColor="text1"/>
                <w:sz w:val="20"/>
                <w:szCs w:val="20"/>
                <w:lang w:val="en-GB"/>
              </w:rPr>
              <w:t>ow</w:t>
            </w:r>
            <w:r w:rsidRPr="002F61BB">
              <w:rPr>
                <w:rFonts w:ascii="Times New Roman" w:eastAsiaTheme="minorHAnsi" w:hAnsi="Times New Roman" w:cs="Times New Roman"/>
                <w:color w:val="000000" w:themeColor="text1"/>
                <w:sz w:val="20"/>
                <w:szCs w:val="20"/>
                <w:lang w:val="en-GB"/>
              </w:rPr>
              <w:t xml:space="preserve">’ if a function cannot be easily or rapidly </w:t>
            </w:r>
            <w:proofErr w:type="gramStart"/>
            <w:r w:rsidRPr="002F61BB">
              <w:rPr>
                <w:rFonts w:ascii="Times New Roman" w:eastAsiaTheme="minorHAnsi" w:hAnsi="Times New Roman" w:cs="Times New Roman"/>
                <w:color w:val="000000" w:themeColor="text1"/>
                <w:sz w:val="20"/>
                <w:szCs w:val="20"/>
                <w:lang w:val="en-GB"/>
              </w:rPr>
              <w:t>substituted;</w:t>
            </w:r>
            <w:proofErr w:type="gramEnd"/>
            <w:r w:rsidRPr="002F61BB">
              <w:rPr>
                <w:rFonts w:ascii="Times New Roman" w:eastAsiaTheme="minorHAnsi" w:hAnsi="Times New Roman" w:cs="Times New Roman"/>
                <w:color w:val="000000" w:themeColor="text1"/>
                <w:sz w:val="20"/>
                <w:szCs w:val="20"/>
                <w:lang w:val="en-GB"/>
              </w:rPr>
              <w:t xml:space="preserve"> </w:t>
            </w:r>
          </w:p>
          <w:p w14:paraId="7FE1BDC9" w14:textId="02A9D6A2"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‘M</w:t>
            </w:r>
            <w:r w:rsidR="00A5354C">
              <w:rPr>
                <w:rFonts w:ascii="Times New Roman" w:eastAsiaTheme="minorHAnsi" w:hAnsi="Times New Roman" w:cs="Times New Roman"/>
                <w:color w:val="000000" w:themeColor="text1"/>
                <w:sz w:val="20"/>
                <w:szCs w:val="20"/>
                <w:lang w:val="en-GB"/>
              </w:rPr>
              <w:t>edium-</w:t>
            </w:r>
            <w:r w:rsidRPr="002F61BB">
              <w:rPr>
                <w:rFonts w:ascii="Times New Roman" w:eastAsiaTheme="minorHAnsi" w:hAnsi="Times New Roman" w:cs="Times New Roman"/>
                <w:color w:val="000000" w:themeColor="text1"/>
                <w:sz w:val="20"/>
                <w:szCs w:val="20"/>
                <w:lang w:val="en-GB"/>
              </w:rPr>
              <w:t>H</w:t>
            </w:r>
            <w:r w:rsidR="00A5354C">
              <w:rPr>
                <w:rFonts w:ascii="Times New Roman" w:eastAsiaTheme="minorHAnsi" w:hAnsi="Times New Roman" w:cs="Times New Roman"/>
                <w:color w:val="000000" w:themeColor="text1"/>
                <w:sz w:val="20"/>
                <w:szCs w:val="20"/>
                <w:lang w:val="en-GB"/>
              </w:rPr>
              <w:t>igh</w:t>
            </w:r>
            <w:r w:rsidRPr="002F61BB">
              <w:rPr>
                <w:rFonts w:ascii="Times New Roman" w:eastAsiaTheme="minorHAnsi" w:hAnsi="Times New Roman" w:cs="Times New Roman"/>
                <w:color w:val="000000" w:themeColor="text1"/>
                <w:sz w:val="20"/>
                <w:szCs w:val="20"/>
                <w:lang w:val="en-GB"/>
              </w:rPr>
              <w:t>’ and ‘M</w:t>
            </w:r>
            <w:r w:rsidR="00A5354C">
              <w:rPr>
                <w:rFonts w:ascii="Times New Roman" w:eastAsiaTheme="minorHAnsi" w:hAnsi="Times New Roman" w:cs="Times New Roman"/>
                <w:color w:val="000000" w:themeColor="text1"/>
                <w:sz w:val="20"/>
                <w:szCs w:val="20"/>
                <w:lang w:val="en-GB"/>
              </w:rPr>
              <w:t>edium-</w:t>
            </w:r>
            <w:r w:rsidRPr="002F61BB">
              <w:rPr>
                <w:rFonts w:ascii="Times New Roman" w:eastAsiaTheme="minorHAnsi" w:hAnsi="Times New Roman" w:cs="Times New Roman"/>
                <w:color w:val="000000" w:themeColor="text1"/>
                <w:sz w:val="20"/>
                <w:szCs w:val="20"/>
                <w:lang w:val="en-GB"/>
              </w:rPr>
              <w:t>L</w:t>
            </w:r>
            <w:r w:rsidR="00A5354C">
              <w:rPr>
                <w:rFonts w:ascii="Times New Roman" w:eastAsiaTheme="minorHAnsi" w:hAnsi="Times New Roman" w:cs="Times New Roman"/>
                <w:color w:val="000000" w:themeColor="text1"/>
                <w:sz w:val="20"/>
                <w:szCs w:val="20"/>
                <w:lang w:val="en-GB"/>
              </w:rPr>
              <w:t>ow</w:t>
            </w:r>
            <w:r w:rsidRPr="002F61BB">
              <w:rPr>
                <w:rFonts w:ascii="Times New Roman" w:eastAsiaTheme="minorHAnsi" w:hAnsi="Times New Roman" w:cs="Times New Roman"/>
                <w:color w:val="000000" w:themeColor="text1"/>
                <w:sz w:val="20"/>
                <w:szCs w:val="20"/>
                <w:lang w:val="en-GB"/>
              </w:rPr>
              <w:t xml:space="preserve">’ for intermediate cases </w:t>
            </w:r>
            <w:proofErr w:type="gramStart"/>
            <w:r w:rsidRPr="002F61BB">
              <w:rPr>
                <w:rFonts w:ascii="Times New Roman" w:eastAsiaTheme="minorHAnsi" w:hAnsi="Times New Roman" w:cs="Times New Roman"/>
                <w:color w:val="000000" w:themeColor="text1"/>
                <w:sz w:val="20"/>
                <w:szCs w:val="20"/>
                <w:lang w:val="en-GB"/>
              </w:rPr>
              <w:t>taking into account</w:t>
            </w:r>
            <w:proofErr w:type="gramEnd"/>
            <w:r w:rsidRPr="002F61BB">
              <w:rPr>
                <w:rFonts w:ascii="Times New Roman" w:eastAsiaTheme="minorHAnsi" w:hAnsi="Times New Roman" w:cs="Times New Roman"/>
                <w:color w:val="000000" w:themeColor="text1"/>
                <w:sz w:val="20"/>
                <w:szCs w:val="20"/>
                <w:lang w:val="en-GB"/>
              </w:rPr>
              <w:t xml:space="preserve"> different dimensions (e.g. market share, market concentration, time to substitution, as well as legal barriers to and operational requirements for entry or expansion).</w:t>
            </w:r>
          </w:p>
        </w:tc>
      </w:tr>
      <w:tr w:rsidR="00CC0A94" w14:paraId="7FE1BDCF" w14:textId="77777777" w:rsidTr="6F08E959">
        <w:tc>
          <w:tcPr>
            <w:tcW w:w="1080" w:type="dxa"/>
            <w:tcBorders>
              <w:top w:val="single" w:sz="4" w:space="0" w:color="1A171C"/>
              <w:left w:val="nil"/>
              <w:bottom w:val="single" w:sz="4" w:space="0" w:color="1A171C"/>
              <w:right w:val="single" w:sz="4" w:space="0" w:color="1A171C"/>
            </w:tcBorders>
            <w:vAlign w:val="center"/>
          </w:tcPr>
          <w:p w14:paraId="7FE1BDC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Critical Function</w:t>
            </w:r>
          </w:p>
          <w:p w14:paraId="7FE1BDCD"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In this column it shall be reported whether, </w:t>
            </w:r>
            <w:proofErr w:type="gramStart"/>
            <w:r w:rsidRPr="002F61BB">
              <w:rPr>
                <w:rFonts w:ascii="Times New Roman" w:eastAsiaTheme="minorHAnsi" w:hAnsi="Times New Roman" w:cs="Times New Roman"/>
                <w:color w:val="000000" w:themeColor="text1"/>
                <w:sz w:val="20"/>
                <w:szCs w:val="20"/>
                <w:lang w:val="en-GB"/>
              </w:rPr>
              <w:t>taking into account</w:t>
            </w:r>
            <w:proofErr w:type="gramEnd"/>
            <w:r w:rsidRPr="002F61BB">
              <w:rPr>
                <w:rFonts w:ascii="Times New Roman" w:eastAsiaTheme="minorHAnsi" w:hAnsi="Times New Roman" w:cs="Times New Roman"/>
                <w:color w:val="000000" w:themeColor="text1"/>
                <w:sz w:val="20"/>
                <w:szCs w:val="20"/>
                <w:lang w:val="en-GB"/>
              </w:rPr>
              <w:t xml:space="preserve"> the impact and substitutability analysis performed by the institution, the economic function </w:t>
            </w:r>
            <w:proofErr w:type="gramStart"/>
            <w:r w:rsidRPr="002F61BB">
              <w:rPr>
                <w:rFonts w:ascii="Times New Roman" w:eastAsiaTheme="minorHAnsi" w:hAnsi="Times New Roman" w:cs="Times New Roman"/>
                <w:color w:val="000000" w:themeColor="text1"/>
                <w:sz w:val="20"/>
                <w:szCs w:val="20"/>
                <w:lang w:val="en-GB"/>
              </w:rPr>
              <w:t>is considered to be</w:t>
            </w:r>
            <w:proofErr w:type="gramEnd"/>
            <w:r w:rsidRPr="002F61BB">
              <w:rPr>
                <w:rFonts w:ascii="Times New Roman" w:eastAsiaTheme="minorHAnsi" w:hAnsi="Times New Roman" w:cs="Times New Roman"/>
                <w:color w:val="000000" w:themeColor="text1"/>
                <w:sz w:val="20"/>
                <w:szCs w:val="20"/>
                <w:lang w:val="en-GB"/>
              </w:rPr>
              <w:t xml:space="preserve"> critical in the market for the relevant country.</w:t>
            </w:r>
          </w:p>
          <w:p w14:paraId="7FE1BDCE"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Report ‘Yes’ or ‘No’</w:t>
            </w:r>
          </w:p>
        </w:tc>
      </w:tr>
      <w:tr w:rsidR="00CC0A94" w14:paraId="7FE1BDD3" w14:textId="77777777" w:rsidTr="6F08E959">
        <w:tc>
          <w:tcPr>
            <w:tcW w:w="1080" w:type="dxa"/>
            <w:tcBorders>
              <w:top w:val="single" w:sz="4" w:space="0" w:color="1A171C"/>
              <w:left w:val="nil"/>
              <w:bottom w:val="single" w:sz="4" w:space="0" w:color="1A171C"/>
              <w:right w:val="single" w:sz="4" w:space="0" w:color="1A171C"/>
            </w:tcBorders>
            <w:vAlign w:val="center"/>
          </w:tcPr>
          <w:p w14:paraId="7FE1BDD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Comments from the Group</w:t>
            </w:r>
          </w:p>
          <w:p w14:paraId="7FE1BDD2"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DD4" w14:textId="77777777" w:rsidR="00CC0A94" w:rsidRDefault="00CC0A94">
      <w:pPr>
        <w:rPr>
          <w:rFonts w:ascii="Times New Roman" w:hAnsi="Times New Roman" w:cs="Times New Roman"/>
          <w:color w:val="000000" w:themeColor="text1"/>
          <w:sz w:val="20"/>
          <w:szCs w:val="20"/>
          <w:lang w:val="en-GB"/>
        </w:rPr>
      </w:pPr>
    </w:p>
    <w:p w14:paraId="7FE1BFB4" w14:textId="77777777" w:rsidR="00CC0A94" w:rsidRPr="002F61BB" w:rsidRDefault="00CC0A94">
      <w:pPr>
        <w:rPr>
          <w:rFonts w:ascii="Times New Roman" w:hAnsi="Times New Roman" w:cs="Times New Roman"/>
        </w:rPr>
      </w:pPr>
    </w:p>
    <w:p w14:paraId="7FE1BFB5" w14:textId="432A2FAA" w:rsidR="00CC0A94" w:rsidRDefault="006C1571">
      <w:pPr>
        <w:pStyle w:val="Instructionsberschrift2"/>
        <w:numPr>
          <w:ilvl w:val="1"/>
          <w:numId w:val="49"/>
        </w:numPr>
        <w:ind w:left="357" w:hanging="357"/>
        <w:rPr>
          <w:rFonts w:ascii="Times New Roman" w:hAnsi="Times New Roman" w:cs="Times New Roman"/>
        </w:rPr>
      </w:pPr>
      <w:bookmarkStart w:id="122" w:name="_Toc192249057"/>
      <w:r>
        <w:rPr>
          <w:rFonts w:ascii="Times New Roman" w:hAnsi="Times New Roman" w:cs="Times New Roman"/>
        </w:rPr>
        <w:lastRenderedPageBreak/>
        <w:t>Z 07.02 - Mapping of economic functions to legal entities (FUNC 2)</w:t>
      </w:r>
      <w:bookmarkEnd w:id="122"/>
      <w:r>
        <w:rPr>
          <w:rFonts w:ascii="Times New Roman" w:hAnsi="Times New Roman" w:cs="Times New Roman"/>
        </w:rPr>
        <w:t xml:space="preserve"> </w:t>
      </w:r>
    </w:p>
    <w:p w14:paraId="7FE1BFB6" w14:textId="77777777" w:rsidR="00CC0A94" w:rsidRDefault="006C1571">
      <w:pPr>
        <w:pStyle w:val="Instructionsberschrift3"/>
        <w:rPr>
          <w:color w:val="auto"/>
          <w:lang w:val="en-GB"/>
        </w:rPr>
      </w:pPr>
      <w:r>
        <w:rPr>
          <w:b/>
          <w:bCs/>
        </w:rPr>
        <w:t>Instructions</w:t>
      </w:r>
      <w:r>
        <w:rPr>
          <w:b/>
          <w:bCs/>
          <w:color w:val="auto"/>
          <w:lang w:val="en-GB"/>
        </w:rPr>
        <w:t xml:space="preserve"> concerning specific positions</w:t>
      </w:r>
    </w:p>
    <w:p w14:paraId="7FE1BFB7" w14:textId="7A5F9014"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template shall be reported for the entire group and considering the economic functions that the Group is providing to the economy.</w:t>
      </w:r>
    </w:p>
    <w:p w14:paraId="7FE1BFB8"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The combination of values reported in columns 0010, 0020 and 0040 of this </w:t>
      </w:r>
      <w:proofErr w:type="gramStart"/>
      <w:r>
        <w:rPr>
          <w:rFonts w:ascii="Times New Roman" w:hAnsi="Times New Roman" w:cs="Times New Roman"/>
          <w:sz w:val="20"/>
          <w:szCs w:val="20"/>
          <w:lang w:val="en-GB"/>
        </w:rPr>
        <w:t>template</w:t>
      </w:r>
      <w:proofErr w:type="gramEnd"/>
      <w:r>
        <w:rPr>
          <w:rFonts w:ascii="Times New Roman" w:hAnsi="Times New Roman" w:cs="Times New Roman"/>
          <w:sz w:val="20"/>
          <w:szCs w:val="20"/>
          <w:lang w:val="en-GB"/>
        </w:rPr>
        <w:t xml:space="preserve"> forms a primary key which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be unique for each row of the template.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BFBB" w14:textId="77777777" w:rsidTr="0718AA92">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FBE" w14:textId="77777777" w:rsidTr="0718AA92">
        <w:tc>
          <w:tcPr>
            <w:tcW w:w="1191" w:type="dxa"/>
            <w:tcBorders>
              <w:top w:val="single" w:sz="4" w:space="0" w:color="1A171C"/>
              <w:left w:val="nil"/>
              <w:bottom w:val="single" w:sz="4" w:space="0" w:color="1A171C"/>
              <w:right w:val="single" w:sz="4" w:space="0" w:color="1A171C"/>
            </w:tcBorders>
            <w:vAlign w:val="center"/>
          </w:tcPr>
          <w:p w14:paraId="7FE1BFB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Economic function</w:t>
            </w:r>
          </w:p>
        </w:tc>
      </w:tr>
      <w:tr w:rsidR="00CC0A94" w14:paraId="7FE1BFC2" w14:textId="77777777" w:rsidTr="0718AA92">
        <w:tc>
          <w:tcPr>
            <w:tcW w:w="1191" w:type="dxa"/>
            <w:tcBorders>
              <w:top w:val="single" w:sz="4" w:space="0" w:color="1A171C"/>
              <w:left w:val="nil"/>
              <w:bottom w:val="single" w:sz="4" w:space="0" w:color="1A171C"/>
              <w:right w:val="single" w:sz="4" w:space="0" w:color="1A171C"/>
            </w:tcBorders>
            <w:vAlign w:val="center"/>
          </w:tcPr>
          <w:p w14:paraId="7FE1BFBF"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Country</w:t>
            </w:r>
          </w:p>
          <w:p w14:paraId="7FE1BFC1" w14:textId="235DC4B1"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country for which the economic function is provided</w:t>
            </w:r>
          </w:p>
        </w:tc>
      </w:tr>
      <w:tr w:rsidR="00CC0A94" w14:paraId="7FE1BFC6" w14:textId="77777777" w:rsidTr="0718AA92">
        <w:tc>
          <w:tcPr>
            <w:tcW w:w="1191" w:type="dxa"/>
            <w:tcBorders>
              <w:top w:val="single" w:sz="4" w:space="0" w:color="1A171C"/>
              <w:left w:val="nil"/>
              <w:bottom w:val="single" w:sz="4" w:space="0" w:color="1A171C"/>
              <w:right w:val="single" w:sz="4" w:space="0" w:color="1A171C"/>
            </w:tcBorders>
            <w:vAlign w:val="center"/>
          </w:tcPr>
          <w:p w14:paraId="7FE1BFC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ID</w:t>
            </w:r>
          </w:p>
          <w:p w14:paraId="7FE1BFC5" w14:textId="05F6B42D"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ID of the economic functions (as referred to in template Z 07.01 (FUNC 1) in the case of critical functions).</w:t>
            </w:r>
          </w:p>
        </w:tc>
      </w:tr>
      <w:tr w:rsidR="00CC0A94" w14:paraId="7FE1BFC9" w14:textId="77777777" w:rsidTr="0718AA92">
        <w:tc>
          <w:tcPr>
            <w:tcW w:w="1191" w:type="dxa"/>
            <w:tcBorders>
              <w:top w:val="single" w:sz="4" w:space="0" w:color="1A171C"/>
              <w:left w:val="nil"/>
              <w:bottom w:val="single" w:sz="4" w:space="0" w:color="1A171C"/>
              <w:right w:val="single" w:sz="4" w:space="0" w:color="1A171C"/>
            </w:tcBorders>
            <w:vAlign w:val="center"/>
          </w:tcPr>
          <w:p w14:paraId="7FE1BFC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Legal entity</w:t>
            </w:r>
          </w:p>
        </w:tc>
      </w:tr>
      <w:tr w:rsidR="00CC0A94" w14:paraId="7FE1BFCF" w14:textId="77777777" w:rsidTr="0718AA92">
        <w:tc>
          <w:tcPr>
            <w:tcW w:w="1191" w:type="dxa"/>
            <w:tcBorders>
              <w:top w:val="single" w:sz="4" w:space="0" w:color="1A171C"/>
              <w:left w:val="nil"/>
              <w:bottom w:val="single" w:sz="4" w:space="0" w:color="1A171C"/>
              <w:right w:val="single" w:sz="4" w:space="0" w:color="1A171C"/>
            </w:tcBorders>
            <w:vAlign w:val="center"/>
          </w:tcPr>
          <w:p w14:paraId="7FE1BFCA"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BFCD" w14:textId="375A61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Entity performing the economic function, as reported in Z 01.01 (ORG 1).</w:t>
            </w:r>
          </w:p>
          <w:p w14:paraId="7FE1BFCE" w14:textId="2159DCA3"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If there are several entities performing the same economic functions in the same country, each entity shall be reported in a separate row.</w:t>
            </w:r>
          </w:p>
        </w:tc>
      </w:tr>
      <w:tr w:rsidR="00CC0A94" w14:paraId="7FE1BFD4" w14:textId="77777777" w:rsidTr="0718AA92">
        <w:tc>
          <w:tcPr>
            <w:tcW w:w="1191" w:type="dxa"/>
            <w:tcBorders>
              <w:top w:val="single" w:sz="4" w:space="0" w:color="1A171C"/>
              <w:left w:val="nil"/>
              <w:bottom w:val="single" w:sz="4" w:space="0" w:color="1A171C"/>
              <w:right w:val="single" w:sz="4" w:space="0" w:color="1A171C"/>
            </w:tcBorders>
            <w:vAlign w:val="center"/>
          </w:tcPr>
          <w:p w14:paraId="7FE1BFD0"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7FE1BFD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Unique identifier of the legal entity in column 0020, as reported in template Z 01.01 (ORG 1).</w:t>
            </w:r>
          </w:p>
          <w:p w14:paraId="7FE1BFD3" w14:textId="0AEAE2F2"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identification of entities shall be made in a consistent way across the templates.</w:t>
            </w:r>
          </w:p>
        </w:tc>
      </w:tr>
      <w:tr w:rsidR="00CC0A94" w14:paraId="7FE1BFDB" w14:textId="77777777" w:rsidTr="0718AA92">
        <w:tc>
          <w:tcPr>
            <w:tcW w:w="1191" w:type="dxa"/>
            <w:tcBorders>
              <w:top w:val="single" w:sz="4" w:space="0" w:color="1A171C"/>
              <w:left w:val="nil"/>
              <w:bottom w:val="single" w:sz="4" w:space="0" w:color="1A171C"/>
              <w:right w:val="single" w:sz="4" w:space="0" w:color="1A171C"/>
            </w:tcBorders>
            <w:vAlign w:val="center"/>
          </w:tcPr>
          <w:p w14:paraId="7FE1BFD5"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29A7EF10" w14:textId="77777777" w:rsidR="00235542" w:rsidRDefault="00235542" w:rsidP="0718AA92">
            <w:pPr>
              <w:pStyle w:val="TableParagraph"/>
              <w:spacing w:before="108"/>
              <w:rPr>
                <w:rFonts w:ascii="Times New Roman" w:hAnsi="Times New Roman" w:cs="Times New Roman"/>
                <w:color w:val="000000" w:themeColor="text1"/>
                <w:sz w:val="20"/>
                <w:szCs w:val="20"/>
              </w:rPr>
            </w:pPr>
            <w:r w:rsidRPr="0718AA92">
              <w:rPr>
                <w:rFonts w:ascii="Times New Roman" w:hAnsi="Times New Roman" w:cs="Times New Roman"/>
                <w:color w:val="000000" w:themeColor="text1"/>
                <w:sz w:val="20"/>
                <w:szCs w:val="20"/>
              </w:rPr>
              <w:t>To be chosen among the following options: “LEI code”, “MFI code” or “Type of identifier, other than LEI or MFI code”.</w:t>
            </w:r>
          </w:p>
          <w:p w14:paraId="7FE1BFD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The identification of entities shall be made in a consistent way across the templates.</w:t>
            </w:r>
          </w:p>
        </w:tc>
      </w:tr>
      <w:tr w:rsidR="00CC0A94" w14:paraId="7FE1BFE4" w14:textId="77777777" w:rsidTr="0718AA92">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Monetary amount</w:t>
            </w:r>
          </w:p>
          <w:p w14:paraId="7FE1BFDE" w14:textId="1157FFA9"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Contribution, in monetary amount, of the legal entity to the monetary amounts as described in template Z 07.01 (FUNC 1):</w:t>
            </w:r>
          </w:p>
          <w:p w14:paraId="7FE1BFDF"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Deposits – Value on accounts</w:t>
            </w:r>
          </w:p>
          <w:p w14:paraId="7FE1BFE0"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Lending – Value Outstanding</w:t>
            </w:r>
          </w:p>
          <w:p w14:paraId="7FE1BFE1"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Payments – Value of transactions/ open positions/ assets under custody (as applicable)</w:t>
            </w:r>
          </w:p>
          <w:p w14:paraId="7FE1BFE2"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Capital Markets – Notional amount/ Carrying amount/ Fee income (as applicable)</w:t>
            </w:r>
          </w:p>
          <w:p w14:paraId="7FE1BFE3" w14:textId="77777777" w:rsidR="00CC0A94" w:rsidRDefault="006C1571" w:rsidP="002F61BB">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Wholesale Funding – Gross carrying amount</w:t>
            </w:r>
          </w:p>
        </w:tc>
      </w:tr>
    </w:tbl>
    <w:p w14:paraId="7FE1BFE5" w14:textId="77777777" w:rsidR="00CC0A94" w:rsidRDefault="00CC0A94">
      <w:pPr>
        <w:rPr>
          <w:rFonts w:ascii="Times New Roman" w:hAnsi="Times New Roman" w:cs="Times New Roman"/>
          <w:color w:val="000000" w:themeColor="text1"/>
          <w:sz w:val="20"/>
          <w:szCs w:val="20"/>
          <w:lang w:val="en-GB"/>
        </w:rPr>
      </w:pPr>
    </w:p>
    <w:p w14:paraId="7FE1BFE6" w14:textId="30C6C61A" w:rsidR="00CC0A94" w:rsidRDefault="006C1571">
      <w:pPr>
        <w:pStyle w:val="Instructionsberschrift2"/>
        <w:numPr>
          <w:ilvl w:val="1"/>
          <w:numId w:val="49"/>
        </w:numPr>
        <w:ind w:left="357" w:hanging="357"/>
        <w:rPr>
          <w:rFonts w:ascii="Times New Roman" w:hAnsi="Times New Roman" w:cs="Times New Roman"/>
        </w:rPr>
      </w:pPr>
      <w:bookmarkStart w:id="123" w:name="_Toc192249058"/>
      <w:r>
        <w:rPr>
          <w:rFonts w:ascii="Times New Roman" w:hAnsi="Times New Roman" w:cs="Times New Roman"/>
        </w:rPr>
        <w:t>Z 07.03 - Mapping of Core Business Lines to legal entities (FUNC 3)</w:t>
      </w:r>
      <w:bookmarkEnd w:id="123"/>
    </w:p>
    <w:p w14:paraId="7FE1BFE7" w14:textId="2A9EA2DA" w:rsidR="00CC0A94" w:rsidRDefault="006C1571">
      <w:pPr>
        <w:pStyle w:val="Instructionsberschrift3"/>
        <w:rPr>
          <w:b/>
          <w:bCs/>
        </w:rPr>
      </w:pPr>
      <w:r>
        <w:rPr>
          <w:b/>
          <w:bCs/>
        </w:rPr>
        <w:t>Instructions concerning specific positions</w:t>
      </w:r>
    </w:p>
    <w:p w14:paraId="7FE1BFE8" w14:textId="22DA3D65"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lastRenderedPageBreak/>
        <w:t>The combination of values reported in columns 0020 and 00</w:t>
      </w:r>
      <w:r w:rsidR="00887021">
        <w:rPr>
          <w:rFonts w:ascii="Times New Roman" w:hAnsi="Times New Roman" w:cs="Times New Roman"/>
          <w:sz w:val="20"/>
          <w:szCs w:val="20"/>
          <w:lang w:val="en-GB"/>
        </w:rPr>
        <w:t>5</w:t>
      </w:r>
      <w:r>
        <w:rPr>
          <w:rFonts w:ascii="Times New Roman" w:hAnsi="Times New Roman" w:cs="Times New Roman"/>
          <w:sz w:val="20"/>
          <w:szCs w:val="20"/>
          <w:lang w:val="en-GB"/>
        </w:rPr>
        <w:t xml:space="preserve">0 of this template forms a primary key which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be unique for each row of the template.</w:t>
      </w:r>
    </w:p>
    <w:p w14:paraId="7FE1BFE9" w14:textId="29720803"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Only the business lines of relevant legal entities shall be reported in this template.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BFEC" w14:textId="77777777" w:rsidTr="002F61BB">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0010 – 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Core Business line</w:t>
            </w:r>
          </w:p>
        </w:tc>
      </w:tr>
      <w:tr w:rsidR="00CC0A94"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Core business line</w:t>
            </w:r>
          </w:p>
          <w:p w14:paraId="7FE1BFF2" w14:textId="65133358"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Core business line pursuant to Article 2(1)(36) </w:t>
            </w:r>
            <w:r w:rsidR="001310BC">
              <w:rPr>
                <w:rFonts w:ascii="Times New Roman" w:eastAsia="Cambria" w:hAnsi="Times New Roman" w:cs="Times New Roman"/>
                <w:color w:val="000000" w:themeColor="text1"/>
                <w:spacing w:val="-2"/>
                <w:w w:val="95"/>
                <w:sz w:val="20"/>
                <w:szCs w:val="20"/>
                <w:lang w:val="en-GB"/>
              </w:rPr>
              <w:t>and Article 2(2) of Directive 2014/59/EU</w:t>
            </w:r>
            <w:r>
              <w:rPr>
                <w:rFonts w:ascii="Times New Roman" w:eastAsia="Cambria" w:hAnsi="Times New Roman" w:cs="Times New Roman"/>
                <w:color w:val="000000" w:themeColor="text1"/>
                <w:spacing w:val="-2"/>
                <w:w w:val="95"/>
                <w:sz w:val="20"/>
                <w:szCs w:val="20"/>
                <w:lang w:val="en-GB"/>
              </w:rPr>
              <w:t>.</w:t>
            </w:r>
          </w:p>
          <w:p w14:paraId="7FE1BFF3"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The core business line shall be one of the business lines listed below.</w:t>
            </w:r>
          </w:p>
          <w:p w14:paraId="7FE1BFF4" w14:textId="77777777" w:rsidR="00CC0A94" w:rsidRPr="002F61BB" w:rsidRDefault="006C1571" w:rsidP="002F61BB">
            <w:pPr>
              <w:pStyle w:val="TableParagraph"/>
              <w:numPr>
                <w:ilvl w:val="0"/>
                <w:numId w:val="139"/>
              </w:numPr>
              <w:spacing w:before="108"/>
              <w:rPr>
                <w:rFonts w:ascii="Times New Roman" w:eastAsiaTheme="minorEastAs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Consumer Banking </w:t>
            </w:r>
          </w:p>
          <w:p w14:paraId="7FE1BFF5"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Corporate Banking</w:t>
            </w:r>
          </w:p>
          <w:p w14:paraId="7FE1BFF6"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Investment banking </w:t>
            </w:r>
          </w:p>
          <w:p w14:paraId="7FE1BFF7"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Insurance</w:t>
            </w:r>
          </w:p>
          <w:p w14:paraId="7FE1BFF8"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Reinsurance</w:t>
            </w:r>
          </w:p>
          <w:p w14:paraId="7FE1BFF9"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Retail Brokerage</w:t>
            </w:r>
          </w:p>
          <w:p w14:paraId="7FE1BFFA"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Wealth management </w:t>
            </w:r>
          </w:p>
          <w:p w14:paraId="7FE1BFFB"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Real estate agency</w:t>
            </w:r>
          </w:p>
          <w:p w14:paraId="7FE1BFFC"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Accounting </w:t>
            </w:r>
          </w:p>
          <w:p w14:paraId="7FE1BFFD"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Other</w:t>
            </w:r>
          </w:p>
          <w:p w14:paraId="7FE1BFFE" w14:textId="77777777" w:rsidR="00CC0A94" w:rsidRDefault="00CC0A94">
            <w:pPr>
              <w:pStyle w:val="TableParagraph"/>
              <w:spacing w:before="108"/>
              <w:ind w:left="85"/>
              <w:rPr>
                <w:rFonts w:ascii="Times New Roman" w:eastAsia="Cambria" w:hAnsi="Times New Roman" w:cs="Times New Roman"/>
                <w:color w:val="000000" w:themeColor="text1"/>
                <w:spacing w:val="-2"/>
                <w:w w:val="95"/>
                <w:sz w:val="20"/>
                <w:szCs w:val="20"/>
                <w:lang w:val="en-GB"/>
              </w:rPr>
            </w:pPr>
          </w:p>
        </w:tc>
      </w:tr>
      <w:tr w:rsidR="00CC0A94"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Business Line ID</w:t>
            </w:r>
          </w:p>
          <w:p w14:paraId="7FE1C00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Unique ID of the business line to be provided by the institution.</w:t>
            </w:r>
          </w:p>
        </w:tc>
      </w:tr>
      <w:tr w:rsidR="00CC0A94"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w:t>
            </w:r>
          </w:p>
          <w:p w14:paraId="7FE1C015" w14:textId="477A2340"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Description of the business line.</w:t>
            </w:r>
          </w:p>
        </w:tc>
      </w:tr>
      <w:tr w:rsidR="00CC0A94"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C02D" w14:textId="45109CE8"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Entity as reported in Z 01.01 (ORG 1) that provides the business line.</w:t>
            </w:r>
          </w:p>
        </w:tc>
      </w:tr>
      <w:tr w:rsidR="00CC0A94"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Code </w:t>
            </w:r>
          </w:p>
          <w:p w14:paraId="7FE1C031"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Unique identifier of the legal entity in column 0020, as reported in template Z 01.01 (ORG 1).</w:t>
            </w:r>
          </w:p>
          <w:p w14:paraId="7FE1C032" w14:textId="299C7D7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identification of entities shall be made in a consistent way across the templates.</w:t>
            </w:r>
          </w:p>
        </w:tc>
      </w:tr>
      <w:tr w:rsidR="00CC0A94"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4F36B5CB" w14:textId="0A20F8AD" w:rsidR="00235542" w:rsidRDefault="00235542">
            <w:pPr>
              <w:pStyle w:val="TableParagraph"/>
              <w:spacing w:before="108"/>
              <w:ind w:left="85"/>
              <w:jc w:val="both"/>
              <w:rPr>
                <w:rFonts w:ascii="Times New Roman" w:hAnsi="Times New Roman" w:cs="Times New Roman"/>
                <w:bCs/>
                <w:color w:val="000000" w:themeColor="text1"/>
                <w:sz w:val="20"/>
                <w:szCs w:val="20"/>
                <w:lang w:val="en-GB"/>
              </w:rPr>
            </w:pPr>
            <w:r w:rsidRPr="00235542">
              <w:rPr>
                <w:rFonts w:ascii="Times New Roman" w:hAnsi="Times New Roman" w:cs="Times New Roman"/>
                <w:bCs/>
                <w:color w:val="000000" w:themeColor="text1"/>
                <w:sz w:val="20"/>
                <w:szCs w:val="20"/>
                <w:lang w:val="en-GB"/>
              </w:rPr>
              <w:t>To be chosen among the following options: “LEI code”, “MFI code” or “Type of identifier, other than LEI or MFI code”.</w:t>
            </w:r>
          </w:p>
          <w:p w14:paraId="7FE1C039" w14:textId="5BB46896"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 xml:space="preserve">The identification of entities shall be made in a consistent way across the templates. </w:t>
            </w:r>
          </w:p>
        </w:tc>
      </w:tr>
    </w:tbl>
    <w:p w14:paraId="7FE1C03B" w14:textId="7E256DE6" w:rsidR="00CC0A94" w:rsidRPr="002F61BB" w:rsidRDefault="006C1571">
      <w:pPr>
        <w:pStyle w:val="Instructionsberschrift2"/>
        <w:numPr>
          <w:ilvl w:val="1"/>
          <w:numId w:val="49"/>
        </w:numPr>
        <w:ind w:left="357" w:hanging="357"/>
        <w:rPr>
          <w:rFonts w:ascii="Times New Roman" w:hAnsi="Times New Roman" w:cs="Times New Roman"/>
        </w:rPr>
      </w:pPr>
      <w:bookmarkStart w:id="124" w:name="_Toc192249059"/>
      <w:r>
        <w:rPr>
          <w:rFonts w:ascii="Times New Roman" w:hAnsi="Times New Roman" w:cs="Times New Roman"/>
        </w:rPr>
        <w:t xml:space="preserve">Z 07.04 - Mapping of </w:t>
      </w:r>
      <w:r w:rsidR="00124735">
        <w:rPr>
          <w:rFonts w:ascii="Times New Roman" w:hAnsi="Times New Roman" w:cs="Times New Roman"/>
        </w:rPr>
        <w:t xml:space="preserve">economic </w:t>
      </w:r>
      <w:r>
        <w:rPr>
          <w:rFonts w:ascii="Times New Roman" w:hAnsi="Times New Roman" w:cs="Times New Roman"/>
        </w:rPr>
        <w:t>functions to core business lines (FUNC 4)</w:t>
      </w:r>
      <w:bookmarkEnd w:id="124"/>
    </w:p>
    <w:p w14:paraId="7FE1C03C" w14:textId="77777777" w:rsidR="00CC0A94" w:rsidRDefault="006C1571">
      <w:pPr>
        <w:pStyle w:val="Instructionsberschrift3"/>
        <w:rPr>
          <w:b/>
          <w:bCs/>
        </w:rPr>
      </w:pPr>
      <w:r>
        <w:rPr>
          <w:b/>
          <w:bCs/>
        </w:rPr>
        <w:t>Instructions concerning specific positions</w:t>
      </w:r>
    </w:p>
    <w:p w14:paraId="7FE1C03E" w14:textId="1250AC76" w:rsidR="00CC0A94" w:rsidRDefault="006C1571" w:rsidP="002F61BB">
      <w:pPr>
        <w:pStyle w:val="InstructionsText2"/>
        <w:numPr>
          <w:ilvl w:val="0"/>
          <w:numId w:val="0"/>
        </w:numPr>
        <w:spacing w:before="0"/>
        <w:ind w:left="1800"/>
        <w:rPr>
          <w:rFonts w:ascii="Times New Roman" w:hAnsi="Times New Roman" w:cs="Times New Roman"/>
          <w:sz w:val="20"/>
          <w:szCs w:val="20"/>
          <w:lang w:val="en-GB"/>
        </w:rPr>
      </w:pPr>
      <w:r>
        <w:rPr>
          <w:rFonts w:ascii="Times New Roman" w:hAnsi="Times New Roman" w:cs="Times New Roman"/>
          <w:sz w:val="20"/>
          <w:szCs w:val="20"/>
          <w:lang w:val="en-GB"/>
        </w:rPr>
        <w:t xml:space="preserve">The combination of values reported in columns 0010, 0020 and 0040 of this </w:t>
      </w:r>
      <w:proofErr w:type="gramStart"/>
      <w:r>
        <w:rPr>
          <w:rFonts w:ascii="Times New Roman" w:hAnsi="Times New Roman" w:cs="Times New Roman"/>
          <w:sz w:val="20"/>
          <w:szCs w:val="20"/>
          <w:lang w:val="en-GB"/>
        </w:rPr>
        <w:t>template</w:t>
      </w:r>
      <w:proofErr w:type="gramEnd"/>
      <w:r>
        <w:rPr>
          <w:rFonts w:ascii="Times New Roman" w:hAnsi="Times New Roman" w:cs="Times New Roman"/>
          <w:sz w:val="20"/>
          <w:szCs w:val="20"/>
          <w:lang w:val="en-GB"/>
        </w:rPr>
        <w:t xml:space="preserve"> forms a primary key which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be unique for each row of the template.</w:t>
      </w:r>
    </w:p>
    <w:p w14:paraId="67939923" w14:textId="5A2745A8" w:rsidR="00887021" w:rsidRDefault="006C1571" w:rsidP="002F61BB">
      <w:pPr>
        <w:pStyle w:val="CommentText"/>
        <w:rPr>
          <w:rFonts w:ascii="Times New Roman" w:hAnsi="Times New Roman" w:cs="Times New Roman"/>
          <w:lang w:val="en-GB"/>
        </w:rPr>
      </w:pPr>
      <w:r>
        <w:rPr>
          <w:rFonts w:ascii="Times New Roman" w:hAnsi="Times New Roman" w:cs="Times New Roman"/>
          <w:lang w:val="en-GB"/>
        </w:rPr>
        <w:lastRenderedPageBreak/>
        <w:t xml:space="preserve">Only critical functions, as identified in </w:t>
      </w:r>
      <w:proofErr w:type="gramStart"/>
      <w:r>
        <w:rPr>
          <w:rFonts w:ascii="Times New Roman" w:hAnsi="Times New Roman" w:cs="Times New Roman"/>
          <w:lang w:val="en-GB"/>
        </w:rPr>
        <w:t>{</w:t>
      </w:r>
      <w:r w:rsidR="00887021" w:rsidRPr="00887021">
        <w:rPr>
          <w:i/>
        </w:rPr>
        <w:t xml:space="preserve"> </w:t>
      </w:r>
      <w:r w:rsidR="00887021">
        <w:rPr>
          <w:i/>
        </w:rPr>
        <w:t>Z</w:t>
      </w:r>
      <w:proofErr w:type="gramEnd"/>
      <w:r w:rsidR="00887021">
        <w:rPr>
          <w:i/>
        </w:rPr>
        <w:t xml:space="preserve"> 07.01.1 FUNC 1 DEP; c0170; Z 07.01.2 FUNC 1 LEN, c0180; Z 07.01.3 FUNC 1 PAY, c0250; Z 07.01.4 FUNC 1 CM, c0210; Z 07.01.5 FUNC 1 WF, c0180</w:t>
      </w:r>
      <w:proofErr w:type="gramStart"/>
      <w:r w:rsidR="00887021">
        <w:rPr>
          <w:i/>
        </w:rPr>
        <w:t xml:space="preserve">} </w:t>
      </w:r>
      <w:r>
        <w:rPr>
          <w:rFonts w:ascii="Times New Roman" w:hAnsi="Times New Roman" w:cs="Times New Roman"/>
          <w:lang w:val="en-GB"/>
        </w:rPr>
        <w:t>}</w:t>
      </w:r>
      <w:proofErr w:type="gramEnd"/>
      <w:r>
        <w:rPr>
          <w:rFonts w:ascii="Times New Roman" w:hAnsi="Times New Roman" w:cs="Times New Roman"/>
          <w:lang w:val="en-GB"/>
        </w:rPr>
        <w:t>, shall be reported in this template</w:t>
      </w:r>
      <w:r w:rsidR="00887021">
        <w:rPr>
          <w:rFonts w:ascii="Times New Roman" w:hAnsi="Times New Roman" w:cs="Times New Roman"/>
          <w:lang w:val="en-GB"/>
        </w:rPr>
        <w:t>.</w:t>
      </w:r>
    </w:p>
    <w:p w14:paraId="7FE1C040" w14:textId="77777777" w:rsidR="00CC0A94" w:rsidRPr="002F61BB" w:rsidRDefault="00CC0A94" w:rsidP="002F61BB">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CC0A94" w:rsidRDefault="006C1571">
            <w:pPr>
              <w:pStyle w:val="TableParagraph"/>
              <w:spacing w:before="108"/>
              <w:ind w:left="8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 Critical function</w:t>
            </w:r>
          </w:p>
        </w:tc>
      </w:tr>
      <w:tr w:rsidR="00CC0A94"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Country</w:t>
            </w:r>
          </w:p>
          <w:p w14:paraId="7FE1C049"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Country for which the function is critical, as reported in Z 07.01 (FUNC 1)</w:t>
            </w:r>
          </w:p>
        </w:tc>
      </w:tr>
      <w:tr w:rsidR="00CC0A94"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ID</w:t>
            </w:r>
          </w:p>
          <w:p w14:paraId="7FE1C04D" w14:textId="4D9D2A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ID of the critical functions as referred to in template Z 07.01 (FUNC 1)</w:t>
            </w:r>
          </w:p>
        </w:tc>
      </w:tr>
      <w:tr w:rsidR="00CC0A94"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CC0A94" w:rsidRDefault="006C1571">
            <w:pPr>
              <w:pStyle w:val="TableParagraph"/>
              <w:spacing w:before="108"/>
              <w:ind w:left="8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Core business line</w:t>
            </w:r>
          </w:p>
        </w:tc>
      </w:tr>
      <w:tr w:rsidR="00CC0A94"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Core business line</w:t>
            </w:r>
          </w:p>
          <w:p w14:paraId="7FE1C05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Core business line pursuant to Article 2(1)(36) and Article 2(2) of Directive 2014/59/EU as reported in template Z 07.03 (FUNC 3)</w:t>
            </w:r>
          </w:p>
        </w:tc>
      </w:tr>
      <w:tr w:rsidR="00CC0A94"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Business line: Business Line ID</w:t>
            </w:r>
          </w:p>
          <w:p w14:paraId="7FE1C05A"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Unique ID of the business line to be provided by the institution; same ID as reported in template Z 07.03 (FUNC 3)</w:t>
            </w:r>
          </w:p>
        </w:tc>
      </w:tr>
    </w:tbl>
    <w:p w14:paraId="7FE1C222" w14:textId="77777777" w:rsidR="00CC0A94" w:rsidRDefault="00CC0A94">
      <w:pPr>
        <w:rPr>
          <w:rFonts w:ascii="Times New Roman" w:hAnsi="Times New Roman" w:cs="Times New Roman"/>
          <w:b/>
          <w:color w:val="000000" w:themeColor="text1"/>
          <w:sz w:val="20"/>
          <w:szCs w:val="20"/>
          <w:u w:val="single"/>
          <w:lang w:val="en-GB"/>
        </w:rPr>
      </w:pPr>
    </w:p>
    <w:p w14:paraId="7FE1C223" w14:textId="77777777" w:rsidR="00CC0A94" w:rsidRDefault="006C1571">
      <w:pPr>
        <w:pStyle w:val="Instructionsberschrift2"/>
        <w:numPr>
          <w:ilvl w:val="1"/>
          <w:numId w:val="49"/>
        </w:numPr>
        <w:ind w:left="357" w:hanging="357"/>
        <w:rPr>
          <w:rFonts w:ascii="Times New Roman" w:eastAsia="Calibri" w:hAnsi="Times New Roman" w:cs="Times New Roman"/>
        </w:rPr>
      </w:pPr>
      <w:bookmarkStart w:id="125" w:name="_Toc192249066"/>
      <w:r>
        <w:rPr>
          <w:rFonts w:ascii="Times New Roman" w:eastAsia="Calibri" w:hAnsi="Times New Roman" w:cs="Times New Roman"/>
        </w:rPr>
        <w:t>Relevant Services</w:t>
      </w:r>
      <w:bookmarkEnd w:id="125"/>
    </w:p>
    <w:p w14:paraId="7FE1C224" w14:textId="70045BAA" w:rsidR="00CC0A94" w:rsidRPr="002F61BB" w:rsidRDefault="006C1571">
      <w:pPr>
        <w:pStyle w:val="Instructionsberschrift2"/>
        <w:numPr>
          <w:ilvl w:val="1"/>
          <w:numId w:val="49"/>
        </w:numPr>
        <w:ind w:left="357" w:hanging="357"/>
        <w:rPr>
          <w:rFonts w:ascii="Times New Roman" w:eastAsia="Calibri" w:hAnsi="Times New Roman" w:cs="Times New Roman"/>
        </w:rPr>
      </w:pPr>
      <w:bookmarkStart w:id="126" w:name="_Toc192249067"/>
      <w:r>
        <w:rPr>
          <w:rFonts w:ascii="Times New Roman" w:hAnsi="Times New Roman" w:cs="Times New Roman"/>
        </w:rPr>
        <w:t>Z 08.01— Relevant services (SERV 1)</w:t>
      </w:r>
      <w:bookmarkEnd w:id="126"/>
      <w:r>
        <w:rPr>
          <w:rFonts w:ascii="Times New Roman" w:hAnsi="Times New Roman" w:cs="Times New Roman"/>
        </w:rPr>
        <w:t xml:space="preserve"> </w:t>
      </w:r>
    </w:p>
    <w:p w14:paraId="7FE1C225"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II.8.1 General instructions</w:t>
      </w:r>
    </w:p>
    <w:p w14:paraId="7FE1C226" w14:textId="77777777" w:rsidR="00CC0A94" w:rsidRPr="002F61BB" w:rsidRDefault="00CC0A94">
      <w:pPr>
        <w:spacing w:line="276" w:lineRule="auto"/>
        <w:jc w:val="both"/>
        <w:rPr>
          <w:rFonts w:ascii="Times New Roman" w:eastAsia="Calibri" w:hAnsi="Times New Roman" w:cs="Times New Roman"/>
          <w:sz w:val="20"/>
        </w:rPr>
      </w:pPr>
    </w:p>
    <w:p w14:paraId="7FE1C228" w14:textId="765604DB" w:rsidR="00CC0A94" w:rsidRDefault="006C1571">
      <w:pPr>
        <w:pStyle w:val="Instructionsberschrift3"/>
        <w:numPr>
          <w:ilvl w:val="4"/>
          <w:numId w:val="49"/>
        </w:numPr>
        <w:ind w:left="928"/>
        <w:contextualSpacing/>
        <w:jc w:val="both"/>
        <w:rPr>
          <w:rFonts w:eastAsia="MS Mincho"/>
          <w:color w:val="auto"/>
          <w:u w:val="none"/>
        </w:rPr>
      </w:pPr>
      <w:r>
        <w:rPr>
          <w:rFonts w:eastAsia="MS Mincho"/>
          <w:u w:val="none"/>
        </w:rPr>
        <w:t xml:space="preserve">The information to be included in this template shall be reported once for the entire group, list </w:t>
      </w:r>
      <w:r>
        <w:rPr>
          <w:rFonts w:eastAsia="MS Mincho"/>
          <w:color w:val="auto"/>
          <w:u w:val="none"/>
        </w:rPr>
        <w:t xml:space="preserve">relevant </w:t>
      </w:r>
      <w:r>
        <w:rPr>
          <w:rFonts w:eastAsia="MS Mincho"/>
          <w:u w:val="none"/>
        </w:rPr>
        <w:t xml:space="preserve">services received by any entity in the group and link them to the critical functions </w:t>
      </w:r>
      <w:r>
        <w:rPr>
          <w:rFonts w:eastAsia="MS Mincho"/>
          <w:color w:val="auto"/>
          <w:u w:val="none"/>
        </w:rPr>
        <w:t xml:space="preserve">and core business lines </w:t>
      </w:r>
      <w:r>
        <w:rPr>
          <w:rFonts w:eastAsia="MS Mincho"/>
          <w:u w:val="none"/>
        </w:rPr>
        <w:t>provided by</w:t>
      </w:r>
      <w:r>
        <w:rPr>
          <w:rFonts w:eastAsia="MS Mincho"/>
          <w:color w:val="auto"/>
          <w:u w:val="none"/>
        </w:rPr>
        <w:t xml:space="preserve"> </w:t>
      </w:r>
      <w:r>
        <w:rPr>
          <w:rFonts w:eastAsia="MS Mincho"/>
          <w:u w:val="none"/>
        </w:rPr>
        <w:t>the group.</w:t>
      </w:r>
    </w:p>
    <w:p w14:paraId="7FE1C229" w14:textId="77777777" w:rsidR="00CC0A94" w:rsidRDefault="006C1571" w:rsidP="029F4E13">
      <w:pPr>
        <w:pStyle w:val="Instructionsberschrift3"/>
        <w:ind w:left="928"/>
        <w:contextualSpacing/>
        <w:jc w:val="both"/>
        <w:rPr>
          <w:rFonts w:eastAsia="MS Mincho"/>
          <w:color w:val="auto"/>
          <w:u w:val="none"/>
        </w:rPr>
      </w:pPr>
      <w:r w:rsidRPr="029F4E13">
        <w:rPr>
          <w:rFonts w:eastAsia="Calibri"/>
          <w:b/>
          <w:bCs/>
          <w:color w:val="auto"/>
          <w:u w:val="none"/>
        </w:rPr>
        <w:t>Relevant services</w:t>
      </w:r>
      <w:r>
        <w:rPr>
          <w:rStyle w:val="FootnoteReference"/>
          <w:rFonts w:ascii="Times New Roman" w:eastAsia="Calibri" w:hAnsi="Times New Roman"/>
          <w:bCs/>
          <w:color w:val="auto"/>
          <w:sz w:val="20"/>
          <w:szCs w:val="20"/>
          <w:u w:val="none"/>
        </w:rPr>
        <w:footnoteReference w:id="22"/>
      </w:r>
      <w:r w:rsidRPr="029F4E13">
        <w:rPr>
          <w:rFonts w:eastAsia="Calibri"/>
          <w:color w:val="auto"/>
          <w:u w:val="none"/>
        </w:rPr>
        <w:t>: critical and essential services</w:t>
      </w:r>
    </w:p>
    <w:p w14:paraId="7FE1C22A" w14:textId="77777777" w:rsidR="00CC0A94" w:rsidRDefault="006C1571" w:rsidP="029F4E13">
      <w:pPr>
        <w:pStyle w:val="Instructionsberschrift3"/>
        <w:ind w:left="928"/>
        <w:contextualSpacing/>
        <w:jc w:val="both"/>
        <w:rPr>
          <w:rFonts w:eastAsia="MS Mincho"/>
          <w:color w:val="auto"/>
          <w:u w:val="none"/>
        </w:rPr>
      </w:pPr>
      <w:r w:rsidRPr="029F4E13">
        <w:rPr>
          <w:rFonts w:eastAsia="Calibri"/>
          <w:b/>
          <w:bCs/>
          <w:color w:val="auto"/>
          <w:u w:val="none"/>
        </w:rPr>
        <w:t>Critical services</w:t>
      </w:r>
      <w:r>
        <w:rPr>
          <w:color w:val="auto"/>
          <w:u w:val="none"/>
          <w:vertAlign w:val="superscript"/>
        </w:rPr>
        <w:footnoteReference w:id="23"/>
      </w:r>
      <w:r w:rsidRPr="029F4E13">
        <w:rPr>
          <w:rFonts w:eastAsia="Calibri"/>
          <w:color w:val="auto"/>
          <w:u w:val="none"/>
        </w:rPr>
        <w:t>: services that are performed for group business units or entities (i) whose discontinuity would seriously impede or prevent the performance of one or more critical functions; and (ii) which cannot be provided by another provider within a reasonable time frame to a comparable extent as regards its object, quality and cost.</w:t>
      </w:r>
    </w:p>
    <w:p w14:paraId="7FE1C22B" w14:textId="77777777" w:rsidR="00CC0A94" w:rsidRDefault="006C1571" w:rsidP="029F4E13">
      <w:pPr>
        <w:pStyle w:val="Instructionsberschrift3"/>
        <w:ind w:left="928"/>
        <w:contextualSpacing/>
        <w:jc w:val="both"/>
        <w:rPr>
          <w:rFonts w:eastAsia="MS Mincho"/>
          <w:color w:val="auto"/>
          <w:u w:val="none"/>
        </w:rPr>
      </w:pPr>
      <w:r w:rsidRPr="029F4E13">
        <w:rPr>
          <w:b/>
          <w:bCs/>
          <w:u w:val="none"/>
        </w:rPr>
        <w:t>Essential services</w:t>
      </w:r>
      <w:r>
        <w:rPr>
          <w:u w:val="none"/>
        </w:rPr>
        <w:t>: Services associated with core business lines</w:t>
      </w:r>
      <w:r>
        <w:rPr>
          <w:u w:val="none"/>
          <w:vertAlign w:val="superscript"/>
        </w:rPr>
        <w:footnoteReference w:id="24"/>
      </w:r>
      <w:r>
        <w:rPr>
          <w:u w:val="none"/>
        </w:rPr>
        <w:t>, whose continuity is necessary for the effective execution of the resolution strategy and any consequent restructuring (i) whose discontinuity would seriously impede or prevent the performance of those core business lines; and (ii) which cannot be provided by another provider within a reasonable time frame to a comparable extent as regards its object, quality and cost.</w:t>
      </w:r>
      <w:r>
        <w:rPr>
          <w:rStyle w:val="FootnoteReference"/>
          <w:rFonts w:ascii="Times New Roman" w:eastAsia="Calibri" w:hAnsi="Times New Roman"/>
          <w:bCs/>
          <w:color w:val="auto"/>
          <w:sz w:val="20"/>
          <w:szCs w:val="20"/>
          <w:u w:val="none"/>
        </w:rPr>
        <w:footnoteReference w:id="25"/>
      </w:r>
    </w:p>
    <w:p w14:paraId="7FE1C22C" w14:textId="5D0544C9" w:rsidR="00CC0A94" w:rsidRDefault="006C1571">
      <w:pPr>
        <w:pStyle w:val="Instructionsberschrift3"/>
        <w:numPr>
          <w:ilvl w:val="4"/>
          <w:numId w:val="49"/>
        </w:numPr>
        <w:ind w:left="928"/>
        <w:contextualSpacing/>
        <w:jc w:val="both"/>
        <w:rPr>
          <w:rFonts w:eastAsia="MS Mincho"/>
          <w:color w:val="auto"/>
          <w:u w:val="none"/>
        </w:rPr>
      </w:pPr>
      <w:r>
        <w:rPr>
          <w:rFonts w:eastAsia="MS Mincho"/>
          <w:color w:val="auto"/>
          <w:szCs w:val="24"/>
          <w:u w:val="none"/>
        </w:rPr>
        <w:t xml:space="preserve">As per </w:t>
      </w:r>
      <w:r w:rsidR="00990404">
        <w:rPr>
          <w:rFonts w:eastAsia="MS Mincho"/>
          <w:color w:val="auto"/>
          <w:szCs w:val="24"/>
          <w:u w:val="none"/>
        </w:rPr>
        <w:t>R</w:t>
      </w:r>
      <w:r>
        <w:rPr>
          <w:rFonts w:eastAsia="MS Mincho"/>
          <w:color w:val="auto"/>
          <w:szCs w:val="24"/>
          <w:u w:val="none"/>
        </w:rPr>
        <w:t xml:space="preserve">ecital 8 </w:t>
      </w:r>
      <w:r w:rsidR="00990404">
        <w:rPr>
          <w:rFonts w:eastAsia="MS Mincho"/>
          <w:color w:val="auto"/>
          <w:szCs w:val="24"/>
          <w:u w:val="none"/>
        </w:rPr>
        <w:t xml:space="preserve">of Commission </w:t>
      </w:r>
      <w:r>
        <w:rPr>
          <w:rFonts w:eastAsia="MS Mincho"/>
          <w:color w:val="auto"/>
          <w:szCs w:val="24"/>
          <w:u w:val="none"/>
        </w:rPr>
        <w:t>D</w:t>
      </w:r>
      <w:r w:rsidR="00990404">
        <w:rPr>
          <w:rFonts w:eastAsia="MS Mincho"/>
          <w:color w:val="auto"/>
          <w:szCs w:val="24"/>
          <w:u w:val="none"/>
        </w:rPr>
        <w:t xml:space="preserve">elegated </w:t>
      </w:r>
      <w:r>
        <w:rPr>
          <w:rFonts w:eastAsia="MS Mincho"/>
          <w:color w:val="auto"/>
          <w:szCs w:val="24"/>
          <w:u w:val="none"/>
        </w:rPr>
        <w:t>R</w:t>
      </w:r>
      <w:r w:rsidR="00990404">
        <w:rPr>
          <w:rFonts w:eastAsia="MS Mincho"/>
          <w:color w:val="auto"/>
          <w:szCs w:val="24"/>
          <w:u w:val="none"/>
        </w:rPr>
        <w:t>egulation</w:t>
      </w:r>
      <w:r w:rsidR="00C937F1">
        <w:rPr>
          <w:rFonts w:eastAsia="MS Mincho"/>
          <w:color w:val="auto"/>
          <w:szCs w:val="24"/>
          <w:u w:val="none"/>
        </w:rPr>
        <w:t xml:space="preserve"> (EU)</w:t>
      </w:r>
      <w:r>
        <w:rPr>
          <w:rFonts w:eastAsia="MS Mincho"/>
          <w:color w:val="auto"/>
          <w:szCs w:val="24"/>
          <w:u w:val="none"/>
        </w:rPr>
        <w:t xml:space="preserve"> 2016/778 related to critical services and therein applied by analogy to cover essential services as defined above, relevant </w:t>
      </w:r>
      <w:r>
        <w:rPr>
          <w:rFonts w:eastAsia="MS Mincho"/>
          <w:szCs w:val="24"/>
          <w:u w:val="none"/>
        </w:rPr>
        <w:t xml:space="preserve">services shall mean the underlying operations, activities and services performed for one (dedicated services) or more </w:t>
      </w:r>
      <w:r>
        <w:rPr>
          <w:rFonts w:eastAsia="MS Mincho"/>
          <w:szCs w:val="24"/>
          <w:u w:val="none"/>
        </w:rPr>
        <w:lastRenderedPageBreak/>
        <w:t xml:space="preserve">business units or legal entities (shared services) within the group which are needed to provide one or more critical functions </w:t>
      </w:r>
      <w:r>
        <w:rPr>
          <w:rFonts w:eastAsia="MS Mincho"/>
          <w:color w:val="auto"/>
          <w:szCs w:val="24"/>
          <w:u w:val="none"/>
        </w:rPr>
        <w:t xml:space="preserve">or core business lines. Relevant </w:t>
      </w:r>
      <w:r>
        <w:rPr>
          <w:rFonts w:eastAsia="MS Mincho"/>
          <w:szCs w:val="24"/>
          <w:u w:val="none"/>
        </w:rPr>
        <w:t xml:space="preserve">services may be performed </w:t>
      </w:r>
      <w:r>
        <w:rPr>
          <w:rFonts w:eastAsia="MS Mincho"/>
          <w:color w:val="auto"/>
          <w:szCs w:val="24"/>
          <w:u w:val="none"/>
        </w:rPr>
        <w:t xml:space="preserve">by one business unit to another business unit of the same legal entity </w:t>
      </w:r>
      <w:r>
        <w:rPr>
          <w:rFonts w:eastAsia="MS Mincho"/>
          <w:szCs w:val="24"/>
          <w:u w:val="none"/>
        </w:rPr>
        <w:t>(</w:t>
      </w:r>
      <w:r>
        <w:rPr>
          <w:rFonts w:eastAsia="MS Mincho"/>
          <w:color w:val="auto"/>
          <w:szCs w:val="24"/>
          <w:u w:val="none"/>
        </w:rPr>
        <w:t>intra-entity service),</w:t>
      </w:r>
      <w:r>
        <w:rPr>
          <w:rFonts w:eastAsia="MS Mincho"/>
          <w:szCs w:val="24"/>
          <w:u w:val="none"/>
        </w:rPr>
        <w:t xml:space="preserve"> by entities within the group (</w:t>
      </w:r>
      <w:r>
        <w:rPr>
          <w:rFonts w:eastAsia="MS Mincho"/>
          <w:color w:val="auto"/>
          <w:szCs w:val="24"/>
          <w:u w:val="none"/>
        </w:rPr>
        <w:t xml:space="preserve">intra-group </w:t>
      </w:r>
      <w:r>
        <w:rPr>
          <w:rFonts w:eastAsia="MS Mincho"/>
          <w:szCs w:val="24"/>
          <w:u w:val="none"/>
        </w:rPr>
        <w:t>service)</w:t>
      </w:r>
      <w:r>
        <w:rPr>
          <w:rFonts w:eastAsia="MS Mincho"/>
          <w:color w:val="auto"/>
          <w:szCs w:val="24"/>
          <w:u w:val="none"/>
        </w:rPr>
        <w:t>,</w:t>
      </w:r>
      <w:r>
        <w:rPr>
          <w:rFonts w:eastAsia="MS Mincho"/>
          <w:szCs w:val="24"/>
          <w:u w:val="none"/>
        </w:rPr>
        <w:t xml:space="preserve"> or be outsourced to an external provider (external service).</w:t>
      </w:r>
    </w:p>
    <w:p w14:paraId="7FE1C22D" w14:textId="2E2CBD58" w:rsidR="00CC0A94" w:rsidRDefault="006C1571">
      <w:pPr>
        <w:pStyle w:val="Instructionsberschrift3"/>
        <w:numPr>
          <w:ilvl w:val="4"/>
          <w:numId w:val="49"/>
        </w:numPr>
        <w:ind w:left="928"/>
        <w:contextualSpacing/>
        <w:jc w:val="both"/>
        <w:rPr>
          <w:rFonts w:eastAsia="MS Mincho"/>
          <w:color w:val="auto"/>
          <w:u w:val="none"/>
        </w:rPr>
      </w:pPr>
      <w:r>
        <w:rPr>
          <w:rFonts w:eastAsia="MS Mincho"/>
          <w:u w:val="none"/>
        </w:rPr>
        <w:t>Not all fields apply to all types of services (highlighted in instructions below). In that case, report ‘</w:t>
      </w:r>
      <w:r w:rsidR="00E1268F">
        <w:rPr>
          <w:rFonts w:eastAsia="MS Mincho"/>
          <w:u w:val="none"/>
        </w:rPr>
        <w:t>NOT APPLICABLE</w:t>
      </w:r>
      <w:r>
        <w:rPr>
          <w:rFonts w:eastAsia="MS Mincho"/>
          <w:u w:val="none"/>
        </w:rPr>
        <w:t>’ in the relevant cell.</w:t>
      </w:r>
      <w:r>
        <w:rPr>
          <w:u w:val="none"/>
        </w:rPr>
        <w:t xml:space="preserve"> </w:t>
      </w:r>
    </w:p>
    <w:p w14:paraId="7FE1C22E" w14:textId="0568A925" w:rsidR="00CC0A94" w:rsidRPr="002F61BB" w:rsidRDefault="006C1571">
      <w:pPr>
        <w:pStyle w:val="Instructionsberschrift3"/>
        <w:numPr>
          <w:ilvl w:val="4"/>
          <w:numId w:val="49"/>
        </w:numPr>
        <w:ind w:left="928"/>
        <w:contextualSpacing/>
        <w:jc w:val="both"/>
        <w:rPr>
          <w:rFonts w:eastAsia="MS Mincho"/>
          <w:color w:val="auto"/>
          <w:u w:val="none"/>
        </w:rPr>
      </w:pPr>
      <w:r>
        <w:rPr>
          <w:rFonts w:eastAsia="MS Mincho"/>
          <w:u w:val="none"/>
        </w:rPr>
        <w:t xml:space="preserve">The combination of values reported in columns 0010, </w:t>
      </w:r>
      <w:r>
        <w:rPr>
          <w:rFonts w:eastAsia="MS Mincho"/>
          <w:color w:val="auto"/>
          <w:u w:val="none"/>
        </w:rPr>
        <w:t>0020</w:t>
      </w:r>
      <w:r>
        <w:rPr>
          <w:rFonts w:eastAsia="MS Mincho"/>
          <w:u w:val="none"/>
        </w:rPr>
        <w:t xml:space="preserve">, </w:t>
      </w:r>
      <w:r>
        <w:rPr>
          <w:rFonts w:eastAsia="MS Mincho"/>
          <w:color w:val="auto"/>
          <w:u w:val="none"/>
        </w:rPr>
        <w:t>0040,</w:t>
      </w:r>
      <w:r>
        <w:rPr>
          <w:rFonts w:eastAsia="MS Mincho"/>
          <w:u w:val="none"/>
        </w:rPr>
        <w:t xml:space="preserve"> </w:t>
      </w:r>
      <w:r>
        <w:rPr>
          <w:rFonts w:eastAsia="MS Mincho"/>
          <w:color w:val="auto"/>
          <w:u w:val="none"/>
        </w:rPr>
        <w:t>0060 and 0130,</w:t>
      </w:r>
      <w:r>
        <w:rPr>
          <w:rFonts w:eastAsia="MS Mincho"/>
          <w:u w:val="none"/>
        </w:rPr>
        <w:t xml:space="preserve"> of this template forms a primary key which </w:t>
      </w:r>
      <w:proofErr w:type="gramStart"/>
      <w:r>
        <w:rPr>
          <w:rFonts w:eastAsia="MS Mincho"/>
          <w:u w:val="none"/>
        </w:rPr>
        <w:t>has to</w:t>
      </w:r>
      <w:proofErr w:type="gramEnd"/>
      <w:r>
        <w:rPr>
          <w:rFonts w:eastAsia="MS Mincho"/>
          <w:u w:val="none"/>
        </w:rPr>
        <w:t xml:space="preserve"> be unique for each row of the template.</w:t>
      </w:r>
    </w:p>
    <w:p w14:paraId="7FE1C22F" w14:textId="77777777" w:rsidR="00CC0A94" w:rsidRDefault="00CC0A94" w:rsidP="002F61BB">
      <w:pPr>
        <w:pStyle w:val="Instructionsberschrift3"/>
        <w:numPr>
          <w:ilvl w:val="0"/>
          <w:numId w:val="0"/>
        </w:numPr>
        <w:ind w:left="720"/>
      </w:pPr>
    </w:p>
    <w:p w14:paraId="7FE1C230" w14:textId="77777777" w:rsidR="00CC0A94" w:rsidRDefault="006C1571">
      <w:pPr>
        <w:pStyle w:val="Instructionsberschrift3"/>
        <w:rPr>
          <w:b/>
          <w:bCs/>
        </w:rPr>
      </w:pPr>
      <w:r>
        <w:rPr>
          <w:b/>
          <w:bCs/>
        </w:rPr>
        <w:t>Instructions concerning specific positions</w:t>
      </w:r>
    </w:p>
    <w:p w14:paraId="7FE1C23F" w14:textId="77777777" w:rsidR="00CC0A94" w:rsidRPr="002F61BB" w:rsidRDefault="00CC0A94">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CC0A94" w14:paraId="7FE1C242" w14:textId="77777777" w:rsidTr="002F61BB">
        <w:trPr>
          <w:trHeight w:val="808"/>
          <w:tblHeader/>
        </w:trPr>
        <w:tc>
          <w:tcPr>
            <w:tcW w:w="1129" w:type="dxa"/>
            <w:shd w:val="clear" w:color="auto" w:fill="E7E6E6"/>
          </w:tcPr>
          <w:p w14:paraId="7FE1C240" w14:textId="77777777" w:rsidR="00CC0A94" w:rsidRDefault="006C1571">
            <w:pPr>
              <w:spacing w:before="120" w:after="120"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Columns</w:t>
            </w:r>
          </w:p>
        </w:tc>
        <w:tc>
          <w:tcPr>
            <w:tcW w:w="7938" w:type="dxa"/>
            <w:shd w:val="clear" w:color="auto" w:fill="E7E6E6"/>
          </w:tcPr>
          <w:p w14:paraId="7FE1C241" w14:textId="77777777" w:rsidR="00CC0A94" w:rsidRDefault="006C1571">
            <w:pPr>
              <w:spacing w:before="120" w:after="120"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Instructions</w:t>
            </w:r>
          </w:p>
        </w:tc>
      </w:tr>
      <w:tr w:rsidR="00CC0A94" w14:paraId="7FE1C247" w14:textId="77777777" w:rsidTr="029F4E13">
        <w:trPr>
          <w:trHeight w:val="450"/>
        </w:trPr>
        <w:tc>
          <w:tcPr>
            <w:tcW w:w="1129" w:type="dxa"/>
            <w:shd w:val="clear" w:color="auto" w:fill="FFFFFF" w:themeFill="background1"/>
          </w:tcPr>
          <w:p w14:paraId="7FE1C243"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0005</w:t>
            </w:r>
          </w:p>
        </w:tc>
        <w:tc>
          <w:tcPr>
            <w:tcW w:w="7938" w:type="dxa"/>
            <w:shd w:val="clear" w:color="auto" w:fill="FFFFFF" w:themeFill="background1"/>
          </w:tcPr>
          <w:p w14:paraId="7FE1C244" w14:textId="77777777" w:rsidR="00CC0A94" w:rsidRDefault="006C1571">
            <w:pPr>
              <w:spacing w:before="120" w:after="12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Service Identifier</w:t>
            </w:r>
          </w:p>
          <w:p w14:paraId="7FE1C245" w14:textId="77777777" w:rsidR="00CC0A94" w:rsidRDefault="006C1571">
            <w:pPr>
              <w:spacing w:before="120" w:after="120" w:line="276" w:lineRule="auto"/>
              <w:rPr>
                <w:rFonts w:ascii="Times New Roman" w:eastAsia="Calibri" w:hAnsi="Times New Roman" w:cs="Times New Roman"/>
                <w:iCs/>
                <w:sz w:val="20"/>
                <w:szCs w:val="20"/>
              </w:rPr>
            </w:pPr>
            <w:r>
              <w:rPr>
                <w:rFonts w:ascii="Times New Roman" w:eastAsia="Calibri" w:hAnsi="Times New Roman" w:cs="Times New Roman"/>
                <w:sz w:val="20"/>
                <w:szCs w:val="20"/>
              </w:rPr>
              <w:t>The service identifier refers to the service reported under c0020.</w:t>
            </w:r>
          </w:p>
          <w:p w14:paraId="7FE1C246" w14:textId="77777777" w:rsidR="00CC0A94" w:rsidRDefault="006C1571">
            <w:pPr>
              <w:spacing w:before="120" w:after="120" w:line="276" w:lineRule="auto"/>
              <w:rPr>
                <w:rFonts w:ascii="Times New Roman" w:eastAsia="Calibri" w:hAnsi="Times New Roman" w:cs="Times New Roman"/>
                <w:i/>
                <w:sz w:val="20"/>
                <w:szCs w:val="20"/>
              </w:rPr>
            </w:pPr>
            <w:r>
              <w:rPr>
                <w:rFonts w:ascii="Times New Roman" w:eastAsia="Calibri" w:hAnsi="Times New Roman" w:cs="Times New Roman"/>
                <w:i/>
                <w:sz w:val="20"/>
                <w:szCs w:val="20"/>
              </w:rPr>
              <w:t>Figure or free text</w:t>
            </w:r>
          </w:p>
        </w:tc>
      </w:tr>
      <w:tr w:rsidR="00CC0A94" w14:paraId="7FE1C28C" w14:textId="77777777" w:rsidTr="029F4E13">
        <w:trPr>
          <w:trHeight w:val="463"/>
        </w:trPr>
        <w:tc>
          <w:tcPr>
            <w:tcW w:w="1129" w:type="dxa"/>
            <w:shd w:val="clear" w:color="auto" w:fill="FFFFFF" w:themeFill="background1"/>
          </w:tcPr>
          <w:p w14:paraId="7FE1C248"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0010</w:t>
            </w:r>
          </w:p>
        </w:tc>
        <w:tc>
          <w:tcPr>
            <w:tcW w:w="7938" w:type="dxa"/>
            <w:shd w:val="clear" w:color="auto" w:fill="FFFFFF" w:themeFill="background1"/>
          </w:tcPr>
          <w:p w14:paraId="7FE1C249" w14:textId="77777777" w:rsidR="00CC0A94" w:rsidRDefault="006C1571">
            <w:pPr>
              <w:autoSpaceDE w:val="0"/>
              <w:autoSpaceDN w:val="0"/>
              <w:adjustRightInd w:val="0"/>
              <w:rPr>
                <w:rFonts w:ascii="Times New Roman" w:eastAsia="MS Mincho" w:hAnsi="Times New Roman" w:cs="Times New Roman"/>
                <w:b/>
                <w:bCs/>
                <w:sz w:val="20"/>
                <w:szCs w:val="20"/>
                <w:lang w:eastAsia="en-GB"/>
              </w:rPr>
            </w:pPr>
            <w:r>
              <w:rPr>
                <w:rFonts w:ascii="Times New Roman" w:eastAsia="Calibri" w:hAnsi="Times New Roman" w:cs="Times New Roman"/>
                <w:b/>
                <w:bCs/>
                <w:sz w:val="20"/>
                <w:szCs w:val="20"/>
              </w:rPr>
              <w:t>Service type</w:t>
            </w:r>
          </w:p>
          <w:p w14:paraId="7FE1C24A" w14:textId="77777777"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The service type shall be one of the service types listed below. </w:t>
            </w:r>
          </w:p>
          <w:p w14:paraId="7FE1C24B"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Where possible, the sub-category shall be reported (two-digit identification). Where no sub-category exists or no sub-category properly describes the service provided by the institution, the main category (one digit identification) shall be reported. </w:t>
            </w:r>
          </w:p>
          <w:p w14:paraId="5B37DFFD" w14:textId="2C2BBAE4" w:rsidR="00875E09" w:rsidRPr="00875E09" w:rsidRDefault="006C1571" w:rsidP="002F61BB">
            <w:pPr>
              <w:rPr>
                <w:lang w:eastAsia="en-GB"/>
              </w:rPr>
            </w:pPr>
            <w:r w:rsidRPr="002F61BB">
              <w:rPr>
                <w:rFonts w:ascii="Times New Roman" w:eastAsia="MS Mincho" w:hAnsi="Times New Roman" w:cs="Times New Roman"/>
                <w:sz w:val="20"/>
                <w:szCs w:val="20"/>
                <w:lang w:val="en-GB" w:eastAsia="en-GB"/>
              </w:rPr>
              <w:t xml:space="preserve">Human resources support </w:t>
            </w:r>
          </w:p>
          <w:p w14:paraId="7DD533D5" w14:textId="73E47A6F" w:rsidR="00B11DF8" w:rsidRDefault="006C1571" w:rsidP="002F61BB">
            <w:pPr>
              <w:pStyle w:val="ListParagraph"/>
              <w:numPr>
                <w:ilvl w:val="0"/>
                <w:numId w:val="288"/>
              </w:numPr>
              <w:autoSpaceDE w:val="0"/>
              <w:autoSpaceDN w:val="0"/>
              <w:adjustRightInd w:val="0"/>
              <w:ind w:left="1165"/>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staff administration, including administration of contracts and remuneration </w:t>
            </w:r>
          </w:p>
          <w:p w14:paraId="43AF548E" w14:textId="675245F6" w:rsidR="00B11DF8" w:rsidRDefault="006C1571" w:rsidP="002F61BB">
            <w:pPr>
              <w:pStyle w:val="ListParagraph"/>
              <w:numPr>
                <w:ilvl w:val="0"/>
                <w:numId w:val="288"/>
              </w:numPr>
              <w:autoSpaceDE w:val="0"/>
              <w:autoSpaceDN w:val="0"/>
              <w:adjustRightInd w:val="0"/>
              <w:ind w:left="1165"/>
              <w:rPr>
                <w:rFonts w:ascii="Times New Roman" w:eastAsia="MS Mincho" w:hAnsi="Times New Roman"/>
                <w:sz w:val="20"/>
                <w:szCs w:val="20"/>
                <w:lang w:eastAsia="en-GB"/>
              </w:rPr>
            </w:pPr>
            <w:r>
              <w:rPr>
                <w:rFonts w:ascii="Times New Roman" w:eastAsia="MS Mincho" w:hAnsi="Times New Roman"/>
                <w:sz w:val="20"/>
                <w:szCs w:val="20"/>
                <w:lang w:eastAsia="en-GB"/>
              </w:rPr>
              <w:t>internal communication</w:t>
            </w:r>
          </w:p>
          <w:p w14:paraId="7FE1C250" w14:textId="1F903A05" w:rsidR="00CC0A94" w:rsidRDefault="006C1571" w:rsidP="002F61BB">
            <w:pPr>
              <w:pStyle w:val="ListParagraph"/>
              <w:numPr>
                <w:ilvl w:val="0"/>
                <w:numId w:val="288"/>
              </w:numPr>
              <w:autoSpaceDE w:val="0"/>
              <w:autoSpaceDN w:val="0"/>
              <w:adjustRightInd w:val="0"/>
              <w:ind w:left="1165"/>
              <w:rPr>
                <w:rFonts w:ascii="Times New Roman" w:eastAsia="MS Mincho" w:hAnsi="Times New Roman"/>
                <w:sz w:val="20"/>
                <w:szCs w:val="20"/>
                <w:lang w:eastAsia="en-GB"/>
              </w:rPr>
            </w:pPr>
            <w:r>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human resources support service type</w:t>
            </w:r>
          </w:p>
          <w:p w14:paraId="7FE1C251" w14:textId="77777777" w:rsidR="00CC0A94" w:rsidRDefault="00CC0A94">
            <w:pPr>
              <w:autoSpaceDE w:val="0"/>
              <w:autoSpaceDN w:val="0"/>
              <w:adjustRightInd w:val="0"/>
              <w:ind w:left="708"/>
              <w:rPr>
                <w:rFonts w:ascii="Times New Roman" w:eastAsia="MS Mincho" w:hAnsi="Times New Roman" w:cs="Times New Roman"/>
                <w:sz w:val="20"/>
                <w:szCs w:val="20"/>
                <w:lang w:eastAsia="en-GB"/>
              </w:rPr>
            </w:pPr>
          </w:p>
          <w:p w14:paraId="7FE1C252" w14:textId="7A6979E5"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 I</w:t>
            </w:r>
            <w:r w:rsidR="00531F46">
              <w:rPr>
                <w:rFonts w:ascii="Times New Roman" w:eastAsia="MS Mincho" w:hAnsi="Times New Roman" w:cs="Times New Roman"/>
                <w:sz w:val="20"/>
                <w:szCs w:val="20"/>
                <w:lang w:eastAsia="en-GB"/>
              </w:rPr>
              <w:t>n</w:t>
            </w:r>
            <w:r>
              <w:rPr>
                <w:rFonts w:ascii="Times New Roman" w:eastAsia="MS Mincho" w:hAnsi="Times New Roman" w:cs="Times New Roman"/>
                <w:sz w:val="20"/>
                <w:szCs w:val="20"/>
                <w:lang w:eastAsia="en-GB"/>
              </w:rPr>
              <w:t xml:space="preserve">formation technology </w:t>
            </w:r>
          </w:p>
          <w:p w14:paraId="7FE1C253" w14:textId="3B762F9E"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IT and communication hardware </w:t>
            </w:r>
          </w:p>
          <w:p w14:paraId="7FE1C254" w14:textId="400D89C1"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data storage and processing </w:t>
            </w:r>
          </w:p>
          <w:p w14:paraId="7FE1C255" w14:textId="626A8448"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other IT infrastructure, workstations, telecommunications, servers, data centres and related services </w:t>
            </w:r>
          </w:p>
          <w:p w14:paraId="7FE1C256" w14:textId="2B61AFD3"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administration of software licenses and application software </w:t>
            </w:r>
          </w:p>
          <w:p w14:paraId="7FE1C257" w14:textId="5DA2FA2E"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access to external providers, in particular data and infrastructure providers </w:t>
            </w:r>
          </w:p>
          <w:p w14:paraId="7FE1C258" w14:textId="5064B052"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application maintenance, including software application maintenance and related data flows </w:t>
            </w:r>
          </w:p>
          <w:p w14:paraId="7FE1C259" w14:textId="41CD0C0F"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report generation, internal information flows and data bases </w:t>
            </w:r>
          </w:p>
          <w:p w14:paraId="7FE1C25A" w14:textId="72548638"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user support </w:t>
            </w:r>
          </w:p>
          <w:p w14:paraId="7FE1C25B" w14:textId="2FAE0C54"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emergency and disaster recovery</w:t>
            </w:r>
          </w:p>
          <w:p w14:paraId="7FE1C25C" w14:textId="431BC144"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information technology service type</w:t>
            </w:r>
          </w:p>
          <w:p w14:paraId="7FE1C25D"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5E" w14:textId="1AD223E0"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Transaction processing, including legal transactional issues, in particular anti-money laundering </w:t>
            </w:r>
          </w:p>
          <w:p w14:paraId="7FE1C25F"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60" w14:textId="0AB6F782" w:rsidR="00CC0A94" w:rsidRDefault="006C1571">
            <w:pPr>
              <w:autoSpaceDE w:val="0"/>
              <w:autoSpaceDN w:val="0"/>
              <w:adjustRightInd w:val="0"/>
              <w:rPr>
                <w:rFonts w:ascii="Times New Roman" w:eastAsia="MS Mincho" w:hAnsi="Times New Roman" w:cs="Times New Roman"/>
                <w:sz w:val="20"/>
                <w:szCs w:val="20"/>
                <w:lang w:eastAsia="en-GB"/>
              </w:rPr>
            </w:pPr>
            <w:bookmarkStart w:id="127" w:name="_Hlk191374143"/>
            <w:r>
              <w:rPr>
                <w:rFonts w:ascii="Times New Roman" w:eastAsia="MS Mincho" w:hAnsi="Times New Roman" w:cs="Times New Roman"/>
                <w:sz w:val="20"/>
                <w:szCs w:val="20"/>
                <w:lang w:eastAsia="en-GB"/>
              </w:rPr>
              <w:t>Real estate and facility provision or management and associated facilities</w:t>
            </w:r>
            <w:bookmarkEnd w:id="127"/>
            <w:r>
              <w:rPr>
                <w:rFonts w:ascii="Times New Roman" w:eastAsia="MS Mincho" w:hAnsi="Times New Roman" w:cs="Times New Roman"/>
                <w:sz w:val="20"/>
                <w:szCs w:val="20"/>
                <w:lang w:eastAsia="en-GB"/>
              </w:rPr>
              <w:t xml:space="preserve"> </w:t>
            </w:r>
          </w:p>
          <w:p w14:paraId="7FE1C261" w14:textId="62999FEF"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office premises and storage </w:t>
            </w:r>
          </w:p>
          <w:p w14:paraId="7FE1C262" w14:textId="3A997023"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internal facilities management </w:t>
            </w:r>
          </w:p>
          <w:p w14:paraId="7FE1C263" w14:textId="2B6FC02A"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security and access control </w:t>
            </w:r>
          </w:p>
          <w:p w14:paraId="7FE1C264" w14:textId="792BCFBD"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real estate portfolio management </w:t>
            </w:r>
          </w:p>
          <w:p w14:paraId="7FE1C265" w14:textId="52ACD32B"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r</w:t>
            </w:r>
            <w:r w:rsidR="003A172A" w:rsidRPr="003A172A">
              <w:rPr>
                <w:rFonts w:ascii="Times New Roman" w:eastAsia="MS Mincho" w:hAnsi="Times New Roman"/>
                <w:sz w:val="20"/>
                <w:szCs w:val="20"/>
                <w:lang w:eastAsia="en-GB"/>
              </w:rPr>
              <w:t>eal estate and facility provision or management and associated facilities</w:t>
            </w:r>
            <w:r w:rsidR="003A172A">
              <w:rPr>
                <w:rFonts w:ascii="Times New Roman" w:eastAsia="MS Mincho" w:hAnsi="Times New Roman"/>
                <w:sz w:val="20"/>
                <w:szCs w:val="20"/>
                <w:lang w:eastAsia="en-GB"/>
              </w:rPr>
              <w:t xml:space="preserve"> service type</w:t>
            </w:r>
          </w:p>
          <w:p w14:paraId="7FE1C266"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67" w14:textId="4B2E0CD6"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lastRenderedPageBreak/>
              <w:t xml:space="preserve">Legal services and compliance functions </w:t>
            </w:r>
          </w:p>
          <w:p w14:paraId="7FE1C268" w14:textId="40AF3D04" w:rsidR="00CC0A94" w:rsidRPr="002F61BB" w:rsidRDefault="006C1571" w:rsidP="002F61BB">
            <w:pPr>
              <w:pStyle w:val="ListParagraph"/>
              <w:numPr>
                <w:ilvl w:val="0"/>
                <w:numId w:val="292"/>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corporate legal support </w:t>
            </w:r>
          </w:p>
          <w:p w14:paraId="7FE1C269" w14:textId="1DC4A30A" w:rsidR="00CC0A94" w:rsidRPr="002F61BB" w:rsidRDefault="006C1571" w:rsidP="002F61BB">
            <w:pPr>
              <w:pStyle w:val="ListParagraph"/>
              <w:numPr>
                <w:ilvl w:val="0"/>
                <w:numId w:val="292"/>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business and transactional legal services </w:t>
            </w:r>
          </w:p>
          <w:p w14:paraId="7FE1C26A" w14:textId="1BAF6F48" w:rsidR="00CC0A94" w:rsidRPr="002F61BB" w:rsidRDefault="006C1571" w:rsidP="002F61BB">
            <w:pPr>
              <w:pStyle w:val="ListParagraph"/>
              <w:numPr>
                <w:ilvl w:val="0"/>
                <w:numId w:val="292"/>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compliance support </w:t>
            </w:r>
          </w:p>
          <w:p w14:paraId="7FE1C26B" w14:textId="344CDCEC" w:rsidR="00CC0A94" w:rsidRPr="002F61BB" w:rsidRDefault="006C1571" w:rsidP="002F61BB">
            <w:pPr>
              <w:pStyle w:val="ListParagraph"/>
              <w:numPr>
                <w:ilvl w:val="0"/>
                <w:numId w:val="292"/>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legal services and compliance function service type</w:t>
            </w:r>
          </w:p>
          <w:p w14:paraId="7FE1C26C" w14:textId="77777777" w:rsidR="00CC0A94" w:rsidRDefault="00CC0A94">
            <w:pPr>
              <w:autoSpaceDE w:val="0"/>
              <w:autoSpaceDN w:val="0"/>
              <w:adjustRightInd w:val="0"/>
              <w:ind w:left="708"/>
              <w:rPr>
                <w:rFonts w:ascii="Times New Roman" w:eastAsia="MS Mincho" w:hAnsi="Times New Roman" w:cs="Times New Roman"/>
                <w:sz w:val="20"/>
                <w:szCs w:val="20"/>
                <w:lang w:eastAsia="en-GB"/>
              </w:rPr>
            </w:pPr>
          </w:p>
          <w:p w14:paraId="7FE1C26D" w14:textId="03C41351"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Treasury-related services </w:t>
            </w:r>
          </w:p>
          <w:p w14:paraId="7FE1C26E" w14:textId="1425CC24"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coordination, administration and management of the treasury activity </w:t>
            </w:r>
          </w:p>
          <w:p w14:paraId="7FE1C26F" w14:textId="09154006"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coordination, administration and management of entity refinancing, including collateral management </w:t>
            </w:r>
          </w:p>
          <w:p w14:paraId="7FE1C270" w14:textId="0F45C979"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reporting function, </w:t>
            </w:r>
            <w:proofErr w:type="gramStart"/>
            <w:r w:rsidRPr="002F61BB">
              <w:rPr>
                <w:rFonts w:ascii="Times New Roman" w:eastAsia="MS Mincho" w:hAnsi="Times New Roman"/>
                <w:sz w:val="20"/>
                <w:szCs w:val="20"/>
                <w:lang w:eastAsia="en-GB"/>
              </w:rPr>
              <w:t>in particular with</w:t>
            </w:r>
            <w:proofErr w:type="gramEnd"/>
            <w:r w:rsidRPr="002F61BB">
              <w:rPr>
                <w:rFonts w:ascii="Times New Roman" w:eastAsia="MS Mincho" w:hAnsi="Times New Roman"/>
                <w:sz w:val="20"/>
                <w:szCs w:val="20"/>
                <w:lang w:eastAsia="en-GB"/>
              </w:rPr>
              <w:t xml:space="preserve"> respect to regulatory liquidity ratios </w:t>
            </w:r>
          </w:p>
          <w:p w14:paraId="7FE1C271" w14:textId="034EEFA4"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coordination, administration and management of medium and long-term funding programs, and refinancing of group entities </w:t>
            </w:r>
          </w:p>
          <w:p w14:paraId="7FE1C272" w14:textId="064C2167"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coordination, administration and management of refinancing, in particular short-term issues</w:t>
            </w:r>
          </w:p>
          <w:p w14:paraId="7FE1C273" w14:textId="31AA1016"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treasury-related service type</w:t>
            </w:r>
          </w:p>
          <w:p w14:paraId="7FE1C274"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75" w14:textId="6437F825"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Trading/asset management </w:t>
            </w:r>
          </w:p>
          <w:p w14:paraId="7FE1C276" w14:textId="52377E11"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operations processing: trade capture, design, realisation, servicing of trading products </w:t>
            </w:r>
          </w:p>
          <w:p w14:paraId="7FE1C277" w14:textId="35EC336F"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confirmation, settlement, payment </w:t>
            </w:r>
          </w:p>
          <w:p w14:paraId="7FE1C278" w14:textId="417DFA52"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position and counterparty management, with respect to data reporting and counterparty relationships </w:t>
            </w:r>
          </w:p>
          <w:p w14:paraId="7FE1C279" w14:textId="18F90331"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position management (risk and reconciliation) </w:t>
            </w:r>
          </w:p>
          <w:p w14:paraId="7FE1C27A" w14:textId="23FC3BC1"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trading/asset management service type</w:t>
            </w:r>
          </w:p>
          <w:p w14:paraId="7FE1C27B" w14:textId="77777777" w:rsidR="00CC0A94" w:rsidRDefault="00CC0A94">
            <w:pPr>
              <w:autoSpaceDE w:val="0"/>
              <w:autoSpaceDN w:val="0"/>
              <w:adjustRightInd w:val="0"/>
              <w:ind w:left="708"/>
              <w:rPr>
                <w:rFonts w:ascii="Times New Roman" w:eastAsia="MS Mincho" w:hAnsi="Times New Roman" w:cs="Times New Roman"/>
                <w:sz w:val="20"/>
                <w:szCs w:val="20"/>
                <w:lang w:eastAsia="en-GB"/>
              </w:rPr>
            </w:pPr>
          </w:p>
          <w:p w14:paraId="7FE1C27C" w14:textId="1E8D237F"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Risk management and valuation </w:t>
            </w:r>
          </w:p>
          <w:p w14:paraId="7FE1C27D" w14:textId="27978472" w:rsidR="00CC0A94" w:rsidRPr="002F61BB" w:rsidRDefault="006C1571" w:rsidP="002F61BB">
            <w:pPr>
              <w:pStyle w:val="ListParagraph"/>
              <w:numPr>
                <w:ilvl w:val="0"/>
                <w:numId w:val="295"/>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central or business line or risk type-related risk management</w:t>
            </w:r>
          </w:p>
          <w:p w14:paraId="7FE1C27E" w14:textId="7AC0E3ED" w:rsidR="00CC0A94" w:rsidRPr="002F61BB" w:rsidRDefault="006C1571" w:rsidP="002F61BB">
            <w:pPr>
              <w:pStyle w:val="ListParagraph"/>
              <w:numPr>
                <w:ilvl w:val="0"/>
                <w:numId w:val="295"/>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risk report generation </w:t>
            </w:r>
          </w:p>
          <w:p w14:paraId="7FE1C27F" w14:textId="54F4E51F" w:rsidR="00CC0A94" w:rsidRPr="002F61BB" w:rsidRDefault="006C1571" w:rsidP="002F61BB">
            <w:pPr>
              <w:pStyle w:val="ListParagraph"/>
              <w:numPr>
                <w:ilvl w:val="0"/>
                <w:numId w:val="295"/>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risk management and valuation service type</w:t>
            </w:r>
          </w:p>
          <w:p w14:paraId="7FE1C280"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81" w14:textId="5206B100"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Accounting </w:t>
            </w:r>
          </w:p>
          <w:p w14:paraId="7FE1C282" w14:textId="65C12590" w:rsidR="00CC0A94" w:rsidRPr="002F61BB" w:rsidRDefault="006C1571" w:rsidP="002F61BB">
            <w:pPr>
              <w:pStyle w:val="ListParagraph"/>
              <w:numPr>
                <w:ilvl w:val="0"/>
                <w:numId w:val="296"/>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statutory and regulatory reporting </w:t>
            </w:r>
          </w:p>
          <w:p w14:paraId="7FE1C283" w14:textId="3DCAF9FA" w:rsidR="00CC0A94" w:rsidRPr="002F61BB" w:rsidRDefault="006C1571" w:rsidP="002F61BB">
            <w:pPr>
              <w:pStyle w:val="ListParagraph"/>
              <w:numPr>
                <w:ilvl w:val="0"/>
                <w:numId w:val="296"/>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valuation, </w:t>
            </w:r>
            <w:proofErr w:type="gramStart"/>
            <w:r w:rsidRPr="002F61BB">
              <w:rPr>
                <w:rFonts w:ascii="Times New Roman" w:eastAsia="MS Mincho" w:hAnsi="Times New Roman"/>
                <w:sz w:val="20"/>
                <w:szCs w:val="20"/>
                <w:lang w:eastAsia="en-GB"/>
              </w:rPr>
              <w:t>in particular of</w:t>
            </w:r>
            <w:proofErr w:type="gramEnd"/>
            <w:r w:rsidRPr="002F61BB">
              <w:rPr>
                <w:rFonts w:ascii="Times New Roman" w:eastAsia="MS Mincho" w:hAnsi="Times New Roman"/>
                <w:sz w:val="20"/>
                <w:szCs w:val="20"/>
                <w:lang w:eastAsia="en-GB"/>
              </w:rPr>
              <w:t xml:space="preserve"> market positions </w:t>
            </w:r>
          </w:p>
          <w:p w14:paraId="7FE1C284" w14:textId="2EE4BE8B" w:rsidR="00CC0A94" w:rsidRPr="002F61BB" w:rsidRDefault="006C1571" w:rsidP="002F61BB">
            <w:pPr>
              <w:pStyle w:val="ListParagraph"/>
              <w:numPr>
                <w:ilvl w:val="0"/>
                <w:numId w:val="296"/>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management reporting </w:t>
            </w:r>
          </w:p>
          <w:p w14:paraId="7FE1C285" w14:textId="186EA25B" w:rsidR="00CC0A94" w:rsidRPr="002F61BB" w:rsidRDefault="006C1571" w:rsidP="002F61BB">
            <w:pPr>
              <w:pStyle w:val="ListParagraph"/>
              <w:numPr>
                <w:ilvl w:val="0"/>
                <w:numId w:val="296"/>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accounting service type</w:t>
            </w:r>
          </w:p>
          <w:p w14:paraId="7FE1C286" w14:textId="77777777" w:rsidR="00CC0A94" w:rsidRDefault="00CC0A94">
            <w:pPr>
              <w:autoSpaceDE w:val="0"/>
              <w:autoSpaceDN w:val="0"/>
              <w:adjustRightInd w:val="0"/>
              <w:ind w:left="708"/>
              <w:rPr>
                <w:rFonts w:ascii="Times New Roman" w:eastAsia="MS Mincho" w:hAnsi="Times New Roman" w:cs="Times New Roman"/>
                <w:sz w:val="20"/>
                <w:szCs w:val="20"/>
                <w:lang w:eastAsia="en-GB"/>
              </w:rPr>
            </w:pPr>
          </w:p>
          <w:p w14:paraId="7FE1C287" w14:textId="675737F3" w:rsidR="00CC0A94" w:rsidRDefault="006C1571">
            <w:pPr>
              <w:autoSpaceDE w:val="0"/>
              <w:autoSpaceDN w:val="0"/>
              <w:adjustRightInd w:val="0"/>
              <w:rPr>
                <w:rFonts w:ascii="Times New Roman" w:eastAsia="MS Mincho" w:hAnsi="Times New Roman" w:cs="Times New Roman"/>
                <w:sz w:val="24"/>
                <w:szCs w:val="20"/>
                <w:lang w:eastAsia="en-GB"/>
              </w:rPr>
            </w:pPr>
            <w:r>
              <w:rPr>
                <w:rFonts w:ascii="Times New Roman" w:eastAsia="MS Mincho" w:hAnsi="Times New Roman" w:cs="Times New Roman"/>
                <w:sz w:val="20"/>
                <w:szCs w:val="20"/>
                <w:lang w:eastAsia="en-GB"/>
              </w:rPr>
              <w:t>Cash handling</w:t>
            </w:r>
            <w:r>
              <w:rPr>
                <w:rFonts w:ascii="Times New Roman" w:eastAsia="MS Mincho" w:hAnsi="Times New Roman" w:cs="Times New Roman"/>
                <w:sz w:val="24"/>
                <w:szCs w:val="20"/>
                <w:lang w:eastAsia="en-GB"/>
              </w:rPr>
              <w:t xml:space="preserve"> </w:t>
            </w:r>
          </w:p>
          <w:p w14:paraId="7FE1C288" w14:textId="77777777" w:rsidR="00CC0A94" w:rsidRDefault="00CC0A94">
            <w:pPr>
              <w:autoSpaceDE w:val="0"/>
              <w:autoSpaceDN w:val="0"/>
              <w:adjustRightInd w:val="0"/>
              <w:rPr>
                <w:rFonts w:ascii="Times New Roman" w:eastAsia="MS Mincho" w:hAnsi="Times New Roman" w:cs="Times New Roman"/>
                <w:sz w:val="24"/>
                <w:szCs w:val="20"/>
                <w:lang w:eastAsia="en-GB"/>
              </w:rPr>
            </w:pPr>
          </w:p>
          <w:p w14:paraId="7FE1C289" w14:textId="180A5CA4" w:rsidR="00CC0A94" w:rsidRDefault="006C1571">
            <w:pPr>
              <w:autoSpaceDE w:val="0"/>
              <w:autoSpaceDN w:val="0"/>
              <w:adjustRightInd w:val="0"/>
              <w:rPr>
                <w:rFonts w:ascii="Times New Roman" w:eastAsia="MS Mincho" w:hAnsi="Times New Roman" w:cs="Times New Roman"/>
                <w:sz w:val="20"/>
                <w:lang w:eastAsia="en-GB"/>
              </w:rPr>
            </w:pPr>
            <w:r>
              <w:rPr>
                <w:rFonts w:ascii="Times New Roman" w:eastAsia="MS Mincho" w:hAnsi="Times New Roman" w:cs="Times New Roman"/>
                <w:sz w:val="20"/>
                <w:szCs w:val="20"/>
                <w:lang w:eastAsia="en-GB"/>
              </w:rPr>
              <w:t>Other</w:t>
            </w:r>
            <w:r w:rsidR="00CE3C84">
              <w:rPr>
                <w:rFonts w:ascii="Times New Roman" w:eastAsia="MS Mincho" w:hAnsi="Times New Roman" w:cs="Times New Roman"/>
                <w:sz w:val="20"/>
                <w:szCs w:val="20"/>
                <w:lang w:eastAsia="en-GB"/>
              </w:rPr>
              <w:t xml:space="preserve"> Service Type</w:t>
            </w:r>
          </w:p>
          <w:p w14:paraId="7FE1C28B" w14:textId="56625F93" w:rsidR="00CC0A94" w:rsidRDefault="00CC0A94">
            <w:pPr>
              <w:spacing w:line="276" w:lineRule="auto"/>
              <w:jc w:val="both"/>
              <w:rPr>
                <w:rFonts w:ascii="Times New Roman" w:eastAsia="Calibri" w:hAnsi="Times New Roman" w:cs="Times New Roman"/>
                <w:b/>
                <w:i/>
                <w:sz w:val="20"/>
                <w:szCs w:val="20"/>
              </w:rPr>
            </w:pPr>
          </w:p>
        </w:tc>
      </w:tr>
      <w:tr w:rsidR="00CC0A94" w14:paraId="7FE1C292" w14:textId="77777777" w:rsidTr="029F4E13">
        <w:trPr>
          <w:trHeight w:val="463"/>
        </w:trPr>
        <w:tc>
          <w:tcPr>
            <w:tcW w:w="1129" w:type="dxa"/>
            <w:shd w:val="clear" w:color="auto" w:fill="FFFFFF" w:themeFill="background1"/>
          </w:tcPr>
          <w:p w14:paraId="7FE1C28D"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0020</w:t>
            </w:r>
          </w:p>
        </w:tc>
        <w:tc>
          <w:tcPr>
            <w:tcW w:w="7938" w:type="dxa"/>
            <w:shd w:val="clear" w:color="auto" w:fill="FFFFFF" w:themeFill="background1"/>
          </w:tcPr>
          <w:p w14:paraId="7FE1C28E"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szCs w:val="20"/>
              </w:rPr>
              <w:t>Unique service title as per bank taxonomy</w:t>
            </w:r>
          </w:p>
          <w:p w14:paraId="1C0060B3" w14:textId="77777777" w:rsidR="00887021" w:rsidRDefault="00887021" w:rsidP="00887021">
            <w:pPr>
              <w:rPr>
                <w:rFonts w:ascii="Times New Roman" w:eastAsiaTheme="minorHAnsi" w:hAnsi="Times New Roman" w:cs="Times New Roman"/>
                <w:sz w:val="24"/>
                <w:lang w:val="en-GB" w:eastAsia="en-GB"/>
              </w:rPr>
            </w:pPr>
            <w:r>
              <w:rPr>
                <w:rFonts w:ascii="Times New Roman" w:eastAsia="Calibri" w:hAnsi="Times New Roman" w:cs="Times New Roman"/>
                <w:sz w:val="20"/>
              </w:rPr>
              <w:t xml:space="preserve">Name/short description of service according to bank’s own tiered taxonomy (Level 3), which categorizes the services and subsets of these services in hierarchical </w:t>
            </w:r>
            <w:proofErr w:type="gramStart"/>
            <w:r>
              <w:rPr>
                <w:rFonts w:ascii="Times New Roman" w:eastAsia="Calibri" w:hAnsi="Times New Roman" w:cs="Times New Roman"/>
                <w:sz w:val="20"/>
              </w:rPr>
              <w:t>levels .</w:t>
            </w:r>
            <w:proofErr w:type="gramEnd"/>
            <w:r>
              <w:rPr>
                <w:rFonts w:ascii="Times New Roman" w:eastAsia="Calibri" w:hAnsi="Times New Roman" w:cs="Times New Roman"/>
                <w:sz w:val="20"/>
              </w:rPr>
              <w:t xml:space="preserve"> For example, a service taxonomy which </w:t>
            </w:r>
            <w:proofErr w:type="spellStart"/>
            <w:r>
              <w:rPr>
                <w:rFonts w:ascii="Times New Roman" w:eastAsia="Calibri" w:hAnsi="Times New Roman" w:cs="Times New Roman"/>
                <w:sz w:val="20"/>
              </w:rPr>
              <w:t>categorises</w:t>
            </w:r>
            <w:proofErr w:type="spellEnd"/>
            <w:r>
              <w:rPr>
                <w:rFonts w:ascii="Times New Roman" w:eastAsia="Calibri" w:hAnsi="Times New Roman" w:cs="Times New Roman"/>
                <w:sz w:val="20"/>
              </w:rPr>
              <w:t xml:space="preserve"> the services at three hierarchical levels, where at the top level there is the service group (L1: Finance services) within which the services are represented at level two (L2: treasury, financial analysis, tax, investor relations, etc.) and sub-services at level three (L3 - within treasury: liquidity management, asset and liability management, collateral management, etc.). The bank is expected to </w:t>
            </w:r>
            <w:proofErr w:type="gramStart"/>
            <w:r>
              <w:rPr>
                <w:rFonts w:ascii="Times New Roman" w:eastAsia="Calibri" w:hAnsi="Times New Roman" w:cs="Times New Roman"/>
                <w:sz w:val="20"/>
              </w:rPr>
              <w:t>report</w:t>
            </w:r>
            <w:proofErr w:type="gramEnd"/>
            <w:r>
              <w:rPr>
                <w:rFonts w:ascii="Times New Roman" w:eastAsia="Calibri" w:hAnsi="Times New Roman" w:cs="Times New Roman"/>
                <w:sz w:val="20"/>
              </w:rPr>
              <w:t xml:space="preserve"> the services at a more granular level than the reporting provided for Level 2 (c0010), so that each </w:t>
            </w:r>
            <w:proofErr w:type="gramStart"/>
            <w:r>
              <w:rPr>
                <w:rFonts w:ascii="Times New Roman" w:eastAsia="Calibri" w:hAnsi="Times New Roman" w:cs="Times New Roman"/>
                <w:sz w:val="20"/>
              </w:rPr>
              <w:t>particular service</w:t>
            </w:r>
            <w:proofErr w:type="gramEnd"/>
            <w:r>
              <w:rPr>
                <w:rFonts w:ascii="Times New Roman" w:eastAsia="Calibri" w:hAnsi="Times New Roman" w:cs="Times New Roman"/>
                <w:sz w:val="20"/>
              </w:rPr>
              <w:t xml:space="preserve"> is defined in a precise and targeted way.</w:t>
            </w:r>
            <w:r>
              <w:rPr>
                <w:rFonts w:ascii="Times New Roman" w:eastAsiaTheme="minorHAnsi" w:hAnsi="Times New Roman" w:cs="Times New Roman"/>
                <w:sz w:val="24"/>
                <w:lang w:val="en-GB" w:eastAsia="en-GB"/>
              </w:rPr>
              <w:t xml:space="preserve"> </w:t>
            </w:r>
          </w:p>
          <w:p w14:paraId="7FE1C290" w14:textId="77777777" w:rsidR="00CC0A94" w:rsidRDefault="00CC0A94">
            <w:pPr>
              <w:spacing w:line="276" w:lineRule="auto"/>
              <w:jc w:val="both"/>
              <w:rPr>
                <w:rFonts w:ascii="Times New Roman" w:eastAsia="Calibri" w:hAnsi="Times New Roman" w:cs="Times New Roman"/>
                <w:sz w:val="20"/>
              </w:rPr>
            </w:pPr>
          </w:p>
          <w:p w14:paraId="7FE1C291" w14:textId="77777777" w:rsidR="00CC0A94" w:rsidRDefault="00CC0A94">
            <w:pPr>
              <w:spacing w:line="276" w:lineRule="auto"/>
              <w:jc w:val="both"/>
              <w:rPr>
                <w:rFonts w:ascii="Times New Roman" w:eastAsia="Calibri" w:hAnsi="Times New Roman" w:cs="Times New Roman"/>
                <w:i/>
                <w:sz w:val="20"/>
              </w:rPr>
            </w:pPr>
          </w:p>
        </w:tc>
      </w:tr>
      <w:tr w:rsidR="00CC0A94" w14:paraId="7FE1C298" w14:textId="77777777" w:rsidTr="029F4E13">
        <w:trPr>
          <w:trHeight w:val="463"/>
        </w:trPr>
        <w:tc>
          <w:tcPr>
            <w:tcW w:w="1129" w:type="dxa"/>
            <w:shd w:val="clear" w:color="auto" w:fill="FFFFFF" w:themeFill="background1"/>
          </w:tcPr>
          <w:p w14:paraId="7FE1C293"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0030-0040</w:t>
            </w:r>
          </w:p>
          <w:p w14:paraId="7FE1C294" w14:textId="77777777" w:rsidR="00CC0A94" w:rsidRDefault="00CC0A9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szCs w:val="20"/>
              </w:rPr>
              <w:t>Service recipient</w:t>
            </w:r>
          </w:p>
          <w:p w14:paraId="7FE1C296" w14:textId="6BB16960"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The Entity of the group which receives the service reported in column 0010 from another business unit, group entity or the external provider reported in columns 0050-0</w:t>
            </w:r>
            <w:r w:rsidR="00CE3C84">
              <w:rPr>
                <w:rFonts w:ascii="Times New Roman" w:eastAsia="Calibri" w:hAnsi="Times New Roman" w:cs="Times New Roman"/>
                <w:sz w:val="20"/>
              </w:rPr>
              <w:t>11</w:t>
            </w:r>
            <w:r>
              <w:rPr>
                <w:rFonts w:ascii="Times New Roman" w:eastAsia="Calibri" w:hAnsi="Times New Roman" w:cs="Times New Roman"/>
                <w:sz w:val="20"/>
              </w:rPr>
              <w:t>0.</w:t>
            </w:r>
          </w:p>
          <w:p w14:paraId="7FE1C297" w14:textId="77777777" w:rsidR="00CC0A94" w:rsidRDefault="00CC0A94">
            <w:pPr>
              <w:spacing w:line="276" w:lineRule="auto"/>
              <w:jc w:val="both"/>
              <w:rPr>
                <w:rFonts w:ascii="Times New Roman" w:eastAsia="Calibri" w:hAnsi="Times New Roman" w:cs="Times New Roman"/>
                <w:sz w:val="20"/>
              </w:rPr>
            </w:pPr>
          </w:p>
        </w:tc>
      </w:tr>
      <w:tr w:rsidR="00CC0A94" w14:paraId="7FE1C29F" w14:textId="77777777" w:rsidTr="029F4E13">
        <w:trPr>
          <w:trHeight w:val="463"/>
        </w:trPr>
        <w:tc>
          <w:tcPr>
            <w:tcW w:w="1129" w:type="dxa"/>
            <w:shd w:val="clear" w:color="auto" w:fill="FFFFFF" w:themeFill="background1"/>
          </w:tcPr>
          <w:p w14:paraId="7FE1C299"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0030</w:t>
            </w:r>
          </w:p>
          <w:p w14:paraId="7FE1C29A" w14:textId="77777777" w:rsidR="00CC0A94" w:rsidRDefault="00CC0A9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CC0A94" w:rsidRDefault="006C1571">
            <w:pPr>
              <w:spacing w:before="120" w:after="12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Name</w:t>
            </w:r>
          </w:p>
          <w:p w14:paraId="7FE1C29C" w14:textId="5429A4DF"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It must be different from the name listed in column 0050, unless the service is intra-entity. In this case, the service recipient entity name and service provider entity name are expected to match.</w:t>
            </w:r>
          </w:p>
          <w:p w14:paraId="7FE1C29D" w14:textId="77777777" w:rsidR="00CC0A94" w:rsidRDefault="00CC0A94">
            <w:pPr>
              <w:spacing w:line="276" w:lineRule="auto"/>
              <w:jc w:val="both"/>
              <w:rPr>
                <w:rFonts w:ascii="Times New Roman" w:eastAsia="Calibri" w:hAnsi="Times New Roman" w:cs="Times New Roman"/>
                <w:sz w:val="20"/>
              </w:rPr>
            </w:pPr>
          </w:p>
          <w:p w14:paraId="7FE1C29E" w14:textId="77777777" w:rsidR="00CC0A94" w:rsidRDefault="00CC0A94">
            <w:pPr>
              <w:spacing w:line="276" w:lineRule="auto"/>
              <w:jc w:val="both"/>
              <w:rPr>
                <w:rFonts w:ascii="Times New Roman" w:eastAsia="Calibri" w:hAnsi="Times New Roman" w:cs="Times New Roman"/>
                <w:b/>
                <w:sz w:val="20"/>
              </w:rPr>
            </w:pPr>
          </w:p>
        </w:tc>
      </w:tr>
      <w:tr w:rsidR="00CC0A94" w14:paraId="7FE1C2A6" w14:textId="77777777" w:rsidTr="029F4E13">
        <w:trPr>
          <w:trHeight w:val="463"/>
        </w:trPr>
        <w:tc>
          <w:tcPr>
            <w:tcW w:w="1129" w:type="dxa"/>
            <w:shd w:val="clear" w:color="auto" w:fill="FFFFFF" w:themeFill="background1"/>
          </w:tcPr>
          <w:p w14:paraId="7FE1C2A0"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0040</w:t>
            </w:r>
          </w:p>
          <w:p w14:paraId="7FE1C2A1" w14:textId="77777777" w:rsidR="00CC0A94" w:rsidRDefault="00CC0A9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CC0A94" w:rsidRDefault="006C1571">
            <w:pPr>
              <w:spacing w:before="120" w:after="12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Code</w:t>
            </w:r>
          </w:p>
          <w:p w14:paraId="7FE1C2A3"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Unique identifier of the legal entity in column 0030 as reported in template Z 01.01 (ORG).</w:t>
            </w:r>
          </w:p>
          <w:p w14:paraId="7FE1C2A4"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It must be different from the identifier reported in column 0060, unless the service is intra-entity. In this case, the service recipient code and service provider code are expected to match.</w:t>
            </w:r>
          </w:p>
          <w:p w14:paraId="7FE1C2A5" w14:textId="77777777" w:rsidR="00CC0A94" w:rsidRDefault="00CC0A94">
            <w:pPr>
              <w:spacing w:line="276" w:lineRule="auto"/>
              <w:jc w:val="both"/>
              <w:rPr>
                <w:rFonts w:ascii="Times New Roman" w:eastAsia="Calibri" w:hAnsi="Times New Roman" w:cs="Times New Roman"/>
                <w:b/>
                <w:i/>
                <w:sz w:val="20"/>
              </w:rPr>
            </w:pPr>
          </w:p>
        </w:tc>
      </w:tr>
      <w:tr w:rsidR="00CC0A94" w14:paraId="7FE1C2AC" w14:textId="77777777" w:rsidTr="029F4E13">
        <w:trPr>
          <w:trHeight w:val="463"/>
        </w:trPr>
        <w:tc>
          <w:tcPr>
            <w:tcW w:w="1129" w:type="dxa"/>
            <w:shd w:val="clear" w:color="auto" w:fill="FFFFFF" w:themeFill="background1"/>
          </w:tcPr>
          <w:p w14:paraId="7FE1C2A7"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0050-0110</w:t>
            </w:r>
          </w:p>
          <w:p w14:paraId="7FE1C2A8" w14:textId="77777777" w:rsidR="00CC0A94" w:rsidRDefault="00CC0A94">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szCs w:val="20"/>
              </w:rPr>
              <w:t>Service provider</w:t>
            </w:r>
            <w:r>
              <w:rPr>
                <w:rFonts w:ascii="Times New Roman" w:eastAsia="Calibri" w:hAnsi="Times New Roman" w:cs="Times New Roman"/>
                <w:b/>
                <w:bCs/>
                <w:sz w:val="20"/>
              </w:rPr>
              <w:t xml:space="preserve"> </w:t>
            </w:r>
          </w:p>
          <w:p w14:paraId="7FE1C2AA"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The legal entity (for intra-entity or intra-group services) or the external provider (for external services) which provides the service reported in column 0020 to the group entity reported in column 0030.</w:t>
            </w:r>
          </w:p>
          <w:p w14:paraId="7FE1C2AB" w14:textId="77777777" w:rsidR="00CC0A94" w:rsidRDefault="00CC0A94">
            <w:pPr>
              <w:spacing w:line="276" w:lineRule="auto"/>
              <w:jc w:val="both"/>
              <w:rPr>
                <w:rFonts w:ascii="Times New Roman" w:eastAsia="Calibri" w:hAnsi="Times New Roman" w:cs="Times New Roman"/>
                <w:sz w:val="20"/>
              </w:rPr>
            </w:pPr>
          </w:p>
        </w:tc>
      </w:tr>
      <w:tr w:rsidR="00EE30B2" w14:paraId="244B34A5" w14:textId="77777777" w:rsidTr="029F4E13">
        <w:trPr>
          <w:trHeight w:val="463"/>
        </w:trPr>
        <w:tc>
          <w:tcPr>
            <w:tcW w:w="1129" w:type="dxa"/>
            <w:shd w:val="clear" w:color="auto" w:fill="FFFFFF" w:themeFill="background1"/>
          </w:tcPr>
          <w:p w14:paraId="26770022" w14:textId="77E4D0B7" w:rsidR="00EE30B2" w:rsidRDefault="00EE30B2">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0050-0070</w:t>
            </w:r>
          </w:p>
        </w:tc>
        <w:tc>
          <w:tcPr>
            <w:tcW w:w="7938" w:type="dxa"/>
            <w:shd w:val="clear" w:color="auto" w:fill="FFFFFF" w:themeFill="background1"/>
          </w:tcPr>
          <w:p w14:paraId="3E4CD319" w14:textId="6DCA5709" w:rsidR="00EE30B2" w:rsidRDefault="00EE30B2">
            <w:pPr>
              <w:spacing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Entity</w:t>
            </w:r>
          </w:p>
        </w:tc>
      </w:tr>
      <w:tr w:rsidR="00CC0A94" w14:paraId="7FE1C2B2" w14:textId="77777777" w:rsidTr="029F4E13">
        <w:trPr>
          <w:trHeight w:val="463"/>
        </w:trPr>
        <w:tc>
          <w:tcPr>
            <w:tcW w:w="1129" w:type="dxa"/>
            <w:shd w:val="clear" w:color="auto" w:fill="FFFFFF" w:themeFill="background1"/>
          </w:tcPr>
          <w:p w14:paraId="7FE1C2AD"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0050</w:t>
            </w:r>
          </w:p>
          <w:p w14:paraId="7FE1C2AE" w14:textId="77777777" w:rsidR="00CC0A94" w:rsidRDefault="00CC0A94">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CC0A94" w:rsidRDefault="006C1571">
            <w:pPr>
              <w:spacing w:before="120" w:after="12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Name</w:t>
            </w:r>
          </w:p>
          <w:p w14:paraId="7FE1C2B0"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It must be different from the name listed in column 0030, unless the service is intra-entity. In this case the service recipient entity name and service provider entity name are expected to match.</w:t>
            </w:r>
          </w:p>
          <w:p w14:paraId="7FE1C2B1" w14:textId="77777777" w:rsidR="00CC0A94" w:rsidRDefault="00CC0A94">
            <w:pPr>
              <w:spacing w:line="276" w:lineRule="auto"/>
              <w:jc w:val="both"/>
              <w:rPr>
                <w:rFonts w:ascii="Times New Roman" w:eastAsia="Calibri" w:hAnsi="Times New Roman" w:cs="Times New Roman"/>
                <w:b/>
                <w:sz w:val="20"/>
              </w:rPr>
            </w:pPr>
          </w:p>
        </w:tc>
      </w:tr>
      <w:tr w:rsidR="00CC0A94" w14:paraId="7FE1C2BE" w14:textId="77777777" w:rsidTr="029F4E13">
        <w:trPr>
          <w:trHeight w:val="463"/>
        </w:trPr>
        <w:tc>
          <w:tcPr>
            <w:tcW w:w="1129" w:type="dxa"/>
            <w:shd w:val="clear" w:color="auto" w:fill="FFFFFF" w:themeFill="background1"/>
          </w:tcPr>
          <w:p w14:paraId="7FE1C2B3"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0060</w:t>
            </w:r>
          </w:p>
          <w:p w14:paraId="7FE1C2B4" w14:textId="77777777" w:rsidR="00CC0A94" w:rsidRDefault="00CC0A9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Code</w:t>
            </w:r>
          </w:p>
          <w:p w14:paraId="7FE1C2B6" w14:textId="77777777" w:rsidR="00CC0A94" w:rsidRDefault="006C1571">
            <w:pPr>
              <w:spacing w:line="276" w:lineRule="auto"/>
              <w:jc w:val="both"/>
              <w:rPr>
                <w:rFonts w:ascii="Times New Roman" w:eastAsia="Calibri" w:hAnsi="Times New Roman" w:cs="Times New Roman"/>
                <w:strike/>
                <w:sz w:val="20"/>
              </w:rPr>
            </w:pPr>
            <w:r>
              <w:rPr>
                <w:rFonts w:ascii="Times New Roman" w:eastAsia="Calibri" w:hAnsi="Times New Roman" w:cs="Times New Roman"/>
                <w:sz w:val="20"/>
              </w:rPr>
              <w:t>Unique identifier of the legal entity in column 0050. It must be different from the identifier listed in column 0040, unless the service is intra-entity. In this case, the service recipient code and service provider code are expected to match.</w:t>
            </w:r>
          </w:p>
          <w:p w14:paraId="7FE1C2B7"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Where the service provider is a group entity, the code shall be the same as reported in template Z 01.01 (ORG).</w:t>
            </w:r>
          </w:p>
          <w:p w14:paraId="7FE1C2B8"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Where the service provider is not a group entity, the code of that entity shall be:</w:t>
            </w:r>
          </w:p>
          <w:p w14:paraId="7FE1C2B9"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 for entities with a Legal Entity Identifier (LEI), the 20-digit, alphanumeric LEI </w:t>
            </w:r>
            <w:proofErr w:type="gramStart"/>
            <w:r>
              <w:rPr>
                <w:rFonts w:ascii="Times New Roman" w:eastAsia="Calibri" w:hAnsi="Times New Roman" w:cs="Times New Roman"/>
                <w:sz w:val="20"/>
              </w:rPr>
              <w:t>code;</w:t>
            </w:r>
            <w:proofErr w:type="gramEnd"/>
          </w:p>
          <w:p w14:paraId="7FE1C2BA"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for entities without LEI, the corporate registration number under national law</w:t>
            </w:r>
            <w:r>
              <w:rPr>
                <w:rFonts w:ascii="Times New Roman" w:eastAsia="Calibri" w:hAnsi="Times New Roman" w:cs="Times New Roman"/>
                <w:strike/>
                <w:sz w:val="20"/>
              </w:rPr>
              <w:t>.</w:t>
            </w:r>
          </w:p>
          <w:p w14:paraId="7FE1C2BB" w14:textId="77777777" w:rsidR="00CC0A94" w:rsidRDefault="00CC0A94">
            <w:pPr>
              <w:spacing w:line="276" w:lineRule="auto"/>
              <w:jc w:val="both"/>
              <w:rPr>
                <w:rFonts w:ascii="Times New Roman" w:eastAsia="Calibri" w:hAnsi="Times New Roman" w:cs="Times New Roman"/>
                <w:sz w:val="20"/>
              </w:rPr>
            </w:pPr>
          </w:p>
          <w:p w14:paraId="7FE1C2BC"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For both cases, the code shall be unique and used consistently across the templates.</w:t>
            </w:r>
          </w:p>
          <w:p w14:paraId="7FE1C2B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i/>
                <w:sz w:val="20"/>
              </w:rPr>
              <w:t xml:space="preserve"> </w:t>
            </w:r>
          </w:p>
        </w:tc>
      </w:tr>
      <w:tr w:rsidR="00CC0A94" w14:paraId="7FE1C2C7" w14:textId="77777777" w:rsidTr="029F4E13">
        <w:trPr>
          <w:trHeight w:val="463"/>
        </w:trPr>
        <w:tc>
          <w:tcPr>
            <w:tcW w:w="1129" w:type="dxa"/>
            <w:shd w:val="clear" w:color="auto" w:fill="FFFFFF" w:themeFill="background1"/>
          </w:tcPr>
          <w:p w14:paraId="7FE1C2BF"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0070</w:t>
            </w:r>
          </w:p>
        </w:tc>
        <w:tc>
          <w:tcPr>
            <w:tcW w:w="7938" w:type="dxa"/>
            <w:shd w:val="clear" w:color="auto" w:fill="FFFFFF" w:themeFill="background1"/>
          </w:tcPr>
          <w:p w14:paraId="7FE1C2C0"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 xml:space="preserve">Type of code </w:t>
            </w:r>
          </w:p>
          <w:p w14:paraId="7FE1C2C3" w14:textId="5EDF8AF2" w:rsidR="00CC0A94" w:rsidRDefault="006C1571">
            <w:pPr>
              <w:spacing w:line="276" w:lineRule="auto"/>
              <w:contextualSpacing/>
              <w:jc w:val="both"/>
              <w:rPr>
                <w:rFonts w:ascii="Times New Roman" w:hAnsi="Times New Roman"/>
                <w:bCs/>
                <w:color w:val="000000" w:themeColor="text1"/>
                <w:sz w:val="20"/>
                <w:szCs w:val="20"/>
              </w:rPr>
            </w:pPr>
            <w:proofErr w:type="gramStart"/>
            <w:r>
              <w:rPr>
                <w:rFonts w:ascii="Times New Roman" w:hAnsi="Times New Roman"/>
                <w:bCs/>
                <w:color w:val="000000" w:themeColor="text1"/>
                <w:sz w:val="20"/>
                <w:szCs w:val="20"/>
              </w:rPr>
              <w:t>Report</w:t>
            </w:r>
            <w:proofErr w:type="gramEnd"/>
            <w:r>
              <w:rPr>
                <w:rFonts w:ascii="Times New Roman" w:hAnsi="Times New Roman"/>
                <w:bCs/>
                <w:color w:val="000000" w:themeColor="text1"/>
                <w:sz w:val="20"/>
                <w:szCs w:val="20"/>
              </w:rPr>
              <w:t xml:space="preserve"> one of the following values:</w:t>
            </w:r>
          </w:p>
          <w:p w14:paraId="7FE1C2C4" w14:textId="77777777" w:rsidR="00CC0A94" w:rsidRDefault="006C1571">
            <w:pPr>
              <w:pStyle w:val="ListParagraph"/>
              <w:numPr>
                <w:ilvl w:val="0"/>
                <w:numId w:val="64"/>
              </w:numPr>
              <w:spacing w:line="276" w:lineRule="auto"/>
              <w:contextualSpacing/>
              <w:jc w:val="both"/>
              <w:rPr>
                <w:rFonts w:ascii="Times New Roman" w:hAnsi="Times New Roman"/>
                <w:sz w:val="20"/>
              </w:rPr>
            </w:pPr>
            <w:r>
              <w:rPr>
                <w:rFonts w:ascii="Times New Roman" w:hAnsi="Times New Roman"/>
                <w:sz w:val="20"/>
              </w:rPr>
              <w:t>LEI</w:t>
            </w:r>
          </w:p>
          <w:p w14:paraId="7FE1C2C5" w14:textId="77777777" w:rsidR="00CC0A94" w:rsidRPr="002F61BB" w:rsidRDefault="006C1571" w:rsidP="002F61BB">
            <w:pPr>
              <w:pStyle w:val="ListParagraph"/>
              <w:numPr>
                <w:ilvl w:val="0"/>
                <w:numId w:val="64"/>
              </w:numPr>
              <w:spacing w:line="276" w:lineRule="auto"/>
              <w:contextualSpacing/>
              <w:jc w:val="both"/>
              <w:rPr>
                <w:rFonts w:ascii="Times New Roman" w:hAnsi="Times New Roman"/>
                <w:sz w:val="20"/>
              </w:rPr>
            </w:pPr>
            <w:r>
              <w:rPr>
                <w:rFonts w:ascii="Times New Roman" w:hAnsi="Times New Roman"/>
                <w:sz w:val="20"/>
              </w:rPr>
              <w:t>Corporate registration number</w:t>
            </w:r>
          </w:p>
          <w:p w14:paraId="7FE1C2C6" w14:textId="77777777" w:rsidR="00CC0A94" w:rsidRDefault="00CC0A94">
            <w:pPr>
              <w:spacing w:line="276" w:lineRule="auto"/>
              <w:jc w:val="both"/>
              <w:rPr>
                <w:rFonts w:ascii="Times New Roman" w:eastAsia="Calibri" w:hAnsi="Times New Roman" w:cs="Times New Roman"/>
                <w:sz w:val="20"/>
              </w:rPr>
            </w:pPr>
          </w:p>
        </w:tc>
      </w:tr>
      <w:tr w:rsidR="00EE30B2" w14:paraId="5AC7028E" w14:textId="77777777" w:rsidTr="029F4E13">
        <w:trPr>
          <w:trHeight w:val="463"/>
        </w:trPr>
        <w:tc>
          <w:tcPr>
            <w:tcW w:w="1129" w:type="dxa"/>
            <w:shd w:val="clear" w:color="auto" w:fill="FFFFFF" w:themeFill="background1"/>
          </w:tcPr>
          <w:p w14:paraId="3ECEFB75" w14:textId="74BF0EC5" w:rsidR="00EE30B2" w:rsidRDefault="00EE30B2">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0080-0100</w:t>
            </w:r>
          </w:p>
        </w:tc>
        <w:tc>
          <w:tcPr>
            <w:tcW w:w="7938" w:type="dxa"/>
            <w:shd w:val="clear" w:color="auto" w:fill="FFFFFF" w:themeFill="background1"/>
          </w:tcPr>
          <w:p w14:paraId="259185CE" w14:textId="65A5A83F" w:rsidR="00EE30B2" w:rsidRDefault="00EE30B2">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Parent</w:t>
            </w:r>
          </w:p>
        </w:tc>
      </w:tr>
      <w:tr w:rsidR="00CC0A94" w14:paraId="7FE1C2CC" w14:textId="77777777" w:rsidTr="029F4E13">
        <w:trPr>
          <w:trHeight w:val="463"/>
        </w:trPr>
        <w:tc>
          <w:tcPr>
            <w:tcW w:w="1129" w:type="dxa"/>
          </w:tcPr>
          <w:p w14:paraId="7FE1C2C8"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0080</w:t>
            </w:r>
          </w:p>
        </w:tc>
        <w:tc>
          <w:tcPr>
            <w:tcW w:w="7938" w:type="dxa"/>
            <w:shd w:val="clear" w:color="auto" w:fill="FFFFFF" w:themeFill="background1"/>
          </w:tcPr>
          <w:p w14:paraId="0DC1DDCB" w14:textId="24E6B1FE" w:rsidR="00EE30B2" w:rsidRDefault="00EE30B2">
            <w:pPr>
              <w:spacing w:line="276" w:lineRule="auto"/>
              <w:jc w:val="both"/>
              <w:rPr>
                <w:rFonts w:ascii="Times New Roman" w:eastAsia="Calibri" w:hAnsi="Times New Roman" w:cs="Times New Roman"/>
                <w:sz w:val="20"/>
              </w:rPr>
            </w:pPr>
            <w:r>
              <w:rPr>
                <w:rFonts w:ascii="Times New Roman" w:eastAsia="Calibri" w:hAnsi="Times New Roman" w:cs="Times New Roman"/>
                <w:b/>
                <w:bCs/>
                <w:sz w:val="20"/>
              </w:rPr>
              <w:t>Name</w:t>
            </w:r>
          </w:p>
          <w:p w14:paraId="7FE1C2CA" w14:textId="07E2401A"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lastRenderedPageBreak/>
              <w:t>Name of the (ultimate) parent company of the service provider reported in column 0050, when this is not a group entity. In the other cases, N/A.</w:t>
            </w:r>
          </w:p>
          <w:p w14:paraId="7FE1C2CB" w14:textId="77777777" w:rsidR="00CC0A94" w:rsidRDefault="00CC0A94">
            <w:pPr>
              <w:spacing w:line="276" w:lineRule="auto"/>
              <w:jc w:val="both"/>
              <w:rPr>
                <w:rFonts w:ascii="Times New Roman" w:hAnsi="Times New Roman" w:cs="Times New Roman"/>
              </w:rPr>
            </w:pPr>
          </w:p>
        </w:tc>
      </w:tr>
      <w:tr w:rsidR="00CC0A94" w14:paraId="7FE1C2D3" w14:textId="77777777" w:rsidTr="029F4E13">
        <w:trPr>
          <w:trHeight w:val="463"/>
        </w:trPr>
        <w:tc>
          <w:tcPr>
            <w:tcW w:w="1129" w:type="dxa"/>
          </w:tcPr>
          <w:p w14:paraId="7FE1C2C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lastRenderedPageBreak/>
              <w:t>0090</w:t>
            </w:r>
          </w:p>
        </w:tc>
        <w:tc>
          <w:tcPr>
            <w:tcW w:w="7938" w:type="dxa"/>
            <w:shd w:val="clear" w:color="auto" w:fill="FFFFFF" w:themeFill="background1"/>
          </w:tcPr>
          <w:p w14:paraId="7FE1C2CE" w14:textId="414718EB" w:rsidR="00CC0A94" w:rsidRDefault="00EE30B2">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C</w:t>
            </w:r>
            <w:r w:rsidR="006C1571">
              <w:rPr>
                <w:rFonts w:ascii="Times New Roman" w:eastAsia="Calibri" w:hAnsi="Times New Roman" w:cs="Times New Roman"/>
                <w:b/>
                <w:bCs/>
                <w:sz w:val="20"/>
              </w:rPr>
              <w:t>ode</w:t>
            </w:r>
          </w:p>
          <w:p w14:paraId="7FE1C2CF"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The code of the parent company reported in column 0080 shall be:</w:t>
            </w:r>
          </w:p>
          <w:p w14:paraId="7FE1C2D0"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 for entities with a Legal Entity Identifier (LEI), the 20-digit alphanumeric LEI </w:t>
            </w:r>
            <w:proofErr w:type="gramStart"/>
            <w:r>
              <w:rPr>
                <w:rFonts w:ascii="Times New Roman" w:eastAsia="Calibri" w:hAnsi="Times New Roman" w:cs="Times New Roman"/>
                <w:sz w:val="20"/>
              </w:rPr>
              <w:t>code;</w:t>
            </w:r>
            <w:proofErr w:type="gramEnd"/>
          </w:p>
          <w:p w14:paraId="7FE1C2D1"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 for entities without LEI, the corporate registration number under national law. </w:t>
            </w:r>
          </w:p>
          <w:p w14:paraId="7FE1C2D2" w14:textId="77777777" w:rsidR="00CC0A94" w:rsidRDefault="00CC0A94">
            <w:pPr>
              <w:spacing w:line="276" w:lineRule="auto"/>
              <w:jc w:val="both"/>
              <w:rPr>
                <w:rFonts w:ascii="Times New Roman" w:eastAsia="Calibri" w:hAnsi="Times New Roman" w:cs="Times New Roman"/>
                <w:sz w:val="20"/>
              </w:rPr>
            </w:pPr>
          </w:p>
        </w:tc>
      </w:tr>
      <w:tr w:rsidR="00CC0A94" w14:paraId="7FE1C2DC" w14:textId="77777777" w:rsidTr="029F4E13">
        <w:trPr>
          <w:trHeight w:val="463"/>
        </w:trPr>
        <w:tc>
          <w:tcPr>
            <w:tcW w:w="1129" w:type="dxa"/>
          </w:tcPr>
          <w:p w14:paraId="7FE1C2D4"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0100</w:t>
            </w:r>
          </w:p>
        </w:tc>
        <w:tc>
          <w:tcPr>
            <w:tcW w:w="7938" w:type="dxa"/>
            <w:shd w:val="clear" w:color="auto" w:fill="FFFFFF" w:themeFill="background1"/>
          </w:tcPr>
          <w:p w14:paraId="7FE1C2D5"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 xml:space="preserve">Type of code </w:t>
            </w:r>
          </w:p>
          <w:p w14:paraId="7FE1C2D6" w14:textId="77777777" w:rsidR="00CC0A94" w:rsidRDefault="006C1571">
            <w:pPr>
              <w:spacing w:line="276" w:lineRule="auto"/>
              <w:contextualSpacing/>
              <w:jc w:val="both"/>
              <w:rPr>
                <w:rFonts w:ascii="Times New Roman" w:hAnsi="Times New Roman"/>
                <w:bCs/>
                <w:color w:val="000000" w:themeColor="text1"/>
                <w:sz w:val="20"/>
                <w:szCs w:val="20"/>
              </w:rPr>
            </w:pPr>
            <w:proofErr w:type="gramStart"/>
            <w:r>
              <w:rPr>
                <w:rFonts w:ascii="Times New Roman" w:hAnsi="Times New Roman"/>
                <w:bCs/>
                <w:color w:val="000000" w:themeColor="text1"/>
                <w:sz w:val="20"/>
                <w:szCs w:val="20"/>
              </w:rPr>
              <w:t>Report</w:t>
            </w:r>
            <w:proofErr w:type="gramEnd"/>
            <w:r>
              <w:rPr>
                <w:rFonts w:ascii="Times New Roman" w:hAnsi="Times New Roman"/>
                <w:bCs/>
                <w:color w:val="000000" w:themeColor="text1"/>
                <w:sz w:val="20"/>
                <w:szCs w:val="20"/>
              </w:rPr>
              <w:t xml:space="preserve"> one of the following values:</w:t>
            </w:r>
          </w:p>
          <w:p w14:paraId="7FE1C2D7" w14:textId="77777777" w:rsidR="00CC0A94" w:rsidRDefault="006C1571">
            <w:pPr>
              <w:pStyle w:val="ListParagraph"/>
              <w:numPr>
                <w:ilvl w:val="0"/>
                <w:numId w:val="64"/>
              </w:numPr>
              <w:spacing w:line="276" w:lineRule="auto"/>
              <w:contextualSpacing/>
              <w:jc w:val="both"/>
              <w:rPr>
                <w:rFonts w:ascii="Times New Roman" w:hAnsi="Times New Roman"/>
                <w:sz w:val="20"/>
              </w:rPr>
            </w:pPr>
            <w:r>
              <w:rPr>
                <w:rFonts w:ascii="Times New Roman" w:hAnsi="Times New Roman"/>
                <w:sz w:val="20"/>
              </w:rPr>
              <w:t>LEI</w:t>
            </w:r>
          </w:p>
          <w:p w14:paraId="7FE1C2D8" w14:textId="77777777" w:rsidR="00CC0A94" w:rsidRDefault="006C1571">
            <w:pPr>
              <w:pStyle w:val="ListParagraph"/>
              <w:numPr>
                <w:ilvl w:val="0"/>
                <w:numId w:val="64"/>
              </w:numPr>
              <w:spacing w:line="276" w:lineRule="auto"/>
              <w:contextualSpacing/>
              <w:jc w:val="both"/>
              <w:rPr>
                <w:rFonts w:ascii="Times New Roman" w:hAnsi="Times New Roman"/>
                <w:sz w:val="20"/>
              </w:rPr>
            </w:pPr>
            <w:r>
              <w:rPr>
                <w:rFonts w:ascii="Times New Roman" w:hAnsi="Times New Roman"/>
                <w:sz w:val="20"/>
              </w:rPr>
              <w:t>Corporate registration number</w:t>
            </w:r>
          </w:p>
          <w:p w14:paraId="7FE1C2DB" w14:textId="010B0D6D" w:rsidR="00CC0A94" w:rsidRDefault="00CC0A94">
            <w:pPr>
              <w:spacing w:line="276" w:lineRule="auto"/>
              <w:jc w:val="both"/>
              <w:rPr>
                <w:rFonts w:ascii="Times New Roman" w:eastAsia="Calibri" w:hAnsi="Times New Roman" w:cs="Times New Roman"/>
                <w:sz w:val="20"/>
              </w:rPr>
            </w:pPr>
          </w:p>
        </w:tc>
      </w:tr>
      <w:tr w:rsidR="00CC0A94" w14:paraId="7FE1C2E4" w14:textId="77777777" w:rsidTr="029F4E13">
        <w:trPr>
          <w:trHeight w:val="463"/>
        </w:trPr>
        <w:tc>
          <w:tcPr>
            <w:tcW w:w="1129" w:type="dxa"/>
            <w:shd w:val="clear" w:color="auto" w:fill="FFFFFF" w:themeFill="background1"/>
          </w:tcPr>
          <w:p w14:paraId="7FE1C2D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0110</w:t>
            </w:r>
          </w:p>
        </w:tc>
        <w:tc>
          <w:tcPr>
            <w:tcW w:w="7938" w:type="dxa"/>
            <w:shd w:val="clear" w:color="auto" w:fill="FFFFFF" w:themeFill="background1"/>
          </w:tcPr>
          <w:p w14:paraId="7FE1C2DE"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b/>
                <w:bCs/>
                <w:sz w:val="20"/>
              </w:rPr>
              <w:t>Service delivery</w:t>
            </w:r>
            <w:r>
              <w:rPr>
                <w:rFonts w:ascii="Times New Roman" w:eastAsia="Calibri" w:hAnsi="Times New Roman" w:cs="Times New Roman"/>
                <w:sz w:val="20"/>
              </w:rPr>
              <w:t xml:space="preserve"> </w:t>
            </w:r>
          </w:p>
          <w:p w14:paraId="7FE1C2DF"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‘Intra-entity’ if the service is provided by one business unit to another business unit of the same legal entity.</w:t>
            </w:r>
          </w:p>
          <w:p w14:paraId="7FE1C2E0" w14:textId="200EB8B6"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‘Intra-group </w:t>
            </w:r>
            <w:r w:rsidR="00BC4FE7">
              <w:rPr>
                <w:rFonts w:ascii="Times New Roman" w:eastAsia="Calibri" w:hAnsi="Times New Roman" w:cs="Times New Roman"/>
                <w:sz w:val="20"/>
              </w:rPr>
              <w:t>–</w:t>
            </w:r>
            <w:r>
              <w:rPr>
                <w:rFonts w:ascii="Times New Roman" w:eastAsia="Calibri" w:hAnsi="Times New Roman" w:cs="Times New Roman"/>
                <w:sz w:val="20"/>
              </w:rPr>
              <w:t xml:space="preserve"> regulated</w:t>
            </w:r>
            <w:r w:rsidR="00BC4FE7">
              <w:rPr>
                <w:rFonts w:ascii="Times New Roman" w:eastAsia="Calibri" w:hAnsi="Times New Roman" w:cs="Times New Roman"/>
                <w:sz w:val="20"/>
              </w:rPr>
              <w:t xml:space="preserve"> entity</w:t>
            </w:r>
            <w:r>
              <w:rPr>
                <w:rFonts w:ascii="Times New Roman" w:eastAsia="Calibri" w:hAnsi="Times New Roman" w:cs="Times New Roman"/>
                <w:sz w:val="20"/>
              </w:rPr>
              <w:t>’</w:t>
            </w:r>
            <w:r>
              <w:rPr>
                <w:rFonts w:ascii="Times New Roman" w:hAnsi="Times New Roman" w:cs="Times New Roman"/>
              </w:rPr>
              <w:t xml:space="preserve"> if </w:t>
            </w:r>
            <w:r>
              <w:rPr>
                <w:rFonts w:ascii="Times New Roman" w:eastAsia="Calibri" w:hAnsi="Times New Roman" w:cs="Times New Roman"/>
                <w:sz w:val="20"/>
              </w:rPr>
              <w:t>the service is</w:t>
            </w:r>
            <w:r>
              <w:rPr>
                <w:rFonts w:ascii="Times New Roman" w:hAnsi="Times New Roman" w:cs="Times New Roman"/>
              </w:rPr>
              <w:t xml:space="preserve"> </w:t>
            </w:r>
            <w:r>
              <w:rPr>
                <w:rFonts w:ascii="Times New Roman" w:eastAsia="Calibri" w:hAnsi="Times New Roman" w:cs="Times New Roman"/>
                <w:sz w:val="20"/>
              </w:rPr>
              <w:t>provided by an entity of the group which is subject to prudential regulation regarding capital/liquidity on an individual basis, including where prudential requirements are waived.</w:t>
            </w:r>
          </w:p>
          <w:p w14:paraId="7FE1C2E1" w14:textId="6FD0E03D"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‘Intra-group </w:t>
            </w:r>
            <w:r w:rsidR="00BC4FE7">
              <w:rPr>
                <w:rFonts w:ascii="Times New Roman" w:eastAsia="Calibri" w:hAnsi="Times New Roman" w:cs="Times New Roman"/>
                <w:sz w:val="20"/>
              </w:rPr>
              <w:t>–</w:t>
            </w:r>
            <w:r>
              <w:rPr>
                <w:rFonts w:ascii="Times New Roman" w:eastAsia="Calibri" w:hAnsi="Times New Roman" w:cs="Times New Roman"/>
                <w:sz w:val="20"/>
              </w:rPr>
              <w:t xml:space="preserve"> unregulated</w:t>
            </w:r>
            <w:r w:rsidR="00BC4FE7">
              <w:rPr>
                <w:rFonts w:ascii="Times New Roman" w:eastAsia="Calibri" w:hAnsi="Times New Roman" w:cs="Times New Roman"/>
                <w:sz w:val="20"/>
              </w:rPr>
              <w:t xml:space="preserve"> entity</w:t>
            </w:r>
            <w:r>
              <w:rPr>
                <w:rFonts w:ascii="Times New Roman" w:eastAsia="Calibri" w:hAnsi="Times New Roman" w:cs="Times New Roman"/>
                <w:sz w:val="20"/>
              </w:rPr>
              <w:t>’ if the service is provided by an entity of the group which is an operating entity not subject to prudential regulation regarding capital/liquidity on an individual basis, including where prudential requirements are waived.</w:t>
            </w:r>
          </w:p>
          <w:p w14:paraId="7FE1C2E2" w14:textId="7B6AA381"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‘External</w:t>
            </w:r>
            <w:r w:rsidR="00BC4FE7">
              <w:rPr>
                <w:rFonts w:ascii="Times New Roman" w:eastAsia="Calibri" w:hAnsi="Times New Roman" w:cs="Times New Roman"/>
                <w:sz w:val="20"/>
              </w:rPr>
              <w:t xml:space="preserve"> entity</w:t>
            </w:r>
            <w:r>
              <w:rPr>
                <w:rFonts w:ascii="Times New Roman" w:eastAsia="Calibri" w:hAnsi="Times New Roman" w:cs="Times New Roman"/>
                <w:sz w:val="20"/>
              </w:rPr>
              <w:t>’ if the service is provided by an external provider which is outside of the group.</w:t>
            </w:r>
          </w:p>
          <w:p w14:paraId="7FE1C2E3" w14:textId="77777777" w:rsidR="00CC0A94" w:rsidRDefault="00CC0A94">
            <w:pPr>
              <w:spacing w:line="276" w:lineRule="auto"/>
              <w:jc w:val="both"/>
              <w:rPr>
                <w:rFonts w:ascii="Times New Roman" w:eastAsia="Calibri" w:hAnsi="Times New Roman" w:cs="Times New Roman"/>
                <w:i/>
                <w:sz w:val="20"/>
              </w:rPr>
            </w:pPr>
          </w:p>
        </w:tc>
      </w:tr>
      <w:tr w:rsidR="00CC0A94" w14:paraId="7FE1C2EB" w14:textId="77777777" w:rsidTr="029F4E13">
        <w:trPr>
          <w:trHeight w:val="463"/>
        </w:trPr>
        <w:tc>
          <w:tcPr>
            <w:tcW w:w="1129" w:type="dxa"/>
            <w:shd w:val="clear" w:color="auto" w:fill="FFFFFF" w:themeFill="background1"/>
          </w:tcPr>
          <w:p w14:paraId="7FE1C2E5"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0120</w:t>
            </w:r>
          </w:p>
          <w:p w14:paraId="7FE1C2E6" w14:textId="77777777" w:rsidR="00CC0A94" w:rsidRDefault="00CC0A9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CC0A94" w:rsidRDefault="006C1571">
            <w:pPr>
              <w:spacing w:line="276" w:lineRule="auto"/>
              <w:jc w:val="both"/>
              <w:rPr>
                <w:rFonts w:ascii="Times New Roman" w:eastAsia="Calibri" w:hAnsi="Times New Roman" w:cs="Times New Roman"/>
                <w:b/>
                <w:bCs/>
                <w:strike/>
                <w:sz w:val="20"/>
                <w:szCs w:val="20"/>
              </w:rPr>
            </w:pPr>
            <w:r>
              <w:rPr>
                <w:rFonts w:ascii="Times New Roman" w:eastAsia="Calibri" w:hAnsi="Times New Roman" w:cs="Times New Roman"/>
                <w:b/>
                <w:bCs/>
                <w:sz w:val="20"/>
                <w:szCs w:val="20"/>
              </w:rPr>
              <w:t>Criticality</w:t>
            </w:r>
            <w:r>
              <w:rPr>
                <w:rFonts w:ascii="Times New Roman" w:eastAsia="Calibri" w:hAnsi="Times New Roman" w:cs="Times New Roman"/>
                <w:b/>
                <w:bCs/>
                <w:strike/>
                <w:sz w:val="20"/>
                <w:szCs w:val="20"/>
              </w:rPr>
              <w:t xml:space="preserve"> </w:t>
            </w:r>
          </w:p>
          <w:p w14:paraId="7FE1C2E8" w14:textId="77777777" w:rsidR="00CC0A94" w:rsidRDefault="006C1571">
            <w:pPr>
              <w:pStyle w:val="ListParagraph"/>
              <w:numPr>
                <w:ilvl w:val="0"/>
                <w:numId w:val="239"/>
              </w:numPr>
              <w:spacing w:line="276" w:lineRule="auto"/>
              <w:contextualSpacing/>
              <w:jc w:val="both"/>
              <w:rPr>
                <w:rFonts w:ascii="Times New Roman" w:hAnsi="Times New Roman"/>
                <w:sz w:val="20"/>
              </w:rPr>
            </w:pPr>
            <w:r>
              <w:rPr>
                <w:rFonts w:ascii="Times New Roman" w:hAnsi="Times New Roman"/>
                <w:sz w:val="20"/>
              </w:rPr>
              <w:t>Critical: if the service is necessary for the performance of one or more critical functions, whose discontinuity would seriously impede or prevent the performance of those critical functions.</w:t>
            </w:r>
          </w:p>
          <w:p w14:paraId="7FE1C2E9" w14:textId="77777777" w:rsidR="00CC0A94" w:rsidRDefault="006C1571">
            <w:pPr>
              <w:pStyle w:val="ListParagraph"/>
              <w:numPr>
                <w:ilvl w:val="0"/>
                <w:numId w:val="239"/>
              </w:numPr>
              <w:spacing w:line="276" w:lineRule="auto"/>
              <w:contextualSpacing/>
              <w:jc w:val="both"/>
              <w:rPr>
                <w:rFonts w:ascii="Times New Roman" w:hAnsi="Times New Roman"/>
                <w:sz w:val="20"/>
              </w:rPr>
            </w:pPr>
            <w:r>
              <w:rPr>
                <w:rFonts w:ascii="Times New Roman" w:hAnsi="Times New Roman"/>
                <w:sz w:val="20"/>
              </w:rPr>
              <w:t>Essential: if the</w:t>
            </w:r>
            <w:r>
              <w:rPr>
                <w:rFonts w:ascii="Times New Roman" w:hAnsi="Times New Roman"/>
              </w:rPr>
              <w:t xml:space="preserve"> s</w:t>
            </w:r>
            <w:r>
              <w:rPr>
                <w:rFonts w:ascii="Times New Roman" w:hAnsi="Times New Roman"/>
                <w:sz w:val="20"/>
              </w:rPr>
              <w:t>ervice is associated with core business lines, whose continuity is necessary for the effective execution of the resolution strategy and any consequent restructuring.</w:t>
            </w:r>
          </w:p>
          <w:p w14:paraId="7FE1C2EA" w14:textId="3B37659B" w:rsidR="00CC0A94" w:rsidRDefault="00BC4FE7">
            <w:pPr>
              <w:pStyle w:val="ListParagraph"/>
              <w:numPr>
                <w:ilvl w:val="0"/>
                <w:numId w:val="239"/>
              </w:numPr>
              <w:spacing w:line="276" w:lineRule="auto"/>
              <w:contextualSpacing/>
              <w:jc w:val="both"/>
              <w:rPr>
                <w:rFonts w:ascii="Times New Roman" w:hAnsi="Times New Roman"/>
                <w:sz w:val="20"/>
              </w:rPr>
            </w:pPr>
            <w:r>
              <w:rPr>
                <w:rFonts w:ascii="Times New Roman" w:hAnsi="Times New Roman"/>
                <w:sz w:val="20"/>
              </w:rPr>
              <w:t>Critical and essential</w:t>
            </w:r>
          </w:p>
        </w:tc>
      </w:tr>
      <w:tr w:rsidR="00CC0A94" w14:paraId="7FE1C2F0" w14:textId="77777777" w:rsidTr="029F4E13">
        <w:trPr>
          <w:trHeight w:val="463"/>
        </w:trPr>
        <w:tc>
          <w:tcPr>
            <w:tcW w:w="1129" w:type="dxa"/>
            <w:shd w:val="clear" w:color="auto" w:fill="FFFFFF" w:themeFill="background1"/>
          </w:tcPr>
          <w:p w14:paraId="7FE1C2EC"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0130</w:t>
            </w:r>
          </w:p>
        </w:tc>
        <w:tc>
          <w:tcPr>
            <w:tcW w:w="7938" w:type="dxa"/>
            <w:shd w:val="clear" w:color="auto" w:fill="FFFFFF" w:themeFill="background1"/>
          </w:tcPr>
          <w:p w14:paraId="7FE1C2ED"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szCs w:val="20"/>
              </w:rPr>
              <w:t>Contract ID</w:t>
            </w:r>
          </w:p>
          <w:p w14:paraId="7FE1C2EE"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Contract unique identifier of the contract underpinning the service as per group’s service taxonomy.</w:t>
            </w:r>
          </w:p>
          <w:p w14:paraId="7FE1C2EF" w14:textId="77777777" w:rsidR="00CC0A94" w:rsidRDefault="00CC0A94">
            <w:pPr>
              <w:spacing w:line="276" w:lineRule="auto"/>
              <w:jc w:val="both"/>
              <w:rPr>
                <w:rFonts w:ascii="Times New Roman" w:eastAsia="Calibri" w:hAnsi="Times New Roman" w:cs="Times New Roman"/>
                <w:sz w:val="20"/>
              </w:rPr>
            </w:pPr>
          </w:p>
        </w:tc>
      </w:tr>
      <w:tr w:rsidR="00CC0A94" w14:paraId="7FE1C2F6" w14:textId="77777777" w:rsidTr="029F4E13">
        <w:trPr>
          <w:trHeight w:val="628"/>
        </w:trPr>
        <w:tc>
          <w:tcPr>
            <w:tcW w:w="1129" w:type="dxa"/>
          </w:tcPr>
          <w:p w14:paraId="7FE1C2F1"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0140</w:t>
            </w:r>
          </w:p>
          <w:p w14:paraId="7FE1C2F2" w14:textId="77777777" w:rsidR="00CC0A94" w:rsidRDefault="00CC0A94">
            <w:pPr>
              <w:spacing w:line="276" w:lineRule="auto"/>
              <w:jc w:val="both"/>
              <w:rPr>
                <w:rFonts w:ascii="Times New Roman" w:eastAsia="Calibri" w:hAnsi="Times New Roman" w:cs="Times New Roman"/>
                <w:strike/>
                <w:sz w:val="20"/>
              </w:rPr>
            </w:pPr>
          </w:p>
        </w:tc>
        <w:tc>
          <w:tcPr>
            <w:tcW w:w="7938" w:type="dxa"/>
          </w:tcPr>
          <w:p w14:paraId="7FE1C2F3"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b/>
                <w:bCs/>
                <w:sz w:val="20"/>
                <w:szCs w:val="20"/>
              </w:rPr>
              <w:t>Governing law</w:t>
            </w:r>
            <w:r>
              <w:rPr>
                <w:rFonts w:ascii="Times New Roman" w:eastAsia="Calibri" w:hAnsi="Times New Roman" w:cs="Times New Roman"/>
                <w:b/>
                <w:bCs/>
                <w:sz w:val="20"/>
              </w:rPr>
              <w:t xml:space="preserve"> </w:t>
            </w:r>
          </w:p>
          <w:p w14:paraId="7FE1C2F4"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ISO code of the country code the law of which governs the contract.</w:t>
            </w:r>
          </w:p>
          <w:p w14:paraId="7FE1C2F5" w14:textId="77777777" w:rsidR="00CC0A94" w:rsidRDefault="00CC0A94">
            <w:pPr>
              <w:spacing w:line="276" w:lineRule="auto"/>
              <w:jc w:val="both"/>
              <w:rPr>
                <w:rFonts w:ascii="Times New Roman" w:eastAsia="Calibri" w:hAnsi="Times New Roman" w:cs="Times New Roman"/>
                <w:sz w:val="20"/>
              </w:rPr>
            </w:pPr>
          </w:p>
        </w:tc>
      </w:tr>
      <w:tr w:rsidR="00CC0A94" w14:paraId="7FE1C2FC" w14:textId="77777777" w:rsidTr="029F4E13">
        <w:trPr>
          <w:trHeight w:val="628"/>
        </w:trPr>
        <w:tc>
          <w:tcPr>
            <w:tcW w:w="1129" w:type="dxa"/>
          </w:tcPr>
          <w:p w14:paraId="7FE1C2F7"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0150-0170</w:t>
            </w:r>
          </w:p>
          <w:p w14:paraId="7FE1C2F8" w14:textId="77777777" w:rsidR="00CC0A94" w:rsidRDefault="00CC0A94">
            <w:pPr>
              <w:spacing w:line="276" w:lineRule="auto"/>
              <w:jc w:val="both"/>
              <w:rPr>
                <w:rFonts w:ascii="Times New Roman" w:eastAsia="Calibri" w:hAnsi="Times New Roman" w:cs="Times New Roman"/>
                <w:strike/>
                <w:sz w:val="20"/>
              </w:rPr>
            </w:pPr>
          </w:p>
        </w:tc>
        <w:tc>
          <w:tcPr>
            <w:tcW w:w="7938" w:type="dxa"/>
          </w:tcPr>
          <w:p w14:paraId="7FE1C2F9" w14:textId="77777777" w:rsidR="00CC0A94" w:rsidRDefault="006C1571">
            <w:pPr>
              <w:spacing w:before="120" w:after="120" w:line="276" w:lineRule="auto"/>
              <w:rPr>
                <w:rFonts w:ascii="Times New Roman" w:eastAsia="Calibri" w:hAnsi="Times New Roman" w:cs="Times New Roman"/>
                <w:b/>
                <w:bCs/>
                <w:iCs/>
                <w:sz w:val="20"/>
              </w:rPr>
            </w:pPr>
            <w:r>
              <w:rPr>
                <w:rFonts w:ascii="Times New Roman" w:eastAsia="Calibri" w:hAnsi="Times New Roman" w:cs="Times New Roman"/>
                <w:b/>
                <w:bCs/>
                <w:sz w:val="20"/>
                <w:szCs w:val="20"/>
              </w:rPr>
              <w:t xml:space="preserve">Resolution resilience </w:t>
            </w:r>
          </w:p>
          <w:p w14:paraId="7FE1C2FA" w14:textId="77777777" w:rsidR="00CC0A94" w:rsidRDefault="006C1571">
            <w:pPr>
              <w:pStyle w:val="NormalWeb"/>
              <w:spacing w:before="0" w:beforeAutospacing="0" w:after="0" w:afterAutospacing="0"/>
              <w:rPr>
                <w:rFonts w:eastAsia="Calibri"/>
                <w:iCs/>
                <w:sz w:val="20"/>
                <w:szCs w:val="20"/>
                <w:lang w:eastAsia="en-US"/>
              </w:rPr>
            </w:pPr>
            <w:r>
              <w:rPr>
                <w:rFonts w:eastAsia="Calibri"/>
                <w:iCs/>
                <w:sz w:val="20"/>
                <w:szCs w:val="20"/>
                <w:lang w:eastAsia="en-US"/>
              </w:rPr>
              <w:t xml:space="preserve">The assessment whether the contract supporting the service reported in column 0020 could be continued and transferred during the implementation of the resolution strategy, including the business reorganisation plan, </w:t>
            </w:r>
            <w:r>
              <w:rPr>
                <w:rFonts w:eastAsia="Calibri"/>
                <w:iCs/>
                <w:sz w:val="20"/>
              </w:rPr>
              <w:t>in line with EBA/GL/2022/01 and relevant national laws.</w:t>
            </w:r>
          </w:p>
          <w:p w14:paraId="7FE1C2FB" w14:textId="77777777" w:rsidR="00CC0A94" w:rsidRDefault="00CC0A94">
            <w:pPr>
              <w:spacing w:line="276" w:lineRule="auto"/>
              <w:jc w:val="both"/>
              <w:rPr>
                <w:rFonts w:ascii="Times New Roman" w:eastAsia="Calibri" w:hAnsi="Times New Roman" w:cs="Times New Roman"/>
                <w:iCs/>
                <w:sz w:val="20"/>
                <w:szCs w:val="20"/>
              </w:rPr>
            </w:pPr>
          </w:p>
        </w:tc>
      </w:tr>
      <w:tr w:rsidR="00CC0A94" w14:paraId="7FE1C30C" w14:textId="77777777" w:rsidTr="029F4E13">
        <w:trPr>
          <w:trHeight w:val="2120"/>
        </w:trPr>
        <w:tc>
          <w:tcPr>
            <w:tcW w:w="1129" w:type="dxa"/>
          </w:tcPr>
          <w:p w14:paraId="7FE1C2F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iCs/>
                <w:sz w:val="20"/>
              </w:rPr>
              <w:lastRenderedPageBreak/>
              <w:t>0150</w:t>
            </w:r>
          </w:p>
        </w:tc>
        <w:tc>
          <w:tcPr>
            <w:tcW w:w="7938" w:type="dxa"/>
          </w:tcPr>
          <w:p w14:paraId="7FE1C2FE"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iCs/>
                <w:sz w:val="20"/>
                <w:szCs w:val="20"/>
              </w:rPr>
              <w:t>Resolution Resilience features</w:t>
            </w:r>
            <w:r>
              <w:rPr>
                <w:rFonts w:ascii="Times New Roman" w:eastAsia="Calibri" w:hAnsi="Times New Roman" w:cs="Times New Roman"/>
                <w:b/>
                <w:bCs/>
                <w:sz w:val="20"/>
              </w:rPr>
              <w:t xml:space="preserve"> </w:t>
            </w:r>
          </w:p>
          <w:p w14:paraId="7FE1C2FF" w14:textId="77777777" w:rsidR="00CC0A94" w:rsidRDefault="006C1571">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iCs/>
                <w:sz w:val="20"/>
                <w:szCs w:val="20"/>
              </w:rPr>
              <w:t xml:space="preserve">Resolution-resilient features are properties a relevant service contract is expected to have </w:t>
            </w:r>
            <w:proofErr w:type="gramStart"/>
            <w:r>
              <w:rPr>
                <w:rFonts w:ascii="Times New Roman" w:eastAsia="Calibri" w:hAnsi="Times New Roman" w:cs="Times New Roman"/>
                <w:iCs/>
                <w:sz w:val="20"/>
                <w:szCs w:val="20"/>
              </w:rPr>
              <w:t>in order to</w:t>
            </w:r>
            <w:proofErr w:type="gramEnd"/>
            <w:r>
              <w:rPr>
                <w:rFonts w:ascii="Times New Roman" w:eastAsia="Calibri" w:hAnsi="Times New Roman" w:cs="Times New Roman"/>
                <w:iCs/>
                <w:sz w:val="20"/>
                <w:szCs w:val="20"/>
              </w:rPr>
              <w:t xml:space="preserve"> be considered resolution-resilient. They include the following, provided that the substantive obligations under the contract continue to be </w:t>
            </w:r>
            <w:proofErr w:type="gramStart"/>
            <w:r>
              <w:rPr>
                <w:rFonts w:ascii="Times New Roman" w:eastAsia="Calibri" w:hAnsi="Times New Roman" w:cs="Times New Roman"/>
                <w:iCs/>
                <w:sz w:val="20"/>
                <w:szCs w:val="20"/>
              </w:rPr>
              <w:t>performed</w:t>
            </w:r>
            <w:proofErr w:type="gramEnd"/>
            <w:r>
              <w:rPr>
                <w:rFonts w:ascii="Times New Roman" w:eastAsia="Calibri" w:hAnsi="Times New Roman" w:cs="Times New Roman"/>
                <w:iCs/>
                <w:sz w:val="20"/>
                <w:szCs w:val="20"/>
              </w:rPr>
              <w:t>:</w:t>
            </w:r>
          </w:p>
          <w:p w14:paraId="7FE1C300" w14:textId="77777777" w:rsidR="00CC0A94" w:rsidRDefault="006C1571">
            <w:pPr>
              <w:pStyle w:val="ListParagraph"/>
              <w:numPr>
                <w:ilvl w:val="0"/>
                <w:numId w:val="240"/>
              </w:numPr>
              <w:spacing w:line="276" w:lineRule="auto"/>
              <w:ind w:left="500"/>
              <w:contextualSpacing/>
              <w:jc w:val="both"/>
              <w:rPr>
                <w:rFonts w:ascii="Times New Roman" w:hAnsi="Times New Roman"/>
                <w:iCs/>
                <w:sz w:val="20"/>
                <w:szCs w:val="20"/>
              </w:rPr>
            </w:pPr>
            <w:r>
              <w:rPr>
                <w:rFonts w:ascii="Times New Roman" w:hAnsi="Times New Roman"/>
                <w:iCs/>
                <w:sz w:val="20"/>
                <w:szCs w:val="20"/>
              </w:rPr>
              <w:t>no termination, suspension or modification on the grounds of resolution (incl. business reorganisation under Article 51 of Directive 2014/59/EU</w:t>
            </w:r>
            <w:proofErr w:type="gramStart"/>
            <w:r>
              <w:rPr>
                <w:rFonts w:ascii="Times New Roman" w:hAnsi="Times New Roman"/>
                <w:iCs/>
                <w:sz w:val="20"/>
                <w:szCs w:val="20"/>
              </w:rPr>
              <w:t>);</w:t>
            </w:r>
            <w:proofErr w:type="gramEnd"/>
            <w:r>
              <w:rPr>
                <w:rFonts w:ascii="Times New Roman" w:hAnsi="Times New Roman"/>
                <w:iCs/>
                <w:sz w:val="20"/>
                <w:szCs w:val="20"/>
              </w:rPr>
              <w:t xml:space="preserve"> </w:t>
            </w:r>
          </w:p>
          <w:p w14:paraId="7FE1C301" w14:textId="77777777" w:rsidR="00CC0A94" w:rsidRDefault="006C1571">
            <w:pPr>
              <w:pStyle w:val="ListParagraph"/>
              <w:numPr>
                <w:ilvl w:val="0"/>
                <w:numId w:val="240"/>
              </w:numPr>
              <w:spacing w:line="276" w:lineRule="auto"/>
              <w:ind w:left="500"/>
              <w:contextualSpacing/>
              <w:jc w:val="both"/>
              <w:rPr>
                <w:rFonts w:ascii="Times New Roman" w:hAnsi="Times New Roman"/>
                <w:iCs/>
                <w:sz w:val="20"/>
                <w:szCs w:val="20"/>
              </w:rPr>
            </w:pPr>
            <w:r>
              <w:rPr>
                <w:rFonts w:ascii="Times New Roman" w:hAnsi="Times New Roman"/>
                <w:iCs/>
                <w:sz w:val="20"/>
                <w:szCs w:val="20"/>
              </w:rPr>
              <w:t>the transferability of the service provision to a new recipient either by the service recipient or the resolution authority because of resolution (incl. reorganisation under Article 51 of Directive 2014/59/EU</w:t>
            </w:r>
            <w:proofErr w:type="gramStart"/>
            <w:r>
              <w:rPr>
                <w:rFonts w:ascii="Times New Roman" w:hAnsi="Times New Roman"/>
                <w:iCs/>
                <w:sz w:val="20"/>
                <w:szCs w:val="20"/>
              </w:rPr>
              <w:t>);</w:t>
            </w:r>
            <w:proofErr w:type="gramEnd"/>
            <w:r>
              <w:rPr>
                <w:rFonts w:ascii="Times New Roman" w:hAnsi="Times New Roman"/>
                <w:iCs/>
                <w:sz w:val="20"/>
                <w:szCs w:val="20"/>
              </w:rPr>
              <w:t xml:space="preserve"> </w:t>
            </w:r>
          </w:p>
          <w:p w14:paraId="7FE1C302" w14:textId="77777777" w:rsidR="00CC0A94" w:rsidRDefault="006C1571">
            <w:pPr>
              <w:pStyle w:val="ListParagraph"/>
              <w:numPr>
                <w:ilvl w:val="0"/>
                <w:numId w:val="240"/>
              </w:numPr>
              <w:spacing w:line="276" w:lineRule="auto"/>
              <w:ind w:left="500"/>
              <w:contextualSpacing/>
              <w:jc w:val="both"/>
              <w:rPr>
                <w:rFonts w:ascii="Times New Roman" w:hAnsi="Times New Roman"/>
                <w:iCs/>
                <w:sz w:val="20"/>
                <w:szCs w:val="20"/>
              </w:rPr>
            </w:pPr>
            <w:r>
              <w:rPr>
                <w:rFonts w:ascii="Times New Roman" w:hAnsi="Times New Roman"/>
                <w:iCs/>
                <w:sz w:val="20"/>
                <w:szCs w:val="20"/>
              </w:rPr>
              <w:t>the support in transfer or termination occurring during resolution (incl. reorganisation under Article 51 of Directive 2014/59/EU) for a reasonable period (such as 24 months) by the current service provider and under the same terms and conditions; and</w:t>
            </w:r>
          </w:p>
          <w:p w14:paraId="7FE1C303" w14:textId="77777777" w:rsidR="00CC0A94" w:rsidRDefault="006C1571">
            <w:pPr>
              <w:pStyle w:val="ListParagraph"/>
              <w:numPr>
                <w:ilvl w:val="0"/>
                <w:numId w:val="240"/>
              </w:numPr>
              <w:spacing w:line="276" w:lineRule="auto"/>
              <w:ind w:left="500"/>
              <w:contextualSpacing/>
              <w:jc w:val="both"/>
              <w:rPr>
                <w:rFonts w:ascii="Times New Roman" w:hAnsi="Times New Roman"/>
                <w:iCs/>
                <w:sz w:val="20"/>
                <w:szCs w:val="20"/>
              </w:rPr>
            </w:pPr>
            <w:r>
              <w:rPr>
                <w:rFonts w:ascii="Times New Roman" w:hAnsi="Times New Roman"/>
                <w:iCs/>
                <w:sz w:val="20"/>
                <w:szCs w:val="20"/>
              </w:rPr>
              <w:t xml:space="preserve">the continued service provision to a divested group entity during resolution (incl. reorganisation under Article 51 of Directive 2014/59/EU), for a reasonable </w:t>
            </w:r>
            <w:proofErr w:type="gramStart"/>
            <w:r>
              <w:rPr>
                <w:rFonts w:ascii="Times New Roman" w:hAnsi="Times New Roman"/>
                <w:iCs/>
                <w:sz w:val="20"/>
                <w:szCs w:val="20"/>
              </w:rPr>
              <w:t>period of time</w:t>
            </w:r>
            <w:proofErr w:type="gramEnd"/>
            <w:r>
              <w:rPr>
                <w:rFonts w:ascii="Times New Roman" w:hAnsi="Times New Roman"/>
                <w:iCs/>
                <w:sz w:val="20"/>
                <w:szCs w:val="20"/>
              </w:rPr>
              <w:t xml:space="preserve"> following divestment – such as 24 months.</w:t>
            </w:r>
          </w:p>
          <w:p w14:paraId="7FE1C304" w14:textId="77777777" w:rsidR="00CC0A94" w:rsidRDefault="006C1571">
            <w:pPr>
              <w:spacing w:line="276" w:lineRule="auto"/>
              <w:jc w:val="both"/>
              <w:rPr>
                <w:rFonts w:ascii="Times New Roman" w:eastAsia="Calibri" w:hAnsi="Times New Roman" w:cs="Times New Roman"/>
                <w:iCs/>
                <w:sz w:val="20"/>
                <w:szCs w:val="20"/>
              </w:rPr>
            </w:pPr>
            <w:r w:rsidRPr="029F4E13">
              <w:rPr>
                <w:rFonts w:ascii="Times New Roman" w:eastAsia="Calibri" w:hAnsi="Times New Roman" w:cs="Times New Roman"/>
                <w:sz w:val="20"/>
                <w:szCs w:val="20"/>
              </w:rPr>
              <w:t>This applies to contracts for which the governing law and jurisdiction of the contract is that of an EU Member State</w:t>
            </w:r>
            <w:r>
              <w:rPr>
                <w:rStyle w:val="FootnoteReference"/>
                <w:rFonts w:ascii="Times New Roman" w:eastAsia="Calibri" w:hAnsi="Times New Roman" w:cs="Times New Roman"/>
                <w:sz w:val="20"/>
                <w:szCs w:val="20"/>
              </w:rPr>
              <w:footnoteReference w:id="26"/>
            </w:r>
            <w:r w:rsidRPr="029F4E13">
              <w:rPr>
                <w:rFonts w:ascii="Times New Roman" w:eastAsia="Calibri" w:hAnsi="Times New Roman" w:cs="Times New Roman"/>
                <w:sz w:val="20"/>
                <w:szCs w:val="20"/>
              </w:rPr>
              <w:t xml:space="preserve"> (‘EU contracts’), and contracts to which third-country law apply.</w:t>
            </w:r>
          </w:p>
          <w:p w14:paraId="7FE1C305" w14:textId="77777777" w:rsidR="00CC0A94" w:rsidRDefault="00CC0A94">
            <w:pPr>
              <w:spacing w:line="276" w:lineRule="auto"/>
              <w:jc w:val="both"/>
              <w:rPr>
                <w:rFonts w:ascii="Times New Roman" w:eastAsia="Calibri" w:hAnsi="Times New Roman" w:cs="Times New Roman"/>
                <w:sz w:val="20"/>
              </w:rPr>
            </w:pPr>
          </w:p>
          <w:p w14:paraId="7FE1C306" w14:textId="77777777" w:rsidR="00CC0A94" w:rsidRDefault="006C1571">
            <w:pPr>
              <w:spacing w:line="276" w:lineRule="auto"/>
              <w:jc w:val="both"/>
              <w:rPr>
                <w:rFonts w:ascii="Times New Roman" w:eastAsia="Calibri" w:hAnsi="Times New Roman" w:cs="Times New Roman"/>
                <w:sz w:val="20"/>
              </w:rPr>
            </w:pPr>
            <w:proofErr w:type="gramStart"/>
            <w:r>
              <w:rPr>
                <w:rFonts w:ascii="Times New Roman" w:eastAsia="Calibri" w:hAnsi="Times New Roman" w:cs="Times New Roman"/>
                <w:sz w:val="20"/>
              </w:rPr>
              <w:t>Report</w:t>
            </w:r>
            <w:proofErr w:type="gramEnd"/>
            <w:r>
              <w:rPr>
                <w:rFonts w:ascii="Times New Roman" w:eastAsia="Calibri" w:hAnsi="Times New Roman" w:cs="Times New Roman"/>
                <w:sz w:val="20"/>
              </w:rPr>
              <w:t xml:space="preserve"> one of the following values:</w:t>
            </w:r>
          </w:p>
          <w:p w14:paraId="7FE1C307"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‘Yes’ – if the contract is assessed as resolution-</w:t>
            </w:r>
            <w:r>
              <w:rPr>
                <w:rFonts w:ascii="Times New Roman" w:eastAsia="Calibri" w:hAnsi="Times New Roman" w:cs="Times New Roman"/>
                <w:strike/>
                <w:sz w:val="20"/>
                <w:szCs w:val="20"/>
              </w:rPr>
              <w:t xml:space="preserve">proof </w:t>
            </w:r>
            <w:r>
              <w:rPr>
                <w:rFonts w:ascii="Times New Roman" w:eastAsia="Calibri" w:hAnsi="Times New Roman" w:cs="Times New Roman"/>
                <w:sz w:val="20"/>
                <w:szCs w:val="20"/>
              </w:rPr>
              <w:t>resilient</w:t>
            </w:r>
          </w:p>
          <w:p w14:paraId="7FE1C308"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‘No’ – if the contract is not assessed as resolution-</w:t>
            </w:r>
            <w:r>
              <w:rPr>
                <w:rFonts w:ascii="Times New Roman" w:eastAsia="Calibri" w:hAnsi="Times New Roman" w:cs="Times New Roman"/>
                <w:strike/>
                <w:sz w:val="20"/>
                <w:szCs w:val="20"/>
              </w:rPr>
              <w:t xml:space="preserve"> proof </w:t>
            </w:r>
            <w:r>
              <w:rPr>
                <w:rFonts w:ascii="Times New Roman" w:eastAsia="Calibri" w:hAnsi="Times New Roman" w:cs="Times New Roman"/>
                <w:sz w:val="20"/>
                <w:szCs w:val="20"/>
              </w:rPr>
              <w:t>resilient</w:t>
            </w:r>
          </w:p>
          <w:p w14:paraId="7FE1C309"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‘Not assessed’ – if no assessment has been made</w:t>
            </w:r>
          </w:p>
          <w:p w14:paraId="7FE1C30A" w14:textId="5741BAA8"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E1268F">
              <w:rPr>
                <w:rFonts w:ascii="Times New Roman" w:eastAsia="Calibri" w:hAnsi="Times New Roman" w:cs="Times New Roman"/>
                <w:sz w:val="20"/>
                <w:szCs w:val="20"/>
              </w:rPr>
              <w:t>NOT APPLICABLE</w:t>
            </w:r>
            <w:r>
              <w:rPr>
                <w:rFonts w:ascii="Times New Roman" w:eastAsia="Calibri" w:hAnsi="Times New Roman" w:cs="Times New Roman"/>
                <w:sz w:val="20"/>
                <w:szCs w:val="20"/>
              </w:rPr>
              <w:t>’ – for intra-entity services</w:t>
            </w:r>
          </w:p>
          <w:p w14:paraId="7FE1C30B" w14:textId="77777777" w:rsidR="00CC0A94" w:rsidRDefault="00CC0A94">
            <w:pPr>
              <w:spacing w:line="276" w:lineRule="auto"/>
              <w:jc w:val="both"/>
              <w:rPr>
                <w:rFonts w:ascii="Times New Roman" w:eastAsia="Calibri" w:hAnsi="Times New Roman" w:cs="Times New Roman"/>
                <w:sz w:val="20"/>
              </w:rPr>
            </w:pPr>
          </w:p>
        </w:tc>
      </w:tr>
      <w:tr w:rsidR="00CC0A94" w14:paraId="7FE1C316" w14:textId="77777777" w:rsidTr="029F4E13">
        <w:trPr>
          <w:trHeight w:val="2120"/>
        </w:trPr>
        <w:tc>
          <w:tcPr>
            <w:tcW w:w="1129" w:type="dxa"/>
          </w:tcPr>
          <w:p w14:paraId="7FE1C30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iCs/>
                <w:sz w:val="20"/>
              </w:rPr>
              <w:t>0160</w:t>
            </w:r>
          </w:p>
        </w:tc>
        <w:tc>
          <w:tcPr>
            <w:tcW w:w="7938" w:type="dxa"/>
          </w:tcPr>
          <w:p w14:paraId="7FE1C30E" w14:textId="77777777" w:rsidR="00CC0A94" w:rsidRDefault="006C1571">
            <w:pPr>
              <w:spacing w:line="276" w:lineRule="auto"/>
              <w:jc w:val="both"/>
              <w:rPr>
                <w:rFonts w:ascii="Times New Roman" w:eastAsia="Calibri" w:hAnsi="Times New Roman" w:cs="Times New Roman"/>
                <w:b/>
                <w:bCs/>
                <w:iCs/>
                <w:sz w:val="20"/>
              </w:rPr>
            </w:pPr>
            <w:r>
              <w:rPr>
                <w:rFonts w:ascii="Times New Roman" w:eastAsia="Calibri" w:hAnsi="Times New Roman" w:cs="Times New Roman"/>
                <w:b/>
                <w:bCs/>
                <w:iCs/>
                <w:sz w:val="20"/>
              </w:rPr>
              <w:t>Business Reorganization Plan (BRP)</w:t>
            </w:r>
          </w:p>
          <w:p w14:paraId="7FE1C30F"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iCs/>
                <w:sz w:val="20"/>
              </w:rPr>
              <w:t xml:space="preserve">If the resolution strategy (either preferred or variant) requires a business reorganization plan (BRP), EU contracts are expected to include explicit clauses to ensure their resolution-resilience in the implementation of BRP. </w:t>
            </w:r>
          </w:p>
          <w:p w14:paraId="7FE1C310" w14:textId="77777777" w:rsidR="00CC0A94" w:rsidRDefault="00CC0A94">
            <w:pPr>
              <w:spacing w:line="276" w:lineRule="auto"/>
              <w:jc w:val="both"/>
              <w:rPr>
                <w:rFonts w:ascii="Times New Roman" w:eastAsia="Calibri" w:hAnsi="Times New Roman" w:cs="Times New Roman"/>
                <w:iCs/>
                <w:sz w:val="20"/>
              </w:rPr>
            </w:pPr>
          </w:p>
          <w:p w14:paraId="7FE1C311" w14:textId="77777777" w:rsidR="00CC0A94" w:rsidRDefault="006C1571">
            <w:pPr>
              <w:spacing w:line="276" w:lineRule="auto"/>
              <w:jc w:val="both"/>
              <w:rPr>
                <w:rFonts w:ascii="Times New Roman" w:eastAsia="Calibri" w:hAnsi="Times New Roman" w:cs="Times New Roman"/>
                <w:iCs/>
                <w:sz w:val="20"/>
              </w:rPr>
            </w:pPr>
            <w:proofErr w:type="gramStart"/>
            <w:r>
              <w:rPr>
                <w:rFonts w:ascii="Times New Roman" w:eastAsia="Calibri" w:hAnsi="Times New Roman" w:cs="Times New Roman"/>
                <w:iCs/>
                <w:sz w:val="20"/>
              </w:rPr>
              <w:t>Report</w:t>
            </w:r>
            <w:proofErr w:type="gramEnd"/>
            <w:r>
              <w:rPr>
                <w:rFonts w:ascii="Times New Roman" w:eastAsia="Calibri" w:hAnsi="Times New Roman" w:cs="Times New Roman"/>
                <w:iCs/>
                <w:sz w:val="20"/>
              </w:rPr>
              <w:t xml:space="preserve"> one of the following values:</w:t>
            </w:r>
          </w:p>
          <w:p w14:paraId="7FE1C312"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Yes’ – if the contract includes explicit clauses to ensure their resolution-resilience in the implementation of the BRP</w:t>
            </w:r>
          </w:p>
          <w:p w14:paraId="7FE1C313"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No’ - if the contract doesn’t include explicit clauses to ensure their resolution-resilience in the implementation of the BRP</w:t>
            </w:r>
          </w:p>
          <w:p w14:paraId="7FE1C314"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Not assessed’ – if no assessment has been made</w:t>
            </w:r>
          </w:p>
          <w:p w14:paraId="7FE1C315" w14:textId="0FA2A696"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sidR="00E1268F">
              <w:rPr>
                <w:rFonts w:ascii="Times New Roman" w:eastAsia="Calibri" w:hAnsi="Times New Roman" w:cs="Times New Roman"/>
                <w:iCs/>
                <w:sz w:val="20"/>
              </w:rPr>
              <w:t>NOT APPLICABLE</w:t>
            </w:r>
            <w:r>
              <w:rPr>
                <w:rFonts w:ascii="Times New Roman" w:eastAsia="Calibri" w:hAnsi="Times New Roman" w:cs="Times New Roman"/>
                <w:iCs/>
                <w:sz w:val="20"/>
              </w:rPr>
              <w:t xml:space="preserve">’ – for intra-entity services or for intra-group and external services, if the resolution strategy (preferred and variant) does not require a business reorganization plan </w:t>
            </w:r>
          </w:p>
        </w:tc>
      </w:tr>
      <w:tr w:rsidR="00CC0A94" w14:paraId="7FE1C320" w14:textId="77777777" w:rsidTr="029F4E13">
        <w:trPr>
          <w:trHeight w:val="416"/>
        </w:trPr>
        <w:tc>
          <w:tcPr>
            <w:tcW w:w="1129" w:type="dxa"/>
          </w:tcPr>
          <w:p w14:paraId="7FE1C317"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iCs/>
                <w:sz w:val="20"/>
              </w:rPr>
              <w:t>0170</w:t>
            </w:r>
          </w:p>
        </w:tc>
        <w:tc>
          <w:tcPr>
            <w:tcW w:w="7938" w:type="dxa"/>
          </w:tcPr>
          <w:p w14:paraId="7FE1C318"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iCs/>
                <w:sz w:val="20"/>
              </w:rPr>
              <w:t>Alternative mitigating actions</w:t>
            </w:r>
            <w:r>
              <w:rPr>
                <w:rFonts w:ascii="Times New Roman" w:eastAsia="Calibri" w:hAnsi="Times New Roman" w:cs="Times New Roman"/>
                <w:b/>
                <w:bCs/>
                <w:sz w:val="20"/>
              </w:rPr>
              <w:t xml:space="preserve"> </w:t>
            </w:r>
          </w:p>
          <w:p w14:paraId="7FE1C319"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Where resolution resilience is expected to be achieved, but the banks have not been able to do so, banks are expected to explore alternative mitigating actions. </w:t>
            </w:r>
          </w:p>
          <w:p w14:paraId="7FE1C31A" w14:textId="77777777" w:rsidR="00CC0A94" w:rsidRDefault="00CC0A94">
            <w:pPr>
              <w:spacing w:line="276" w:lineRule="auto"/>
              <w:jc w:val="both"/>
              <w:rPr>
                <w:rFonts w:ascii="Times New Roman" w:eastAsia="Calibri" w:hAnsi="Times New Roman" w:cs="Times New Roman"/>
                <w:sz w:val="20"/>
              </w:rPr>
            </w:pPr>
          </w:p>
          <w:p w14:paraId="7FE1C31B" w14:textId="77777777" w:rsidR="00CC0A94" w:rsidRDefault="006C1571">
            <w:pPr>
              <w:spacing w:line="276" w:lineRule="auto"/>
              <w:jc w:val="both"/>
              <w:rPr>
                <w:rFonts w:ascii="Times New Roman" w:eastAsia="Calibri" w:hAnsi="Times New Roman" w:cs="Times New Roman"/>
                <w:iCs/>
                <w:sz w:val="20"/>
              </w:rPr>
            </w:pPr>
            <w:proofErr w:type="gramStart"/>
            <w:r>
              <w:rPr>
                <w:rFonts w:ascii="Times New Roman" w:eastAsia="Calibri" w:hAnsi="Times New Roman" w:cs="Times New Roman"/>
                <w:iCs/>
                <w:sz w:val="20"/>
              </w:rPr>
              <w:t>Report</w:t>
            </w:r>
            <w:proofErr w:type="gramEnd"/>
            <w:r>
              <w:rPr>
                <w:rFonts w:ascii="Times New Roman" w:eastAsia="Calibri" w:hAnsi="Times New Roman" w:cs="Times New Roman"/>
                <w:iCs/>
                <w:sz w:val="20"/>
              </w:rPr>
              <w:t xml:space="preserve"> one of the following values:</w:t>
            </w:r>
          </w:p>
          <w:p w14:paraId="7FE1C31C"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Yes’ – if the bank has implemented alternative mitigating actions</w:t>
            </w:r>
          </w:p>
          <w:p w14:paraId="7FE1C31D"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No’ - if the bank has not implemented alternative mitigating actions</w:t>
            </w:r>
          </w:p>
          <w:p w14:paraId="7FE1C31E" w14:textId="7B22C50F"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lastRenderedPageBreak/>
              <w:t xml:space="preserve"> ‘</w:t>
            </w:r>
            <w:r w:rsidR="00E1268F">
              <w:rPr>
                <w:rFonts w:ascii="Times New Roman" w:eastAsia="Calibri" w:hAnsi="Times New Roman" w:cs="Times New Roman"/>
                <w:iCs/>
                <w:sz w:val="20"/>
              </w:rPr>
              <w:t>NOT APPLICABLE</w:t>
            </w:r>
            <w:r>
              <w:rPr>
                <w:rFonts w:ascii="Times New Roman" w:eastAsia="Calibri" w:hAnsi="Times New Roman" w:cs="Times New Roman"/>
                <w:iCs/>
                <w:sz w:val="20"/>
              </w:rPr>
              <w:t>’ – in cases where any of the columns 0150, 0160 are marked as ‘Yes’ or ‘</w:t>
            </w:r>
            <w:r w:rsidR="00E1268F">
              <w:rPr>
                <w:rFonts w:ascii="Times New Roman" w:eastAsia="Calibri" w:hAnsi="Times New Roman" w:cs="Times New Roman"/>
                <w:iCs/>
                <w:sz w:val="20"/>
              </w:rPr>
              <w:t>NOT APPLICABLE</w:t>
            </w:r>
            <w:r>
              <w:rPr>
                <w:rFonts w:ascii="Times New Roman" w:eastAsia="Calibri" w:hAnsi="Times New Roman" w:cs="Times New Roman"/>
                <w:iCs/>
                <w:sz w:val="20"/>
              </w:rPr>
              <w:t>’</w:t>
            </w:r>
          </w:p>
          <w:p w14:paraId="7FE1C31F" w14:textId="77777777" w:rsidR="00CC0A94" w:rsidRDefault="00CC0A94">
            <w:pPr>
              <w:spacing w:line="276" w:lineRule="auto"/>
              <w:jc w:val="both"/>
              <w:rPr>
                <w:rFonts w:ascii="Times New Roman" w:eastAsia="Calibri" w:hAnsi="Times New Roman" w:cs="Times New Roman"/>
                <w:sz w:val="20"/>
              </w:rPr>
            </w:pPr>
          </w:p>
        </w:tc>
      </w:tr>
      <w:tr w:rsidR="00CC0A94" w14:paraId="7FE1C327" w14:textId="77777777" w:rsidTr="029F4E13">
        <w:trPr>
          <w:trHeight w:val="1257"/>
        </w:trPr>
        <w:tc>
          <w:tcPr>
            <w:tcW w:w="1129" w:type="dxa"/>
          </w:tcPr>
          <w:p w14:paraId="7FE1C321"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lastRenderedPageBreak/>
              <w:t>0180</w:t>
            </w:r>
          </w:p>
        </w:tc>
        <w:tc>
          <w:tcPr>
            <w:tcW w:w="7938" w:type="dxa"/>
          </w:tcPr>
          <w:p w14:paraId="7FE1C322"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b/>
                <w:bCs/>
                <w:sz w:val="20"/>
                <w:szCs w:val="20"/>
              </w:rPr>
              <w:t>Critical ICT third-party service provider under DORA</w:t>
            </w:r>
            <w:r>
              <w:rPr>
                <w:rFonts w:ascii="Times New Roman" w:eastAsia="Calibri" w:hAnsi="Times New Roman" w:cs="Times New Roman"/>
                <w:b/>
                <w:bCs/>
                <w:iCs/>
                <w:sz w:val="20"/>
              </w:rPr>
              <w:t xml:space="preserve"> </w:t>
            </w:r>
          </w:p>
          <w:p w14:paraId="7FE1C323" w14:textId="77777777" w:rsidR="00CC0A94" w:rsidRDefault="006C1571">
            <w:pPr>
              <w:spacing w:line="276" w:lineRule="auto"/>
              <w:jc w:val="both"/>
              <w:rPr>
                <w:rFonts w:ascii="Times New Roman" w:eastAsia="Calibri" w:hAnsi="Times New Roman" w:cs="Times New Roman"/>
                <w:iCs/>
                <w:sz w:val="20"/>
              </w:rPr>
            </w:pPr>
            <w:proofErr w:type="gramStart"/>
            <w:r>
              <w:rPr>
                <w:rFonts w:ascii="Times New Roman" w:eastAsia="Calibri" w:hAnsi="Times New Roman" w:cs="Times New Roman"/>
                <w:iCs/>
                <w:sz w:val="20"/>
              </w:rPr>
              <w:t>Report</w:t>
            </w:r>
            <w:proofErr w:type="gramEnd"/>
            <w:r>
              <w:rPr>
                <w:rFonts w:ascii="Times New Roman" w:eastAsia="Calibri" w:hAnsi="Times New Roman" w:cs="Times New Roman"/>
                <w:iCs/>
                <w:sz w:val="20"/>
              </w:rPr>
              <w:t xml:space="preserve"> one of the following values:</w:t>
            </w:r>
          </w:p>
          <w:p w14:paraId="7FE1C324"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‘Yes’ – if this is a critical ICT third-party service provider under Article 3(23) Regulation 2022/2554 (DORA)</w:t>
            </w:r>
          </w:p>
          <w:p w14:paraId="7FE1C325" w14:textId="77777777" w:rsidR="00CC0A94" w:rsidRDefault="006C1571">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No’ - if this is not a critical ICT third-party service provider under Article 3(23) Regulation 2022/2554 (DORA)</w:t>
            </w:r>
          </w:p>
          <w:p w14:paraId="7FE1C326" w14:textId="77777777" w:rsidR="00CC0A94" w:rsidRDefault="00CC0A94">
            <w:pPr>
              <w:spacing w:line="276" w:lineRule="auto"/>
              <w:jc w:val="both"/>
              <w:rPr>
                <w:rFonts w:ascii="Times New Roman" w:eastAsia="Calibri" w:hAnsi="Times New Roman" w:cs="Times New Roman"/>
                <w:sz w:val="20"/>
              </w:rPr>
            </w:pPr>
          </w:p>
        </w:tc>
      </w:tr>
      <w:tr w:rsidR="00CC0A94" w14:paraId="7FE1C32E" w14:textId="77777777" w:rsidTr="029F4E13">
        <w:trPr>
          <w:trHeight w:val="1257"/>
        </w:trPr>
        <w:tc>
          <w:tcPr>
            <w:tcW w:w="1129" w:type="dxa"/>
          </w:tcPr>
          <w:p w14:paraId="7FE1C328"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0190</w:t>
            </w:r>
          </w:p>
        </w:tc>
        <w:tc>
          <w:tcPr>
            <w:tcW w:w="7938" w:type="dxa"/>
          </w:tcPr>
          <w:p w14:paraId="7FE1C329"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b/>
                <w:bCs/>
                <w:sz w:val="20"/>
                <w:szCs w:val="20"/>
              </w:rPr>
              <w:t>ICT service under DORA</w:t>
            </w:r>
            <w:r>
              <w:rPr>
                <w:rFonts w:ascii="Times New Roman" w:eastAsia="Calibri" w:hAnsi="Times New Roman" w:cs="Times New Roman"/>
                <w:b/>
                <w:bCs/>
                <w:iCs/>
                <w:sz w:val="20"/>
              </w:rPr>
              <w:t xml:space="preserve"> </w:t>
            </w:r>
          </w:p>
          <w:p w14:paraId="7FE1C32A" w14:textId="77777777" w:rsidR="00CC0A94" w:rsidRDefault="006C1571">
            <w:pPr>
              <w:spacing w:line="276" w:lineRule="auto"/>
              <w:jc w:val="both"/>
              <w:rPr>
                <w:rFonts w:ascii="Times New Roman" w:eastAsia="Calibri" w:hAnsi="Times New Roman" w:cs="Times New Roman"/>
                <w:iCs/>
                <w:sz w:val="20"/>
              </w:rPr>
            </w:pPr>
            <w:proofErr w:type="gramStart"/>
            <w:r>
              <w:rPr>
                <w:rFonts w:ascii="Times New Roman" w:eastAsia="Calibri" w:hAnsi="Times New Roman" w:cs="Times New Roman"/>
                <w:iCs/>
                <w:sz w:val="20"/>
              </w:rPr>
              <w:t>Report</w:t>
            </w:r>
            <w:proofErr w:type="gramEnd"/>
            <w:r>
              <w:rPr>
                <w:rFonts w:ascii="Times New Roman" w:eastAsia="Calibri" w:hAnsi="Times New Roman" w:cs="Times New Roman"/>
                <w:iCs/>
                <w:sz w:val="20"/>
              </w:rPr>
              <w:t xml:space="preserve"> one of the following values:</w:t>
            </w:r>
          </w:p>
          <w:p w14:paraId="7FE1C32B" w14:textId="3A99D278" w:rsidR="00CC0A94" w:rsidRDefault="006C1571">
            <w:pPr>
              <w:spacing w:line="276" w:lineRule="auto"/>
              <w:jc w:val="both"/>
              <w:rPr>
                <w:rFonts w:ascii="Times New Roman" w:eastAsia="Calibri" w:hAnsi="Times New Roman" w:cs="Times New Roman"/>
                <w:sz w:val="20"/>
                <w:szCs w:val="20"/>
              </w:rPr>
            </w:pPr>
            <w:r w:rsidRPr="029F4E13">
              <w:rPr>
                <w:rFonts w:ascii="Times New Roman" w:eastAsia="Calibri" w:hAnsi="Times New Roman" w:cs="Times New Roman"/>
                <w:sz w:val="20"/>
                <w:szCs w:val="20"/>
              </w:rPr>
              <w:t>‘Yes’ – if this is an ICT service under Article 3(21) Regulation 2022/2554</w:t>
            </w:r>
            <w:r w:rsidR="00AE774B">
              <w:rPr>
                <w:rStyle w:val="FootnoteReference"/>
                <w:rFonts w:eastAsia="Calibri" w:cs="Times New Roman"/>
              </w:rPr>
              <w:footnoteReference w:id="27"/>
            </w:r>
            <w:r w:rsidRPr="029F4E13">
              <w:rPr>
                <w:rFonts w:ascii="Times New Roman" w:eastAsia="Calibri" w:hAnsi="Times New Roman" w:cs="Times New Roman"/>
                <w:sz w:val="20"/>
                <w:szCs w:val="20"/>
              </w:rPr>
              <w:t xml:space="preserve"> (DORA)</w:t>
            </w:r>
          </w:p>
          <w:p w14:paraId="7FE1C32C" w14:textId="77777777" w:rsidR="00CC0A94" w:rsidRDefault="006C1571">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No’ - if this is not an ICT service under Article 3(21) Regulation 2022/2554 (DORA)</w:t>
            </w:r>
          </w:p>
          <w:p w14:paraId="7FE1C32D" w14:textId="77777777" w:rsidR="00CC0A94" w:rsidRDefault="00CC0A94">
            <w:pPr>
              <w:spacing w:line="276" w:lineRule="auto"/>
              <w:jc w:val="both"/>
              <w:rPr>
                <w:rFonts w:ascii="Times New Roman" w:eastAsia="Calibri" w:hAnsi="Times New Roman" w:cs="Times New Roman"/>
                <w:iCs/>
                <w:sz w:val="20"/>
              </w:rPr>
            </w:pPr>
          </w:p>
        </w:tc>
      </w:tr>
    </w:tbl>
    <w:p w14:paraId="7FE1C32F" w14:textId="77777777" w:rsidR="00CC0A94" w:rsidRPr="002F61BB" w:rsidRDefault="00CC0A94">
      <w:pPr>
        <w:spacing w:line="276" w:lineRule="auto"/>
        <w:jc w:val="both"/>
        <w:rPr>
          <w:rFonts w:ascii="Times New Roman" w:eastAsia="Calibri" w:hAnsi="Times New Roman" w:cs="Times New Roman"/>
          <w:color w:val="0070C0"/>
          <w:sz w:val="20"/>
        </w:rPr>
      </w:pPr>
    </w:p>
    <w:p w14:paraId="7FE1C478" w14:textId="77777777" w:rsidR="00CC0A94" w:rsidRPr="002F61BB" w:rsidRDefault="00CC0A94">
      <w:pPr>
        <w:rPr>
          <w:rFonts w:ascii="Times New Roman" w:eastAsia="Times New Roman" w:hAnsi="Times New Roman" w:cs="Times New Roman"/>
          <w:sz w:val="20"/>
          <w:szCs w:val="20"/>
          <w:u w:val="single"/>
        </w:rPr>
      </w:pPr>
    </w:p>
    <w:p w14:paraId="7FE1C479" w14:textId="77777777" w:rsidR="00CC0A94" w:rsidRPr="002F61BB" w:rsidRDefault="00CC0A94">
      <w:pPr>
        <w:rPr>
          <w:rFonts w:ascii="Times New Roman" w:eastAsia="Times New Roman" w:hAnsi="Times New Roman" w:cs="Times New Roman"/>
          <w:sz w:val="20"/>
          <w:szCs w:val="20"/>
          <w:u w:val="single"/>
        </w:rPr>
      </w:pPr>
    </w:p>
    <w:p w14:paraId="7FE1C47A" w14:textId="77777777" w:rsidR="00CC0A94" w:rsidRPr="002F61BB" w:rsidRDefault="006C1571">
      <w:pPr>
        <w:pStyle w:val="Instructionsberschrift2"/>
        <w:numPr>
          <w:ilvl w:val="1"/>
          <w:numId w:val="49"/>
        </w:numPr>
        <w:ind w:left="357" w:hanging="357"/>
        <w:rPr>
          <w:rFonts w:ascii="Times New Roman" w:hAnsi="Times New Roman" w:cs="Times New Roman"/>
          <w:szCs w:val="20"/>
        </w:rPr>
      </w:pPr>
      <w:bookmarkStart w:id="128" w:name="_Toc192249068"/>
      <w:r>
        <w:rPr>
          <w:rFonts w:ascii="Times New Roman" w:hAnsi="Times New Roman" w:cs="Times New Roman"/>
        </w:rPr>
        <w:t>Z 08.02 — Relevant services – mapping to operational assets (SERV 2)</w:t>
      </w:r>
      <w:bookmarkEnd w:id="128"/>
    </w:p>
    <w:p w14:paraId="7FE1C47B" w14:textId="77777777" w:rsidR="00CC0A94" w:rsidRPr="002F61BB" w:rsidRDefault="006C1571">
      <w:pPr>
        <w:spacing w:line="276" w:lineRule="auto"/>
        <w:jc w:val="both"/>
        <w:rPr>
          <w:rFonts w:ascii="Times New Roman" w:eastAsia="Calibri" w:hAnsi="Times New Roman" w:cs="Times New Roman"/>
          <w:sz w:val="20"/>
          <w:szCs w:val="20"/>
        </w:rPr>
      </w:pPr>
      <w:r w:rsidRPr="002F61BB">
        <w:rPr>
          <w:rFonts w:ascii="Times New Roman" w:eastAsia="Calibri" w:hAnsi="Times New Roman" w:cs="Times New Roman"/>
          <w:sz w:val="20"/>
          <w:szCs w:val="20"/>
        </w:rPr>
        <w:t>General instructions</w:t>
      </w:r>
    </w:p>
    <w:p w14:paraId="7FE1C47C" w14:textId="77777777" w:rsidR="00CC0A94" w:rsidRDefault="006C1571">
      <w:pPr>
        <w:pStyle w:val="Instructionsberschrift3"/>
        <w:numPr>
          <w:ilvl w:val="4"/>
          <w:numId w:val="259"/>
        </w:numPr>
        <w:contextualSpacing/>
        <w:jc w:val="both"/>
        <w:rPr>
          <w:rFonts w:eastAsia="MS Mincho"/>
          <w:color w:val="auto"/>
          <w:u w:val="none"/>
        </w:rPr>
      </w:pPr>
      <w:bookmarkStart w:id="129" w:name="_Hlk161330001"/>
      <w:r>
        <w:rPr>
          <w:rFonts w:eastAsia="MS Mincho"/>
          <w:color w:val="auto"/>
          <w:szCs w:val="24"/>
          <w:u w:val="none"/>
        </w:rPr>
        <w:t xml:space="preserve">The information to be included in this template shall be reported once for the entire group, list relevant services received by any entity in the </w:t>
      </w:r>
      <w:proofErr w:type="gramStart"/>
      <w:r>
        <w:rPr>
          <w:rFonts w:eastAsia="MS Mincho"/>
          <w:color w:val="auto"/>
          <w:szCs w:val="24"/>
          <w:u w:val="none"/>
        </w:rPr>
        <w:t>group, and</w:t>
      </w:r>
      <w:proofErr w:type="gramEnd"/>
      <w:r>
        <w:rPr>
          <w:rFonts w:eastAsia="MS Mincho"/>
          <w:color w:val="auto"/>
          <w:szCs w:val="24"/>
          <w:u w:val="none"/>
        </w:rPr>
        <w:t xml:space="preserve"> link them to the relevant operational assets</w:t>
      </w:r>
      <w:r>
        <w:rPr>
          <w:rFonts w:eastAsia="MS Mincho"/>
          <w:u w:val="none"/>
        </w:rPr>
        <w:t>.</w:t>
      </w:r>
    </w:p>
    <w:p w14:paraId="7FE1C47D" w14:textId="790BE864" w:rsidR="00CC0A94" w:rsidRDefault="006C1571">
      <w:pPr>
        <w:pStyle w:val="Instructionsberschrift3"/>
        <w:numPr>
          <w:ilvl w:val="4"/>
          <w:numId w:val="49"/>
        </w:numPr>
        <w:contextualSpacing/>
        <w:jc w:val="both"/>
        <w:rPr>
          <w:rFonts w:eastAsia="MS Mincho"/>
          <w:color w:val="auto"/>
          <w:u w:val="none"/>
        </w:rPr>
      </w:pPr>
      <w:r>
        <w:rPr>
          <w:rFonts w:eastAsia="MS Mincho"/>
          <w:szCs w:val="24"/>
          <w:u w:val="none"/>
        </w:rPr>
        <w:t xml:space="preserve">The values reported in columns 0010, 0020, 0030 and 0080 of this </w:t>
      </w:r>
      <w:proofErr w:type="gramStart"/>
      <w:r>
        <w:rPr>
          <w:rFonts w:eastAsia="MS Mincho"/>
          <w:szCs w:val="24"/>
          <w:u w:val="none"/>
        </w:rPr>
        <w:t>template</w:t>
      </w:r>
      <w:proofErr w:type="gramEnd"/>
      <w:r>
        <w:rPr>
          <w:rFonts w:eastAsia="MS Mincho"/>
          <w:szCs w:val="24"/>
          <w:u w:val="none"/>
        </w:rPr>
        <w:t xml:space="preserve"> form a primary key, which </w:t>
      </w:r>
      <w:proofErr w:type="gramStart"/>
      <w:r>
        <w:rPr>
          <w:rFonts w:eastAsia="MS Mincho"/>
          <w:szCs w:val="24"/>
          <w:u w:val="none"/>
        </w:rPr>
        <w:t>have to</w:t>
      </w:r>
      <w:proofErr w:type="gramEnd"/>
      <w:r>
        <w:rPr>
          <w:rFonts w:eastAsia="MS Mincho"/>
          <w:szCs w:val="24"/>
          <w:u w:val="none"/>
        </w:rPr>
        <w:t xml:space="preserve"> be unique for each row of the template.</w:t>
      </w:r>
    </w:p>
    <w:bookmarkEnd w:id="129"/>
    <w:p w14:paraId="7FE1C482" w14:textId="77777777" w:rsidR="00CC0A94" w:rsidRPr="002F61BB" w:rsidRDefault="00CC0A94">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CC0A94" w14:paraId="7FE1C54A" w14:textId="77777777" w:rsidTr="002F61BB">
        <w:trPr>
          <w:trHeight w:val="495"/>
          <w:tblHeader/>
        </w:trPr>
        <w:tc>
          <w:tcPr>
            <w:tcW w:w="1418" w:type="dxa"/>
            <w:shd w:val="clear" w:color="auto" w:fill="E7E6E6"/>
          </w:tcPr>
          <w:p w14:paraId="7FE1C548"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Columns</w:t>
            </w:r>
          </w:p>
        </w:tc>
        <w:tc>
          <w:tcPr>
            <w:tcW w:w="7791" w:type="dxa"/>
            <w:shd w:val="clear" w:color="auto" w:fill="E7E6E6"/>
          </w:tcPr>
          <w:p w14:paraId="7FE1C549"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Instructions</w:t>
            </w:r>
          </w:p>
        </w:tc>
      </w:tr>
      <w:tr w:rsidR="00CC0A94" w14:paraId="7FE1C550" w14:textId="77777777" w:rsidTr="029F4E13">
        <w:trPr>
          <w:trHeight w:val="450"/>
        </w:trPr>
        <w:tc>
          <w:tcPr>
            <w:tcW w:w="1418" w:type="dxa"/>
            <w:shd w:val="clear" w:color="auto" w:fill="FFFFFF" w:themeFill="background1"/>
          </w:tcPr>
          <w:p w14:paraId="7FE1C54B"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0005</w:t>
            </w:r>
          </w:p>
        </w:tc>
        <w:tc>
          <w:tcPr>
            <w:tcW w:w="7791" w:type="dxa"/>
            <w:shd w:val="clear" w:color="auto" w:fill="FFFFFF" w:themeFill="background1"/>
          </w:tcPr>
          <w:p w14:paraId="7FE1C54C" w14:textId="77777777" w:rsidR="00CC0A94" w:rsidRDefault="006C1571">
            <w:pPr>
              <w:spacing w:before="120" w:after="120" w:line="276" w:lineRule="auto"/>
              <w:rPr>
                <w:rFonts w:ascii="Times New Roman" w:hAnsi="Times New Roman"/>
                <w:sz w:val="20"/>
                <w:szCs w:val="20"/>
              </w:rPr>
            </w:pPr>
            <w:r>
              <w:rPr>
                <w:rFonts w:ascii="Times New Roman" w:hAnsi="Times New Roman"/>
                <w:b/>
                <w:bCs/>
                <w:sz w:val="20"/>
                <w:szCs w:val="20"/>
              </w:rPr>
              <w:t xml:space="preserve">Service Identifier </w:t>
            </w:r>
          </w:p>
          <w:p w14:paraId="7FE1C54D"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Use the Service identifier as reported in Z 08.01 (SERV 1).</w:t>
            </w:r>
          </w:p>
          <w:p w14:paraId="7FE1C54E"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The service identifier refers to the service reported under c0020.</w:t>
            </w:r>
          </w:p>
          <w:p w14:paraId="7FE1C54F" w14:textId="77777777" w:rsidR="00CC0A94" w:rsidRDefault="00CC0A94">
            <w:pPr>
              <w:spacing w:before="120" w:after="120" w:line="276" w:lineRule="auto"/>
              <w:rPr>
                <w:rFonts w:ascii="Times New Roman" w:hAnsi="Times New Roman"/>
                <w:i/>
                <w:sz w:val="20"/>
                <w:szCs w:val="20"/>
              </w:rPr>
            </w:pPr>
          </w:p>
        </w:tc>
      </w:tr>
      <w:tr w:rsidR="00CC0A94" w14:paraId="7FE1C594" w14:textId="77777777" w:rsidTr="029F4E13">
        <w:trPr>
          <w:trHeight w:val="450"/>
        </w:trPr>
        <w:tc>
          <w:tcPr>
            <w:tcW w:w="1418" w:type="dxa"/>
            <w:shd w:val="clear" w:color="auto" w:fill="FFFFFF" w:themeFill="background1"/>
          </w:tcPr>
          <w:p w14:paraId="7FE1C551"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0010</w:t>
            </w:r>
          </w:p>
        </w:tc>
        <w:tc>
          <w:tcPr>
            <w:tcW w:w="7791" w:type="dxa"/>
            <w:shd w:val="clear" w:color="auto" w:fill="FFFFFF" w:themeFill="background1"/>
          </w:tcPr>
          <w:p w14:paraId="7FE1C552" w14:textId="77777777" w:rsidR="00CC0A94" w:rsidRDefault="006C1571">
            <w:pPr>
              <w:autoSpaceDE w:val="0"/>
              <w:autoSpaceDN w:val="0"/>
              <w:adjustRightInd w:val="0"/>
              <w:rPr>
                <w:rFonts w:ascii="Times New Roman" w:eastAsia="MS Mincho" w:hAnsi="Times New Roman"/>
                <w:sz w:val="20"/>
                <w:szCs w:val="20"/>
                <w:lang w:eastAsia="en-GB"/>
              </w:rPr>
            </w:pPr>
            <w:r>
              <w:rPr>
                <w:rFonts w:ascii="Times New Roman" w:hAnsi="Times New Roman"/>
                <w:b/>
                <w:bCs/>
                <w:sz w:val="20"/>
                <w:szCs w:val="20"/>
              </w:rPr>
              <w:t>Service type</w:t>
            </w:r>
            <w:r>
              <w:rPr>
                <w:rFonts w:ascii="Times New Roman" w:eastAsia="MS Mincho" w:hAnsi="Times New Roman"/>
                <w:b/>
                <w:bCs/>
                <w:sz w:val="20"/>
                <w:szCs w:val="20"/>
                <w:lang w:eastAsia="en-GB"/>
              </w:rPr>
              <w:t xml:space="preserve"> </w:t>
            </w:r>
          </w:p>
          <w:p w14:paraId="7FE1C57A" w14:textId="35040E48" w:rsidR="00CC0A94" w:rsidRDefault="006C1571" w:rsidP="002F61BB">
            <w:pPr>
              <w:autoSpaceDE w:val="0"/>
              <w:autoSpaceDN w:val="0"/>
              <w:adjustRightInd w:val="0"/>
              <w:rPr>
                <w:rFonts w:ascii="Times New Roman" w:eastAsia="MS Mincho" w:hAnsi="Times New Roman"/>
                <w:sz w:val="20"/>
                <w:szCs w:val="20"/>
                <w:lang w:eastAsia="en-GB"/>
              </w:rPr>
            </w:pPr>
            <w:r>
              <w:rPr>
                <w:rFonts w:ascii="Times New Roman" w:eastAsia="MS Mincho" w:hAnsi="Times New Roman"/>
                <w:sz w:val="20"/>
                <w:szCs w:val="20"/>
                <w:lang w:eastAsia="en-GB"/>
              </w:rPr>
              <w:t>The service type shall be one of the service types listed under Z 08.01 0010 above.</w:t>
            </w:r>
          </w:p>
          <w:p w14:paraId="7FE1C593" w14:textId="77777777" w:rsidR="00CC0A94" w:rsidRDefault="00CC0A94" w:rsidP="002F61BB">
            <w:pPr>
              <w:autoSpaceDE w:val="0"/>
              <w:autoSpaceDN w:val="0"/>
              <w:adjustRightInd w:val="0"/>
              <w:rPr>
                <w:rFonts w:ascii="Times New Roman" w:hAnsi="Times New Roman"/>
                <w:sz w:val="20"/>
                <w:szCs w:val="20"/>
              </w:rPr>
            </w:pPr>
          </w:p>
        </w:tc>
      </w:tr>
      <w:tr w:rsidR="00CC0A94" w14:paraId="7FE1C599" w14:textId="77777777" w:rsidTr="029F4E13">
        <w:trPr>
          <w:trHeight w:val="450"/>
        </w:trPr>
        <w:tc>
          <w:tcPr>
            <w:tcW w:w="1418" w:type="dxa"/>
            <w:shd w:val="clear" w:color="auto" w:fill="FFFFFF" w:themeFill="background1"/>
          </w:tcPr>
          <w:p w14:paraId="7FE1C595"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0020</w:t>
            </w:r>
          </w:p>
        </w:tc>
        <w:tc>
          <w:tcPr>
            <w:tcW w:w="7791" w:type="dxa"/>
            <w:shd w:val="clear" w:color="auto" w:fill="FFFFFF" w:themeFill="background1"/>
          </w:tcPr>
          <w:p w14:paraId="7FE1C596" w14:textId="77777777" w:rsidR="00CC0A94" w:rsidRDefault="006C1571">
            <w:pPr>
              <w:spacing w:line="276" w:lineRule="auto"/>
              <w:jc w:val="both"/>
              <w:rPr>
                <w:rFonts w:ascii="Times New Roman" w:hAnsi="Times New Roman"/>
                <w:b/>
                <w:bCs/>
                <w:sz w:val="20"/>
                <w:szCs w:val="20"/>
              </w:rPr>
            </w:pPr>
            <w:r>
              <w:rPr>
                <w:rFonts w:ascii="Times New Roman" w:hAnsi="Times New Roman"/>
                <w:b/>
                <w:bCs/>
                <w:sz w:val="20"/>
                <w:szCs w:val="20"/>
              </w:rPr>
              <w:t xml:space="preserve">Unique service title as per bank taxonomy </w:t>
            </w:r>
          </w:p>
          <w:p w14:paraId="7FE1C597" w14:textId="31873D66" w:rsidR="00CC0A94" w:rsidRPr="002F61BB" w:rsidRDefault="006C1571" w:rsidP="002F61BB">
            <w:pPr>
              <w:rPr>
                <w:rFonts w:ascii="Times New Roman" w:eastAsiaTheme="minorHAnsi" w:hAnsi="Times New Roman"/>
                <w:sz w:val="24"/>
                <w:lang w:val="en-GB" w:eastAsia="en-GB"/>
              </w:rPr>
            </w:pPr>
            <w:r>
              <w:rPr>
                <w:rFonts w:ascii="Times New Roman" w:hAnsi="Times New Roman"/>
                <w:sz w:val="20"/>
              </w:rPr>
              <w:t>Name/short description of service according to bank’s own tiered taxonomy (Level 3</w:t>
            </w:r>
            <w:proofErr w:type="gramStart"/>
            <w:r>
              <w:rPr>
                <w:rFonts w:ascii="Times New Roman" w:hAnsi="Times New Roman"/>
                <w:sz w:val="20"/>
              </w:rPr>
              <w:t>)</w:t>
            </w:r>
            <w:r w:rsidR="00887021">
              <w:rPr>
                <w:rFonts w:ascii="Times New Roman" w:hAnsi="Times New Roman"/>
                <w:sz w:val="20"/>
              </w:rPr>
              <w:t xml:space="preserve"> )</w:t>
            </w:r>
            <w:proofErr w:type="gramEnd"/>
            <w:r w:rsidR="00887021">
              <w:rPr>
                <w:rFonts w:ascii="Times New Roman" w:hAnsi="Times New Roman"/>
                <w:sz w:val="20"/>
              </w:rPr>
              <w:t xml:space="preserve"> as reported in Z 08.01 (SERV 1) column 0020</w:t>
            </w:r>
            <w:r>
              <w:rPr>
                <w:rFonts w:ascii="Times New Roman" w:hAnsi="Times New Roman"/>
                <w:sz w:val="20"/>
              </w:rPr>
              <w:t xml:space="preserve">. The bank is expected to </w:t>
            </w:r>
            <w:proofErr w:type="gramStart"/>
            <w:r>
              <w:rPr>
                <w:rFonts w:ascii="Times New Roman" w:hAnsi="Times New Roman"/>
                <w:sz w:val="20"/>
              </w:rPr>
              <w:t>report</w:t>
            </w:r>
            <w:proofErr w:type="gramEnd"/>
            <w:r>
              <w:rPr>
                <w:rFonts w:ascii="Times New Roman" w:hAnsi="Times New Roman"/>
                <w:sz w:val="20"/>
              </w:rPr>
              <w:t xml:space="preserve"> the services at a more granular level than the reporting provided for Level 2 (c0010), so that each </w:t>
            </w:r>
            <w:proofErr w:type="gramStart"/>
            <w:r>
              <w:rPr>
                <w:rFonts w:ascii="Times New Roman" w:hAnsi="Times New Roman"/>
                <w:sz w:val="20"/>
              </w:rPr>
              <w:t>particular service</w:t>
            </w:r>
            <w:proofErr w:type="gramEnd"/>
            <w:r>
              <w:rPr>
                <w:rFonts w:ascii="Times New Roman" w:hAnsi="Times New Roman"/>
                <w:sz w:val="20"/>
              </w:rPr>
              <w:t xml:space="preserve"> is defined in a precise and targeted way.</w:t>
            </w:r>
          </w:p>
          <w:p w14:paraId="7FE1C598" w14:textId="77777777" w:rsidR="00CC0A94" w:rsidRDefault="00CC0A94">
            <w:pPr>
              <w:spacing w:before="120" w:after="120" w:line="276" w:lineRule="auto"/>
              <w:rPr>
                <w:rFonts w:ascii="Times New Roman" w:hAnsi="Times New Roman"/>
                <w:sz w:val="20"/>
                <w:szCs w:val="20"/>
              </w:rPr>
            </w:pPr>
          </w:p>
        </w:tc>
      </w:tr>
      <w:tr w:rsidR="00CC0A94" w14:paraId="7FE1C59E" w14:textId="77777777" w:rsidTr="029F4E13">
        <w:trPr>
          <w:trHeight w:val="450"/>
        </w:trPr>
        <w:tc>
          <w:tcPr>
            <w:tcW w:w="1418" w:type="dxa"/>
            <w:shd w:val="clear" w:color="auto" w:fill="FFFFFF" w:themeFill="background1"/>
          </w:tcPr>
          <w:p w14:paraId="7FE1C59A"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lastRenderedPageBreak/>
              <w:t>0030</w:t>
            </w:r>
          </w:p>
        </w:tc>
        <w:tc>
          <w:tcPr>
            <w:tcW w:w="7791" w:type="dxa"/>
            <w:shd w:val="clear" w:color="auto" w:fill="FFFFFF" w:themeFill="background1"/>
          </w:tcPr>
          <w:p w14:paraId="7FE1C59B"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Asset identifier</w:t>
            </w:r>
          </w:p>
          <w:p w14:paraId="7FE1C59C" w14:textId="77777777" w:rsidR="00CC0A94" w:rsidRDefault="006C1571">
            <w:pPr>
              <w:spacing w:line="276" w:lineRule="auto"/>
              <w:jc w:val="both"/>
              <w:rPr>
                <w:rFonts w:ascii="Times New Roman" w:hAnsi="Times New Roman"/>
                <w:sz w:val="20"/>
              </w:rPr>
            </w:pPr>
            <w:r>
              <w:rPr>
                <w:rFonts w:ascii="Times New Roman" w:hAnsi="Times New Roman"/>
                <w:sz w:val="20"/>
              </w:rPr>
              <w:t>The asset identifier refers to the asset reported under c0050.</w:t>
            </w:r>
          </w:p>
          <w:p w14:paraId="7FE1C59D" w14:textId="77777777" w:rsidR="00CC0A94" w:rsidRDefault="00CC0A94">
            <w:pPr>
              <w:spacing w:before="120" w:after="120" w:line="276" w:lineRule="auto"/>
              <w:rPr>
                <w:rFonts w:ascii="Times New Roman" w:hAnsi="Times New Roman"/>
                <w:sz w:val="20"/>
                <w:szCs w:val="20"/>
              </w:rPr>
            </w:pPr>
          </w:p>
        </w:tc>
      </w:tr>
      <w:tr w:rsidR="00CC0A94" w14:paraId="7FE1C5AD" w14:textId="77777777" w:rsidTr="029F4E13">
        <w:trPr>
          <w:trHeight w:val="450"/>
        </w:trPr>
        <w:tc>
          <w:tcPr>
            <w:tcW w:w="1418" w:type="dxa"/>
            <w:shd w:val="clear" w:color="auto" w:fill="FFFFFF" w:themeFill="background1"/>
          </w:tcPr>
          <w:p w14:paraId="7FE1C59F"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0040</w:t>
            </w:r>
          </w:p>
        </w:tc>
        <w:tc>
          <w:tcPr>
            <w:tcW w:w="7791" w:type="dxa"/>
            <w:shd w:val="clear" w:color="auto" w:fill="FFFFFF" w:themeFill="background1"/>
          </w:tcPr>
          <w:p w14:paraId="7FE1C5A0"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Type of asset</w:t>
            </w:r>
            <w:r>
              <w:rPr>
                <w:rFonts w:ascii="Times New Roman" w:hAnsi="Times New Roman"/>
                <w:sz w:val="20"/>
              </w:rPr>
              <w:t xml:space="preserve"> </w:t>
            </w:r>
          </w:p>
          <w:p w14:paraId="7FE1C5A1" w14:textId="77777777" w:rsidR="00CC0A94" w:rsidRDefault="006C1571">
            <w:pPr>
              <w:spacing w:line="276" w:lineRule="auto"/>
              <w:jc w:val="both"/>
              <w:rPr>
                <w:rFonts w:ascii="Times New Roman" w:hAnsi="Times New Roman"/>
                <w:sz w:val="20"/>
              </w:rPr>
            </w:pPr>
            <w:r>
              <w:rPr>
                <w:rFonts w:ascii="Times New Roman" w:hAnsi="Times New Roman"/>
                <w:sz w:val="20"/>
              </w:rPr>
              <w:t xml:space="preserve">- IT and communication hardware </w:t>
            </w:r>
          </w:p>
          <w:p w14:paraId="7FE1C5A2" w14:textId="77777777" w:rsidR="00CC0A94" w:rsidRDefault="00CC0A94">
            <w:pPr>
              <w:spacing w:line="276" w:lineRule="auto"/>
              <w:rPr>
                <w:rFonts w:ascii="Times New Roman" w:hAnsi="Times New Roman"/>
                <w:sz w:val="20"/>
              </w:rPr>
            </w:pPr>
          </w:p>
          <w:p w14:paraId="7FE1C5A3" w14:textId="77777777" w:rsidR="00CC0A94" w:rsidRDefault="006C1571">
            <w:pPr>
              <w:spacing w:line="276" w:lineRule="auto"/>
              <w:rPr>
                <w:rFonts w:ascii="Times New Roman" w:hAnsi="Times New Roman"/>
                <w:sz w:val="20"/>
              </w:rPr>
            </w:pPr>
            <w:r>
              <w:rPr>
                <w:rFonts w:ascii="Times New Roman" w:hAnsi="Times New Roman"/>
                <w:sz w:val="20"/>
              </w:rPr>
              <w:t xml:space="preserve">- Other IT infrastructure (such as workstations, </w:t>
            </w:r>
            <w:proofErr w:type="gramStart"/>
            <w:r>
              <w:rPr>
                <w:rFonts w:ascii="Times New Roman" w:hAnsi="Times New Roman"/>
                <w:sz w:val="20"/>
              </w:rPr>
              <w:t>telecommunication</w:t>
            </w:r>
            <w:proofErr w:type="gramEnd"/>
            <w:r>
              <w:rPr>
                <w:rFonts w:ascii="Times New Roman" w:hAnsi="Times New Roman"/>
                <w:sz w:val="20"/>
              </w:rPr>
              <w:t xml:space="preserve">, servers, data </w:t>
            </w:r>
            <w:proofErr w:type="spellStart"/>
            <w:r>
              <w:rPr>
                <w:rFonts w:ascii="Times New Roman" w:hAnsi="Times New Roman"/>
                <w:sz w:val="20"/>
              </w:rPr>
              <w:t>centres</w:t>
            </w:r>
            <w:proofErr w:type="spellEnd"/>
            <w:r>
              <w:rPr>
                <w:rFonts w:ascii="Times New Roman" w:hAnsi="Times New Roman"/>
                <w:sz w:val="20"/>
              </w:rPr>
              <w:t xml:space="preserve"> and related assets)</w:t>
            </w:r>
          </w:p>
          <w:p w14:paraId="7FE1C5A4" w14:textId="77777777" w:rsidR="00CC0A94" w:rsidRDefault="00CC0A94">
            <w:pPr>
              <w:spacing w:line="276" w:lineRule="auto"/>
              <w:rPr>
                <w:rFonts w:ascii="Times New Roman" w:hAnsi="Times New Roman"/>
                <w:sz w:val="20"/>
              </w:rPr>
            </w:pPr>
          </w:p>
          <w:p w14:paraId="7FE1C5A5" w14:textId="77777777" w:rsidR="00CC0A94" w:rsidRDefault="006C1571">
            <w:pPr>
              <w:spacing w:line="276" w:lineRule="auto"/>
              <w:rPr>
                <w:rFonts w:ascii="Times New Roman" w:hAnsi="Times New Roman"/>
                <w:sz w:val="20"/>
              </w:rPr>
            </w:pPr>
            <w:r>
              <w:rPr>
                <w:rFonts w:ascii="Times New Roman" w:hAnsi="Times New Roman"/>
                <w:sz w:val="20"/>
              </w:rPr>
              <w:t xml:space="preserve">- Premises and storage </w:t>
            </w:r>
          </w:p>
          <w:p w14:paraId="7FE1C5A6" w14:textId="77777777" w:rsidR="00CC0A94" w:rsidRDefault="00CC0A94">
            <w:pPr>
              <w:spacing w:line="276" w:lineRule="auto"/>
              <w:rPr>
                <w:rFonts w:ascii="Times New Roman" w:hAnsi="Times New Roman"/>
                <w:sz w:val="20"/>
              </w:rPr>
            </w:pPr>
          </w:p>
          <w:p w14:paraId="7FE1C5A7" w14:textId="77777777" w:rsidR="00CC0A94" w:rsidRDefault="006C1571">
            <w:pPr>
              <w:spacing w:line="276" w:lineRule="auto"/>
              <w:rPr>
                <w:rFonts w:ascii="Times New Roman" w:hAnsi="Times New Roman"/>
                <w:sz w:val="20"/>
              </w:rPr>
            </w:pPr>
            <w:r>
              <w:rPr>
                <w:rFonts w:ascii="Times New Roman" w:hAnsi="Times New Roman"/>
                <w:sz w:val="20"/>
              </w:rPr>
              <w:t>- Intellectual property (such as patents, trademarks, etc.)</w:t>
            </w:r>
          </w:p>
          <w:p w14:paraId="7FE1C5A8" w14:textId="77777777" w:rsidR="00CC0A94" w:rsidRDefault="00CC0A94">
            <w:pPr>
              <w:spacing w:line="276" w:lineRule="auto"/>
              <w:rPr>
                <w:rFonts w:ascii="Times New Roman" w:hAnsi="Times New Roman"/>
                <w:sz w:val="20"/>
              </w:rPr>
            </w:pPr>
          </w:p>
          <w:p w14:paraId="7FE1C5A9" w14:textId="77777777" w:rsidR="00CC0A94" w:rsidRPr="002F61BB" w:rsidRDefault="006C1571">
            <w:pPr>
              <w:spacing w:line="276" w:lineRule="auto"/>
              <w:rPr>
                <w:rFonts w:ascii="Times New Roman" w:hAnsi="Times New Roman"/>
                <w:sz w:val="20"/>
              </w:rPr>
            </w:pPr>
            <w:r>
              <w:rPr>
                <w:rFonts w:ascii="Times New Roman" w:hAnsi="Times New Roman"/>
                <w:sz w:val="20"/>
              </w:rPr>
              <w:t xml:space="preserve"> - </w:t>
            </w:r>
            <w:r w:rsidRPr="002F61BB">
              <w:rPr>
                <w:rFonts w:ascii="Times New Roman" w:hAnsi="Times New Roman"/>
                <w:sz w:val="20"/>
              </w:rPr>
              <w:t>Self-Service devices in branches &amp; ATMs</w:t>
            </w:r>
          </w:p>
          <w:p w14:paraId="7FE1C5AA" w14:textId="77777777" w:rsidR="00CC0A94" w:rsidRDefault="00CC0A94">
            <w:pPr>
              <w:spacing w:line="276" w:lineRule="auto"/>
              <w:rPr>
                <w:rFonts w:ascii="Times New Roman" w:hAnsi="Times New Roman"/>
                <w:sz w:val="20"/>
              </w:rPr>
            </w:pPr>
          </w:p>
          <w:p w14:paraId="7FE1C5AB" w14:textId="07413E54" w:rsidR="00CC0A94" w:rsidRDefault="006C1571">
            <w:pPr>
              <w:spacing w:line="276" w:lineRule="auto"/>
              <w:jc w:val="both"/>
              <w:rPr>
                <w:rFonts w:ascii="Times New Roman" w:hAnsi="Times New Roman"/>
                <w:b/>
                <w:sz w:val="20"/>
              </w:rPr>
            </w:pPr>
            <w:r>
              <w:rPr>
                <w:rFonts w:ascii="Times New Roman" w:hAnsi="Times New Roman"/>
                <w:sz w:val="20"/>
                <w:szCs w:val="20"/>
              </w:rPr>
              <w:t>- Other</w:t>
            </w:r>
            <w:r w:rsidR="00BC4FE7">
              <w:rPr>
                <w:rFonts w:ascii="Times New Roman" w:hAnsi="Times New Roman"/>
                <w:sz w:val="20"/>
                <w:szCs w:val="20"/>
              </w:rPr>
              <w:t xml:space="preserve"> </w:t>
            </w:r>
            <w:proofErr w:type="gramStart"/>
            <w:r w:rsidR="00BC4FE7">
              <w:rPr>
                <w:rFonts w:ascii="Times New Roman" w:hAnsi="Times New Roman"/>
                <w:sz w:val="20"/>
                <w:szCs w:val="20"/>
              </w:rPr>
              <w:t>type</w:t>
            </w:r>
            <w:proofErr w:type="gramEnd"/>
            <w:r w:rsidR="00BC4FE7">
              <w:rPr>
                <w:rFonts w:ascii="Times New Roman" w:hAnsi="Times New Roman"/>
                <w:sz w:val="20"/>
                <w:szCs w:val="20"/>
              </w:rPr>
              <w:t xml:space="preserve"> of asset</w:t>
            </w:r>
          </w:p>
          <w:p w14:paraId="7FE1C5AC" w14:textId="77777777" w:rsidR="00CC0A94" w:rsidRDefault="00CC0A94">
            <w:pPr>
              <w:spacing w:line="276" w:lineRule="auto"/>
              <w:jc w:val="both"/>
              <w:rPr>
                <w:rFonts w:ascii="Times New Roman" w:hAnsi="Times New Roman"/>
                <w:sz w:val="20"/>
              </w:rPr>
            </w:pPr>
          </w:p>
        </w:tc>
      </w:tr>
      <w:tr w:rsidR="00CC0A94" w14:paraId="7FE1C5B2" w14:textId="77777777" w:rsidTr="029F4E13">
        <w:trPr>
          <w:trHeight w:val="450"/>
        </w:trPr>
        <w:tc>
          <w:tcPr>
            <w:tcW w:w="1418" w:type="dxa"/>
            <w:shd w:val="clear" w:color="auto" w:fill="FFFFFF" w:themeFill="background1"/>
          </w:tcPr>
          <w:p w14:paraId="7FE1C5AE"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0050</w:t>
            </w:r>
          </w:p>
        </w:tc>
        <w:tc>
          <w:tcPr>
            <w:tcW w:w="7791" w:type="dxa"/>
            <w:shd w:val="clear" w:color="auto" w:fill="FFFFFF" w:themeFill="background1"/>
          </w:tcPr>
          <w:p w14:paraId="7FE1C5AF"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 xml:space="preserve">Name of asset </w:t>
            </w:r>
          </w:p>
          <w:p w14:paraId="7FE1C5B0" w14:textId="77777777" w:rsidR="00CC0A94" w:rsidRDefault="006C1571">
            <w:pPr>
              <w:spacing w:line="276" w:lineRule="auto"/>
              <w:jc w:val="both"/>
              <w:rPr>
                <w:rFonts w:ascii="Times New Roman" w:hAnsi="Times New Roman"/>
                <w:sz w:val="20"/>
              </w:rPr>
            </w:pPr>
            <w:r>
              <w:rPr>
                <w:rFonts w:ascii="Times New Roman" w:hAnsi="Times New Roman"/>
                <w:sz w:val="20"/>
              </w:rPr>
              <w:t>Commercial or internal name of the asset.</w:t>
            </w:r>
          </w:p>
          <w:p w14:paraId="7FE1C5B1" w14:textId="77777777" w:rsidR="00CC0A94" w:rsidRDefault="00CC0A94">
            <w:pPr>
              <w:spacing w:line="276" w:lineRule="auto"/>
              <w:jc w:val="both"/>
              <w:rPr>
                <w:rFonts w:ascii="Times New Roman" w:hAnsi="Times New Roman"/>
                <w:sz w:val="20"/>
              </w:rPr>
            </w:pPr>
          </w:p>
        </w:tc>
      </w:tr>
      <w:tr w:rsidR="00CC0A94" w14:paraId="7FE1C5BA" w14:textId="77777777" w:rsidTr="029F4E13">
        <w:trPr>
          <w:trHeight w:val="450"/>
        </w:trPr>
        <w:tc>
          <w:tcPr>
            <w:tcW w:w="1418" w:type="dxa"/>
            <w:shd w:val="clear" w:color="auto" w:fill="FFFFFF" w:themeFill="background1"/>
          </w:tcPr>
          <w:p w14:paraId="7FE1C5B3"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0060</w:t>
            </w:r>
          </w:p>
        </w:tc>
        <w:tc>
          <w:tcPr>
            <w:tcW w:w="7791" w:type="dxa"/>
            <w:shd w:val="clear" w:color="auto" w:fill="FFFFFF" w:themeFill="background1"/>
          </w:tcPr>
          <w:p w14:paraId="7FE1C5B4" w14:textId="77777777" w:rsidR="00CC0A94" w:rsidRDefault="006C1571">
            <w:pPr>
              <w:spacing w:line="276" w:lineRule="auto"/>
              <w:jc w:val="both"/>
              <w:rPr>
                <w:rFonts w:ascii="Times New Roman" w:hAnsi="Times New Roman"/>
                <w:iCs/>
                <w:sz w:val="20"/>
              </w:rPr>
            </w:pPr>
            <w:r>
              <w:rPr>
                <w:rFonts w:ascii="Times New Roman" w:hAnsi="Times New Roman"/>
                <w:b/>
                <w:bCs/>
                <w:sz w:val="20"/>
                <w:szCs w:val="20"/>
              </w:rPr>
              <w:t>Criticality</w:t>
            </w:r>
            <w:r>
              <w:rPr>
                <w:rFonts w:ascii="Times New Roman" w:hAnsi="Times New Roman"/>
                <w:b/>
                <w:bCs/>
                <w:iCs/>
                <w:sz w:val="20"/>
              </w:rPr>
              <w:t xml:space="preserve"> </w:t>
            </w:r>
          </w:p>
          <w:p w14:paraId="7FE1C5B5" w14:textId="77777777" w:rsidR="00CC0A94" w:rsidRDefault="006C1571">
            <w:pPr>
              <w:spacing w:line="276" w:lineRule="auto"/>
              <w:jc w:val="both"/>
              <w:rPr>
                <w:rFonts w:ascii="Times New Roman" w:hAnsi="Times New Roman"/>
                <w:iCs/>
                <w:sz w:val="20"/>
              </w:rPr>
            </w:pPr>
            <w:proofErr w:type="gramStart"/>
            <w:r>
              <w:rPr>
                <w:rFonts w:ascii="Times New Roman" w:hAnsi="Times New Roman"/>
                <w:iCs/>
                <w:sz w:val="20"/>
              </w:rPr>
              <w:t>Report</w:t>
            </w:r>
            <w:proofErr w:type="gramEnd"/>
            <w:r>
              <w:rPr>
                <w:rFonts w:ascii="Times New Roman" w:hAnsi="Times New Roman"/>
                <w:iCs/>
                <w:sz w:val="20"/>
              </w:rPr>
              <w:t xml:space="preserve"> one of the following values:</w:t>
            </w:r>
          </w:p>
          <w:p w14:paraId="7FE1C5B6" w14:textId="77777777" w:rsidR="00CC0A94" w:rsidRDefault="006C1571">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Critical: if the service is necessary for the performance of one or more critical functions, whose discontinuity would seriously impede or prevent the performance of those critical functions.</w:t>
            </w:r>
          </w:p>
          <w:p w14:paraId="7FE1C5B7" w14:textId="77777777" w:rsidR="00CC0A94" w:rsidRDefault="006C1571">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Essential: if the service is associated with core business lines, whose continuity is necessary for the effective execution of the resolution strategy and any consequent restructuring.</w:t>
            </w:r>
          </w:p>
          <w:p w14:paraId="7FE1C5B8" w14:textId="475A76CC" w:rsidR="00CC0A94" w:rsidRDefault="00BC4FE7">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Critical and essential</w:t>
            </w:r>
          </w:p>
          <w:p w14:paraId="7FE1C5B9" w14:textId="77777777" w:rsidR="00CC0A94" w:rsidRDefault="00CC0A94">
            <w:pPr>
              <w:spacing w:line="276" w:lineRule="auto"/>
              <w:jc w:val="both"/>
              <w:rPr>
                <w:rFonts w:ascii="Times New Roman" w:hAnsi="Times New Roman"/>
                <w:sz w:val="20"/>
              </w:rPr>
            </w:pPr>
          </w:p>
        </w:tc>
      </w:tr>
      <w:tr w:rsidR="00CC0A94" w14:paraId="7FE1C5C3" w14:textId="77777777" w:rsidTr="029F4E13">
        <w:trPr>
          <w:trHeight w:val="450"/>
        </w:trPr>
        <w:tc>
          <w:tcPr>
            <w:tcW w:w="1418" w:type="dxa"/>
            <w:shd w:val="clear" w:color="auto" w:fill="FFFFFF" w:themeFill="background1"/>
          </w:tcPr>
          <w:p w14:paraId="7FE1C5BB"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0070</w:t>
            </w:r>
          </w:p>
        </w:tc>
        <w:tc>
          <w:tcPr>
            <w:tcW w:w="7791" w:type="dxa"/>
            <w:shd w:val="clear" w:color="auto" w:fill="FFFFFF" w:themeFill="background1"/>
          </w:tcPr>
          <w:p w14:paraId="7FE1C5BC" w14:textId="77777777" w:rsidR="00CC0A94" w:rsidRDefault="006C1571">
            <w:pPr>
              <w:spacing w:line="276" w:lineRule="auto"/>
              <w:jc w:val="both"/>
              <w:rPr>
                <w:rFonts w:ascii="Times New Roman" w:hAnsi="Times New Roman"/>
                <w:iCs/>
                <w:sz w:val="20"/>
              </w:rPr>
            </w:pPr>
            <w:r>
              <w:rPr>
                <w:rFonts w:ascii="Times New Roman" w:hAnsi="Times New Roman"/>
                <w:b/>
                <w:bCs/>
                <w:sz w:val="20"/>
                <w:szCs w:val="20"/>
              </w:rPr>
              <w:t>Legal /contract type</w:t>
            </w:r>
            <w:r>
              <w:rPr>
                <w:rFonts w:ascii="Times New Roman" w:hAnsi="Times New Roman"/>
                <w:iCs/>
                <w:sz w:val="20"/>
              </w:rPr>
              <w:t xml:space="preserve"> </w:t>
            </w:r>
          </w:p>
          <w:p w14:paraId="7FE1C5BD" w14:textId="77777777" w:rsidR="00CC0A94" w:rsidRDefault="006C1571">
            <w:pPr>
              <w:spacing w:line="276" w:lineRule="auto"/>
              <w:jc w:val="both"/>
              <w:rPr>
                <w:rFonts w:ascii="Times New Roman" w:hAnsi="Times New Roman"/>
                <w:iCs/>
                <w:sz w:val="20"/>
              </w:rPr>
            </w:pPr>
            <w:proofErr w:type="gramStart"/>
            <w:r>
              <w:rPr>
                <w:rFonts w:ascii="Times New Roman" w:hAnsi="Times New Roman"/>
                <w:iCs/>
                <w:sz w:val="20"/>
              </w:rPr>
              <w:t>Report</w:t>
            </w:r>
            <w:proofErr w:type="gramEnd"/>
            <w:r>
              <w:rPr>
                <w:rFonts w:ascii="Times New Roman" w:hAnsi="Times New Roman"/>
                <w:iCs/>
                <w:sz w:val="20"/>
              </w:rPr>
              <w:t xml:space="preserve"> one of the following values:</w:t>
            </w:r>
          </w:p>
          <w:p w14:paraId="7FE1C5BE" w14:textId="77777777" w:rsidR="00CC0A94" w:rsidRDefault="006C1571">
            <w:pPr>
              <w:numPr>
                <w:ilvl w:val="0"/>
                <w:numId w:val="236"/>
              </w:numPr>
              <w:contextualSpacing/>
              <w:jc w:val="both"/>
              <w:rPr>
                <w:rFonts w:ascii="Times New Roman" w:eastAsia="MS Mincho" w:hAnsi="Times New Roman"/>
                <w:sz w:val="20"/>
              </w:rPr>
            </w:pPr>
            <w:r>
              <w:rPr>
                <w:rFonts w:ascii="Times New Roman" w:eastAsia="MS Mincho" w:hAnsi="Times New Roman"/>
                <w:sz w:val="20"/>
              </w:rPr>
              <w:t>Owned</w:t>
            </w:r>
          </w:p>
          <w:p w14:paraId="7FE1C5BF" w14:textId="77777777" w:rsidR="00CC0A94" w:rsidRDefault="006C1571">
            <w:pPr>
              <w:numPr>
                <w:ilvl w:val="0"/>
                <w:numId w:val="236"/>
              </w:numPr>
              <w:contextualSpacing/>
              <w:jc w:val="both"/>
              <w:rPr>
                <w:rFonts w:ascii="Times New Roman" w:eastAsia="MS Mincho" w:hAnsi="Times New Roman"/>
                <w:sz w:val="20"/>
              </w:rPr>
            </w:pPr>
            <w:r>
              <w:rPr>
                <w:rFonts w:ascii="Times New Roman" w:eastAsia="MS Mincho" w:hAnsi="Times New Roman"/>
                <w:sz w:val="20"/>
              </w:rPr>
              <w:t>Leased</w:t>
            </w:r>
          </w:p>
          <w:p w14:paraId="7FE1C5C0" w14:textId="77777777" w:rsidR="00CC0A94" w:rsidRDefault="006C1571">
            <w:pPr>
              <w:numPr>
                <w:ilvl w:val="0"/>
                <w:numId w:val="236"/>
              </w:numPr>
              <w:contextualSpacing/>
              <w:jc w:val="both"/>
              <w:rPr>
                <w:rFonts w:ascii="Times New Roman" w:eastAsia="MS Mincho" w:hAnsi="Times New Roman"/>
                <w:sz w:val="20"/>
              </w:rPr>
            </w:pPr>
            <w:proofErr w:type="gramStart"/>
            <w:r>
              <w:rPr>
                <w:rFonts w:ascii="Times New Roman" w:eastAsia="MS Mincho" w:hAnsi="Times New Roman"/>
                <w:sz w:val="20"/>
              </w:rPr>
              <w:t>Licensed</w:t>
            </w:r>
            <w:proofErr w:type="gramEnd"/>
          </w:p>
          <w:p w14:paraId="7FE1C5C1" w14:textId="3AFF0D43" w:rsidR="00CC0A94" w:rsidRDefault="006C1571">
            <w:pPr>
              <w:numPr>
                <w:ilvl w:val="0"/>
                <w:numId w:val="236"/>
              </w:numPr>
              <w:contextualSpacing/>
              <w:jc w:val="both"/>
              <w:rPr>
                <w:rFonts w:ascii="Times New Roman" w:eastAsia="MS Mincho" w:hAnsi="Times New Roman"/>
                <w:sz w:val="20"/>
              </w:rPr>
            </w:pPr>
            <w:r>
              <w:rPr>
                <w:rFonts w:ascii="Times New Roman" w:eastAsia="MS Mincho" w:hAnsi="Times New Roman"/>
                <w:sz w:val="20"/>
              </w:rPr>
              <w:t>Other</w:t>
            </w:r>
            <w:r w:rsidR="00BC4FE7">
              <w:rPr>
                <w:rFonts w:ascii="Times New Roman" w:eastAsia="MS Mincho" w:hAnsi="Times New Roman"/>
                <w:sz w:val="20"/>
              </w:rPr>
              <w:t xml:space="preserve"> legal / contract type</w:t>
            </w:r>
          </w:p>
          <w:p w14:paraId="7FE1C5C2" w14:textId="77777777" w:rsidR="00CC0A94" w:rsidRDefault="00CC0A94">
            <w:pPr>
              <w:spacing w:line="276" w:lineRule="auto"/>
              <w:jc w:val="both"/>
              <w:rPr>
                <w:rFonts w:ascii="Times New Roman" w:hAnsi="Times New Roman"/>
                <w:sz w:val="20"/>
              </w:rPr>
            </w:pPr>
          </w:p>
        </w:tc>
      </w:tr>
      <w:tr w:rsidR="00CC0A94" w14:paraId="7FE1C5C9" w14:textId="77777777" w:rsidTr="029F4E13">
        <w:trPr>
          <w:trHeight w:val="450"/>
        </w:trPr>
        <w:tc>
          <w:tcPr>
            <w:tcW w:w="1418" w:type="dxa"/>
            <w:shd w:val="clear" w:color="auto" w:fill="FFFFFF" w:themeFill="background1"/>
          </w:tcPr>
          <w:p w14:paraId="7FE1C5C4"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0080</w:t>
            </w:r>
          </w:p>
        </w:tc>
        <w:tc>
          <w:tcPr>
            <w:tcW w:w="7791" w:type="dxa"/>
            <w:shd w:val="clear" w:color="auto" w:fill="FFFFFF" w:themeFill="background1"/>
          </w:tcPr>
          <w:p w14:paraId="7FE1C5C5"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Contract ID</w:t>
            </w:r>
          </w:p>
          <w:p w14:paraId="7FE1C5C6" w14:textId="77777777" w:rsidR="00CC0A94" w:rsidRDefault="006C1571">
            <w:pPr>
              <w:spacing w:line="276" w:lineRule="auto"/>
              <w:jc w:val="both"/>
              <w:rPr>
                <w:rFonts w:ascii="Times New Roman" w:hAnsi="Times New Roman"/>
                <w:i/>
                <w:sz w:val="20"/>
              </w:rPr>
            </w:pPr>
            <w:r>
              <w:rPr>
                <w:rFonts w:ascii="Times New Roman" w:hAnsi="Times New Roman"/>
                <w:sz w:val="20"/>
              </w:rPr>
              <w:t>Contract unique identifier of the contract underpinning the asset as per group’s service taxonomy.</w:t>
            </w:r>
          </w:p>
          <w:p w14:paraId="7FE1C5C7" w14:textId="77777777" w:rsidR="00CC0A94" w:rsidRDefault="00CC0A94">
            <w:pPr>
              <w:spacing w:line="276" w:lineRule="auto"/>
              <w:jc w:val="both"/>
              <w:rPr>
                <w:rFonts w:ascii="Times New Roman" w:hAnsi="Times New Roman"/>
                <w:i/>
                <w:sz w:val="20"/>
              </w:rPr>
            </w:pPr>
          </w:p>
          <w:p w14:paraId="7FE1C5C8" w14:textId="77777777" w:rsidR="00CC0A94" w:rsidRDefault="00CC0A94">
            <w:pPr>
              <w:spacing w:line="276" w:lineRule="auto"/>
              <w:jc w:val="both"/>
              <w:rPr>
                <w:rFonts w:ascii="Times New Roman" w:hAnsi="Times New Roman"/>
                <w:iCs/>
                <w:sz w:val="20"/>
              </w:rPr>
            </w:pPr>
          </w:p>
        </w:tc>
      </w:tr>
      <w:tr w:rsidR="00CC0A94" w14:paraId="7FE1C5CE" w14:textId="77777777" w:rsidTr="029F4E13">
        <w:trPr>
          <w:trHeight w:val="450"/>
        </w:trPr>
        <w:tc>
          <w:tcPr>
            <w:tcW w:w="1418" w:type="dxa"/>
            <w:shd w:val="clear" w:color="auto" w:fill="FFFFFF" w:themeFill="background1"/>
          </w:tcPr>
          <w:p w14:paraId="7FE1C5CA"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0090</w:t>
            </w:r>
          </w:p>
        </w:tc>
        <w:tc>
          <w:tcPr>
            <w:tcW w:w="7791" w:type="dxa"/>
            <w:shd w:val="clear" w:color="auto" w:fill="FFFFFF" w:themeFill="background1"/>
          </w:tcPr>
          <w:p w14:paraId="7FE1C5CB"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Governing law</w:t>
            </w:r>
            <w:r>
              <w:rPr>
                <w:rFonts w:ascii="Times New Roman" w:hAnsi="Times New Roman"/>
                <w:b/>
                <w:bCs/>
                <w:sz w:val="20"/>
              </w:rPr>
              <w:t xml:space="preserve"> </w:t>
            </w:r>
          </w:p>
          <w:p w14:paraId="7FE1C5CC" w14:textId="77777777" w:rsidR="00CC0A94" w:rsidRDefault="006C1571">
            <w:pPr>
              <w:spacing w:line="276" w:lineRule="auto"/>
              <w:jc w:val="both"/>
              <w:rPr>
                <w:rFonts w:ascii="Times New Roman" w:hAnsi="Times New Roman"/>
                <w:sz w:val="20"/>
              </w:rPr>
            </w:pPr>
            <w:r>
              <w:rPr>
                <w:rFonts w:ascii="Times New Roman" w:hAnsi="Times New Roman"/>
                <w:sz w:val="20"/>
              </w:rPr>
              <w:t>ISO code of the country code the law of which governs the contract.</w:t>
            </w:r>
          </w:p>
          <w:p w14:paraId="7FE1C5CD" w14:textId="77777777" w:rsidR="00CC0A94" w:rsidRDefault="00CC0A94">
            <w:pPr>
              <w:spacing w:line="276" w:lineRule="auto"/>
              <w:jc w:val="both"/>
              <w:rPr>
                <w:rFonts w:ascii="Times New Roman" w:hAnsi="Times New Roman"/>
                <w:iCs/>
                <w:sz w:val="20"/>
              </w:rPr>
            </w:pPr>
          </w:p>
        </w:tc>
      </w:tr>
      <w:tr w:rsidR="00CC0A94" w14:paraId="7FE1C5D4" w14:textId="77777777" w:rsidTr="029F4E13">
        <w:trPr>
          <w:trHeight w:val="463"/>
        </w:trPr>
        <w:tc>
          <w:tcPr>
            <w:tcW w:w="1418" w:type="dxa"/>
            <w:shd w:val="clear" w:color="auto" w:fill="FFFFFF" w:themeFill="background1"/>
          </w:tcPr>
          <w:p w14:paraId="7FE1C5CF" w14:textId="77777777" w:rsidR="00CC0A94" w:rsidRDefault="006C1571">
            <w:pPr>
              <w:spacing w:line="276" w:lineRule="auto"/>
              <w:jc w:val="both"/>
              <w:rPr>
                <w:rFonts w:ascii="Times New Roman" w:hAnsi="Times New Roman"/>
                <w:sz w:val="20"/>
              </w:rPr>
            </w:pPr>
            <w:r>
              <w:rPr>
                <w:rFonts w:ascii="Times New Roman" w:hAnsi="Times New Roman"/>
                <w:sz w:val="20"/>
              </w:rPr>
              <w:lastRenderedPageBreak/>
              <w:t>0100-0120</w:t>
            </w:r>
          </w:p>
          <w:p w14:paraId="7FE1C5D0" w14:textId="77777777" w:rsidR="00CC0A94" w:rsidRDefault="00CC0A94">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CC0A94" w:rsidRDefault="006C1571">
            <w:pPr>
              <w:spacing w:before="120" w:after="120" w:line="276" w:lineRule="auto"/>
              <w:rPr>
                <w:rFonts w:ascii="Times New Roman" w:hAnsi="Times New Roman"/>
                <w:b/>
                <w:bCs/>
                <w:iCs/>
                <w:sz w:val="20"/>
              </w:rPr>
            </w:pPr>
            <w:r>
              <w:rPr>
                <w:rFonts w:ascii="Times New Roman" w:hAnsi="Times New Roman"/>
                <w:b/>
                <w:bCs/>
                <w:sz w:val="20"/>
                <w:szCs w:val="20"/>
              </w:rPr>
              <w:t xml:space="preserve">Resolution resilience </w:t>
            </w:r>
          </w:p>
          <w:p w14:paraId="7FE1C5D2" w14:textId="77777777" w:rsidR="00CC0A94" w:rsidRDefault="006C1571">
            <w:pPr>
              <w:pStyle w:val="NormalWeb"/>
              <w:spacing w:before="0" w:beforeAutospacing="0" w:after="0" w:afterAutospacing="0"/>
              <w:rPr>
                <w:rFonts w:eastAsia="Calibri"/>
                <w:iCs/>
                <w:sz w:val="20"/>
                <w:szCs w:val="20"/>
                <w:lang w:eastAsia="en-US"/>
              </w:rPr>
            </w:pPr>
            <w:r>
              <w:rPr>
                <w:rFonts w:eastAsia="Calibri"/>
                <w:iCs/>
                <w:sz w:val="20"/>
                <w:szCs w:val="20"/>
                <w:lang w:eastAsia="en-US"/>
              </w:rPr>
              <w:t xml:space="preserve">The assessment whether the contract supporting the asset reported in column 0030 could be continued and transferred during the implementation of the resolution strategy, including the business reorganisation plan, </w:t>
            </w:r>
            <w:r>
              <w:rPr>
                <w:rFonts w:eastAsia="Calibri"/>
                <w:iCs/>
                <w:sz w:val="20"/>
              </w:rPr>
              <w:t>in line with Guidelines EBA/GL/2022/01 and relevant national laws.</w:t>
            </w:r>
          </w:p>
          <w:p w14:paraId="7FE1C5D3" w14:textId="77777777" w:rsidR="00CC0A94" w:rsidRDefault="00CC0A94">
            <w:pPr>
              <w:pStyle w:val="NormalWeb"/>
              <w:spacing w:before="0" w:beforeAutospacing="0" w:after="0" w:afterAutospacing="0"/>
              <w:rPr>
                <w:sz w:val="20"/>
              </w:rPr>
            </w:pPr>
          </w:p>
        </w:tc>
      </w:tr>
      <w:tr w:rsidR="00CC0A94" w14:paraId="7FE1C5E4" w14:textId="77777777" w:rsidTr="029F4E13">
        <w:trPr>
          <w:trHeight w:val="463"/>
        </w:trPr>
        <w:tc>
          <w:tcPr>
            <w:tcW w:w="1418" w:type="dxa"/>
            <w:shd w:val="clear" w:color="auto" w:fill="FFFFFF" w:themeFill="background1"/>
          </w:tcPr>
          <w:p w14:paraId="7FE1C5D5" w14:textId="77777777" w:rsidR="00CC0A94" w:rsidRDefault="006C1571">
            <w:pPr>
              <w:spacing w:before="120" w:after="120" w:line="276" w:lineRule="auto"/>
              <w:rPr>
                <w:rFonts w:ascii="Times New Roman" w:hAnsi="Times New Roman"/>
                <w:sz w:val="20"/>
                <w:szCs w:val="20"/>
              </w:rPr>
            </w:pPr>
            <w:r>
              <w:rPr>
                <w:rFonts w:ascii="Times New Roman" w:hAnsi="Times New Roman"/>
                <w:iCs/>
                <w:sz w:val="20"/>
              </w:rPr>
              <w:t>0100</w:t>
            </w:r>
          </w:p>
        </w:tc>
        <w:tc>
          <w:tcPr>
            <w:tcW w:w="7791" w:type="dxa"/>
            <w:shd w:val="clear" w:color="auto" w:fill="FFFFFF" w:themeFill="background1"/>
          </w:tcPr>
          <w:p w14:paraId="7FE1C5D6" w14:textId="77777777" w:rsidR="00CC0A94" w:rsidRDefault="006C1571">
            <w:pPr>
              <w:spacing w:line="276" w:lineRule="auto"/>
              <w:jc w:val="both"/>
              <w:rPr>
                <w:rFonts w:ascii="Times New Roman" w:hAnsi="Times New Roman"/>
                <w:b/>
                <w:bCs/>
                <w:sz w:val="20"/>
              </w:rPr>
            </w:pPr>
            <w:r>
              <w:rPr>
                <w:rFonts w:ascii="Times New Roman" w:hAnsi="Times New Roman"/>
                <w:b/>
                <w:bCs/>
                <w:iCs/>
                <w:sz w:val="20"/>
                <w:szCs w:val="20"/>
              </w:rPr>
              <w:t>Resolution Resilience features</w:t>
            </w:r>
            <w:r>
              <w:rPr>
                <w:rFonts w:ascii="Times New Roman" w:hAnsi="Times New Roman"/>
                <w:b/>
                <w:bCs/>
                <w:sz w:val="20"/>
              </w:rPr>
              <w:t xml:space="preserve"> </w:t>
            </w:r>
          </w:p>
          <w:p w14:paraId="7FE1C5D7" w14:textId="77777777" w:rsidR="00CC0A94" w:rsidRDefault="006C1571">
            <w:pPr>
              <w:spacing w:line="276" w:lineRule="auto"/>
              <w:jc w:val="both"/>
              <w:rPr>
                <w:rFonts w:ascii="Times New Roman" w:hAnsi="Times New Roman"/>
                <w:iCs/>
                <w:sz w:val="20"/>
                <w:szCs w:val="20"/>
              </w:rPr>
            </w:pPr>
            <w:r>
              <w:rPr>
                <w:rFonts w:ascii="Times New Roman" w:hAnsi="Times New Roman"/>
                <w:iCs/>
                <w:sz w:val="20"/>
                <w:szCs w:val="20"/>
              </w:rPr>
              <w:t xml:space="preserve">Resolution-resilient features are properties a relevant contract is expected to have </w:t>
            </w:r>
            <w:proofErr w:type="gramStart"/>
            <w:r>
              <w:rPr>
                <w:rFonts w:ascii="Times New Roman" w:hAnsi="Times New Roman"/>
                <w:iCs/>
                <w:sz w:val="20"/>
                <w:szCs w:val="20"/>
              </w:rPr>
              <w:t>in order to</w:t>
            </w:r>
            <w:proofErr w:type="gramEnd"/>
            <w:r>
              <w:rPr>
                <w:rFonts w:ascii="Times New Roman" w:hAnsi="Times New Roman"/>
                <w:iCs/>
                <w:sz w:val="20"/>
                <w:szCs w:val="20"/>
              </w:rPr>
              <w:t xml:space="preserve"> be considered resolution-resilient. They include the following, provided that the substantive obligations under the contract continue to be </w:t>
            </w:r>
            <w:proofErr w:type="gramStart"/>
            <w:r>
              <w:rPr>
                <w:rFonts w:ascii="Times New Roman" w:hAnsi="Times New Roman"/>
                <w:iCs/>
                <w:sz w:val="20"/>
                <w:szCs w:val="20"/>
              </w:rPr>
              <w:t>performed</w:t>
            </w:r>
            <w:proofErr w:type="gramEnd"/>
            <w:r>
              <w:rPr>
                <w:rFonts w:ascii="Times New Roman" w:hAnsi="Times New Roman"/>
                <w:iCs/>
                <w:sz w:val="20"/>
                <w:szCs w:val="20"/>
              </w:rPr>
              <w:t>:</w:t>
            </w:r>
          </w:p>
          <w:p w14:paraId="7FE1C5D8" w14:textId="77777777" w:rsidR="00CC0A94" w:rsidRDefault="006C1571" w:rsidP="002F61BB">
            <w:pPr>
              <w:pStyle w:val="ListParagraph"/>
              <w:numPr>
                <w:ilvl w:val="0"/>
                <w:numId w:val="263"/>
              </w:numPr>
              <w:spacing w:line="276" w:lineRule="auto"/>
              <w:contextualSpacing/>
              <w:jc w:val="both"/>
              <w:rPr>
                <w:rFonts w:ascii="Times New Roman" w:hAnsi="Times New Roman"/>
                <w:iCs/>
                <w:sz w:val="20"/>
                <w:szCs w:val="20"/>
              </w:rPr>
            </w:pPr>
            <w:r>
              <w:rPr>
                <w:rFonts w:ascii="Times New Roman" w:hAnsi="Times New Roman"/>
                <w:iCs/>
                <w:sz w:val="20"/>
                <w:szCs w:val="20"/>
              </w:rPr>
              <w:t>no termination, suspension or modification on the grounds of resolution (incl. business reorganisation under Article 51 of Directive 2014/59/EU</w:t>
            </w:r>
            <w:proofErr w:type="gramStart"/>
            <w:r>
              <w:rPr>
                <w:rFonts w:ascii="Times New Roman" w:hAnsi="Times New Roman"/>
                <w:iCs/>
                <w:sz w:val="20"/>
                <w:szCs w:val="20"/>
              </w:rPr>
              <w:t>);</w:t>
            </w:r>
            <w:proofErr w:type="gramEnd"/>
            <w:r>
              <w:rPr>
                <w:rFonts w:ascii="Times New Roman" w:hAnsi="Times New Roman"/>
                <w:iCs/>
                <w:sz w:val="20"/>
                <w:szCs w:val="20"/>
              </w:rPr>
              <w:t xml:space="preserve"> </w:t>
            </w:r>
          </w:p>
          <w:p w14:paraId="7FE1C5D9" w14:textId="77777777" w:rsidR="00CC0A94" w:rsidRDefault="006C1571" w:rsidP="002F61BB">
            <w:pPr>
              <w:pStyle w:val="ListParagraph"/>
              <w:numPr>
                <w:ilvl w:val="0"/>
                <w:numId w:val="263"/>
              </w:numPr>
              <w:spacing w:line="276" w:lineRule="auto"/>
              <w:contextualSpacing/>
              <w:jc w:val="both"/>
              <w:rPr>
                <w:rFonts w:ascii="Times New Roman" w:hAnsi="Times New Roman"/>
                <w:iCs/>
                <w:sz w:val="20"/>
                <w:szCs w:val="20"/>
              </w:rPr>
            </w:pPr>
            <w:r>
              <w:rPr>
                <w:rFonts w:ascii="Times New Roman" w:hAnsi="Times New Roman"/>
                <w:iCs/>
                <w:sz w:val="20"/>
                <w:szCs w:val="20"/>
              </w:rPr>
              <w:t>the transferability of the service provision to a new recipient either by the service recipient or the resolution authority because of resolution (incl. reorganisation under Article 51 of Directive 2014/59/EU</w:t>
            </w:r>
            <w:proofErr w:type="gramStart"/>
            <w:r>
              <w:rPr>
                <w:rFonts w:ascii="Times New Roman" w:hAnsi="Times New Roman"/>
                <w:iCs/>
                <w:sz w:val="20"/>
                <w:szCs w:val="20"/>
              </w:rPr>
              <w:t>);</w:t>
            </w:r>
            <w:proofErr w:type="gramEnd"/>
            <w:r>
              <w:rPr>
                <w:rFonts w:ascii="Times New Roman" w:hAnsi="Times New Roman"/>
                <w:iCs/>
                <w:sz w:val="20"/>
                <w:szCs w:val="20"/>
              </w:rPr>
              <w:t xml:space="preserve"> </w:t>
            </w:r>
          </w:p>
          <w:p w14:paraId="7FE1C5DA" w14:textId="77777777" w:rsidR="00CC0A94" w:rsidRDefault="006C1571" w:rsidP="002F61BB">
            <w:pPr>
              <w:pStyle w:val="ListParagraph"/>
              <w:numPr>
                <w:ilvl w:val="0"/>
                <w:numId w:val="263"/>
              </w:numPr>
              <w:spacing w:line="276" w:lineRule="auto"/>
              <w:contextualSpacing/>
              <w:jc w:val="both"/>
              <w:rPr>
                <w:rFonts w:ascii="Times New Roman" w:hAnsi="Times New Roman"/>
                <w:iCs/>
                <w:sz w:val="20"/>
                <w:szCs w:val="20"/>
              </w:rPr>
            </w:pPr>
            <w:r>
              <w:rPr>
                <w:rFonts w:ascii="Times New Roman" w:hAnsi="Times New Roman"/>
                <w:iCs/>
                <w:sz w:val="20"/>
                <w:szCs w:val="20"/>
              </w:rPr>
              <w:t>the support in transfer or termination occurring during resolution (incl. reorganisation under Article 51 of Directive 2014/59/EU) for a reasonable period (such as 24 months) by the current service provider and under the same terms and conditions; and</w:t>
            </w:r>
          </w:p>
          <w:p w14:paraId="7FE1C5DB" w14:textId="77777777" w:rsidR="00CC0A94" w:rsidRDefault="006C1571" w:rsidP="002F61BB">
            <w:pPr>
              <w:pStyle w:val="ListParagraph"/>
              <w:numPr>
                <w:ilvl w:val="0"/>
                <w:numId w:val="263"/>
              </w:numPr>
              <w:spacing w:line="276" w:lineRule="auto"/>
              <w:contextualSpacing/>
              <w:jc w:val="both"/>
              <w:rPr>
                <w:rFonts w:ascii="Times New Roman" w:hAnsi="Times New Roman"/>
                <w:iCs/>
                <w:sz w:val="20"/>
                <w:szCs w:val="20"/>
              </w:rPr>
            </w:pPr>
            <w:r>
              <w:rPr>
                <w:rFonts w:ascii="Times New Roman" w:hAnsi="Times New Roman"/>
                <w:iCs/>
                <w:sz w:val="20"/>
                <w:szCs w:val="20"/>
              </w:rPr>
              <w:t xml:space="preserve">the continued service provision to a divested group entity during resolution (incl. reorganisation under Article 51 of Directive 2014/59/EU), for a reasonable </w:t>
            </w:r>
            <w:proofErr w:type="gramStart"/>
            <w:r>
              <w:rPr>
                <w:rFonts w:ascii="Times New Roman" w:hAnsi="Times New Roman"/>
                <w:iCs/>
                <w:sz w:val="20"/>
                <w:szCs w:val="20"/>
              </w:rPr>
              <w:t>period of time</w:t>
            </w:r>
            <w:proofErr w:type="gramEnd"/>
            <w:r>
              <w:rPr>
                <w:rFonts w:ascii="Times New Roman" w:hAnsi="Times New Roman"/>
                <w:iCs/>
                <w:sz w:val="20"/>
                <w:szCs w:val="20"/>
              </w:rPr>
              <w:t xml:space="preserve"> following divestment – such as 24 months.</w:t>
            </w:r>
          </w:p>
          <w:p w14:paraId="7FE1C5DC" w14:textId="77777777" w:rsidR="00CC0A94" w:rsidRDefault="006C1571">
            <w:pPr>
              <w:spacing w:line="276" w:lineRule="auto"/>
              <w:jc w:val="both"/>
              <w:rPr>
                <w:rFonts w:ascii="Times New Roman" w:hAnsi="Times New Roman"/>
                <w:iCs/>
                <w:sz w:val="20"/>
                <w:szCs w:val="20"/>
              </w:rPr>
            </w:pPr>
            <w:r w:rsidRPr="029F4E13">
              <w:rPr>
                <w:rFonts w:ascii="Times New Roman" w:hAnsi="Times New Roman"/>
                <w:sz w:val="20"/>
                <w:szCs w:val="20"/>
              </w:rPr>
              <w:t>This applies to contracts for which the governing law and jurisdiction of the contract is that of an EU Member State</w:t>
            </w:r>
            <w:r>
              <w:rPr>
                <w:rStyle w:val="FootnoteReference"/>
                <w:rFonts w:ascii="Times New Roman" w:hAnsi="Times New Roman"/>
                <w:iCs/>
                <w:sz w:val="20"/>
                <w:szCs w:val="20"/>
              </w:rPr>
              <w:footnoteReference w:id="28"/>
            </w:r>
            <w:r w:rsidRPr="029F4E13">
              <w:rPr>
                <w:rFonts w:ascii="Times New Roman" w:hAnsi="Times New Roman"/>
                <w:sz w:val="20"/>
                <w:szCs w:val="20"/>
              </w:rPr>
              <w:t xml:space="preserve"> (‘EU </w:t>
            </w:r>
            <w:proofErr w:type="gramStart"/>
            <w:r w:rsidRPr="029F4E13">
              <w:rPr>
                <w:rFonts w:ascii="Times New Roman" w:hAnsi="Times New Roman"/>
                <w:sz w:val="20"/>
                <w:szCs w:val="20"/>
              </w:rPr>
              <w:t>contracts’)</w:t>
            </w:r>
            <w:proofErr w:type="gramEnd"/>
            <w:r w:rsidRPr="029F4E13">
              <w:rPr>
                <w:rFonts w:ascii="Times New Roman" w:hAnsi="Times New Roman"/>
                <w:sz w:val="20"/>
                <w:szCs w:val="20"/>
              </w:rPr>
              <w:t>, and contracts to which third-country law applies.</w:t>
            </w:r>
          </w:p>
          <w:p w14:paraId="7FE1C5DD" w14:textId="77777777" w:rsidR="00CC0A94" w:rsidRDefault="00CC0A94">
            <w:pPr>
              <w:spacing w:line="276" w:lineRule="auto"/>
              <w:jc w:val="both"/>
              <w:rPr>
                <w:rFonts w:ascii="Times New Roman" w:hAnsi="Times New Roman"/>
                <w:sz w:val="20"/>
              </w:rPr>
            </w:pPr>
          </w:p>
          <w:p w14:paraId="7FE1C5DE" w14:textId="77777777" w:rsidR="00CC0A94" w:rsidRDefault="006C1571">
            <w:pPr>
              <w:spacing w:line="276" w:lineRule="auto"/>
              <w:jc w:val="both"/>
              <w:rPr>
                <w:rFonts w:ascii="Times New Roman" w:hAnsi="Times New Roman"/>
                <w:sz w:val="20"/>
              </w:rPr>
            </w:pPr>
            <w:proofErr w:type="gramStart"/>
            <w:r>
              <w:rPr>
                <w:rFonts w:ascii="Times New Roman" w:hAnsi="Times New Roman"/>
                <w:sz w:val="20"/>
              </w:rPr>
              <w:t>Report</w:t>
            </w:r>
            <w:proofErr w:type="gramEnd"/>
            <w:r>
              <w:rPr>
                <w:rFonts w:ascii="Times New Roman" w:hAnsi="Times New Roman"/>
                <w:sz w:val="20"/>
              </w:rPr>
              <w:t xml:space="preserve"> one of the following values:</w:t>
            </w:r>
          </w:p>
          <w:p w14:paraId="7FE1C5DF" w14:textId="77777777" w:rsidR="00CC0A94" w:rsidRDefault="006C1571">
            <w:pPr>
              <w:spacing w:line="276" w:lineRule="auto"/>
              <w:jc w:val="both"/>
              <w:rPr>
                <w:rFonts w:ascii="Times New Roman" w:hAnsi="Times New Roman"/>
                <w:sz w:val="20"/>
                <w:szCs w:val="20"/>
              </w:rPr>
            </w:pPr>
            <w:r>
              <w:rPr>
                <w:rFonts w:ascii="Times New Roman" w:hAnsi="Times New Roman"/>
                <w:sz w:val="20"/>
                <w:szCs w:val="20"/>
              </w:rPr>
              <w:t>‘Yes’ – if the contract is assessed as resolution resilient</w:t>
            </w:r>
          </w:p>
          <w:p w14:paraId="7FE1C5E0" w14:textId="77777777" w:rsidR="00CC0A94" w:rsidRDefault="006C1571">
            <w:pPr>
              <w:spacing w:line="276" w:lineRule="auto"/>
              <w:jc w:val="both"/>
              <w:rPr>
                <w:rFonts w:ascii="Times New Roman" w:hAnsi="Times New Roman"/>
                <w:sz w:val="20"/>
                <w:szCs w:val="20"/>
              </w:rPr>
            </w:pPr>
            <w:r>
              <w:rPr>
                <w:rFonts w:ascii="Times New Roman" w:hAnsi="Times New Roman"/>
                <w:sz w:val="20"/>
                <w:szCs w:val="20"/>
              </w:rPr>
              <w:t>‘No’ – if the contract is not assessed as resolution resilient</w:t>
            </w:r>
          </w:p>
          <w:p w14:paraId="7FE1C5E1" w14:textId="77777777" w:rsidR="00CC0A94" w:rsidRDefault="006C1571">
            <w:pPr>
              <w:spacing w:line="276" w:lineRule="auto"/>
              <w:jc w:val="both"/>
              <w:rPr>
                <w:rFonts w:ascii="Times New Roman" w:hAnsi="Times New Roman"/>
                <w:sz w:val="20"/>
                <w:szCs w:val="20"/>
              </w:rPr>
            </w:pPr>
            <w:r>
              <w:rPr>
                <w:rFonts w:ascii="Times New Roman" w:hAnsi="Times New Roman"/>
                <w:sz w:val="20"/>
                <w:szCs w:val="20"/>
              </w:rPr>
              <w:t>‘Not assessed’ – if no assessment has been made</w:t>
            </w:r>
          </w:p>
          <w:p w14:paraId="7FE1C5E2" w14:textId="748C3D0F" w:rsidR="00CC0A94" w:rsidRDefault="006C1571">
            <w:pPr>
              <w:spacing w:line="276" w:lineRule="auto"/>
              <w:jc w:val="both"/>
              <w:rPr>
                <w:rFonts w:ascii="Times New Roman" w:hAnsi="Times New Roman"/>
                <w:sz w:val="20"/>
                <w:szCs w:val="20"/>
              </w:rPr>
            </w:pPr>
            <w:r>
              <w:rPr>
                <w:rFonts w:ascii="Times New Roman" w:hAnsi="Times New Roman"/>
                <w:sz w:val="20"/>
                <w:szCs w:val="20"/>
              </w:rPr>
              <w:t>‘</w:t>
            </w:r>
            <w:r w:rsidR="00E1268F">
              <w:rPr>
                <w:rFonts w:ascii="Times New Roman" w:hAnsi="Times New Roman"/>
                <w:sz w:val="20"/>
                <w:szCs w:val="20"/>
              </w:rPr>
              <w:t>NOT APPLICABLE</w:t>
            </w:r>
            <w:r>
              <w:rPr>
                <w:rFonts w:ascii="Times New Roman" w:hAnsi="Times New Roman"/>
                <w:sz w:val="20"/>
                <w:szCs w:val="20"/>
              </w:rPr>
              <w:t>’ – for intra-entity services</w:t>
            </w:r>
          </w:p>
          <w:p w14:paraId="7FE1C5E3" w14:textId="77777777" w:rsidR="00CC0A94" w:rsidRDefault="00CC0A94">
            <w:pPr>
              <w:spacing w:line="276" w:lineRule="auto"/>
              <w:jc w:val="both"/>
              <w:rPr>
                <w:rFonts w:ascii="Times New Roman" w:hAnsi="Times New Roman"/>
                <w:sz w:val="20"/>
              </w:rPr>
            </w:pPr>
          </w:p>
        </w:tc>
      </w:tr>
      <w:tr w:rsidR="00CC0A94" w14:paraId="7FE1C5EF" w14:textId="77777777" w:rsidTr="029F4E13">
        <w:trPr>
          <w:trHeight w:val="463"/>
        </w:trPr>
        <w:tc>
          <w:tcPr>
            <w:tcW w:w="1418" w:type="dxa"/>
            <w:shd w:val="clear" w:color="auto" w:fill="FFFFFF" w:themeFill="background1"/>
          </w:tcPr>
          <w:p w14:paraId="7FE1C5E5" w14:textId="77777777" w:rsidR="00CC0A94" w:rsidRDefault="006C1571">
            <w:pPr>
              <w:spacing w:before="120" w:after="120" w:line="276" w:lineRule="auto"/>
              <w:rPr>
                <w:rFonts w:ascii="Times New Roman" w:hAnsi="Times New Roman"/>
                <w:sz w:val="20"/>
                <w:szCs w:val="20"/>
              </w:rPr>
            </w:pPr>
            <w:r>
              <w:rPr>
                <w:rFonts w:ascii="Times New Roman" w:hAnsi="Times New Roman"/>
                <w:iCs/>
                <w:sz w:val="20"/>
              </w:rPr>
              <w:t>0110</w:t>
            </w:r>
          </w:p>
        </w:tc>
        <w:tc>
          <w:tcPr>
            <w:tcW w:w="7791" w:type="dxa"/>
            <w:shd w:val="clear" w:color="auto" w:fill="FFFFFF" w:themeFill="background1"/>
          </w:tcPr>
          <w:p w14:paraId="7FE1C5E6" w14:textId="77777777" w:rsidR="00CC0A94" w:rsidRDefault="006C1571">
            <w:pPr>
              <w:spacing w:line="276" w:lineRule="auto"/>
              <w:jc w:val="both"/>
              <w:rPr>
                <w:rFonts w:ascii="Times New Roman" w:hAnsi="Times New Roman"/>
                <w:b/>
                <w:bCs/>
                <w:iCs/>
                <w:sz w:val="20"/>
              </w:rPr>
            </w:pPr>
            <w:r>
              <w:rPr>
                <w:rFonts w:ascii="Times New Roman" w:hAnsi="Times New Roman"/>
                <w:b/>
                <w:bCs/>
                <w:iCs/>
                <w:sz w:val="20"/>
              </w:rPr>
              <w:t>Business Reorganization Plan (BRP)</w:t>
            </w:r>
          </w:p>
          <w:p w14:paraId="7FE1C5E7" w14:textId="77777777" w:rsidR="00CC0A94" w:rsidRDefault="006C1571">
            <w:pPr>
              <w:spacing w:line="276" w:lineRule="auto"/>
              <w:jc w:val="both"/>
              <w:rPr>
                <w:rFonts w:ascii="Times New Roman" w:hAnsi="Times New Roman"/>
                <w:iCs/>
                <w:sz w:val="20"/>
              </w:rPr>
            </w:pPr>
            <w:r>
              <w:rPr>
                <w:rFonts w:ascii="Times New Roman" w:hAnsi="Times New Roman"/>
                <w:iCs/>
                <w:sz w:val="20"/>
              </w:rPr>
              <w:t xml:space="preserve">If the resolution strategy (either preferred or variant) requires a business reorganization plan, EU contracts are expected to include explicit clauses to ensure their resolution-resilience in the implementation of business </w:t>
            </w:r>
            <w:proofErr w:type="spellStart"/>
            <w:r>
              <w:rPr>
                <w:rFonts w:ascii="Times New Roman" w:hAnsi="Times New Roman"/>
                <w:iCs/>
                <w:sz w:val="20"/>
              </w:rPr>
              <w:t>reorganisation</w:t>
            </w:r>
            <w:proofErr w:type="spellEnd"/>
            <w:r>
              <w:rPr>
                <w:rFonts w:ascii="Times New Roman" w:hAnsi="Times New Roman"/>
                <w:iCs/>
                <w:sz w:val="20"/>
              </w:rPr>
              <w:t xml:space="preserve"> plans (BRP).</w:t>
            </w:r>
          </w:p>
          <w:p w14:paraId="7FE1C5E8" w14:textId="77777777" w:rsidR="00CC0A94" w:rsidRDefault="00CC0A94">
            <w:pPr>
              <w:spacing w:line="276" w:lineRule="auto"/>
              <w:jc w:val="both"/>
              <w:rPr>
                <w:rFonts w:ascii="Times New Roman" w:hAnsi="Times New Roman"/>
                <w:iCs/>
                <w:sz w:val="20"/>
              </w:rPr>
            </w:pPr>
          </w:p>
          <w:p w14:paraId="7FE1C5E9" w14:textId="77777777" w:rsidR="00CC0A94" w:rsidRDefault="006C1571">
            <w:pPr>
              <w:spacing w:line="276" w:lineRule="auto"/>
              <w:jc w:val="both"/>
              <w:rPr>
                <w:rFonts w:ascii="Times New Roman" w:hAnsi="Times New Roman"/>
                <w:iCs/>
                <w:sz w:val="20"/>
              </w:rPr>
            </w:pPr>
            <w:proofErr w:type="gramStart"/>
            <w:r>
              <w:rPr>
                <w:rFonts w:ascii="Times New Roman" w:hAnsi="Times New Roman"/>
                <w:iCs/>
                <w:sz w:val="20"/>
              </w:rPr>
              <w:t>Report</w:t>
            </w:r>
            <w:proofErr w:type="gramEnd"/>
            <w:r>
              <w:rPr>
                <w:rFonts w:ascii="Times New Roman" w:hAnsi="Times New Roman"/>
                <w:iCs/>
                <w:sz w:val="20"/>
              </w:rPr>
              <w:t xml:space="preserve"> one of the following values:</w:t>
            </w:r>
          </w:p>
          <w:p w14:paraId="7FE1C5EA"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Yes’ – if the contract includes explicit clauses to ensure their resolution-resilience in the implementation of the BRP</w:t>
            </w:r>
          </w:p>
          <w:p w14:paraId="7FE1C5EB"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No’ - if the contract doesn’t include explicit clauses to ensure their resolution-resilience in the implementation of the BRP</w:t>
            </w:r>
          </w:p>
          <w:p w14:paraId="7FE1C5EC"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Not assessed’ – if no assessment has been made</w:t>
            </w:r>
          </w:p>
          <w:p w14:paraId="7FE1C5ED" w14:textId="430F5732" w:rsidR="00CC0A94" w:rsidRDefault="006C1571">
            <w:pPr>
              <w:spacing w:line="276" w:lineRule="auto"/>
              <w:jc w:val="both"/>
              <w:rPr>
                <w:rFonts w:ascii="Times New Roman" w:hAnsi="Times New Roman"/>
                <w:iCs/>
                <w:sz w:val="20"/>
              </w:rPr>
            </w:pPr>
            <w:r>
              <w:rPr>
                <w:rFonts w:ascii="Times New Roman" w:hAnsi="Times New Roman"/>
              </w:rPr>
              <w:t>‘</w:t>
            </w:r>
            <w:r w:rsidR="00E1268F">
              <w:rPr>
                <w:rFonts w:ascii="Times New Roman" w:hAnsi="Times New Roman"/>
                <w:iCs/>
                <w:sz w:val="20"/>
              </w:rPr>
              <w:t>NOT APPLICABLE</w:t>
            </w:r>
            <w:r>
              <w:rPr>
                <w:rFonts w:ascii="Times New Roman" w:hAnsi="Times New Roman"/>
                <w:iCs/>
                <w:sz w:val="20"/>
              </w:rPr>
              <w:t xml:space="preserve">’ – for intra-entity services or for intra-group and external services, if the resolution strategy (preferred and variant) does not require a business reorganization plan </w:t>
            </w:r>
          </w:p>
          <w:p w14:paraId="7FE1C5EE" w14:textId="77777777" w:rsidR="00CC0A94" w:rsidRDefault="00CC0A94">
            <w:pPr>
              <w:spacing w:line="276" w:lineRule="auto"/>
              <w:jc w:val="both"/>
              <w:rPr>
                <w:rFonts w:ascii="Times New Roman" w:hAnsi="Times New Roman"/>
                <w:i/>
                <w:sz w:val="20"/>
              </w:rPr>
            </w:pPr>
          </w:p>
        </w:tc>
      </w:tr>
      <w:tr w:rsidR="00CC0A94" w14:paraId="7FE1C5F9" w14:textId="77777777" w:rsidTr="029F4E13">
        <w:trPr>
          <w:trHeight w:val="463"/>
        </w:trPr>
        <w:tc>
          <w:tcPr>
            <w:tcW w:w="1418" w:type="dxa"/>
            <w:shd w:val="clear" w:color="auto" w:fill="FFFFFF" w:themeFill="background1"/>
          </w:tcPr>
          <w:p w14:paraId="7FE1C5F0" w14:textId="77777777" w:rsidR="00CC0A94" w:rsidRDefault="006C1571">
            <w:pPr>
              <w:spacing w:before="120" w:after="120" w:line="276" w:lineRule="auto"/>
              <w:rPr>
                <w:rFonts w:ascii="Times New Roman" w:hAnsi="Times New Roman"/>
                <w:sz w:val="20"/>
                <w:szCs w:val="20"/>
              </w:rPr>
            </w:pPr>
            <w:r>
              <w:rPr>
                <w:rFonts w:ascii="Times New Roman" w:hAnsi="Times New Roman"/>
                <w:iCs/>
                <w:sz w:val="20"/>
              </w:rPr>
              <w:lastRenderedPageBreak/>
              <w:t>0120</w:t>
            </w:r>
          </w:p>
        </w:tc>
        <w:tc>
          <w:tcPr>
            <w:tcW w:w="7791" w:type="dxa"/>
            <w:shd w:val="clear" w:color="auto" w:fill="FFFFFF" w:themeFill="background1"/>
          </w:tcPr>
          <w:p w14:paraId="7FE1C5F1" w14:textId="77777777" w:rsidR="00CC0A94" w:rsidRDefault="006C1571">
            <w:pPr>
              <w:spacing w:line="276" w:lineRule="auto"/>
              <w:jc w:val="both"/>
              <w:rPr>
                <w:rFonts w:ascii="Times New Roman" w:hAnsi="Times New Roman"/>
                <w:sz w:val="20"/>
              </w:rPr>
            </w:pPr>
            <w:r>
              <w:rPr>
                <w:rFonts w:ascii="Times New Roman" w:hAnsi="Times New Roman"/>
                <w:b/>
                <w:bCs/>
                <w:iCs/>
                <w:sz w:val="20"/>
              </w:rPr>
              <w:t>Alternative mitigating actions</w:t>
            </w:r>
            <w:r>
              <w:rPr>
                <w:rFonts w:ascii="Times New Roman" w:hAnsi="Times New Roman"/>
                <w:sz w:val="20"/>
              </w:rPr>
              <w:t xml:space="preserve"> </w:t>
            </w:r>
          </w:p>
          <w:p w14:paraId="7FE1C5F2" w14:textId="77777777" w:rsidR="00CC0A94" w:rsidRDefault="006C1571">
            <w:pPr>
              <w:spacing w:line="276" w:lineRule="auto"/>
              <w:jc w:val="both"/>
              <w:rPr>
                <w:rFonts w:ascii="Times New Roman" w:hAnsi="Times New Roman"/>
                <w:sz w:val="20"/>
              </w:rPr>
            </w:pPr>
            <w:r>
              <w:rPr>
                <w:rFonts w:ascii="Times New Roman" w:hAnsi="Times New Roman"/>
                <w:sz w:val="20"/>
              </w:rPr>
              <w:t xml:space="preserve">Where resolution resilience is expected to be achieved, but the banks have not been able to do so, banks are expected to explore alternative mitigating actions. </w:t>
            </w:r>
          </w:p>
          <w:p w14:paraId="7FE1C5F3" w14:textId="77777777" w:rsidR="00CC0A94" w:rsidRDefault="00CC0A94">
            <w:pPr>
              <w:spacing w:line="276" w:lineRule="auto"/>
              <w:jc w:val="both"/>
              <w:rPr>
                <w:rFonts w:ascii="Times New Roman" w:hAnsi="Times New Roman"/>
                <w:sz w:val="20"/>
              </w:rPr>
            </w:pPr>
          </w:p>
          <w:p w14:paraId="7FE1C5F4" w14:textId="77777777" w:rsidR="00CC0A94" w:rsidRDefault="006C1571">
            <w:pPr>
              <w:spacing w:line="276" w:lineRule="auto"/>
              <w:jc w:val="both"/>
              <w:rPr>
                <w:rFonts w:ascii="Times New Roman" w:hAnsi="Times New Roman"/>
                <w:iCs/>
                <w:sz w:val="20"/>
              </w:rPr>
            </w:pPr>
            <w:proofErr w:type="gramStart"/>
            <w:r>
              <w:rPr>
                <w:rFonts w:ascii="Times New Roman" w:hAnsi="Times New Roman"/>
                <w:iCs/>
                <w:sz w:val="20"/>
              </w:rPr>
              <w:t>Report</w:t>
            </w:r>
            <w:proofErr w:type="gramEnd"/>
            <w:r>
              <w:rPr>
                <w:rFonts w:ascii="Times New Roman" w:hAnsi="Times New Roman"/>
                <w:iCs/>
                <w:sz w:val="20"/>
              </w:rPr>
              <w:t xml:space="preserve"> one of the following values:</w:t>
            </w:r>
          </w:p>
          <w:p w14:paraId="7FE1C5F5"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Yes’ – if the bank has implemented alternative mitigating actions</w:t>
            </w:r>
          </w:p>
          <w:p w14:paraId="7FE1C5F6"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No’ - if the bank has not implemented alternative mitigating actions</w:t>
            </w:r>
          </w:p>
          <w:p w14:paraId="7FE1C5F7" w14:textId="20F99367" w:rsidR="00CC0A94" w:rsidRDefault="006C1571">
            <w:pPr>
              <w:spacing w:line="276" w:lineRule="auto"/>
              <w:jc w:val="both"/>
              <w:rPr>
                <w:rFonts w:ascii="Times New Roman" w:hAnsi="Times New Roman"/>
                <w:iCs/>
                <w:sz w:val="20"/>
              </w:rPr>
            </w:pPr>
            <w:r>
              <w:rPr>
                <w:rFonts w:ascii="Times New Roman" w:hAnsi="Times New Roman"/>
              </w:rPr>
              <w:t>‘</w:t>
            </w:r>
            <w:r w:rsidR="00E1268F">
              <w:rPr>
                <w:rFonts w:ascii="Times New Roman" w:hAnsi="Times New Roman"/>
                <w:iCs/>
                <w:sz w:val="20"/>
              </w:rPr>
              <w:t>NOT APPLICABLE</w:t>
            </w:r>
            <w:r>
              <w:rPr>
                <w:rFonts w:ascii="Times New Roman" w:hAnsi="Times New Roman"/>
                <w:iCs/>
                <w:sz w:val="20"/>
              </w:rPr>
              <w:t>’ – in cases where any of the columns 0150, 0160 are marked as ‘Yes’ or ‘</w:t>
            </w:r>
            <w:r w:rsidR="00E1268F">
              <w:rPr>
                <w:rFonts w:ascii="Times New Roman" w:hAnsi="Times New Roman"/>
                <w:iCs/>
                <w:sz w:val="20"/>
              </w:rPr>
              <w:t>NOT APPLICABLE</w:t>
            </w:r>
            <w:r>
              <w:rPr>
                <w:rFonts w:ascii="Times New Roman" w:hAnsi="Times New Roman"/>
                <w:iCs/>
                <w:sz w:val="20"/>
              </w:rPr>
              <w:t>’</w:t>
            </w:r>
          </w:p>
          <w:p w14:paraId="7FE1C5F8" w14:textId="77777777" w:rsidR="00CC0A94" w:rsidRDefault="00CC0A94">
            <w:pPr>
              <w:spacing w:line="276" w:lineRule="auto"/>
              <w:jc w:val="both"/>
              <w:rPr>
                <w:rFonts w:ascii="Times New Roman" w:hAnsi="Times New Roman"/>
                <w:sz w:val="20"/>
              </w:rPr>
            </w:pPr>
          </w:p>
        </w:tc>
      </w:tr>
    </w:tbl>
    <w:p w14:paraId="7FE1C5FA" w14:textId="77777777" w:rsidR="00CC0A94" w:rsidRPr="002F61BB" w:rsidRDefault="00CC0A94">
      <w:pPr>
        <w:rPr>
          <w:rFonts w:ascii="Times New Roman" w:eastAsia="Times New Roman" w:hAnsi="Times New Roman" w:cs="Times New Roman"/>
          <w:sz w:val="20"/>
          <w:szCs w:val="20"/>
          <w:u w:val="single"/>
        </w:rPr>
      </w:pPr>
    </w:p>
    <w:p w14:paraId="7FE1C5FB" w14:textId="77777777" w:rsidR="00CC0A94" w:rsidRPr="002F61BB" w:rsidRDefault="00CC0A94">
      <w:pPr>
        <w:rPr>
          <w:rFonts w:ascii="Times New Roman" w:hAnsi="Times New Roman" w:cs="Times New Roman"/>
        </w:rPr>
      </w:pPr>
    </w:p>
    <w:p w14:paraId="7FE1C5FC"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30" w:name="_Toc192249069"/>
      <w:r>
        <w:rPr>
          <w:rFonts w:ascii="Times New Roman" w:hAnsi="Times New Roman" w:cs="Times New Roman"/>
        </w:rPr>
        <w:t>Z 08.03 — Relevant services – mapping to roles (SERV 3)</w:t>
      </w:r>
      <w:bookmarkEnd w:id="130"/>
    </w:p>
    <w:p w14:paraId="7FE1C5FD" w14:textId="77777777" w:rsidR="00CC0A94" w:rsidRPr="002F61BB" w:rsidRDefault="006C1571">
      <w:pPr>
        <w:spacing w:line="276" w:lineRule="auto"/>
        <w:jc w:val="both"/>
        <w:rPr>
          <w:rFonts w:ascii="Times New Roman" w:eastAsia="Calibri" w:hAnsi="Times New Roman" w:cs="Times New Roman"/>
          <w:sz w:val="20"/>
          <w:szCs w:val="20"/>
        </w:rPr>
      </w:pPr>
      <w:r w:rsidRPr="002F61BB">
        <w:rPr>
          <w:rFonts w:ascii="Times New Roman" w:eastAsia="Calibri" w:hAnsi="Times New Roman" w:cs="Times New Roman"/>
          <w:sz w:val="20"/>
          <w:szCs w:val="20"/>
        </w:rPr>
        <w:t>General instructions</w:t>
      </w:r>
    </w:p>
    <w:p w14:paraId="7FE1C5FE" w14:textId="77777777" w:rsidR="00CC0A94" w:rsidRDefault="006C1571" w:rsidP="002F61BB">
      <w:pPr>
        <w:pStyle w:val="Instructionsberschrift3"/>
        <w:numPr>
          <w:ilvl w:val="2"/>
          <w:numId w:val="211"/>
        </w:numPr>
        <w:ind w:left="993"/>
        <w:contextualSpacing/>
        <w:jc w:val="both"/>
        <w:rPr>
          <w:rFonts w:eastAsia="MS Mincho"/>
          <w:u w:val="none"/>
        </w:rPr>
      </w:pPr>
      <w:r>
        <w:rPr>
          <w:rFonts w:eastAsia="MS Mincho"/>
          <w:color w:val="auto"/>
          <w:szCs w:val="24"/>
          <w:u w:val="none"/>
        </w:rPr>
        <w:t xml:space="preserve">The information to be included in this template shall be reported once for the entire group, list relevant services received by any entity in the </w:t>
      </w:r>
      <w:proofErr w:type="gramStart"/>
      <w:r>
        <w:rPr>
          <w:rFonts w:eastAsia="MS Mincho"/>
          <w:color w:val="auto"/>
          <w:szCs w:val="24"/>
          <w:u w:val="none"/>
        </w:rPr>
        <w:t>group, and</w:t>
      </w:r>
      <w:proofErr w:type="gramEnd"/>
      <w:r>
        <w:rPr>
          <w:rFonts w:eastAsia="MS Mincho"/>
          <w:color w:val="auto"/>
          <w:szCs w:val="24"/>
          <w:u w:val="none"/>
        </w:rPr>
        <w:t xml:space="preserve"> link them to the relevant roles</w:t>
      </w:r>
      <w:r>
        <w:rPr>
          <w:rFonts w:eastAsia="MS Mincho"/>
          <w:u w:val="none"/>
        </w:rPr>
        <w:t>.</w:t>
      </w:r>
    </w:p>
    <w:p w14:paraId="7FE1C5FF" w14:textId="77777777" w:rsidR="00CC0A94" w:rsidRDefault="006C1571" w:rsidP="002F61BB">
      <w:pPr>
        <w:pStyle w:val="Instructionsberschrift3"/>
        <w:numPr>
          <w:ilvl w:val="2"/>
          <w:numId w:val="211"/>
        </w:numPr>
        <w:ind w:left="993"/>
        <w:contextualSpacing/>
        <w:jc w:val="both"/>
        <w:rPr>
          <w:u w:val="none"/>
        </w:rPr>
      </w:pPr>
      <w:r>
        <w:rPr>
          <w:rFonts w:eastAsia="MS Mincho"/>
          <w:color w:val="auto"/>
          <w:szCs w:val="24"/>
          <w:u w:val="none"/>
        </w:rPr>
        <w:t xml:space="preserve">The values reported in columns 0010, 0020 and 0030 of this </w:t>
      </w:r>
      <w:proofErr w:type="gramStart"/>
      <w:r>
        <w:rPr>
          <w:rFonts w:eastAsia="MS Mincho"/>
          <w:color w:val="auto"/>
          <w:szCs w:val="24"/>
          <w:u w:val="none"/>
        </w:rPr>
        <w:t>template</w:t>
      </w:r>
      <w:proofErr w:type="gramEnd"/>
      <w:r>
        <w:rPr>
          <w:rFonts w:eastAsia="MS Mincho"/>
          <w:color w:val="auto"/>
          <w:szCs w:val="24"/>
          <w:u w:val="none"/>
        </w:rPr>
        <w:t xml:space="preserve"> form a primary key, which </w:t>
      </w:r>
      <w:proofErr w:type="gramStart"/>
      <w:r>
        <w:rPr>
          <w:rFonts w:eastAsia="MS Mincho"/>
          <w:color w:val="auto"/>
          <w:szCs w:val="24"/>
          <w:u w:val="none"/>
        </w:rPr>
        <w:t>have to</w:t>
      </w:r>
      <w:proofErr w:type="gramEnd"/>
      <w:r>
        <w:rPr>
          <w:rFonts w:eastAsia="MS Mincho"/>
          <w:color w:val="auto"/>
          <w:szCs w:val="24"/>
          <w:u w:val="none"/>
        </w:rPr>
        <w:t xml:space="preserve"> be unique for each row of the template</w:t>
      </w:r>
    </w:p>
    <w:p w14:paraId="7FE1C604" w14:textId="77777777" w:rsidR="00CC0A94" w:rsidRPr="002F61BB" w:rsidRDefault="00CC0A94">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CC0A94" w14:paraId="7FE1C607" w14:textId="77777777" w:rsidTr="002F61BB">
        <w:trPr>
          <w:trHeight w:val="519"/>
          <w:tblHeader/>
        </w:trPr>
        <w:tc>
          <w:tcPr>
            <w:tcW w:w="1418" w:type="dxa"/>
            <w:shd w:val="clear" w:color="auto" w:fill="D9D9D9" w:themeFill="background1" w:themeFillShade="D9"/>
          </w:tcPr>
          <w:p w14:paraId="7FE1C605"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Columns</w:t>
            </w:r>
          </w:p>
        </w:tc>
        <w:tc>
          <w:tcPr>
            <w:tcW w:w="7649" w:type="dxa"/>
            <w:shd w:val="clear" w:color="auto" w:fill="D9D9D9" w:themeFill="background1" w:themeFillShade="D9"/>
          </w:tcPr>
          <w:p w14:paraId="7FE1C606"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Instructions</w:t>
            </w:r>
          </w:p>
        </w:tc>
      </w:tr>
      <w:tr w:rsidR="00CC0A94" w14:paraId="7FE1C60C" w14:textId="77777777" w:rsidTr="002F61BB">
        <w:trPr>
          <w:trHeight w:val="450"/>
        </w:trPr>
        <w:tc>
          <w:tcPr>
            <w:tcW w:w="1418" w:type="dxa"/>
          </w:tcPr>
          <w:p w14:paraId="7FE1C608"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0005</w:t>
            </w:r>
          </w:p>
        </w:tc>
        <w:tc>
          <w:tcPr>
            <w:tcW w:w="7649" w:type="dxa"/>
          </w:tcPr>
          <w:p w14:paraId="7FE1C609"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 xml:space="preserve">Service Identifier </w:t>
            </w:r>
          </w:p>
          <w:p w14:paraId="7FE1C60A"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Use the Service identifier as reported in Z 08.01 (SERV 1).</w:t>
            </w:r>
          </w:p>
          <w:p w14:paraId="7FE1C60B" w14:textId="77777777" w:rsidR="00CC0A94" w:rsidRPr="002F61BB" w:rsidRDefault="006C1571">
            <w:pPr>
              <w:spacing w:before="120" w:after="120" w:line="276" w:lineRule="auto"/>
              <w:rPr>
                <w:rFonts w:ascii="Times New Roman" w:hAnsi="Times New Roman"/>
                <w:iCs/>
                <w:sz w:val="20"/>
                <w:szCs w:val="20"/>
              </w:rPr>
            </w:pPr>
            <w:r>
              <w:rPr>
                <w:rFonts w:ascii="Times New Roman" w:hAnsi="Times New Roman"/>
                <w:sz w:val="20"/>
                <w:szCs w:val="20"/>
              </w:rPr>
              <w:t>The service identifier refers to the service reported under c0020.</w:t>
            </w:r>
          </w:p>
        </w:tc>
      </w:tr>
      <w:tr w:rsidR="00CC0A94" w14:paraId="7FE1C650" w14:textId="77777777" w:rsidTr="002F61BB">
        <w:trPr>
          <w:trHeight w:val="450"/>
        </w:trPr>
        <w:tc>
          <w:tcPr>
            <w:tcW w:w="1418" w:type="dxa"/>
          </w:tcPr>
          <w:p w14:paraId="7FE1C60D"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0010</w:t>
            </w:r>
          </w:p>
        </w:tc>
        <w:tc>
          <w:tcPr>
            <w:tcW w:w="7649" w:type="dxa"/>
          </w:tcPr>
          <w:p w14:paraId="7FE1C60E" w14:textId="77777777" w:rsidR="00CC0A94" w:rsidRDefault="006C1571">
            <w:pPr>
              <w:autoSpaceDE w:val="0"/>
              <w:autoSpaceDN w:val="0"/>
              <w:adjustRightInd w:val="0"/>
              <w:rPr>
                <w:rFonts w:ascii="Times New Roman" w:eastAsia="MS Mincho" w:hAnsi="Times New Roman"/>
                <w:b/>
                <w:bCs/>
                <w:sz w:val="20"/>
                <w:szCs w:val="20"/>
                <w:lang w:eastAsia="en-GB"/>
              </w:rPr>
            </w:pPr>
            <w:r>
              <w:rPr>
                <w:rFonts w:ascii="Times New Roman" w:hAnsi="Times New Roman"/>
                <w:b/>
                <w:bCs/>
                <w:sz w:val="20"/>
                <w:szCs w:val="20"/>
              </w:rPr>
              <w:t>Service type</w:t>
            </w:r>
            <w:r>
              <w:rPr>
                <w:rFonts w:ascii="Times New Roman" w:eastAsia="MS Mincho" w:hAnsi="Times New Roman"/>
                <w:b/>
                <w:bCs/>
                <w:sz w:val="20"/>
                <w:szCs w:val="20"/>
                <w:lang w:eastAsia="en-GB"/>
              </w:rPr>
              <w:t xml:space="preserve"> </w:t>
            </w:r>
          </w:p>
          <w:p w14:paraId="7FE1C645" w14:textId="21F3184E" w:rsidR="00CC0A94" w:rsidRDefault="006C1571">
            <w:pPr>
              <w:autoSpaceDE w:val="0"/>
              <w:autoSpaceDN w:val="0"/>
              <w:adjustRightInd w:val="0"/>
              <w:rPr>
                <w:rFonts w:ascii="Times New Roman" w:eastAsia="MS Mincho" w:hAnsi="Times New Roman"/>
                <w:sz w:val="20"/>
                <w:szCs w:val="20"/>
                <w:lang w:eastAsia="en-GB"/>
              </w:rPr>
            </w:pPr>
            <w:r>
              <w:rPr>
                <w:rFonts w:ascii="Times New Roman" w:eastAsia="MS Mincho" w:hAnsi="Times New Roman"/>
                <w:sz w:val="20"/>
                <w:szCs w:val="20"/>
                <w:lang w:eastAsia="en-GB"/>
              </w:rPr>
              <w:t xml:space="preserve">The service type shall be one of the service types listed under Z 08.01 0010 above. </w:t>
            </w:r>
          </w:p>
          <w:p w14:paraId="7FE1C64F" w14:textId="2C039B1C" w:rsidR="00CC0A94" w:rsidRDefault="00CC0A94">
            <w:pPr>
              <w:spacing w:before="120" w:after="120" w:line="276" w:lineRule="auto"/>
              <w:rPr>
                <w:rFonts w:ascii="Times New Roman" w:hAnsi="Times New Roman"/>
                <w:sz w:val="20"/>
                <w:szCs w:val="20"/>
              </w:rPr>
            </w:pPr>
          </w:p>
        </w:tc>
      </w:tr>
      <w:tr w:rsidR="00CC0A94" w14:paraId="7FE1C655" w14:textId="77777777" w:rsidTr="002F61BB">
        <w:trPr>
          <w:trHeight w:val="450"/>
        </w:trPr>
        <w:tc>
          <w:tcPr>
            <w:tcW w:w="1418" w:type="dxa"/>
          </w:tcPr>
          <w:p w14:paraId="7FE1C651"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0020</w:t>
            </w:r>
          </w:p>
        </w:tc>
        <w:tc>
          <w:tcPr>
            <w:tcW w:w="7649" w:type="dxa"/>
          </w:tcPr>
          <w:p w14:paraId="7FE1C652"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Unique service title as per bank taxonomy</w:t>
            </w:r>
            <w:r>
              <w:rPr>
                <w:rFonts w:ascii="Times New Roman" w:hAnsi="Times New Roman"/>
                <w:b/>
                <w:bCs/>
                <w:sz w:val="20"/>
              </w:rPr>
              <w:t xml:space="preserve"> </w:t>
            </w:r>
          </w:p>
          <w:p w14:paraId="7FE1C653" w14:textId="61186926" w:rsidR="00CC0A94" w:rsidRPr="002F61BB" w:rsidRDefault="006C1571" w:rsidP="002F61BB">
            <w:pPr>
              <w:rPr>
                <w:rFonts w:ascii="Times New Roman" w:eastAsiaTheme="minorHAnsi" w:hAnsi="Times New Roman"/>
                <w:sz w:val="24"/>
                <w:lang w:val="en-GB" w:eastAsia="en-GB"/>
              </w:rPr>
            </w:pPr>
            <w:r>
              <w:rPr>
                <w:rFonts w:ascii="Times New Roman" w:hAnsi="Times New Roman"/>
                <w:sz w:val="20"/>
              </w:rPr>
              <w:t>Name/short description of service according to bank’s own tiered taxonomy (Level 3</w:t>
            </w:r>
            <w:proofErr w:type="gramStart"/>
            <w:r>
              <w:rPr>
                <w:rFonts w:ascii="Times New Roman" w:hAnsi="Times New Roman"/>
                <w:sz w:val="20"/>
              </w:rPr>
              <w:t>)</w:t>
            </w:r>
            <w:r w:rsidR="00086C16">
              <w:rPr>
                <w:rFonts w:ascii="Times New Roman" w:hAnsi="Times New Roman"/>
                <w:sz w:val="20"/>
              </w:rPr>
              <w:t xml:space="preserve"> )</w:t>
            </w:r>
            <w:proofErr w:type="gramEnd"/>
            <w:r w:rsidR="00086C16">
              <w:rPr>
                <w:rFonts w:ascii="Times New Roman" w:hAnsi="Times New Roman"/>
                <w:sz w:val="20"/>
              </w:rPr>
              <w:t xml:space="preserve"> as reported in Z 08.01 (SERV 1) column 0020</w:t>
            </w:r>
            <w:r>
              <w:rPr>
                <w:rFonts w:ascii="Times New Roman" w:hAnsi="Times New Roman"/>
                <w:sz w:val="20"/>
              </w:rPr>
              <w:t xml:space="preserve">. The bank is expected to </w:t>
            </w:r>
            <w:proofErr w:type="gramStart"/>
            <w:r>
              <w:rPr>
                <w:rFonts w:ascii="Times New Roman" w:hAnsi="Times New Roman"/>
                <w:sz w:val="20"/>
              </w:rPr>
              <w:t>report</w:t>
            </w:r>
            <w:proofErr w:type="gramEnd"/>
            <w:r>
              <w:rPr>
                <w:rFonts w:ascii="Times New Roman" w:hAnsi="Times New Roman"/>
                <w:sz w:val="20"/>
              </w:rPr>
              <w:t xml:space="preserve"> the services at a more granular level than the reporting provided for Level 2 (c0010), so that each </w:t>
            </w:r>
            <w:proofErr w:type="gramStart"/>
            <w:r>
              <w:rPr>
                <w:rFonts w:ascii="Times New Roman" w:hAnsi="Times New Roman"/>
                <w:sz w:val="20"/>
              </w:rPr>
              <w:t>particular service</w:t>
            </w:r>
            <w:proofErr w:type="gramEnd"/>
            <w:r>
              <w:rPr>
                <w:rFonts w:ascii="Times New Roman" w:hAnsi="Times New Roman"/>
                <w:sz w:val="20"/>
              </w:rPr>
              <w:t xml:space="preserve"> is defined in a precise and targeted way.</w:t>
            </w:r>
          </w:p>
          <w:p w14:paraId="7FE1C654" w14:textId="77777777" w:rsidR="00CC0A94" w:rsidRDefault="00CC0A94">
            <w:pPr>
              <w:spacing w:before="120" w:after="120" w:line="276" w:lineRule="auto"/>
              <w:rPr>
                <w:rFonts w:ascii="Times New Roman" w:hAnsi="Times New Roman"/>
                <w:sz w:val="20"/>
                <w:szCs w:val="20"/>
              </w:rPr>
            </w:pPr>
          </w:p>
        </w:tc>
      </w:tr>
      <w:tr w:rsidR="00CC0A94" w14:paraId="7FE1C65A" w14:textId="77777777" w:rsidTr="002F61BB">
        <w:trPr>
          <w:trHeight w:val="450"/>
        </w:trPr>
        <w:tc>
          <w:tcPr>
            <w:tcW w:w="1418" w:type="dxa"/>
          </w:tcPr>
          <w:p w14:paraId="7FE1C656" w14:textId="77777777" w:rsidR="00CC0A94" w:rsidRDefault="006C1571">
            <w:pPr>
              <w:spacing w:before="120" w:after="120" w:line="276" w:lineRule="auto"/>
              <w:rPr>
                <w:rFonts w:ascii="Times New Roman" w:hAnsi="Times New Roman"/>
                <w:b/>
                <w:sz w:val="20"/>
                <w:szCs w:val="20"/>
              </w:rPr>
            </w:pPr>
            <w:r>
              <w:rPr>
                <w:rFonts w:ascii="Times New Roman" w:hAnsi="Times New Roman"/>
                <w:sz w:val="20"/>
                <w:szCs w:val="20"/>
              </w:rPr>
              <w:t>0030</w:t>
            </w:r>
          </w:p>
        </w:tc>
        <w:tc>
          <w:tcPr>
            <w:tcW w:w="7649" w:type="dxa"/>
          </w:tcPr>
          <w:p w14:paraId="7FE1C657" w14:textId="77777777" w:rsidR="00CC0A94" w:rsidRDefault="006C1571">
            <w:pPr>
              <w:spacing w:before="120" w:after="120" w:line="276" w:lineRule="auto"/>
              <w:rPr>
                <w:rFonts w:ascii="Times New Roman" w:hAnsi="Times New Roman"/>
                <w:b/>
                <w:bCs/>
                <w:sz w:val="20"/>
              </w:rPr>
            </w:pPr>
            <w:r>
              <w:rPr>
                <w:rFonts w:ascii="Times New Roman" w:hAnsi="Times New Roman"/>
                <w:b/>
                <w:bCs/>
                <w:sz w:val="20"/>
                <w:szCs w:val="20"/>
              </w:rPr>
              <w:t>Role ID</w:t>
            </w:r>
            <w:r>
              <w:rPr>
                <w:rFonts w:ascii="Times New Roman" w:hAnsi="Times New Roman"/>
                <w:b/>
                <w:bCs/>
                <w:sz w:val="20"/>
              </w:rPr>
              <w:t xml:space="preserve"> </w:t>
            </w:r>
          </w:p>
          <w:p w14:paraId="7FE1C658" w14:textId="77777777" w:rsidR="00CC0A94" w:rsidRDefault="006C1571">
            <w:pPr>
              <w:spacing w:before="120" w:after="120" w:line="276" w:lineRule="auto"/>
              <w:rPr>
                <w:rFonts w:ascii="Times New Roman" w:hAnsi="Times New Roman"/>
                <w:sz w:val="20"/>
              </w:rPr>
            </w:pPr>
            <w:r>
              <w:rPr>
                <w:rFonts w:ascii="Times New Roman" w:hAnsi="Times New Roman"/>
                <w:sz w:val="20"/>
              </w:rPr>
              <w:t>The role identifier refers to the role reported under c0040.</w:t>
            </w:r>
          </w:p>
          <w:p w14:paraId="7FE1C659" w14:textId="77777777" w:rsidR="00CC0A94" w:rsidRDefault="00CC0A94">
            <w:pPr>
              <w:spacing w:before="120" w:after="120" w:line="276" w:lineRule="auto"/>
              <w:rPr>
                <w:rFonts w:ascii="Times New Roman" w:hAnsi="Times New Roman"/>
                <w:sz w:val="20"/>
                <w:szCs w:val="20"/>
              </w:rPr>
            </w:pPr>
          </w:p>
        </w:tc>
      </w:tr>
      <w:tr w:rsidR="00CC0A94" w14:paraId="7FE1C65F" w14:textId="77777777" w:rsidTr="002F61BB">
        <w:trPr>
          <w:trHeight w:val="450"/>
        </w:trPr>
        <w:tc>
          <w:tcPr>
            <w:tcW w:w="1418" w:type="dxa"/>
          </w:tcPr>
          <w:p w14:paraId="7FE1C65B"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0040</w:t>
            </w:r>
          </w:p>
        </w:tc>
        <w:tc>
          <w:tcPr>
            <w:tcW w:w="7649" w:type="dxa"/>
          </w:tcPr>
          <w:p w14:paraId="7FE1C65C"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Role Name</w:t>
            </w:r>
          </w:p>
          <w:p w14:paraId="7FE1C65D" w14:textId="77777777" w:rsidR="00CC0A94" w:rsidRDefault="006C1571">
            <w:pPr>
              <w:spacing w:line="276" w:lineRule="auto"/>
              <w:jc w:val="both"/>
              <w:rPr>
                <w:rFonts w:ascii="Times New Roman" w:hAnsi="Times New Roman"/>
                <w:sz w:val="20"/>
              </w:rPr>
            </w:pPr>
            <w:r>
              <w:rPr>
                <w:rFonts w:ascii="Times New Roman" w:hAnsi="Times New Roman"/>
                <w:sz w:val="20"/>
              </w:rPr>
              <w:t xml:space="preserve">The internal name </w:t>
            </w:r>
            <w:proofErr w:type="gramStart"/>
            <w:r>
              <w:rPr>
                <w:rFonts w:ascii="Times New Roman" w:hAnsi="Times New Roman"/>
                <w:sz w:val="20"/>
              </w:rPr>
              <w:t>used</w:t>
            </w:r>
            <w:proofErr w:type="gramEnd"/>
            <w:r>
              <w:rPr>
                <w:rFonts w:ascii="Times New Roman" w:hAnsi="Times New Roman"/>
                <w:sz w:val="20"/>
              </w:rPr>
              <w:t xml:space="preserve"> for the specific role.</w:t>
            </w:r>
          </w:p>
          <w:p w14:paraId="7FE1C65E" w14:textId="77777777" w:rsidR="00CC0A94" w:rsidRDefault="00CC0A94">
            <w:pPr>
              <w:spacing w:before="120" w:after="120" w:line="276" w:lineRule="auto"/>
              <w:rPr>
                <w:rFonts w:ascii="Times New Roman" w:hAnsi="Times New Roman"/>
                <w:sz w:val="20"/>
                <w:szCs w:val="20"/>
              </w:rPr>
            </w:pPr>
          </w:p>
        </w:tc>
      </w:tr>
      <w:tr w:rsidR="00CC0A94" w14:paraId="7FE1C664" w14:textId="77777777" w:rsidTr="002F61BB">
        <w:trPr>
          <w:trHeight w:val="450"/>
        </w:trPr>
        <w:tc>
          <w:tcPr>
            <w:tcW w:w="1418" w:type="dxa"/>
          </w:tcPr>
          <w:p w14:paraId="7FE1C660"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lastRenderedPageBreak/>
              <w:t>0050</w:t>
            </w:r>
          </w:p>
        </w:tc>
        <w:tc>
          <w:tcPr>
            <w:tcW w:w="7649" w:type="dxa"/>
          </w:tcPr>
          <w:p w14:paraId="7FE1C661"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Department</w:t>
            </w:r>
          </w:p>
          <w:p w14:paraId="7FE1C662" w14:textId="77777777" w:rsidR="00CC0A94" w:rsidRDefault="006C1571">
            <w:pPr>
              <w:spacing w:line="276" w:lineRule="auto"/>
              <w:jc w:val="both"/>
              <w:rPr>
                <w:rFonts w:ascii="Times New Roman" w:hAnsi="Times New Roman"/>
                <w:sz w:val="20"/>
              </w:rPr>
            </w:pPr>
            <w:r>
              <w:rPr>
                <w:rFonts w:ascii="Times New Roman" w:hAnsi="Times New Roman"/>
                <w:sz w:val="20"/>
              </w:rPr>
              <w:t xml:space="preserve">The internal name </w:t>
            </w:r>
            <w:proofErr w:type="gramStart"/>
            <w:r>
              <w:rPr>
                <w:rFonts w:ascii="Times New Roman" w:hAnsi="Times New Roman"/>
                <w:sz w:val="20"/>
              </w:rPr>
              <w:t>used</w:t>
            </w:r>
            <w:proofErr w:type="gramEnd"/>
            <w:r>
              <w:rPr>
                <w:rFonts w:ascii="Times New Roman" w:hAnsi="Times New Roman"/>
                <w:sz w:val="20"/>
              </w:rPr>
              <w:t xml:space="preserve"> for the specific department where the role name under c0040 belongs.</w:t>
            </w:r>
          </w:p>
          <w:p w14:paraId="7FE1C663" w14:textId="77777777" w:rsidR="00CC0A94" w:rsidRDefault="00CC0A94">
            <w:pPr>
              <w:spacing w:line="276" w:lineRule="auto"/>
              <w:jc w:val="both"/>
              <w:rPr>
                <w:rFonts w:ascii="Times New Roman" w:hAnsi="Times New Roman"/>
                <w:iCs/>
                <w:sz w:val="20"/>
              </w:rPr>
            </w:pPr>
          </w:p>
        </w:tc>
      </w:tr>
      <w:tr w:rsidR="00CC0A94" w14:paraId="7FE1C66C" w14:textId="77777777" w:rsidTr="002F61BB">
        <w:trPr>
          <w:trHeight w:val="450"/>
        </w:trPr>
        <w:tc>
          <w:tcPr>
            <w:tcW w:w="1418" w:type="dxa"/>
          </w:tcPr>
          <w:p w14:paraId="7FE1C665"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0060</w:t>
            </w:r>
          </w:p>
        </w:tc>
        <w:tc>
          <w:tcPr>
            <w:tcW w:w="7649" w:type="dxa"/>
          </w:tcPr>
          <w:p w14:paraId="7FE1C666"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Criticality</w:t>
            </w:r>
          </w:p>
          <w:p w14:paraId="7FE1C667" w14:textId="77777777" w:rsidR="00CC0A94" w:rsidRDefault="006C1571">
            <w:pPr>
              <w:spacing w:line="276" w:lineRule="auto"/>
              <w:jc w:val="both"/>
              <w:rPr>
                <w:rFonts w:ascii="Times New Roman" w:hAnsi="Times New Roman"/>
                <w:iCs/>
                <w:sz w:val="20"/>
              </w:rPr>
            </w:pPr>
            <w:proofErr w:type="gramStart"/>
            <w:r>
              <w:rPr>
                <w:rFonts w:ascii="Times New Roman" w:hAnsi="Times New Roman"/>
                <w:iCs/>
                <w:sz w:val="20"/>
              </w:rPr>
              <w:t>Report</w:t>
            </w:r>
            <w:proofErr w:type="gramEnd"/>
            <w:r>
              <w:rPr>
                <w:rFonts w:ascii="Times New Roman" w:hAnsi="Times New Roman"/>
                <w:iCs/>
                <w:sz w:val="20"/>
              </w:rPr>
              <w:t xml:space="preserve"> one of the following values:</w:t>
            </w:r>
          </w:p>
          <w:p w14:paraId="7FE1C668" w14:textId="77777777" w:rsidR="00CC0A94" w:rsidRDefault="006C1571">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Critical: if the service is necessary for the performance of one or more critical functions, whose discontinuity would seriously impede or prevent the performance of those critical functions.</w:t>
            </w:r>
          </w:p>
          <w:p w14:paraId="7FE1C669" w14:textId="77777777" w:rsidR="00CC0A94" w:rsidRDefault="006C1571">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Essential: if the service is associated with core business lines, whose continuity is necessary for the effective execution of the resolution strategy and any consequent restructuring.</w:t>
            </w:r>
          </w:p>
          <w:p w14:paraId="7FE1C66A" w14:textId="21623EFD" w:rsidR="00CC0A94" w:rsidRPr="002F61BB" w:rsidRDefault="00BC4FE7" w:rsidP="002F61BB">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Critical and essential</w:t>
            </w:r>
          </w:p>
          <w:p w14:paraId="7FE1C66B" w14:textId="77777777" w:rsidR="00CC0A94" w:rsidRDefault="00CC0A94">
            <w:pPr>
              <w:spacing w:before="120" w:after="120" w:line="276" w:lineRule="auto"/>
              <w:rPr>
                <w:rFonts w:ascii="Times New Roman" w:hAnsi="Times New Roman"/>
                <w:sz w:val="20"/>
                <w:szCs w:val="20"/>
              </w:rPr>
            </w:pPr>
          </w:p>
        </w:tc>
      </w:tr>
    </w:tbl>
    <w:p w14:paraId="7FE1C6D5" w14:textId="77777777" w:rsidR="00CC0A94" w:rsidRPr="002F61BB" w:rsidRDefault="00CC0A94">
      <w:pPr>
        <w:rPr>
          <w:rFonts w:ascii="Times New Roman" w:hAnsi="Times New Roman" w:cs="Times New Roman"/>
        </w:rPr>
      </w:pPr>
    </w:p>
    <w:p w14:paraId="7FE1C6D6"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31" w:name="_Toc192249070"/>
      <w:r>
        <w:rPr>
          <w:rFonts w:ascii="Times New Roman" w:hAnsi="Times New Roman" w:cs="Times New Roman"/>
        </w:rPr>
        <w:t>Z 08.04 — Critical services – mapping to critical functions (SERV 4)</w:t>
      </w:r>
      <w:bookmarkEnd w:id="131"/>
    </w:p>
    <w:p w14:paraId="7FE1C6D7" w14:textId="77777777" w:rsidR="00CC0A94" w:rsidRPr="002F61BB" w:rsidRDefault="006C1571">
      <w:pPr>
        <w:pStyle w:val="Instructionsberschrift2"/>
        <w:ind w:left="357"/>
        <w:rPr>
          <w:rFonts w:ascii="Times New Roman" w:eastAsia="MS Mincho" w:hAnsi="Times New Roman" w:cs="Times New Roman"/>
          <w:szCs w:val="20"/>
        </w:rPr>
      </w:pPr>
      <w:bookmarkStart w:id="132" w:name="_Toc164263859"/>
      <w:bookmarkStart w:id="133" w:name="_Toc192249071"/>
      <w:r w:rsidRPr="002F61BB">
        <w:rPr>
          <w:rFonts w:ascii="Times New Roman" w:eastAsia="MS Mincho" w:hAnsi="Times New Roman" w:cs="Times New Roman"/>
          <w:szCs w:val="20"/>
        </w:rPr>
        <w:t>General instructions</w:t>
      </w:r>
      <w:bookmarkEnd w:id="132"/>
      <w:bookmarkEnd w:id="133"/>
    </w:p>
    <w:p w14:paraId="7FE1C6D8" w14:textId="77777777" w:rsidR="00CC0A94" w:rsidRDefault="00CC0A94">
      <w:pPr>
        <w:spacing w:line="276" w:lineRule="auto"/>
        <w:jc w:val="both"/>
        <w:rPr>
          <w:rFonts w:ascii="Times New Roman" w:eastAsia="Calibri" w:hAnsi="Times New Roman" w:cs="Times New Roman"/>
          <w:sz w:val="20"/>
          <w:szCs w:val="20"/>
        </w:rPr>
      </w:pPr>
    </w:p>
    <w:p w14:paraId="7FE1C6D9" w14:textId="77777777" w:rsidR="00CC0A94" w:rsidRDefault="006C1571" w:rsidP="002F61BB">
      <w:pPr>
        <w:pStyle w:val="ListParagraph"/>
        <w:numPr>
          <w:ilvl w:val="0"/>
          <w:numId w:val="267"/>
        </w:numPr>
        <w:ind w:left="1418"/>
        <w:contextualSpacing/>
        <w:jc w:val="both"/>
        <w:rPr>
          <w:rFonts w:ascii="Times New Roman" w:eastAsia="MS Mincho" w:hAnsi="Times New Roman"/>
          <w:sz w:val="20"/>
          <w:szCs w:val="20"/>
        </w:rPr>
      </w:pPr>
      <w:r>
        <w:rPr>
          <w:rFonts w:ascii="Times New Roman" w:eastAsia="MS Mincho" w:hAnsi="Times New Roman"/>
          <w:sz w:val="20"/>
          <w:szCs w:val="20"/>
        </w:rPr>
        <w:t xml:space="preserve">The information to be included in this template shall be reported once for the entire group, list critical services received by any entity in the </w:t>
      </w:r>
      <w:proofErr w:type="gramStart"/>
      <w:r>
        <w:rPr>
          <w:rFonts w:ascii="Times New Roman" w:eastAsia="MS Mincho" w:hAnsi="Times New Roman"/>
          <w:sz w:val="20"/>
          <w:szCs w:val="20"/>
        </w:rPr>
        <w:t>group, and</w:t>
      </w:r>
      <w:proofErr w:type="gramEnd"/>
      <w:r>
        <w:rPr>
          <w:rFonts w:ascii="Times New Roman" w:eastAsia="MS Mincho" w:hAnsi="Times New Roman"/>
          <w:sz w:val="20"/>
          <w:szCs w:val="20"/>
        </w:rPr>
        <w:t xml:space="preserve"> link them to the critical functions provided by the group.</w:t>
      </w:r>
    </w:p>
    <w:p w14:paraId="7FE1C6DA" w14:textId="77777777" w:rsidR="00CC0A94" w:rsidRDefault="006C1571" w:rsidP="002F61BB">
      <w:pPr>
        <w:pStyle w:val="ListParagraph"/>
        <w:numPr>
          <w:ilvl w:val="0"/>
          <w:numId w:val="267"/>
        </w:numPr>
        <w:ind w:left="1418"/>
        <w:contextualSpacing/>
        <w:jc w:val="both"/>
        <w:rPr>
          <w:rFonts w:ascii="Times New Roman" w:eastAsia="MS Mincho" w:hAnsi="Times New Roman"/>
          <w:sz w:val="20"/>
          <w:szCs w:val="20"/>
        </w:rPr>
      </w:pPr>
      <w:r>
        <w:rPr>
          <w:rFonts w:ascii="Times New Roman" w:eastAsia="MS Mincho" w:hAnsi="Times New Roman"/>
          <w:sz w:val="20"/>
          <w:szCs w:val="20"/>
        </w:rPr>
        <w:t xml:space="preserve">The values reported in columns 0010, 0020, 0030 and 0040 of this </w:t>
      </w:r>
      <w:proofErr w:type="gramStart"/>
      <w:r>
        <w:rPr>
          <w:rFonts w:ascii="Times New Roman" w:eastAsia="MS Mincho" w:hAnsi="Times New Roman"/>
          <w:sz w:val="20"/>
          <w:szCs w:val="20"/>
        </w:rPr>
        <w:t>template</w:t>
      </w:r>
      <w:proofErr w:type="gramEnd"/>
      <w:r>
        <w:rPr>
          <w:rFonts w:ascii="Times New Roman" w:eastAsia="MS Mincho" w:hAnsi="Times New Roman"/>
          <w:sz w:val="20"/>
          <w:szCs w:val="20"/>
        </w:rPr>
        <w:t xml:space="preserve"> form a primary key, which </w:t>
      </w:r>
      <w:proofErr w:type="gramStart"/>
      <w:r>
        <w:rPr>
          <w:rFonts w:ascii="Times New Roman" w:eastAsia="MS Mincho" w:hAnsi="Times New Roman"/>
          <w:sz w:val="20"/>
          <w:szCs w:val="20"/>
        </w:rPr>
        <w:t>have to</w:t>
      </w:r>
      <w:proofErr w:type="gramEnd"/>
      <w:r>
        <w:rPr>
          <w:rFonts w:ascii="Times New Roman" w:eastAsia="MS Mincho" w:hAnsi="Times New Roman"/>
          <w:sz w:val="20"/>
          <w:szCs w:val="20"/>
        </w:rPr>
        <w:t xml:space="preserve"> be unique for each row of the template.</w:t>
      </w:r>
    </w:p>
    <w:p w14:paraId="7FE1C6DB" w14:textId="77777777" w:rsidR="00CC0A94" w:rsidRPr="002F61BB" w:rsidRDefault="00CC0A94">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CC0A94" w14:paraId="7FE1C6DE" w14:textId="77777777" w:rsidTr="002F61BB">
        <w:trPr>
          <w:trHeight w:val="445"/>
          <w:tblHeader/>
        </w:trPr>
        <w:tc>
          <w:tcPr>
            <w:tcW w:w="1418" w:type="dxa"/>
            <w:shd w:val="clear" w:color="auto" w:fill="E7E6E6"/>
          </w:tcPr>
          <w:p w14:paraId="7FE1C6DC"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Columns</w:t>
            </w:r>
          </w:p>
        </w:tc>
        <w:tc>
          <w:tcPr>
            <w:tcW w:w="7508" w:type="dxa"/>
            <w:shd w:val="clear" w:color="auto" w:fill="E7E6E6"/>
          </w:tcPr>
          <w:p w14:paraId="7FE1C6DD"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Instructions</w:t>
            </w:r>
          </w:p>
        </w:tc>
      </w:tr>
      <w:tr w:rsidR="00CC0A94" w14:paraId="7FE1C6E3" w14:textId="77777777">
        <w:trPr>
          <w:trHeight w:val="450"/>
        </w:trPr>
        <w:tc>
          <w:tcPr>
            <w:tcW w:w="1418" w:type="dxa"/>
            <w:shd w:val="clear" w:color="auto" w:fill="FFFFFF"/>
          </w:tcPr>
          <w:p w14:paraId="7FE1C6DF"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0005</w:t>
            </w:r>
          </w:p>
        </w:tc>
        <w:tc>
          <w:tcPr>
            <w:tcW w:w="7508" w:type="dxa"/>
            <w:shd w:val="clear" w:color="auto" w:fill="FFFFFF"/>
          </w:tcPr>
          <w:p w14:paraId="7FE1C6E0" w14:textId="77777777" w:rsidR="00CC0A94" w:rsidRDefault="006C1571">
            <w:pPr>
              <w:spacing w:before="120" w:after="120" w:line="276" w:lineRule="auto"/>
              <w:rPr>
                <w:rFonts w:ascii="Times New Roman" w:hAnsi="Times New Roman"/>
                <w:sz w:val="20"/>
                <w:szCs w:val="20"/>
              </w:rPr>
            </w:pPr>
            <w:r>
              <w:rPr>
                <w:rFonts w:ascii="Times New Roman" w:hAnsi="Times New Roman"/>
                <w:b/>
                <w:bCs/>
                <w:sz w:val="20"/>
                <w:szCs w:val="20"/>
              </w:rPr>
              <w:t xml:space="preserve">Service Identifier </w:t>
            </w:r>
          </w:p>
          <w:p w14:paraId="7FE1C6E1"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Use the Service identifier as reported in Z 08.01 (SERV 1).</w:t>
            </w:r>
          </w:p>
          <w:p w14:paraId="7FE1C6E2" w14:textId="77777777" w:rsidR="00CC0A94" w:rsidRDefault="006C1571">
            <w:pPr>
              <w:spacing w:before="120" w:after="120" w:line="276" w:lineRule="auto"/>
              <w:rPr>
                <w:rFonts w:ascii="Times New Roman" w:hAnsi="Times New Roman"/>
                <w:i/>
                <w:sz w:val="20"/>
                <w:szCs w:val="20"/>
              </w:rPr>
            </w:pPr>
            <w:r>
              <w:rPr>
                <w:rFonts w:ascii="Times New Roman" w:hAnsi="Times New Roman"/>
                <w:sz w:val="20"/>
                <w:szCs w:val="20"/>
              </w:rPr>
              <w:t>The service identifier refers to the service reported under c0020.</w:t>
            </w:r>
          </w:p>
        </w:tc>
      </w:tr>
      <w:tr w:rsidR="00CC0A94" w14:paraId="7FE1C727" w14:textId="77777777">
        <w:trPr>
          <w:trHeight w:val="450"/>
        </w:trPr>
        <w:tc>
          <w:tcPr>
            <w:tcW w:w="1418" w:type="dxa"/>
            <w:shd w:val="clear" w:color="auto" w:fill="FFFFFF"/>
          </w:tcPr>
          <w:p w14:paraId="7FE1C6E4"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0010</w:t>
            </w:r>
          </w:p>
        </w:tc>
        <w:tc>
          <w:tcPr>
            <w:tcW w:w="7508" w:type="dxa"/>
            <w:shd w:val="clear" w:color="auto" w:fill="FFFFFF"/>
          </w:tcPr>
          <w:p w14:paraId="7FE1C6E5" w14:textId="77777777" w:rsidR="00CC0A94" w:rsidRDefault="006C1571">
            <w:pPr>
              <w:autoSpaceDE w:val="0"/>
              <w:autoSpaceDN w:val="0"/>
              <w:adjustRightInd w:val="0"/>
              <w:rPr>
                <w:rFonts w:ascii="Times New Roman" w:eastAsia="MS Mincho" w:hAnsi="Times New Roman"/>
                <w:b/>
                <w:bCs/>
                <w:sz w:val="20"/>
                <w:szCs w:val="20"/>
                <w:lang w:eastAsia="en-GB"/>
              </w:rPr>
            </w:pPr>
            <w:r>
              <w:rPr>
                <w:rFonts w:ascii="Times New Roman" w:hAnsi="Times New Roman"/>
                <w:b/>
                <w:bCs/>
                <w:sz w:val="20"/>
                <w:szCs w:val="20"/>
              </w:rPr>
              <w:t>Service type</w:t>
            </w:r>
            <w:r>
              <w:rPr>
                <w:rFonts w:ascii="Times New Roman" w:eastAsia="MS Mincho" w:hAnsi="Times New Roman"/>
                <w:b/>
                <w:bCs/>
                <w:sz w:val="20"/>
                <w:szCs w:val="20"/>
                <w:lang w:eastAsia="en-GB"/>
              </w:rPr>
              <w:t xml:space="preserve"> </w:t>
            </w:r>
          </w:p>
          <w:p w14:paraId="7FE1C6E6" w14:textId="328A5068" w:rsidR="00CC0A94" w:rsidRDefault="006C1571">
            <w:pPr>
              <w:autoSpaceDE w:val="0"/>
              <w:autoSpaceDN w:val="0"/>
              <w:adjustRightInd w:val="0"/>
              <w:rPr>
                <w:rFonts w:ascii="Times New Roman" w:eastAsia="MS Mincho" w:hAnsi="Times New Roman"/>
                <w:sz w:val="20"/>
                <w:szCs w:val="20"/>
                <w:lang w:eastAsia="en-GB"/>
              </w:rPr>
            </w:pPr>
            <w:r>
              <w:rPr>
                <w:rFonts w:ascii="Times New Roman" w:eastAsia="MS Mincho" w:hAnsi="Times New Roman"/>
                <w:sz w:val="20"/>
                <w:szCs w:val="20"/>
                <w:lang w:eastAsia="en-GB"/>
              </w:rPr>
              <w:t xml:space="preserve">The service type shall be one of the service types listed under Z 08.01 0010 above. </w:t>
            </w:r>
          </w:p>
          <w:p w14:paraId="7FE1C726" w14:textId="7C7FFCB5" w:rsidR="00CC0A94" w:rsidRDefault="00CC0A94">
            <w:pPr>
              <w:spacing w:before="120" w:after="120" w:line="276" w:lineRule="auto"/>
              <w:rPr>
                <w:rFonts w:ascii="Times New Roman" w:hAnsi="Times New Roman"/>
                <w:sz w:val="20"/>
                <w:szCs w:val="20"/>
              </w:rPr>
            </w:pPr>
          </w:p>
        </w:tc>
      </w:tr>
      <w:tr w:rsidR="00CC0A94" w14:paraId="7FE1C72C" w14:textId="77777777">
        <w:trPr>
          <w:trHeight w:val="450"/>
        </w:trPr>
        <w:tc>
          <w:tcPr>
            <w:tcW w:w="1418" w:type="dxa"/>
            <w:shd w:val="clear" w:color="auto" w:fill="FFFFFF"/>
          </w:tcPr>
          <w:p w14:paraId="7FE1C728"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0020</w:t>
            </w:r>
          </w:p>
        </w:tc>
        <w:tc>
          <w:tcPr>
            <w:tcW w:w="7508" w:type="dxa"/>
            <w:shd w:val="clear" w:color="auto" w:fill="FFFFFF"/>
          </w:tcPr>
          <w:p w14:paraId="7FE1C729"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Unique service title as per bank taxonomy</w:t>
            </w:r>
            <w:r>
              <w:rPr>
                <w:rFonts w:ascii="Times New Roman" w:hAnsi="Times New Roman"/>
                <w:b/>
                <w:bCs/>
                <w:sz w:val="20"/>
              </w:rPr>
              <w:t xml:space="preserve"> </w:t>
            </w:r>
          </w:p>
          <w:p w14:paraId="7FE1C72A" w14:textId="14809522" w:rsidR="00CC0A94" w:rsidRDefault="006C1571" w:rsidP="002F61BB">
            <w:pPr>
              <w:rPr>
                <w:rFonts w:ascii="Times New Roman" w:hAnsi="Times New Roman"/>
                <w:sz w:val="20"/>
              </w:rPr>
            </w:pPr>
            <w:r>
              <w:rPr>
                <w:rFonts w:ascii="Times New Roman" w:hAnsi="Times New Roman"/>
                <w:sz w:val="20"/>
              </w:rPr>
              <w:t>Name/short description of service according to bank’s own tiered taxonomy (Level 3</w:t>
            </w:r>
            <w:proofErr w:type="gramStart"/>
            <w:r>
              <w:rPr>
                <w:rFonts w:ascii="Times New Roman" w:hAnsi="Times New Roman"/>
                <w:sz w:val="20"/>
              </w:rPr>
              <w:t>)</w:t>
            </w:r>
            <w:r w:rsidR="00086C16">
              <w:rPr>
                <w:rFonts w:ascii="Times New Roman" w:hAnsi="Times New Roman"/>
                <w:sz w:val="20"/>
              </w:rPr>
              <w:t xml:space="preserve"> )</w:t>
            </w:r>
            <w:proofErr w:type="gramEnd"/>
            <w:r w:rsidR="00086C16">
              <w:rPr>
                <w:rFonts w:ascii="Times New Roman" w:hAnsi="Times New Roman"/>
                <w:sz w:val="20"/>
              </w:rPr>
              <w:t xml:space="preserve"> as reported in Z 08.01 (SERV 1) column 0020</w:t>
            </w:r>
            <w:r>
              <w:rPr>
                <w:rFonts w:ascii="Times New Roman" w:hAnsi="Times New Roman"/>
                <w:sz w:val="20"/>
              </w:rPr>
              <w:t xml:space="preserve">. The bank is expected to </w:t>
            </w:r>
            <w:proofErr w:type="gramStart"/>
            <w:r>
              <w:rPr>
                <w:rFonts w:ascii="Times New Roman" w:hAnsi="Times New Roman"/>
                <w:sz w:val="20"/>
              </w:rPr>
              <w:t>report</w:t>
            </w:r>
            <w:proofErr w:type="gramEnd"/>
            <w:r>
              <w:rPr>
                <w:rFonts w:ascii="Times New Roman" w:hAnsi="Times New Roman"/>
                <w:sz w:val="20"/>
              </w:rPr>
              <w:t xml:space="preserve"> the services at a more granular level than the reporting provided for Level 2 (c0010), so that each </w:t>
            </w:r>
            <w:proofErr w:type="gramStart"/>
            <w:r>
              <w:rPr>
                <w:rFonts w:ascii="Times New Roman" w:hAnsi="Times New Roman"/>
                <w:sz w:val="20"/>
              </w:rPr>
              <w:t>particular service</w:t>
            </w:r>
            <w:proofErr w:type="gramEnd"/>
            <w:r>
              <w:rPr>
                <w:rFonts w:ascii="Times New Roman" w:hAnsi="Times New Roman"/>
                <w:sz w:val="20"/>
              </w:rPr>
              <w:t xml:space="preserve"> is defined in a precise and targeted way.</w:t>
            </w:r>
          </w:p>
          <w:p w14:paraId="7FE1C72B" w14:textId="77777777" w:rsidR="00CC0A94" w:rsidRDefault="00CC0A94">
            <w:pPr>
              <w:spacing w:before="120" w:after="120" w:line="276" w:lineRule="auto"/>
              <w:rPr>
                <w:rFonts w:ascii="Times New Roman" w:hAnsi="Times New Roman"/>
                <w:sz w:val="20"/>
                <w:szCs w:val="20"/>
              </w:rPr>
            </w:pPr>
          </w:p>
        </w:tc>
      </w:tr>
      <w:tr w:rsidR="00CC0A94" w14:paraId="7FE1C731" w14:textId="77777777">
        <w:trPr>
          <w:trHeight w:val="450"/>
        </w:trPr>
        <w:tc>
          <w:tcPr>
            <w:tcW w:w="1418" w:type="dxa"/>
            <w:shd w:val="clear" w:color="auto" w:fill="FFFFFF"/>
          </w:tcPr>
          <w:p w14:paraId="7FE1C72D"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0030-0040</w:t>
            </w:r>
          </w:p>
        </w:tc>
        <w:tc>
          <w:tcPr>
            <w:tcW w:w="7508" w:type="dxa"/>
            <w:shd w:val="clear" w:color="auto" w:fill="FFFFFF"/>
          </w:tcPr>
          <w:p w14:paraId="7FE1C72E" w14:textId="77777777" w:rsidR="00CC0A94" w:rsidRDefault="006C1571">
            <w:pPr>
              <w:spacing w:line="276" w:lineRule="auto"/>
              <w:jc w:val="both"/>
              <w:rPr>
                <w:rFonts w:ascii="Times New Roman" w:hAnsi="Times New Roman"/>
                <w:b/>
                <w:bCs/>
                <w:sz w:val="20"/>
              </w:rPr>
            </w:pPr>
            <w:r>
              <w:rPr>
                <w:rFonts w:ascii="Times New Roman" w:hAnsi="Times New Roman"/>
                <w:b/>
                <w:bCs/>
                <w:sz w:val="20"/>
                <w:szCs w:val="20"/>
              </w:rPr>
              <w:t>Critical function</w:t>
            </w:r>
            <w:r>
              <w:rPr>
                <w:rFonts w:ascii="Times New Roman" w:hAnsi="Times New Roman"/>
                <w:b/>
                <w:bCs/>
                <w:sz w:val="20"/>
              </w:rPr>
              <w:t xml:space="preserve"> </w:t>
            </w:r>
          </w:p>
          <w:p w14:paraId="7FE1C72F" w14:textId="77777777" w:rsidR="00CC0A94" w:rsidRDefault="006C1571">
            <w:pPr>
              <w:spacing w:line="276" w:lineRule="auto"/>
              <w:jc w:val="both"/>
              <w:rPr>
                <w:rFonts w:ascii="Times New Roman" w:hAnsi="Times New Roman"/>
                <w:sz w:val="20"/>
              </w:rPr>
            </w:pPr>
            <w:r>
              <w:rPr>
                <w:rFonts w:ascii="Times New Roman" w:hAnsi="Times New Roman"/>
                <w:sz w:val="20"/>
              </w:rPr>
              <w:t>The critical function the performance of which would suffer a serious impediment or be completely prevented in case of disruption of the critical service. It is one of the functions assessed as critical in template Z 07.01 (FUNC 1).</w:t>
            </w:r>
          </w:p>
          <w:p w14:paraId="7FE1C730" w14:textId="77777777" w:rsidR="00CC0A94" w:rsidRDefault="00CC0A94">
            <w:pPr>
              <w:spacing w:line="276" w:lineRule="auto"/>
              <w:jc w:val="both"/>
              <w:rPr>
                <w:rFonts w:ascii="Times New Roman" w:hAnsi="Times New Roman"/>
                <w:sz w:val="20"/>
              </w:rPr>
            </w:pPr>
          </w:p>
        </w:tc>
      </w:tr>
      <w:tr w:rsidR="00CC0A94" w14:paraId="7FE1C736" w14:textId="77777777">
        <w:trPr>
          <w:trHeight w:val="450"/>
        </w:trPr>
        <w:tc>
          <w:tcPr>
            <w:tcW w:w="1418" w:type="dxa"/>
            <w:shd w:val="clear" w:color="auto" w:fill="FFFFFF"/>
          </w:tcPr>
          <w:p w14:paraId="7FE1C732"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lastRenderedPageBreak/>
              <w:t>0030</w:t>
            </w:r>
          </w:p>
        </w:tc>
        <w:tc>
          <w:tcPr>
            <w:tcW w:w="7508" w:type="dxa"/>
            <w:shd w:val="clear" w:color="auto" w:fill="FFFFFF"/>
          </w:tcPr>
          <w:p w14:paraId="7FE1C733" w14:textId="77777777" w:rsidR="00CC0A94" w:rsidRDefault="006C1571">
            <w:pPr>
              <w:spacing w:line="276" w:lineRule="auto"/>
              <w:jc w:val="both"/>
              <w:rPr>
                <w:rFonts w:ascii="Times New Roman" w:hAnsi="Times New Roman"/>
                <w:b/>
                <w:bCs/>
                <w:sz w:val="20"/>
              </w:rPr>
            </w:pPr>
            <w:r>
              <w:rPr>
                <w:rFonts w:ascii="Times New Roman" w:hAnsi="Times New Roman"/>
                <w:b/>
                <w:bCs/>
                <w:sz w:val="20"/>
              </w:rPr>
              <w:t>Country</w:t>
            </w:r>
          </w:p>
          <w:p w14:paraId="7FE1C734" w14:textId="77777777" w:rsidR="00CC0A94" w:rsidRDefault="006C1571">
            <w:pPr>
              <w:spacing w:line="276" w:lineRule="auto"/>
              <w:jc w:val="both"/>
              <w:rPr>
                <w:rFonts w:ascii="Times New Roman" w:hAnsi="Times New Roman"/>
                <w:sz w:val="20"/>
              </w:rPr>
            </w:pPr>
            <w:r>
              <w:rPr>
                <w:rFonts w:ascii="Times New Roman" w:hAnsi="Times New Roman"/>
                <w:sz w:val="20"/>
              </w:rPr>
              <w:t>Member state for which the function is critical, as reported in Z 07.01 (FUNC 1)</w:t>
            </w:r>
          </w:p>
          <w:p w14:paraId="7FE1C735" w14:textId="77777777" w:rsidR="00CC0A94" w:rsidRDefault="00CC0A94">
            <w:pPr>
              <w:spacing w:line="276" w:lineRule="auto"/>
              <w:jc w:val="both"/>
              <w:rPr>
                <w:rFonts w:ascii="Times New Roman" w:hAnsi="Times New Roman"/>
                <w:sz w:val="20"/>
              </w:rPr>
            </w:pPr>
          </w:p>
        </w:tc>
      </w:tr>
      <w:tr w:rsidR="00CC0A94" w14:paraId="7FE1C73B" w14:textId="77777777">
        <w:trPr>
          <w:trHeight w:val="450"/>
        </w:trPr>
        <w:tc>
          <w:tcPr>
            <w:tcW w:w="1418" w:type="dxa"/>
            <w:shd w:val="clear" w:color="auto" w:fill="FFFFFF"/>
          </w:tcPr>
          <w:p w14:paraId="7FE1C737"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0040</w:t>
            </w:r>
          </w:p>
        </w:tc>
        <w:tc>
          <w:tcPr>
            <w:tcW w:w="7508" w:type="dxa"/>
            <w:shd w:val="clear" w:color="auto" w:fill="FFFFFF"/>
          </w:tcPr>
          <w:p w14:paraId="7FE1C738" w14:textId="77777777" w:rsidR="00CC0A94" w:rsidRDefault="006C1571">
            <w:pPr>
              <w:spacing w:line="276" w:lineRule="auto"/>
              <w:jc w:val="both"/>
              <w:rPr>
                <w:rFonts w:ascii="Times New Roman" w:hAnsi="Times New Roman"/>
                <w:b/>
                <w:bCs/>
                <w:sz w:val="20"/>
              </w:rPr>
            </w:pPr>
            <w:r>
              <w:rPr>
                <w:rFonts w:ascii="Times New Roman" w:hAnsi="Times New Roman"/>
                <w:b/>
                <w:bCs/>
                <w:sz w:val="20"/>
              </w:rPr>
              <w:t>ID</w:t>
            </w:r>
          </w:p>
          <w:p w14:paraId="7FE1C739" w14:textId="77777777" w:rsidR="00CC0A94" w:rsidRDefault="006C1571">
            <w:pPr>
              <w:spacing w:line="276" w:lineRule="auto"/>
              <w:jc w:val="both"/>
              <w:rPr>
                <w:rFonts w:ascii="Times New Roman" w:hAnsi="Times New Roman"/>
                <w:sz w:val="20"/>
              </w:rPr>
            </w:pPr>
            <w:r>
              <w:rPr>
                <w:rFonts w:ascii="Times New Roman" w:hAnsi="Times New Roman"/>
                <w:sz w:val="20"/>
              </w:rPr>
              <w:t>ID of the critical functions as defined in chapter 2.7.1.4 above and referred to in template Z 07.01 (FUNC 1)</w:t>
            </w:r>
          </w:p>
          <w:p w14:paraId="7FE1C73A" w14:textId="77777777" w:rsidR="00CC0A94" w:rsidRDefault="00CC0A94">
            <w:pPr>
              <w:spacing w:line="276" w:lineRule="auto"/>
              <w:jc w:val="both"/>
              <w:rPr>
                <w:rFonts w:ascii="Times New Roman" w:hAnsi="Times New Roman"/>
                <w:sz w:val="20"/>
              </w:rPr>
            </w:pPr>
          </w:p>
        </w:tc>
      </w:tr>
    </w:tbl>
    <w:p w14:paraId="7FE1C746" w14:textId="77777777" w:rsidR="00CC0A94" w:rsidRPr="002F61BB" w:rsidRDefault="00CC0A94">
      <w:pPr>
        <w:rPr>
          <w:rFonts w:ascii="Times New Roman" w:hAnsi="Times New Roman" w:cs="Times New Roman"/>
        </w:rPr>
      </w:pPr>
    </w:p>
    <w:p w14:paraId="7FE1C747" w14:textId="77777777" w:rsidR="00CC0A94" w:rsidRDefault="00CC0A94" w:rsidP="002F61BB">
      <w:pPr>
        <w:pStyle w:val="Instructionsberschrift2"/>
        <w:rPr>
          <w:rFonts w:ascii="Times New Roman" w:eastAsia="Calibri" w:hAnsi="Times New Roman" w:cs="Times New Roman"/>
          <w:szCs w:val="20"/>
        </w:rPr>
      </w:pPr>
    </w:p>
    <w:p w14:paraId="7FE1C748"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34" w:name="_Toc192249072"/>
      <w:r>
        <w:rPr>
          <w:rFonts w:ascii="Times New Roman" w:hAnsi="Times New Roman" w:cs="Times New Roman"/>
        </w:rPr>
        <w:t>Z 08.05 — Essential services – mapping to core business lines (SERV 5)</w:t>
      </w:r>
      <w:bookmarkEnd w:id="134"/>
    </w:p>
    <w:p w14:paraId="7FE1C749" w14:textId="77777777" w:rsidR="00CC0A94" w:rsidRDefault="006C1571">
      <w:pPr>
        <w:spacing w:line="276" w:lineRule="auto"/>
        <w:jc w:val="both"/>
        <w:rPr>
          <w:rFonts w:ascii="Times New Roman" w:eastAsia="Calibri" w:hAnsi="Times New Roman" w:cs="Times New Roman"/>
          <w:sz w:val="20"/>
          <w:szCs w:val="20"/>
        </w:rPr>
      </w:pPr>
      <w:r w:rsidRPr="002F61BB">
        <w:rPr>
          <w:rFonts w:ascii="Times New Roman" w:eastAsia="Calibri" w:hAnsi="Times New Roman" w:cs="Times New Roman"/>
          <w:u w:val="single"/>
        </w:rPr>
        <w:t>Instructions concerning specific positions</w:t>
      </w:r>
    </w:p>
    <w:p w14:paraId="7FE1C74A" w14:textId="77777777" w:rsidR="00CC0A94" w:rsidRDefault="006C1571">
      <w:pPr>
        <w:pStyle w:val="Instructionsberschrift3"/>
        <w:numPr>
          <w:ilvl w:val="2"/>
          <w:numId w:val="210"/>
        </w:numPr>
        <w:ind w:left="1418"/>
        <w:contextualSpacing/>
        <w:jc w:val="both"/>
        <w:rPr>
          <w:rFonts w:eastAsia="MS Mincho"/>
          <w:color w:val="auto"/>
          <w:u w:val="none"/>
        </w:rPr>
      </w:pPr>
      <w:r>
        <w:rPr>
          <w:rFonts w:eastAsia="MS Mincho"/>
          <w:color w:val="auto"/>
          <w:szCs w:val="24"/>
          <w:u w:val="none"/>
        </w:rPr>
        <w:t>The information to be included in this template shall be reported once for the entire group, list essential services received by any entity in the group, and link them to the core business lines provided by the group</w:t>
      </w:r>
    </w:p>
    <w:p w14:paraId="7FE1C74B" w14:textId="77777777" w:rsidR="00CC0A94" w:rsidRDefault="006C1571">
      <w:pPr>
        <w:pStyle w:val="Instructionsberschrift3"/>
        <w:numPr>
          <w:ilvl w:val="2"/>
          <w:numId w:val="210"/>
        </w:numPr>
        <w:ind w:left="1418"/>
        <w:contextualSpacing/>
        <w:jc w:val="both"/>
        <w:rPr>
          <w:rFonts w:eastAsia="MS Mincho"/>
          <w:color w:val="auto"/>
          <w:u w:val="none"/>
        </w:rPr>
      </w:pPr>
      <w:r>
        <w:rPr>
          <w:rFonts w:eastAsia="MS Mincho"/>
          <w:color w:val="auto"/>
          <w:szCs w:val="24"/>
          <w:u w:val="none"/>
        </w:rPr>
        <w:t xml:space="preserve">The values reported in columns 0010, 0020 and 0040 of this </w:t>
      </w:r>
      <w:proofErr w:type="gramStart"/>
      <w:r>
        <w:rPr>
          <w:rFonts w:eastAsia="MS Mincho"/>
          <w:color w:val="auto"/>
          <w:szCs w:val="24"/>
          <w:u w:val="none"/>
        </w:rPr>
        <w:t>template</w:t>
      </w:r>
      <w:proofErr w:type="gramEnd"/>
      <w:r>
        <w:rPr>
          <w:rFonts w:eastAsia="MS Mincho"/>
          <w:color w:val="auto"/>
          <w:szCs w:val="24"/>
          <w:u w:val="none"/>
        </w:rPr>
        <w:t xml:space="preserve"> form a primary key, which </w:t>
      </w:r>
      <w:proofErr w:type="gramStart"/>
      <w:r>
        <w:rPr>
          <w:rFonts w:eastAsia="MS Mincho"/>
          <w:color w:val="auto"/>
          <w:szCs w:val="24"/>
          <w:u w:val="none"/>
        </w:rPr>
        <w:t>have to</w:t>
      </w:r>
      <w:proofErr w:type="gramEnd"/>
      <w:r>
        <w:rPr>
          <w:rFonts w:eastAsia="MS Mincho"/>
          <w:color w:val="auto"/>
          <w:szCs w:val="24"/>
          <w:u w:val="none"/>
        </w:rPr>
        <w:t xml:space="preserve"> be unique for each row of the template</w:t>
      </w:r>
    </w:p>
    <w:p w14:paraId="7FE1C74C" w14:textId="77777777" w:rsidR="00CC0A94" w:rsidRPr="002F61BB" w:rsidRDefault="00CC0A94">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CC0A94" w14:paraId="7FE1C74F" w14:textId="77777777" w:rsidTr="002F61BB">
        <w:trPr>
          <w:trHeight w:val="644"/>
          <w:tblHeader/>
        </w:trPr>
        <w:tc>
          <w:tcPr>
            <w:tcW w:w="1418" w:type="dxa"/>
            <w:shd w:val="clear" w:color="auto" w:fill="E7E6E6"/>
          </w:tcPr>
          <w:p w14:paraId="7FE1C74D"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Columns</w:t>
            </w:r>
          </w:p>
        </w:tc>
        <w:tc>
          <w:tcPr>
            <w:tcW w:w="7649" w:type="dxa"/>
            <w:shd w:val="clear" w:color="auto" w:fill="E7E6E6"/>
          </w:tcPr>
          <w:p w14:paraId="7FE1C74E"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Instructions</w:t>
            </w:r>
          </w:p>
        </w:tc>
      </w:tr>
      <w:tr w:rsidR="00CC0A94" w14:paraId="7FE1C754" w14:textId="77777777">
        <w:trPr>
          <w:trHeight w:val="450"/>
        </w:trPr>
        <w:tc>
          <w:tcPr>
            <w:tcW w:w="1418" w:type="dxa"/>
            <w:shd w:val="clear" w:color="auto" w:fill="FFFFFF"/>
          </w:tcPr>
          <w:p w14:paraId="7FE1C750"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0005</w:t>
            </w:r>
          </w:p>
        </w:tc>
        <w:tc>
          <w:tcPr>
            <w:tcW w:w="7649" w:type="dxa"/>
            <w:shd w:val="clear" w:color="auto" w:fill="FFFFFF"/>
          </w:tcPr>
          <w:p w14:paraId="7FE1C751" w14:textId="77777777" w:rsidR="00CC0A94" w:rsidRDefault="006C1571">
            <w:pPr>
              <w:spacing w:before="120" w:after="120" w:line="276" w:lineRule="auto"/>
              <w:rPr>
                <w:rFonts w:ascii="Times New Roman" w:hAnsi="Times New Roman"/>
                <w:sz w:val="20"/>
                <w:szCs w:val="20"/>
              </w:rPr>
            </w:pPr>
            <w:r>
              <w:rPr>
                <w:rFonts w:ascii="Times New Roman" w:hAnsi="Times New Roman"/>
                <w:b/>
                <w:bCs/>
                <w:sz w:val="20"/>
                <w:szCs w:val="20"/>
              </w:rPr>
              <w:t xml:space="preserve">Service Identifier </w:t>
            </w:r>
          </w:p>
          <w:p w14:paraId="7FE1C752"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Use the Service identifier as reported in Z 08.01 (SERV 1).</w:t>
            </w:r>
          </w:p>
          <w:p w14:paraId="7FE1C753" w14:textId="77777777" w:rsidR="00CC0A94" w:rsidRDefault="006C1571">
            <w:pPr>
              <w:spacing w:before="120" w:after="120" w:line="276" w:lineRule="auto"/>
              <w:rPr>
                <w:rFonts w:ascii="Times New Roman" w:hAnsi="Times New Roman"/>
                <w:i/>
                <w:sz w:val="20"/>
                <w:szCs w:val="20"/>
              </w:rPr>
            </w:pPr>
            <w:r>
              <w:rPr>
                <w:rFonts w:ascii="Times New Roman" w:hAnsi="Times New Roman"/>
                <w:sz w:val="20"/>
                <w:szCs w:val="20"/>
              </w:rPr>
              <w:t>The service identifier refers to the service reported under c0020.</w:t>
            </w:r>
          </w:p>
        </w:tc>
      </w:tr>
      <w:tr w:rsidR="00CC0A94" w14:paraId="7FE1C798" w14:textId="77777777">
        <w:trPr>
          <w:trHeight w:val="450"/>
        </w:trPr>
        <w:tc>
          <w:tcPr>
            <w:tcW w:w="1418" w:type="dxa"/>
            <w:shd w:val="clear" w:color="auto" w:fill="FFFFFF"/>
          </w:tcPr>
          <w:p w14:paraId="7FE1C755"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0010</w:t>
            </w:r>
          </w:p>
        </w:tc>
        <w:tc>
          <w:tcPr>
            <w:tcW w:w="7649" w:type="dxa"/>
            <w:shd w:val="clear" w:color="auto" w:fill="FFFFFF"/>
          </w:tcPr>
          <w:p w14:paraId="7FE1C756" w14:textId="77777777" w:rsidR="00CC0A94" w:rsidRDefault="006C1571">
            <w:pPr>
              <w:autoSpaceDE w:val="0"/>
              <w:autoSpaceDN w:val="0"/>
              <w:adjustRightInd w:val="0"/>
              <w:rPr>
                <w:rFonts w:ascii="Times New Roman" w:eastAsia="MS Mincho" w:hAnsi="Times New Roman"/>
                <w:b/>
                <w:bCs/>
                <w:sz w:val="20"/>
                <w:szCs w:val="20"/>
                <w:lang w:eastAsia="en-GB"/>
              </w:rPr>
            </w:pPr>
            <w:r>
              <w:rPr>
                <w:rFonts w:ascii="Times New Roman" w:hAnsi="Times New Roman"/>
                <w:b/>
                <w:bCs/>
                <w:sz w:val="20"/>
                <w:szCs w:val="20"/>
              </w:rPr>
              <w:t>Service type</w:t>
            </w:r>
            <w:r>
              <w:rPr>
                <w:rFonts w:ascii="Times New Roman" w:eastAsia="MS Mincho" w:hAnsi="Times New Roman"/>
                <w:b/>
                <w:bCs/>
                <w:sz w:val="20"/>
                <w:szCs w:val="20"/>
                <w:lang w:eastAsia="en-GB"/>
              </w:rPr>
              <w:t xml:space="preserve"> </w:t>
            </w:r>
          </w:p>
          <w:p w14:paraId="7FE1C757" w14:textId="15BF69BF" w:rsidR="00CC0A94" w:rsidRDefault="006C1571">
            <w:pPr>
              <w:autoSpaceDE w:val="0"/>
              <w:autoSpaceDN w:val="0"/>
              <w:adjustRightInd w:val="0"/>
              <w:rPr>
                <w:rFonts w:ascii="Times New Roman" w:eastAsia="MS Mincho" w:hAnsi="Times New Roman"/>
                <w:sz w:val="20"/>
                <w:szCs w:val="20"/>
                <w:lang w:eastAsia="en-GB"/>
              </w:rPr>
            </w:pPr>
            <w:r>
              <w:rPr>
                <w:rFonts w:ascii="Times New Roman" w:eastAsia="MS Mincho" w:hAnsi="Times New Roman"/>
                <w:sz w:val="20"/>
                <w:szCs w:val="20"/>
                <w:lang w:eastAsia="en-GB"/>
              </w:rPr>
              <w:t xml:space="preserve">The service type shall be one of the service types listed under Z 08.01 0010 above. </w:t>
            </w:r>
          </w:p>
          <w:p w14:paraId="7FE1C797" w14:textId="77777777" w:rsidR="00CC0A94" w:rsidRDefault="00CC0A94" w:rsidP="002F61BB">
            <w:pPr>
              <w:autoSpaceDE w:val="0"/>
              <w:autoSpaceDN w:val="0"/>
              <w:adjustRightInd w:val="0"/>
              <w:rPr>
                <w:rFonts w:ascii="Times New Roman" w:hAnsi="Times New Roman"/>
                <w:sz w:val="20"/>
                <w:szCs w:val="20"/>
              </w:rPr>
            </w:pPr>
          </w:p>
        </w:tc>
      </w:tr>
      <w:tr w:rsidR="00CC0A94" w14:paraId="7FE1C79D" w14:textId="77777777">
        <w:trPr>
          <w:trHeight w:val="450"/>
        </w:trPr>
        <w:tc>
          <w:tcPr>
            <w:tcW w:w="1418" w:type="dxa"/>
            <w:shd w:val="clear" w:color="auto" w:fill="FFFFFF"/>
          </w:tcPr>
          <w:p w14:paraId="7FE1C799"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0020</w:t>
            </w:r>
          </w:p>
        </w:tc>
        <w:tc>
          <w:tcPr>
            <w:tcW w:w="7649" w:type="dxa"/>
            <w:shd w:val="clear" w:color="auto" w:fill="FFFFFF"/>
          </w:tcPr>
          <w:p w14:paraId="7FE1C79A"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Unique service title as per bank taxonomy</w:t>
            </w:r>
            <w:r>
              <w:rPr>
                <w:rFonts w:ascii="Times New Roman" w:hAnsi="Times New Roman"/>
                <w:b/>
                <w:bCs/>
                <w:sz w:val="20"/>
              </w:rPr>
              <w:t xml:space="preserve"> </w:t>
            </w:r>
          </w:p>
          <w:p w14:paraId="7FE1C79B" w14:textId="18F1A227" w:rsidR="00CC0A94" w:rsidRDefault="006C1571" w:rsidP="002F61BB">
            <w:pPr>
              <w:rPr>
                <w:rFonts w:ascii="Times New Roman" w:hAnsi="Times New Roman"/>
                <w:sz w:val="20"/>
              </w:rPr>
            </w:pPr>
            <w:r>
              <w:rPr>
                <w:rFonts w:ascii="Times New Roman" w:hAnsi="Times New Roman"/>
                <w:sz w:val="20"/>
              </w:rPr>
              <w:t>Name/short description of service according to bank’s own tiered taxonomy (Level 3</w:t>
            </w:r>
            <w:proofErr w:type="gramStart"/>
            <w:r>
              <w:rPr>
                <w:rFonts w:ascii="Times New Roman" w:hAnsi="Times New Roman"/>
                <w:sz w:val="20"/>
              </w:rPr>
              <w:t>)</w:t>
            </w:r>
            <w:r w:rsidR="00086C16">
              <w:rPr>
                <w:rFonts w:ascii="Times New Roman" w:hAnsi="Times New Roman"/>
                <w:sz w:val="20"/>
              </w:rPr>
              <w:t xml:space="preserve"> )</w:t>
            </w:r>
            <w:proofErr w:type="gramEnd"/>
            <w:r w:rsidR="00086C16">
              <w:rPr>
                <w:rFonts w:ascii="Times New Roman" w:hAnsi="Times New Roman"/>
                <w:sz w:val="20"/>
              </w:rPr>
              <w:t xml:space="preserve"> as reported in Z 08.01 (SERV 1) column 0020</w:t>
            </w:r>
            <w:r>
              <w:rPr>
                <w:rFonts w:ascii="Times New Roman" w:hAnsi="Times New Roman"/>
                <w:sz w:val="20"/>
              </w:rPr>
              <w:t xml:space="preserve">. The bank is expected to </w:t>
            </w:r>
            <w:proofErr w:type="gramStart"/>
            <w:r>
              <w:rPr>
                <w:rFonts w:ascii="Times New Roman" w:hAnsi="Times New Roman"/>
                <w:sz w:val="20"/>
              </w:rPr>
              <w:t>report</w:t>
            </w:r>
            <w:proofErr w:type="gramEnd"/>
            <w:r>
              <w:rPr>
                <w:rFonts w:ascii="Times New Roman" w:hAnsi="Times New Roman"/>
                <w:sz w:val="20"/>
              </w:rPr>
              <w:t xml:space="preserve"> the services at a more granular level than the reporting provided for Level 2 (c0010), so that each </w:t>
            </w:r>
            <w:proofErr w:type="gramStart"/>
            <w:r>
              <w:rPr>
                <w:rFonts w:ascii="Times New Roman" w:hAnsi="Times New Roman"/>
                <w:sz w:val="20"/>
              </w:rPr>
              <w:t>particular service</w:t>
            </w:r>
            <w:proofErr w:type="gramEnd"/>
            <w:r>
              <w:rPr>
                <w:rFonts w:ascii="Times New Roman" w:hAnsi="Times New Roman"/>
                <w:sz w:val="20"/>
              </w:rPr>
              <w:t xml:space="preserve"> is defined in a precise and targeted way.</w:t>
            </w:r>
          </w:p>
          <w:p w14:paraId="7FE1C79C" w14:textId="77777777" w:rsidR="00CC0A94" w:rsidRDefault="00CC0A94">
            <w:pPr>
              <w:spacing w:before="120" w:after="120" w:line="276" w:lineRule="auto"/>
              <w:rPr>
                <w:rFonts w:ascii="Times New Roman" w:hAnsi="Times New Roman"/>
                <w:sz w:val="20"/>
                <w:szCs w:val="20"/>
              </w:rPr>
            </w:pPr>
          </w:p>
        </w:tc>
      </w:tr>
      <w:tr w:rsidR="00CC0A94" w14:paraId="7FE1C7A2" w14:textId="77777777">
        <w:trPr>
          <w:trHeight w:val="450"/>
        </w:trPr>
        <w:tc>
          <w:tcPr>
            <w:tcW w:w="1418" w:type="dxa"/>
            <w:shd w:val="clear" w:color="auto" w:fill="FFFFFF"/>
          </w:tcPr>
          <w:p w14:paraId="7FE1C79E"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0030-0040</w:t>
            </w:r>
          </w:p>
        </w:tc>
        <w:tc>
          <w:tcPr>
            <w:tcW w:w="7649" w:type="dxa"/>
            <w:shd w:val="clear" w:color="auto" w:fill="FFFFFF"/>
          </w:tcPr>
          <w:p w14:paraId="7FE1C79F"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Core business line</w:t>
            </w:r>
            <w:r>
              <w:rPr>
                <w:rFonts w:ascii="Times New Roman" w:hAnsi="Times New Roman"/>
                <w:b/>
                <w:bCs/>
                <w:sz w:val="20"/>
              </w:rPr>
              <w:t xml:space="preserve"> </w:t>
            </w:r>
          </w:p>
          <w:p w14:paraId="7FE1C7A0" w14:textId="69CF44DD" w:rsidR="00CC0A94" w:rsidRDefault="006C1571">
            <w:pPr>
              <w:spacing w:line="276" w:lineRule="auto"/>
              <w:jc w:val="both"/>
              <w:rPr>
                <w:rFonts w:ascii="Times New Roman" w:hAnsi="Times New Roman"/>
                <w:sz w:val="20"/>
              </w:rPr>
            </w:pPr>
            <w:r>
              <w:rPr>
                <w:rFonts w:ascii="Times New Roman" w:hAnsi="Times New Roman"/>
                <w:sz w:val="20"/>
              </w:rPr>
              <w:t xml:space="preserve">Core business line pursuant to Article 2(1)(36) and Article 2(2) of Directive </w:t>
            </w:r>
            <w:r w:rsidR="00086C16">
              <w:rPr>
                <w:rFonts w:ascii="Times New Roman" w:hAnsi="Times New Roman"/>
                <w:sz w:val="20"/>
              </w:rPr>
              <w:t>2016/778</w:t>
            </w:r>
            <w:r>
              <w:rPr>
                <w:rFonts w:ascii="Times New Roman" w:hAnsi="Times New Roman"/>
                <w:sz w:val="20"/>
              </w:rPr>
              <w:t>.</w:t>
            </w:r>
            <w:r>
              <w:rPr>
                <w:rFonts w:ascii="Times New Roman" w:hAnsi="Times New Roman"/>
              </w:rPr>
              <w:t xml:space="preserve"> </w:t>
            </w:r>
          </w:p>
          <w:p w14:paraId="7FE1C7A1" w14:textId="77777777" w:rsidR="00CC0A94" w:rsidRDefault="00CC0A94">
            <w:pPr>
              <w:spacing w:line="276" w:lineRule="auto"/>
              <w:jc w:val="both"/>
              <w:rPr>
                <w:rFonts w:ascii="Times New Roman" w:hAnsi="Times New Roman"/>
                <w:sz w:val="20"/>
              </w:rPr>
            </w:pPr>
          </w:p>
        </w:tc>
      </w:tr>
      <w:tr w:rsidR="00CC0A94" w14:paraId="7FE1C7A7" w14:textId="77777777">
        <w:trPr>
          <w:trHeight w:val="450"/>
        </w:trPr>
        <w:tc>
          <w:tcPr>
            <w:tcW w:w="1418" w:type="dxa"/>
            <w:shd w:val="clear" w:color="auto" w:fill="FFFFFF"/>
          </w:tcPr>
          <w:p w14:paraId="7FE1C7A3"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0030</w:t>
            </w:r>
          </w:p>
        </w:tc>
        <w:tc>
          <w:tcPr>
            <w:tcW w:w="7649" w:type="dxa"/>
            <w:shd w:val="clear" w:color="auto" w:fill="FFFFFF"/>
          </w:tcPr>
          <w:p w14:paraId="7FE1C7A4" w14:textId="77777777" w:rsidR="00CC0A94" w:rsidRDefault="006C1571">
            <w:pPr>
              <w:spacing w:line="276" w:lineRule="auto"/>
              <w:jc w:val="both"/>
              <w:rPr>
                <w:rFonts w:ascii="Times New Roman" w:hAnsi="Times New Roman"/>
                <w:b/>
                <w:bCs/>
                <w:sz w:val="20"/>
              </w:rPr>
            </w:pPr>
            <w:r>
              <w:rPr>
                <w:rFonts w:ascii="Times New Roman" w:hAnsi="Times New Roman"/>
                <w:b/>
                <w:bCs/>
                <w:sz w:val="20"/>
              </w:rPr>
              <w:t>Name</w:t>
            </w:r>
          </w:p>
          <w:p w14:paraId="7FE1C7A5" w14:textId="77777777" w:rsidR="00CC0A94" w:rsidRDefault="006C1571">
            <w:pPr>
              <w:jc w:val="both"/>
              <w:rPr>
                <w:rFonts w:ascii="Times New Roman" w:hAnsi="Times New Roman"/>
                <w:sz w:val="20"/>
              </w:rPr>
            </w:pPr>
            <w:r>
              <w:rPr>
                <w:rFonts w:ascii="Times New Roman" w:hAnsi="Times New Roman"/>
                <w:sz w:val="20"/>
              </w:rPr>
              <w:t>It is one of the core business lines reported in template Z 07.03 0010.</w:t>
            </w:r>
          </w:p>
          <w:p w14:paraId="7FE1C7A6" w14:textId="77777777" w:rsidR="00CC0A94" w:rsidRDefault="00CC0A94">
            <w:pPr>
              <w:spacing w:line="276" w:lineRule="auto"/>
              <w:jc w:val="both"/>
              <w:rPr>
                <w:rFonts w:ascii="Times New Roman" w:hAnsi="Times New Roman"/>
                <w:sz w:val="20"/>
              </w:rPr>
            </w:pPr>
          </w:p>
        </w:tc>
      </w:tr>
      <w:tr w:rsidR="00CC0A94" w14:paraId="7FE1C7AD" w14:textId="77777777">
        <w:trPr>
          <w:trHeight w:val="450"/>
        </w:trPr>
        <w:tc>
          <w:tcPr>
            <w:tcW w:w="1418" w:type="dxa"/>
            <w:shd w:val="clear" w:color="auto" w:fill="FFFFFF"/>
          </w:tcPr>
          <w:p w14:paraId="7FE1C7A8"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0040</w:t>
            </w:r>
          </w:p>
        </w:tc>
        <w:tc>
          <w:tcPr>
            <w:tcW w:w="7649" w:type="dxa"/>
            <w:shd w:val="clear" w:color="auto" w:fill="FFFFFF"/>
          </w:tcPr>
          <w:p w14:paraId="7FE1C7A9" w14:textId="77777777" w:rsidR="00CC0A94" w:rsidRDefault="006C1571">
            <w:pPr>
              <w:spacing w:line="276" w:lineRule="auto"/>
              <w:jc w:val="both"/>
              <w:rPr>
                <w:rFonts w:ascii="Times New Roman" w:hAnsi="Times New Roman"/>
                <w:b/>
                <w:bCs/>
                <w:sz w:val="20"/>
              </w:rPr>
            </w:pPr>
            <w:r>
              <w:rPr>
                <w:rFonts w:ascii="Times New Roman" w:hAnsi="Times New Roman"/>
                <w:b/>
                <w:bCs/>
                <w:sz w:val="20"/>
              </w:rPr>
              <w:t>ID</w:t>
            </w:r>
          </w:p>
          <w:p w14:paraId="7FE1C7AA" w14:textId="77777777" w:rsidR="00CC0A94" w:rsidRDefault="006C1571">
            <w:pPr>
              <w:spacing w:line="276" w:lineRule="auto"/>
              <w:jc w:val="both"/>
              <w:rPr>
                <w:rFonts w:ascii="Times New Roman" w:hAnsi="Times New Roman"/>
                <w:sz w:val="20"/>
              </w:rPr>
            </w:pPr>
            <w:r>
              <w:rPr>
                <w:rFonts w:ascii="Times New Roman" w:hAnsi="Times New Roman"/>
                <w:sz w:val="20"/>
              </w:rPr>
              <w:t xml:space="preserve">ID of the core business lines whose continuity is necessary for the effective implementation execution of the resolution strategy and any consequent restructuring. It is one of the ID reported in template Z 07.03 0020 </w:t>
            </w:r>
          </w:p>
          <w:p w14:paraId="7FE1C7AB" w14:textId="77777777" w:rsidR="00CC0A94" w:rsidRDefault="00CC0A94">
            <w:pPr>
              <w:spacing w:line="276" w:lineRule="auto"/>
              <w:jc w:val="both"/>
              <w:rPr>
                <w:rFonts w:ascii="Times New Roman" w:hAnsi="Times New Roman"/>
                <w:sz w:val="20"/>
              </w:rPr>
            </w:pPr>
          </w:p>
          <w:p w14:paraId="7FE1C7AC" w14:textId="77777777" w:rsidR="00CC0A94" w:rsidRDefault="00CC0A94">
            <w:pPr>
              <w:spacing w:line="276" w:lineRule="auto"/>
              <w:jc w:val="both"/>
              <w:rPr>
                <w:rFonts w:ascii="Times New Roman" w:hAnsi="Times New Roman"/>
                <w:sz w:val="20"/>
              </w:rPr>
            </w:pPr>
          </w:p>
        </w:tc>
      </w:tr>
    </w:tbl>
    <w:p w14:paraId="7FE1C7B8" w14:textId="77777777" w:rsidR="00CC0A94" w:rsidRPr="002F61BB" w:rsidRDefault="00CC0A94">
      <w:pPr>
        <w:rPr>
          <w:rFonts w:ascii="Times New Roman" w:hAnsi="Times New Roman" w:cs="Times New Roman"/>
        </w:rPr>
      </w:pPr>
    </w:p>
    <w:p w14:paraId="7FE1C7B9" w14:textId="77777777" w:rsidR="00CC0A94" w:rsidRPr="002F61BB" w:rsidRDefault="00CC0A94" w:rsidP="002F61BB">
      <w:pPr>
        <w:pStyle w:val="Instructionsberschrift2"/>
        <w:rPr>
          <w:rFonts w:ascii="Times New Roman" w:eastAsia="Calibri" w:hAnsi="Times New Roman" w:cs="Times New Roman"/>
          <w:szCs w:val="20"/>
        </w:rPr>
      </w:pPr>
    </w:p>
    <w:p w14:paraId="7FE1C7BA" w14:textId="77777777" w:rsidR="00CC0A94" w:rsidRDefault="006C1571">
      <w:pPr>
        <w:pStyle w:val="Instructionsberschrift2"/>
        <w:numPr>
          <w:ilvl w:val="1"/>
          <w:numId w:val="49"/>
        </w:numPr>
        <w:ind w:left="357" w:hanging="357"/>
        <w:rPr>
          <w:rFonts w:ascii="Times New Roman" w:eastAsia="Calibri" w:hAnsi="Times New Roman" w:cs="Times New Roman"/>
          <w:szCs w:val="20"/>
        </w:rPr>
      </w:pPr>
      <w:bookmarkStart w:id="135" w:name="_Toc192249073"/>
      <w:r>
        <w:rPr>
          <w:rFonts w:ascii="Times New Roman" w:eastAsia="Calibri" w:hAnsi="Times New Roman" w:cs="Times New Roman"/>
          <w:szCs w:val="20"/>
        </w:rPr>
        <w:t>FMI Services</w:t>
      </w:r>
      <w:bookmarkEnd w:id="135"/>
    </w:p>
    <w:p w14:paraId="7FE1C7BC" w14:textId="227D5127" w:rsidR="00CC0A94" w:rsidRDefault="006C1571" w:rsidP="002F61BB">
      <w:pPr>
        <w:pStyle w:val="Numberedtitlelevel3"/>
        <w:rPr>
          <w:lang w:val="en-GB" w:eastAsia="de-DE"/>
        </w:rPr>
      </w:pPr>
      <w:r>
        <w:rPr>
          <w:rFonts w:ascii="Times New Roman" w:hAnsi="Times New Roman" w:cs="Times New Roman"/>
          <w:b w:val="0"/>
          <w:color w:val="000000" w:themeColor="text1"/>
          <w:sz w:val="20"/>
          <w:szCs w:val="20"/>
          <w:u w:val="single"/>
          <w:lang w:val="en-GB"/>
        </w:rPr>
        <w:t>General remarks</w:t>
      </w:r>
    </w:p>
    <w:p w14:paraId="7FE1C7BD" w14:textId="77777777" w:rsidR="00CC0A94" w:rsidRDefault="006C1571">
      <w:pPr>
        <w:pStyle w:val="InstructionsText2"/>
        <w:numPr>
          <w:ilvl w:val="2"/>
          <w:numId w:val="209"/>
        </w:numPr>
        <w:spacing w:before="0"/>
        <w:ind w:left="1276"/>
        <w:rPr>
          <w:rFonts w:ascii="Times New Roman" w:hAnsi="Times New Roman" w:cs="Times New Roman"/>
          <w:sz w:val="20"/>
          <w:szCs w:val="20"/>
          <w:lang w:val="en-GB"/>
        </w:rPr>
      </w:pPr>
      <w:r>
        <w:rPr>
          <w:rFonts w:ascii="Times New Roman" w:hAnsi="Times New Roman" w:cs="Times New Roman"/>
          <w:sz w:val="20"/>
          <w:szCs w:val="20"/>
          <w:lang w:val="en-GB"/>
        </w:rPr>
        <w:t>Report all direct and indirect access to FMIs and systems referred to in column 0040 below. This template shall be reported once for the entire institution or group.</w:t>
      </w:r>
    </w:p>
    <w:p w14:paraId="7FE1C7BE" w14:textId="77777777" w:rsidR="00CC0A94" w:rsidRDefault="006C1571">
      <w:pPr>
        <w:pStyle w:val="InstructionsText2"/>
        <w:numPr>
          <w:ilvl w:val="2"/>
          <w:numId w:val="209"/>
        </w:numPr>
        <w:spacing w:before="0"/>
        <w:ind w:left="1276"/>
        <w:rPr>
          <w:rFonts w:ascii="Times New Roman" w:hAnsi="Times New Roman" w:cs="Times New Roman"/>
          <w:sz w:val="20"/>
          <w:szCs w:val="20"/>
          <w:lang w:val="en-GB"/>
        </w:rPr>
      </w:pPr>
      <w:r>
        <w:rPr>
          <w:rFonts w:ascii="Times New Roman" w:hAnsi="Times New Roman" w:cs="Times New Roman"/>
          <w:sz w:val="20"/>
          <w:szCs w:val="20"/>
          <w:lang w:val="en-GB"/>
        </w:rPr>
        <w:t>One template to be reported for the institution or group. Each relevant legal entity which accesses an FMI, either directly or indirectly, shall be reported distinctively as User. Report both intragroup and third-party relationship.</w:t>
      </w:r>
    </w:p>
    <w:p w14:paraId="7FE1C7BF" w14:textId="5CCDA51A" w:rsidR="00CC0A94" w:rsidRDefault="006C1571">
      <w:pPr>
        <w:pStyle w:val="ListParagraph"/>
        <w:numPr>
          <w:ilvl w:val="2"/>
          <w:numId w:val="209"/>
        </w:numPr>
        <w:ind w:left="1276"/>
        <w:rPr>
          <w:rFonts w:ascii="Times New Roman" w:eastAsia="Times New Roman" w:hAnsi="Times New Roman"/>
          <w:sz w:val="20"/>
          <w:szCs w:val="20"/>
          <w:lang w:eastAsia="de-DE"/>
        </w:rPr>
      </w:pPr>
      <w:r>
        <w:rPr>
          <w:rFonts w:ascii="Times New Roman" w:eastAsia="Times New Roman" w:hAnsi="Times New Roman"/>
          <w:sz w:val="20"/>
          <w:szCs w:val="20"/>
          <w:lang w:eastAsia="de-DE"/>
        </w:rPr>
        <w:t>The combination of values reported in columns 00</w:t>
      </w:r>
      <w:r w:rsidR="00577491">
        <w:rPr>
          <w:rFonts w:ascii="Times New Roman" w:eastAsia="Times New Roman" w:hAnsi="Times New Roman"/>
          <w:sz w:val="20"/>
          <w:szCs w:val="20"/>
          <w:lang w:eastAsia="de-DE"/>
        </w:rPr>
        <w:t>3</w:t>
      </w:r>
      <w:r>
        <w:rPr>
          <w:rFonts w:ascii="Times New Roman" w:eastAsia="Times New Roman" w:hAnsi="Times New Roman"/>
          <w:sz w:val="20"/>
          <w:szCs w:val="20"/>
          <w:lang w:eastAsia="de-DE"/>
        </w:rPr>
        <w:t>0, 0040, 00</w:t>
      </w:r>
      <w:r w:rsidR="00577491">
        <w:rPr>
          <w:rFonts w:ascii="Times New Roman" w:eastAsia="Times New Roman" w:hAnsi="Times New Roman"/>
          <w:sz w:val="20"/>
          <w:szCs w:val="20"/>
          <w:lang w:eastAsia="de-DE"/>
        </w:rPr>
        <w:t>7</w:t>
      </w:r>
      <w:r>
        <w:rPr>
          <w:rFonts w:ascii="Times New Roman" w:eastAsia="Times New Roman" w:hAnsi="Times New Roman"/>
          <w:sz w:val="20"/>
          <w:szCs w:val="20"/>
          <w:lang w:eastAsia="de-DE"/>
        </w:rPr>
        <w:t>0, and 01</w:t>
      </w:r>
      <w:r w:rsidR="00577491">
        <w:rPr>
          <w:rFonts w:ascii="Times New Roman" w:eastAsia="Times New Roman" w:hAnsi="Times New Roman"/>
          <w:sz w:val="20"/>
          <w:szCs w:val="20"/>
          <w:lang w:eastAsia="de-DE"/>
        </w:rPr>
        <w:t>1</w:t>
      </w:r>
      <w:r>
        <w:rPr>
          <w:rFonts w:ascii="Times New Roman" w:eastAsia="Times New Roman" w:hAnsi="Times New Roman"/>
          <w:sz w:val="20"/>
          <w:szCs w:val="20"/>
          <w:lang w:eastAsia="de-DE"/>
        </w:rPr>
        <w:t xml:space="preserve">0 of this </w:t>
      </w:r>
      <w:proofErr w:type="gramStart"/>
      <w:r>
        <w:rPr>
          <w:rFonts w:ascii="Times New Roman" w:eastAsia="Times New Roman" w:hAnsi="Times New Roman"/>
          <w:sz w:val="20"/>
          <w:szCs w:val="20"/>
          <w:lang w:eastAsia="de-DE"/>
        </w:rPr>
        <w:t>template</w:t>
      </w:r>
      <w:proofErr w:type="gramEnd"/>
      <w:r>
        <w:rPr>
          <w:rFonts w:ascii="Times New Roman" w:eastAsia="Times New Roman" w:hAnsi="Times New Roman"/>
          <w:sz w:val="20"/>
          <w:szCs w:val="20"/>
          <w:lang w:eastAsia="de-DE"/>
        </w:rPr>
        <w:t xml:space="preserve"> forms a primary key which </w:t>
      </w:r>
      <w:proofErr w:type="gramStart"/>
      <w:r>
        <w:rPr>
          <w:rFonts w:ascii="Times New Roman" w:eastAsia="Times New Roman" w:hAnsi="Times New Roman"/>
          <w:sz w:val="20"/>
          <w:szCs w:val="20"/>
          <w:lang w:eastAsia="de-DE"/>
        </w:rPr>
        <w:t>has to</w:t>
      </w:r>
      <w:proofErr w:type="gramEnd"/>
      <w:r>
        <w:rPr>
          <w:rFonts w:ascii="Times New Roman" w:eastAsia="Times New Roman" w:hAnsi="Times New Roman"/>
          <w:sz w:val="20"/>
          <w:szCs w:val="20"/>
          <w:lang w:eastAsia="de-DE"/>
        </w:rPr>
        <w:t xml:space="preserve"> be unique for each row of the template and is reported as first column of each template.</w:t>
      </w:r>
    </w:p>
    <w:p w14:paraId="7FE1C7C0" w14:textId="77777777" w:rsidR="00CC0A94" w:rsidRDefault="00CC0A94">
      <w:pPr>
        <w:pStyle w:val="ListParagraph"/>
        <w:ind w:left="1276"/>
        <w:rPr>
          <w:rFonts w:ascii="Times New Roman" w:eastAsia="Times New Roman" w:hAnsi="Times New Roman"/>
          <w:sz w:val="20"/>
          <w:szCs w:val="20"/>
          <w:lang w:eastAsia="de-DE"/>
        </w:rPr>
      </w:pPr>
    </w:p>
    <w:p w14:paraId="7FE1C7C1" w14:textId="77777777" w:rsidR="00CC0A94" w:rsidRDefault="006C1571">
      <w:pPr>
        <w:pStyle w:val="InstructionsText2"/>
        <w:numPr>
          <w:ilvl w:val="2"/>
          <w:numId w:val="209"/>
        </w:numPr>
        <w:spacing w:before="0"/>
        <w:ind w:left="1276"/>
        <w:rPr>
          <w:rFonts w:ascii="Times New Roman" w:hAnsi="Times New Roman" w:cs="Times New Roman"/>
          <w:sz w:val="20"/>
          <w:szCs w:val="20"/>
          <w:lang w:val="en-GB"/>
        </w:rPr>
      </w:pPr>
      <w:r>
        <w:rPr>
          <w:rFonts w:ascii="Times New Roman" w:hAnsi="Times New Roman" w:cs="Times New Roman"/>
          <w:sz w:val="20"/>
          <w:szCs w:val="20"/>
          <w:lang w:val="en-GB"/>
        </w:rPr>
        <w:t>If more than one item needs to be reported in free form fields, separate each item by a semi-colon (;).</w:t>
      </w:r>
    </w:p>
    <w:p w14:paraId="7FE1C7C2" w14:textId="77777777" w:rsidR="00CC0A94" w:rsidRDefault="00CC0A94" w:rsidP="002F61BB">
      <w:pPr>
        <w:pStyle w:val="Instructionsberschrift2"/>
        <w:ind w:left="357"/>
        <w:rPr>
          <w:rFonts w:ascii="Times New Roman" w:eastAsia="Calibri" w:hAnsi="Times New Roman" w:cs="Times New Roman"/>
          <w:szCs w:val="20"/>
        </w:rPr>
      </w:pPr>
    </w:p>
    <w:p w14:paraId="7FE1C7C3" w14:textId="77777777" w:rsidR="00CC0A94" w:rsidRDefault="006C1571" w:rsidP="002F61BB">
      <w:pPr>
        <w:pStyle w:val="Instructionsberschrift2"/>
        <w:numPr>
          <w:ilvl w:val="1"/>
          <w:numId w:val="49"/>
        </w:numPr>
        <w:ind w:left="357" w:hanging="357"/>
        <w:rPr>
          <w:rFonts w:ascii="Times New Roman" w:hAnsi="Times New Roman"/>
          <w:szCs w:val="20"/>
        </w:rPr>
      </w:pPr>
      <w:bookmarkStart w:id="136" w:name="_Toc192249074"/>
      <w:r>
        <w:rPr>
          <w:rFonts w:ascii="Times New Roman" w:eastAsia="Calibri" w:hAnsi="Times New Roman" w:cs="Times New Roman"/>
          <w:szCs w:val="20"/>
        </w:rPr>
        <w:t>Z 09.01 - FMI Services - Providers and Users (FMI 1)</w:t>
      </w:r>
      <w:bookmarkEnd w:id="136"/>
    </w:p>
    <w:p w14:paraId="7FE1C7C5" w14:textId="6BE08ACD" w:rsidR="00CC0A94" w:rsidRDefault="00CC0A94">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CC0A94" w14:paraId="7FE1C7C8" w14:textId="77777777" w:rsidTr="002F61BB">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Columns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Instructions </w:t>
            </w:r>
          </w:p>
        </w:tc>
      </w:tr>
      <w:tr w:rsidR="00CC0A94" w14:paraId="7FE1C7CD" w14:textId="77777777" w:rsidTr="029F4E13">
        <w:tc>
          <w:tcPr>
            <w:tcW w:w="1183" w:type="dxa"/>
            <w:tcBorders>
              <w:top w:val="single" w:sz="4" w:space="0" w:color="auto"/>
              <w:bottom w:val="single" w:sz="4" w:space="0" w:color="auto"/>
              <w:right w:val="single" w:sz="4" w:space="0" w:color="auto"/>
            </w:tcBorders>
            <w:vAlign w:val="center"/>
          </w:tcPr>
          <w:p w14:paraId="7FE1C7C9"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0010</w:t>
            </w:r>
          </w:p>
        </w:tc>
        <w:tc>
          <w:tcPr>
            <w:tcW w:w="7832" w:type="dxa"/>
            <w:tcBorders>
              <w:top w:val="single" w:sz="8" w:space="0" w:color="auto"/>
              <w:left w:val="single" w:sz="4" w:space="0" w:color="auto"/>
              <w:bottom w:val="single" w:sz="8" w:space="0" w:color="auto"/>
            </w:tcBorders>
            <w:vAlign w:val="bottom"/>
          </w:tcPr>
          <w:p w14:paraId="7FE1C7CA"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ID </w:t>
            </w:r>
            <w:proofErr w:type="gramStart"/>
            <w:r>
              <w:rPr>
                <w:rFonts w:ascii="Times New Roman" w:eastAsia="Times New Roman" w:hAnsi="Times New Roman" w:cs="Times New Roman"/>
                <w:b/>
                <w:sz w:val="20"/>
                <w:szCs w:val="20"/>
              </w:rPr>
              <w:t>representing</w:t>
            </w:r>
            <w:proofErr w:type="gramEnd"/>
            <w:r>
              <w:rPr>
                <w:rFonts w:ascii="Times New Roman" w:eastAsia="Times New Roman" w:hAnsi="Times New Roman" w:cs="Times New Roman"/>
                <w:b/>
                <w:sz w:val="20"/>
                <w:szCs w:val="20"/>
              </w:rPr>
              <w:t xml:space="preserve"> combination of user, FMI, system type and intermediary</w:t>
            </w:r>
          </w:p>
          <w:p w14:paraId="7FE1C7CB" w14:textId="2039C9E5"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a single identifier per row, which corresponds to a unique combination of user, FMI, system type and intermediary. The same ID, corresponding to the same combination, must be used across </w:t>
            </w:r>
            <w:r w:rsidR="00E11B70">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templates</w:t>
            </w:r>
            <w:r w:rsidR="00E11B70">
              <w:rPr>
                <w:rFonts w:ascii="Times New Roman" w:eastAsia="Times New Roman" w:hAnsi="Times New Roman" w:cs="Times New Roman"/>
                <w:sz w:val="20"/>
                <w:szCs w:val="20"/>
              </w:rPr>
              <w:t xml:space="preserve"> Z 09.01 to Z 09.0</w:t>
            </w:r>
            <w:r w:rsidR="002857B4">
              <w:rPr>
                <w:rFonts w:ascii="Times New Roman" w:eastAsia="Times New Roman" w:hAnsi="Times New Roman" w:cs="Times New Roman"/>
                <w:sz w:val="20"/>
                <w:szCs w:val="20"/>
              </w:rPr>
              <w:t>4</w:t>
            </w:r>
            <w:r w:rsidR="00E11B70">
              <w:rPr>
                <w:rFonts w:ascii="Times New Roman" w:eastAsia="Times New Roman" w:hAnsi="Times New Roman" w:cs="Times New Roman"/>
                <w:sz w:val="20"/>
                <w:szCs w:val="20"/>
              </w:rPr>
              <w:t xml:space="preserve"> where applicable</w:t>
            </w:r>
            <w:r>
              <w:rPr>
                <w:rFonts w:ascii="Times New Roman" w:eastAsia="Times New Roman" w:hAnsi="Times New Roman" w:cs="Times New Roman"/>
                <w:sz w:val="20"/>
                <w:szCs w:val="20"/>
              </w:rPr>
              <w:t xml:space="preserve">. </w:t>
            </w:r>
          </w:p>
          <w:p w14:paraId="7FE1C7CC" w14:textId="77777777" w:rsidR="00CC0A94" w:rsidRDefault="00CC0A94">
            <w:pPr>
              <w:rPr>
                <w:rFonts w:ascii="Times New Roman" w:eastAsia="Times New Roman" w:hAnsi="Times New Roman" w:cs="Times New Roman"/>
                <w:sz w:val="20"/>
                <w:szCs w:val="20"/>
              </w:rPr>
            </w:pPr>
          </w:p>
        </w:tc>
      </w:tr>
      <w:tr w:rsidR="00CC0A94" w14:paraId="7FE1C7D0" w14:textId="77777777" w:rsidTr="029F4E13">
        <w:tc>
          <w:tcPr>
            <w:tcW w:w="1183" w:type="dxa"/>
            <w:tcBorders>
              <w:top w:val="single" w:sz="4" w:space="0" w:color="auto"/>
              <w:bottom w:val="single" w:sz="8" w:space="0" w:color="auto"/>
              <w:right w:val="single" w:sz="8" w:space="0" w:color="auto"/>
            </w:tcBorders>
            <w:vAlign w:val="center"/>
          </w:tcPr>
          <w:p w14:paraId="7FE1C7CE" w14:textId="77777777" w:rsidR="00CC0A94" w:rsidRPr="002F61BB" w:rsidRDefault="006C1571">
            <w:pPr>
              <w:rPr>
                <w:rFonts w:ascii="Times New Roman" w:hAnsi="Times New Roman" w:cs="Times New Roman"/>
              </w:rPr>
            </w:pPr>
            <w:r>
              <w:rPr>
                <w:rFonts w:ascii="Times New Roman" w:eastAsia="Times New Roman" w:hAnsi="Times New Roman" w:cs="Times New Roman"/>
                <w:i/>
                <w:iCs/>
                <w:sz w:val="20"/>
                <w:szCs w:val="20"/>
              </w:rPr>
              <w:t>0020-0030</w:t>
            </w:r>
          </w:p>
        </w:tc>
        <w:tc>
          <w:tcPr>
            <w:tcW w:w="7832" w:type="dxa"/>
            <w:tcBorders>
              <w:top w:val="single" w:sz="8" w:space="0" w:color="auto"/>
              <w:left w:val="single" w:sz="8" w:space="0" w:color="auto"/>
              <w:bottom w:val="single" w:sz="8" w:space="0" w:color="auto"/>
            </w:tcBorders>
            <w:vAlign w:val="bottom"/>
          </w:tcPr>
          <w:p w14:paraId="7FE1C7CF" w14:textId="77777777" w:rsidR="00CC0A94" w:rsidRDefault="006C1571">
            <w:pPr>
              <w:pStyle w:val="TableParagraph"/>
              <w:spacing w:before="108"/>
              <w:ind w:left="85"/>
              <w:jc w:val="both"/>
              <w:rPr>
                <w:rFonts w:ascii="Times New Roman" w:eastAsia="Times New Roman" w:hAnsi="Times New Roman" w:cs="Times New Roman"/>
                <w:color w:val="D13438"/>
                <w:sz w:val="20"/>
                <w:szCs w:val="20"/>
                <w:u w:val="single"/>
              </w:rPr>
            </w:pPr>
            <w:r>
              <w:rPr>
                <w:rFonts w:ascii="Times New Roman" w:eastAsia="Times New Roman" w:hAnsi="Times New Roman" w:cs="Times New Roman"/>
                <w:b/>
                <w:i/>
                <w:iCs/>
                <w:sz w:val="20"/>
                <w:szCs w:val="20"/>
              </w:rPr>
              <w:t>User</w:t>
            </w:r>
          </w:p>
        </w:tc>
      </w:tr>
      <w:tr w:rsidR="00CC0A94" w14:paraId="7FE1C7D4" w14:textId="77777777" w:rsidTr="029F4E13">
        <w:tc>
          <w:tcPr>
            <w:tcW w:w="1183" w:type="dxa"/>
            <w:tcBorders>
              <w:top w:val="single" w:sz="4" w:space="0" w:color="auto"/>
              <w:bottom w:val="single" w:sz="8" w:space="0" w:color="auto"/>
              <w:right w:val="single" w:sz="8" w:space="0" w:color="auto"/>
            </w:tcBorders>
            <w:vAlign w:val="center"/>
          </w:tcPr>
          <w:p w14:paraId="7FE1C7D1"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7832" w:type="dxa"/>
            <w:tcBorders>
              <w:top w:val="single" w:sz="8" w:space="0" w:color="auto"/>
              <w:left w:val="single" w:sz="8" w:space="0" w:color="auto"/>
              <w:bottom w:val="single" w:sz="8" w:space="0" w:color="auto"/>
            </w:tcBorders>
            <w:vAlign w:val="bottom"/>
          </w:tcPr>
          <w:p w14:paraId="7FE1C7D2" w14:textId="77777777" w:rsidR="00CC0A94" w:rsidRDefault="006C1571">
            <w:pPr>
              <w:pStyle w:val="TableParagraph"/>
              <w:spacing w:before="108"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Entity name</w:t>
            </w:r>
          </w:p>
          <w:p w14:paraId="7FE1C7D3" w14:textId="1C1A6E42" w:rsidR="00CC0A94" w:rsidRDefault="006C1571">
            <w:pPr>
              <w:pStyle w:val="TableParagraph"/>
              <w:spacing w:before="108"/>
              <w:ind w:left="85"/>
              <w:jc w:val="both"/>
              <w:rPr>
                <w:rFonts w:ascii="Times New Roman" w:eastAsia="Times New Roman" w:hAnsi="Times New Roman" w:cs="Times New Roman"/>
                <w:b/>
                <w:bCs/>
                <w:i/>
                <w:iCs/>
                <w:color w:val="D13438"/>
                <w:sz w:val="20"/>
                <w:szCs w:val="20"/>
                <w:u w:val="single"/>
              </w:rPr>
            </w:pPr>
            <w:r>
              <w:rPr>
                <w:rFonts w:ascii="Times New Roman" w:eastAsia="Times New Roman" w:hAnsi="Times New Roman" w:cs="Times New Roman"/>
                <w:sz w:val="20"/>
                <w:szCs w:val="20"/>
              </w:rPr>
              <w:t>Name of the Legal Entity using payment, custody, settlement, clearing or trade repository services, as reported in template Z</w:t>
            </w:r>
            <w:r w:rsidR="002421B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01.01 – Legal entities (ORG 1): official name as it appears in corporate acts, including the indication of the legal form. </w:t>
            </w:r>
          </w:p>
        </w:tc>
      </w:tr>
      <w:tr w:rsidR="00CC0A94" w14:paraId="7FE1C7D9" w14:textId="77777777" w:rsidTr="029F4E13">
        <w:tc>
          <w:tcPr>
            <w:tcW w:w="1183" w:type="dxa"/>
            <w:tcBorders>
              <w:top w:val="single" w:sz="8" w:space="0" w:color="auto"/>
              <w:bottom w:val="single" w:sz="8" w:space="0" w:color="auto"/>
              <w:right w:val="single" w:sz="8" w:space="0" w:color="auto"/>
            </w:tcBorders>
            <w:vAlign w:val="center"/>
          </w:tcPr>
          <w:p w14:paraId="7FE1C7D5"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0030</w:t>
            </w:r>
          </w:p>
        </w:tc>
        <w:tc>
          <w:tcPr>
            <w:tcW w:w="7832" w:type="dxa"/>
            <w:tcBorders>
              <w:top w:val="single" w:sz="8" w:space="0" w:color="auto"/>
              <w:left w:val="single" w:sz="8" w:space="0" w:color="auto"/>
              <w:bottom w:val="single" w:sz="8" w:space="0" w:color="auto"/>
            </w:tcBorders>
            <w:vAlign w:val="bottom"/>
          </w:tcPr>
          <w:p w14:paraId="7FE1C7D6"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Entity code</w:t>
            </w:r>
          </w:p>
          <w:p w14:paraId="7FE1C7D7" w14:textId="6DA7FBC1" w:rsidR="00CC0A94" w:rsidRDefault="006C1571">
            <w:pPr>
              <w:pStyle w:val="TableParagraph"/>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20-digit, alpha-numeric LEI Code of the Legal Entity using payment, custody, settlement, clearing or trade repository services, as reported in template Z</w:t>
            </w:r>
            <w:r w:rsidR="00541B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01.01 – Legal entities (</w:t>
            </w:r>
            <w:r w:rsidRPr="002F61BB">
              <w:rPr>
                <w:rFonts w:ascii="Times New Roman" w:eastAsia="Times New Roman" w:hAnsi="Times New Roman" w:cs="Times New Roman"/>
                <w:sz w:val="20"/>
                <w:szCs w:val="20"/>
              </w:rPr>
              <w:t>ORG 1).</w:t>
            </w:r>
            <w:r>
              <w:rPr>
                <w:rFonts w:ascii="Times New Roman" w:eastAsia="Times New Roman" w:hAnsi="Times New Roman" w:cs="Times New Roman"/>
                <w:sz w:val="20"/>
                <w:szCs w:val="20"/>
              </w:rPr>
              <w:t xml:space="preserve"> </w:t>
            </w:r>
          </w:p>
          <w:p w14:paraId="7FE1C7D8"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absence of a LEI, the ECB Monetary Financial Institutions </w:t>
            </w:r>
            <w:proofErr w:type="gramStart"/>
            <w:r>
              <w:rPr>
                <w:rFonts w:ascii="Times New Roman" w:eastAsia="Times New Roman" w:hAnsi="Times New Roman" w:cs="Times New Roman"/>
                <w:sz w:val="20"/>
                <w:szCs w:val="20"/>
              </w:rPr>
              <w:t>unique</w:t>
            </w:r>
            <w:proofErr w:type="gramEnd"/>
            <w:r>
              <w:rPr>
                <w:rFonts w:ascii="Times New Roman" w:eastAsia="Times New Roman" w:hAnsi="Times New Roman" w:cs="Times New Roman"/>
                <w:sz w:val="20"/>
                <w:szCs w:val="20"/>
              </w:rPr>
              <w:t xml:space="preserve"> Identifier (MFI ID) of the entity for use in RIAD must be used. </w:t>
            </w:r>
          </w:p>
        </w:tc>
      </w:tr>
      <w:tr w:rsidR="00CC0A94" w14:paraId="7FE1C7DC" w14:textId="77777777" w:rsidTr="029F4E13">
        <w:tc>
          <w:tcPr>
            <w:tcW w:w="1183" w:type="dxa"/>
            <w:tcBorders>
              <w:top w:val="single" w:sz="8" w:space="0" w:color="auto"/>
              <w:bottom w:val="single" w:sz="8" w:space="0" w:color="auto"/>
              <w:right w:val="single" w:sz="8" w:space="0" w:color="auto"/>
            </w:tcBorders>
            <w:vAlign w:val="center"/>
          </w:tcPr>
          <w:p w14:paraId="7FE1C7DA" w14:textId="77777777" w:rsidR="00CC0A94" w:rsidRPr="002F61BB" w:rsidRDefault="006C1571">
            <w:pPr>
              <w:rPr>
                <w:rFonts w:ascii="Times New Roman" w:hAnsi="Times New Roman" w:cs="Times New Roman"/>
              </w:rPr>
            </w:pPr>
            <w:r>
              <w:rPr>
                <w:rFonts w:ascii="Times New Roman" w:eastAsia="Times New Roman" w:hAnsi="Times New Roman" w:cs="Times New Roman"/>
                <w:i/>
                <w:iCs/>
                <w:sz w:val="20"/>
                <w:szCs w:val="20"/>
              </w:rPr>
              <w:t>0040-0270</w:t>
            </w:r>
          </w:p>
        </w:tc>
        <w:tc>
          <w:tcPr>
            <w:tcW w:w="7832" w:type="dxa"/>
            <w:tcBorders>
              <w:top w:val="single" w:sz="8" w:space="0" w:color="auto"/>
              <w:left w:val="single" w:sz="8" w:space="0" w:color="auto"/>
              <w:bottom w:val="single" w:sz="8" w:space="0" w:color="auto"/>
            </w:tcBorders>
            <w:vAlign w:val="bottom"/>
          </w:tcPr>
          <w:p w14:paraId="7FE1C7DB"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Provider</w:t>
            </w:r>
          </w:p>
        </w:tc>
      </w:tr>
      <w:tr w:rsidR="00CC0A94" w14:paraId="7FE1C7DF" w14:textId="77777777" w:rsidTr="029F4E13">
        <w:tc>
          <w:tcPr>
            <w:tcW w:w="1183" w:type="dxa"/>
            <w:tcBorders>
              <w:top w:val="single" w:sz="8" w:space="0" w:color="auto"/>
              <w:bottom w:val="single" w:sz="8" w:space="0" w:color="auto"/>
              <w:right w:val="single" w:sz="8" w:space="0" w:color="auto"/>
            </w:tcBorders>
            <w:vAlign w:val="center"/>
          </w:tcPr>
          <w:p w14:paraId="7FE1C7DD"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0040-0090</w:t>
            </w:r>
          </w:p>
        </w:tc>
        <w:tc>
          <w:tcPr>
            <w:tcW w:w="7832" w:type="dxa"/>
            <w:tcBorders>
              <w:top w:val="single" w:sz="8" w:space="0" w:color="auto"/>
              <w:left w:val="single" w:sz="8" w:space="0" w:color="auto"/>
              <w:bottom w:val="single" w:sz="8" w:space="0" w:color="auto"/>
            </w:tcBorders>
            <w:vAlign w:val="bottom"/>
          </w:tcPr>
          <w:p w14:paraId="7FE1C7DE"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FMI</w:t>
            </w:r>
          </w:p>
        </w:tc>
      </w:tr>
      <w:tr w:rsidR="00CC0A94" w14:paraId="7FE1C7ED" w14:textId="77777777" w:rsidTr="029F4E13">
        <w:tc>
          <w:tcPr>
            <w:tcW w:w="1183" w:type="dxa"/>
            <w:tcBorders>
              <w:top w:val="single" w:sz="8" w:space="0" w:color="auto"/>
              <w:bottom w:val="single" w:sz="8" w:space="0" w:color="auto"/>
              <w:right w:val="single" w:sz="8" w:space="0" w:color="auto"/>
            </w:tcBorders>
            <w:vAlign w:val="center"/>
          </w:tcPr>
          <w:p w14:paraId="7FE1C7E0"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0040</w:t>
            </w:r>
          </w:p>
        </w:tc>
        <w:tc>
          <w:tcPr>
            <w:tcW w:w="7832" w:type="dxa"/>
            <w:tcBorders>
              <w:top w:val="single" w:sz="8" w:space="0" w:color="auto"/>
              <w:left w:val="single" w:sz="8" w:space="0" w:color="auto"/>
              <w:bottom w:val="single" w:sz="8" w:space="0" w:color="auto"/>
            </w:tcBorders>
            <w:vAlign w:val="bottom"/>
          </w:tcPr>
          <w:p w14:paraId="7FE1C7E1"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System type</w:t>
            </w:r>
          </w:p>
          <w:p w14:paraId="7FE1C7E2"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type of system providing services to the user. Select among the following types:</w:t>
            </w:r>
          </w:p>
          <w:p w14:paraId="7FE1C7E3" w14:textId="64030D90"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Payment systems </w:t>
            </w:r>
          </w:p>
          <w:p w14:paraId="7FE1C7E4" w14:textId="642C3011"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Pr>
                <w:rFonts w:ascii="Times New Roman" w:eastAsia="Times New Roman" w:hAnsi="Times New Roman" w:cs="Times New Roman"/>
                <w:sz w:val="20"/>
                <w:szCs w:val="20"/>
              </w:rPr>
              <w:t>CSDs and ICSDs</w:t>
            </w:r>
            <w:r>
              <w:rPr>
                <w:rFonts w:ascii="Times New Roman" w:eastAsia="Times New Roman" w:hAnsi="Times New Roman" w:cs="Times New Roman"/>
                <w:sz w:val="20"/>
                <w:szCs w:val="20"/>
              </w:rPr>
              <w:t>’</w:t>
            </w:r>
          </w:p>
          <w:p w14:paraId="7FE1C7E5" w14:textId="513B4E7C"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Pr>
                <w:rFonts w:ascii="Times New Roman" w:eastAsia="Times New Roman" w:hAnsi="Times New Roman" w:cs="Times New Roman"/>
                <w:sz w:val="20"/>
                <w:szCs w:val="20"/>
              </w:rPr>
              <w:t>Security Settlement System</w:t>
            </w:r>
            <w:r>
              <w:rPr>
                <w:rFonts w:ascii="Times New Roman" w:eastAsia="Times New Roman" w:hAnsi="Times New Roman" w:cs="Times New Roman"/>
                <w:sz w:val="20"/>
                <w:szCs w:val="20"/>
              </w:rPr>
              <w:t>’</w:t>
            </w:r>
          </w:p>
          <w:p w14:paraId="7FE1C7E6" w14:textId="61451372"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006C1571" w:rsidRPr="029F4E13">
              <w:rPr>
                <w:rFonts w:ascii="Times New Roman" w:eastAsia="Times New Roman" w:hAnsi="Times New Roman" w:cs="Times New Roman"/>
                <w:sz w:val="20"/>
                <w:szCs w:val="20"/>
              </w:rPr>
              <w:t>Central counterparties for securities clearing</w:t>
            </w:r>
            <w:r>
              <w:rPr>
                <w:rFonts w:ascii="Times New Roman" w:eastAsia="Times New Roman" w:hAnsi="Times New Roman" w:cs="Times New Roman"/>
                <w:sz w:val="20"/>
                <w:szCs w:val="20"/>
              </w:rPr>
              <w:t>’</w:t>
            </w:r>
            <w:r w:rsidR="006C1571" w:rsidRPr="002F61BB">
              <w:rPr>
                <w:rStyle w:val="FootnoteReference"/>
                <w:rFonts w:ascii="Times New Roman" w:eastAsia="Times New Roman" w:hAnsi="Times New Roman" w:cs="Times New Roman"/>
              </w:rPr>
              <w:footnoteReference w:id="29"/>
            </w:r>
          </w:p>
          <w:p w14:paraId="7FE1C7E7" w14:textId="75E09D2C"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Pr>
                <w:rFonts w:ascii="Times New Roman" w:eastAsia="Times New Roman" w:hAnsi="Times New Roman" w:cs="Times New Roman"/>
                <w:sz w:val="20"/>
                <w:szCs w:val="20"/>
              </w:rPr>
              <w:t>Central counterparties for derivatives clearing</w:t>
            </w:r>
            <w:r>
              <w:rPr>
                <w:rFonts w:ascii="Times New Roman" w:eastAsia="Times New Roman" w:hAnsi="Times New Roman" w:cs="Times New Roman"/>
                <w:sz w:val="20"/>
                <w:szCs w:val="20"/>
              </w:rPr>
              <w:t>’</w:t>
            </w:r>
          </w:p>
          <w:p w14:paraId="7FE1C7E8" w14:textId="44FAA23C"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6C1571">
              <w:rPr>
                <w:rFonts w:ascii="Times New Roman" w:eastAsia="Times New Roman" w:hAnsi="Times New Roman" w:cs="Times New Roman"/>
                <w:sz w:val="20"/>
                <w:szCs w:val="20"/>
              </w:rPr>
              <w:t>egistered trade repositories.</w:t>
            </w:r>
            <w:r>
              <w:rPr>
                <w:rFonts w:ascii="Times New Roman" w:eastAsia="Times New Roman" w:hAnsi="Times New Roman" w:cs="Times New Roman"/>
                <w:sz w:val="20"/>
                <w:szCs w:val="20"/>
              </w:rPr>
              <w:t>’</w:t>
            </w:r>
          </w:p>
          <w:p w14:paraId="7FE1C7E9" w14:textId="424A35E7"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sidRPr="029F4E13">
              <w:rPr>
                <w:rFonts w:ascii="Times New Roman" w:eastAsia="Times New Roman" w:hAnsi="Times New Roman" w:cs="Times New Roman"/>
                <w:sz w:val="20"/>
                <w:szCs w:val="20"/>
              </w:rPr>
              <w:t>Multilateral systems for trading</w:t>
            </w:r>
            <w:r>
              <w:rPr>
                <w:rFonts w:ascii="Times New Roman" w:eastAsia="Times New Roman" w:hAnsi="Times New Roman" w:cs="Times New Roman"/>
                <w:sz w:val="20"/>
                <w:szCs w:val="20"/>
              </w:rPr>
              <w:t>’</w:t>
            </w:r>
            <w:r w:rsidR="006C1571" w:rsidRPr="002F61BB">
              <w:rPr>
                <w:rStyle w:val="FootnoteReference"/>
                <w:rFonts w:ascii="Times New Roman" w:eastAsia="Times New Roman" w:hAnsi="Times New Roman" w:cs="Times New Roman"/>
                <w:sz w:val="20"/>
                <w:szCs w:val="20"/>
              </w:rPr>
              <w:footnoteReference w:id="30"/>
            </w:r>
          </w:p>
          <w:p w14:paraId="7FE1C7EB" w14:textId="51093740"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Pr>
                <w:rFonts w:ascii="Times New Roman" w:eastAsia="Times New Roman" w:hAnsi="Times New Roman" w:cs="Times New Roman"/>
                <w:sz w:val="20"/>
                <w:szCs w:val="20"/>
              </w:rPr>
              <w:t>Card schemes used for retail payments</w:t>
            </w:r>
            <w:r>
              <w:rPr>
                <w:rFonts w:ascii="Times New Roman" w:eastAsia="Times New Roman" w:hAnsi="Times New Roman" w:cs="Times New Roman"/>
                <w:sz w:val="20"/>
                <w:szCs w:val="20"/>
              </w:rPr>
              <w:t>’</w:t>
            </w:r>
          </w:p>
          <w:p w14:paraId="7FE1C7EC" w14:textId="69997621" w:rsidR="00CC0A94" w:rsidRPr="002F61BB" w:rsidRDefault="006C1571">
            <w:pPr>
              <w:pStyle w:val="TableParagraph"/>
              <w:spacing w:before="108"/>
              <w:ind w:left="85"/>
              <w:jc w:val="both"/>
              <w:rPr>
                <w:rFonts w:ascii="Times New Roman" w:hAnsi="Times New Roman" w:cs="Times New Roman"/>
              </w:rPr>
            </w:pPr>
            <w:r>
              <w:rPr>
                <w:rFonts w:ascii="Times New Roman" w:eastAsia="Times New Roman" w:hAnsi="Times New Roman" w:cs="Times New Roman"/>
                <w:sz w:val="20"/>
                <w:szCs w:val="20"/>
              </w:rPr>
              <w:t>‘Not applicable’ - For other payment, clearing, settlement or custody services provided by an entity that does not belong to any of the categories above, e.g. correspondent banks and/or custodian banks for which the institution cannot identify the ultimate FMIs. In column 0110 report the service provided.</w:t>
            </w:r>
          </w:p>
        </w:tc>
      </w:tr>
      <w:tr w:rsidR="00CC0A94" w14:paraId="7FE1C7F4" w14:textId="77777777" w:rsidTr="029F4E13">
        <w:tc>
          <w:tcPr>
            <w:tcW w:w="1183" w:type="dxa"/>
            <w:tcBorders>
              <w:top w:val="single" w:sz="8" w:space="0" w:color="auto"/>
              <w:bottom w:val="single" w:sz="8" w:space="0" w:color="auto"/>
              <w:right w:val="single" w:sz="8" w:space="0" w:color="auto"/>
            </w:tcBorders>
            <w:vAlign w:val="center"/>
          </w:tcPr>
          <w:p w14:paraId="7FE1C7EE"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lastRenderedPageBreak/>
              <w:t>0050 - 0060</w:t>
            </w:r>
          </w:p>
        </w:tc>
        <w:tc>
          <w:tcPr>
            <w:tcW w:w="7832" w:type="dxa"/>
            <w:tcBorders>
              <w:top w:val="single" w:sz="8" w:space="0" w:color="auto"/>
              <w:left w:val="single" w:sz="8" w:space="0" w:color="auto"/>
              <w:bottom w:val="single" w:sz="8" w:space="0" w:color="auto"/>
            </w:tcBorders>
            <w:vAlign w:val="bottom"/>
          </w:tcPr>
          <w:p w14:paraId="7FE1C7EF"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FMI name</w:t>
            </w:r>
          </w:p>
          <w:p w14:paraId="7FE1C7F0"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Commercial name of the Financial Market Infrastructure. </w:t>
            </w:r>
          </w:p>
          <w:p w14:paraId="7FE1C7F1" w14:textId="6A71A5BE" w:rsidR="00CC0A94" w:rsidRDefault="006C1571">
            <w:pPr>
              <w:pStyle w:val="TableParagraph"/>
              <w:numPr>
                <w:ilvl w:val="0"/>
                <w:numId w:val="246"/>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present in column 0050, predefined FMI name</w:t>
            </w:r>
            <w:r w:rsidR="0046145A">
              <w:rPr>
                <w:rFonts w:ascii="Times New Roman" w:eastAsia="Times New Roman" w:hAnsi="Times New Roman" w:cs="Times New Roman"/>
                <w:sz w:val="20"/>
                <w:szCs w:val="20"/>
              </w:rPr>
              <w:t xml:space="preserve"> listed in Annex I of these </w:t>
            </w:r>
            <w:proofErr w:type="gramStart"/>
            <w:r w:rsidR="0046145A">
              <w:rPr>
                <w:rFonts w:ascii="Times New Roman" w:eastAsia="Times New Roman" w:hAnsi="Times New Roman" w:cs="Times New Roman"/>
                <w:sz w:val="20"/>
                <w:szCs w:val="20"/>
              </w:rPr>
              <w:t>instructions</w:t>
            </w:r>
            <w:r>
              <w:rPr>
                <w:rFonts w:ascii="Times New Roman" w:eastAsia="Times New Roman" w:hAnsi="Times New Roman" w:cs="Times New Roman"/>
                <w:sz w:val="20"/>
                <w:szCs w:val="20"/>
              </w:rPr>
              <w:t>;</w:t>
            </w:r>
            <w:proofErr w:type="gramEnd"/>
          </w:p>
          <w:p w14:paraId="7FE1C7F2" w14:textId="77777777" w:rsidR="00CC0A94" w:rsidRDefault="006C1571">
            <w:pPr>
              <w:pStyle w:val="TableParagraph"/>
              <w:numPr>
                <w:ilvl w:val="0"/>
                <w:numId w:val="246"/>
              </w:numPr>
              <w:spacing w:before="108" w:after="120"/>
              <w:ind w:left="442"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not present in column 0050, name in free-text column 0060. </w:t>
            </w:r>
          </w:p>
          <w:p w14:paraId="7FE1C7F3"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 xml:space="preserve">When ‘Not applicable’ is reported in column 0040, these columns shall be left empty. </w:t>
            </w:r>
          </w:p>
        </w:tc>
      </w:tr>
      <w:tr w:rsidR="00CC0A94" w14:paraId="7FE1C7FB" w14:textId="77777777" w:rsidTr="029F4E13">
        <w:tc>
          <w:tcPr>
            <w:tcW w:w="1183" w:type="dxa"/>
            <w:tcBorders>
              <w:top w:val="single" w:sz="8" w:space="0" w:color="auto"/>
              <w:bottom w:val="single" w:sz="8" w:space="0" w:color="auto"/>
              <w:right w:val="single" w:sz="8" w:space="0" w:color="auto"/>
            </w:tcBorders>
            <w:vAlign w:val="center"/>
          </w:tcPr>
          <w:p w14:paraId="7FE1C7F5"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0070</w:t>
            </w:r>
          </w:p>
        </w:tc>
        <w:tc>
          <w:tcPr>
            <w:tcW w:w="7832" w:type="dxa"/>
            <w:tcBorders>
              <w:top w:val="single" w:sz="8" w:space="0" w:color="auto"/>
              <w:left w:val="single" w:sz="8" w:space="0" w:color="auto"/>
              <w:bottom w:val="single" w:sz="8" w:space="0" w:color="auto"/>
            </w:tcBorders>
            <w:vAlign w:val="bottom"/>
          </w:tcPr>
          <w:p w14:paraId="7FE1C7F6"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FMI code</w:t>
            </w:r>
          </w:p>
          <w:p w14:paraId="7FE1C7F7"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20-digit, alphanumeric LEI code of the FMI. </w:t>
            </w:r>
          </w:p>
          <w:p w14:paraId="7FE1C7F8"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Where the FMI has no LEI is not available, use LEI code of the Operator. </w:t>
            </w:r>
          </w:p>
          <w:p w14:paraId="7FE1C7F9"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When ‘Not applicable (FMI system type)’ is reported in column 0040, or when the FMI does not have a code, this column shall contain ‘NA’.</w:t>
            </w:r>
          </w:p>
          <w:p w14:paraId="7FE1C7FA" w14:textId="77777777" w:rsidR="00CC0A94" w:rsidRDefault="00CC0A94">
            <w:pPr>
              <w:rPr>
                <w:rFonts w:ascii="Times New Roman" w:eastAsia="Times New Roman" w:hAnsi="Times New Roman" w:cs="Times New Roman"/>
                <w:color w:val="D13438"/>
                <w:sz w:val="20"/>
                <w:szCs w:val="20"/>
                <w:u w:val="single"/>
              </w:rPr>
            </w:pPr>
          </w:p>
        </w:tc>
      </w:tr>
      <w:tr w:rsidR="00CC0A94" w14:paraId="7FE1C800" w14:textId="77777777" w:rsidTr="029F4E13">
        <w:tc>
          <w:tcPr>
            <w:tcW w:w="1183" w:type="dxa"/>
            <w:tcBorders>
              <w:top w:val="single" w:sz="8" w:space="0" w:color="auto"/>
              <w:bottom w:val="single" w:sz="8" w:space="0" w:color="auto"/>
              <w:right w:val="single" w:sz="8" w:space="0" w:color="auto"/>
            </w:tcBorders>
            <w:vAlign w:val="center"/>
          </w:tcPr>
          <w:p w14:paraId="7FE1C7FC"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0080</w:t>
            </w:r>
          </w:p>
        </w:tc>
        <w:tc>
          <w:tcPr>
            <w:tcW w:w="7832" w:type="dxa"/>
            <w:tcBorders>
              <w:top w:val="single" w:sz="8" w:space="0" w:color="auto"/>
              <w:left w:val="single" w:sz="8" w:space="0" w:color="auto"/>
              <w:bottom w:val="single" w:sz="8" w:space="0" w:color="auto"/>
            </w:tcBorders>
            <w:vAlign w:val="bottom"/>
          </w:tcPr>
          <w:p w14:paraId="7FE1C7FD" w14:textId="77777777" w:rsidR="00CC0A94" w:rsidRDefault="006C1571">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Operator of the FMI</w:t>
            </w:r>
          </w:p>
          <w:p w14:paraId="7FE1C7FE" w14:textId="77777777" w:rsidR="00CC0A94" w:rsidRDefault="006C1571">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Name of the operator of the FMI. </w:t>
            </w:r>
          </w:p>
          <w:p w14:paraId="7FE1C7FF" w14:textId="77777777" w:rsidR="00CC0A94" w:rsidRPr="002F61BB" w:rsidRDefault="00CC0A94">
            <w:pPr>
              <w:rPr>
                <w:rFonts w:ascii="Times New Roman" w:hAnsi="Times New Roman" w:cs="Times New Roman"/>
                <w:color w:val="D13438"/>
                <w:sz w:val="20"/>
                <w:szCs w:val="20"/>
                <w:highlight w:val="yellow"/>
                <w:u w:val="single"/>
              </w:rPr>
            </w:pPr>
          </w:p>
        </w:tc>
      </w:tr>
      <w:tr w:rsidR="00CC0A94" w14:paraId="7FE1C808" w14:textId="77777777" w:rsidTr="029F4E13">
        <w:tc>
          <w:tcPr>
            <w:tcW w:w="1183" w:type="dxa"/>
            <w:tcBorders>
              <w:top w:val="single" w:sz="8" w:space="0" w:color="auto"/>
              <w:bottom w:val="single" w:sz="8" w:space="0" w:color="auto"/>
              <w:right w:val="single" w:sz="8" w:space="0" w:color="auto"/>
            </w:tcBorders>
            <w:vAlign w:val="center"/>
          </w:tcPr>
          <w:p w14:paraId="7FE1C801"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0090</w:t>
            </w:r>
          </w:p>
        </w:tc>
        <w:tc>
          <w:tcPr>
            <w:tcW w:w="7832" w:type="dxa"/>
            <w:tcBorders>
              <w:top w:val="single" w:sz="8" w:space="0" w:color="auto"/>
              <w:left w:val="single" w:sz="8" w:space="0" w:color="auto"/>
              <w:bottom w:val="single" w:sz="8" w:space="0" w:color="auto"/>
            </w:tcBorders>
            <w:vAlign w:val="bottom"/>
          </w:tcPr>
          <w:p w14:paraId="7FE1C802" w14:textId="77777777" w:rsidR="00CC0A94" w:rsidRDefault="006C157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Participation mode</w:t>
            </w:r>
          </w:p>
          <w:p w14:paraId="7FE1C803" w14:textId="77777777" w:rsidR="00CC0A94" w:rsidRDefault="006C1571">
            <w:pPr>
              <w:pStyle w:val="TableParagraph"/>
              <w:spacing w:before="108"/>
              <w:ind w:left="85"/>
              <w:jc w:val="both"/>
              <w:rPr>
                <w:rFonts w:ascii="Times New Roman" w:eastAsia="Times New Roman" w:hAnsi="Times New Roman" w:cs="Times New Roman"/>
                <w:sz w:val="20"/>
                <w:szCs w:val="20"/>
              </w:rPr>
            </w:pPr>
            <w:proofErr w:type="gramStart"/>
            <w:r w:rsidRPr="029F4E13">
              <w:rPr>
                <w:rFonts w:ascii="Times New Roman" w:eastAsia="Times New Roman" w:hAnsi="Times New Roman" w:cs="Times New Roman"/>
                <w:sz w:val="20"/>
                <w:szCs w:val="20"/>
              </w:rPr>
              <w:t>Report</w:t>
            </w:r>
            <w:proofErr w:type="gramEnd"/>
            <w:r w:rsidRPr="029F4E13">
              <w:rPr>
                <w:rFonts w:ascii="Times New Roman" w:eastAsia="Times New Roman" w:hAnsi="Times New Roman" w:cs="Times New Roman"/>
                <w:sz w:val="20"/>
                <w:szCs w:val="20"/>
              </w:rPr>
              <w:t xml:space="preserve"> one of the following values</w:t>
            </w:r>
            <w:r w:rsidRPr="002F61BB">
              <w:rPr>
                <w:rStyle w:val="FootnoteReference"/>
                <w:rFonts w:ascii="Times New Roman" w:eastAsia="Times New Roman" w:hAnsi="Times New Roman" w:cs="Times New Roman"/>
              </w:rPr>
              <w:footnoteReference w:id="31"/>
            </w:r>
            <w:r w:rsidRPr="029F4E13">
              <w:rPr>
                <w:rFonts w:ascii="Times New Roman" w:eastAsia="Times New Roman" w:hAnsi="Times New Roman" w:cs="Times New Roman"/>
                <w:sz w:val="20"/>
                <w:szCs w:val="20"/>
              </w:rPr>
              <w:t>:</w:t>
            </w:r>
          </w:p>
          <w:p w14:paraId="7FE1C804" w14:textId="77777777" w:rsidR="00CC0A94" w:rsidRDefault="006C1571">
            <w:pPr>
              <w:pStyle w:val="TableParagraph"/>
              <w:numPr>
                <w:ilvl w:val="0"/>
                <w:numId w:val="18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‘Direct’ in case of Direct participation in/membership of FMI. </w:t>
            </w:r>
          </w:p>
          <w:p w14:paraId="7FE1C805" w14:textId="77777777" w:rsidR="00CC0A94" w:rsidRDefault="006C1571">
            <w:pPr>
              <w:pStyle w:val="TableParagraph"/>
              <w:numPr>
                <w:ilvl w:val="0"/>
                <w:numId w:val="18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‘Indirect’ in case of indirect participation in/ membership of FMI. </w:t>
            </w:r>
          </w:p>
          <w:p w14:paraId="7FE1C806" w14:textId="77777777" w:rsidR="00CC0A94" w:rsidRDefault="006C1571">
            <w:pPr>
              <w:pStyle w:val="TableParagraph"/>
              <w:numPr>
                <w:ilvl w:val="0"/>
                <w:numId w:val="181"/>
              </w:numPr>
              <w:spacing w:before="10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‘Not applicable (Mode of participation in FMI)’ when ‘Not applicable (FMI system type)’ is reported in column 0040.</w:t>
            </w:r>
          </w:p>
          <w:p w14:paraId="7FE1C807" w14:textId="77777777" w:rsidR="00CC0A94" w:rsidRDefault="00CC0A94">
            <w:pPr>
              <w:pStyle w:val="TableParagraph"/>
              <w:spacing w:before="108"/>
              <w:ind w:left="85"/>
              <w:jc w:val="both"/>
              <w:rPr>
                <w:rFonts w:ascii="Times New Roman" w:eastAsia="Times New Roman" w:hAnsi="Times New Roman" w:cs="Times New Roman"/>
                <w:b/>
                <w:sz w:val="20"/>
                <w:szCs w:val="20"/>
              </w:rPr>
            </w:pPr>
          </w:p>
        </w:tc>
      </w:tr>
      <w:tr w:rsidR="00CC0A94" w14:paraId="7FE1C80B" w14:textId="77777777" w:rsidTr="029F4E13">
        <w:tc>
          <w:tcPr>
            <w:tcW w:w="1183" w:type="dxa"/>
            <w:tcBorders>
              <w:top w:val="single" w:sz="8" w:space="0" w:color="auto"/>
              <w:bottom w:val="single" w:sz="8" w:space="0" w:color="auto"/>
              <w:right w:val="single" w:sz="8" w:space="0" w:color="auto"/>
            </w:tcBorders>
            <w:vAlign w:val="center"/>
          </w:tcPr>
          <w:p w14:paraId="7FE1C809"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0100-0110</w:t>
            </w:r>
          </w:p>
        </w:tc>
        <w:tc>
          <w:tcPr>
            <w:tcW w:w="7832" w:type="dxa"/>
            <w:tcBorders>
              <w:top w:val="single" w:sz="8" w:space="0" w:color="auto"/>
              <w:left w:val="single" w:sz="8" w:space="0" w:color="auto"/>
              <w:bottom w:val="single" w:sz="8" w:space="0" w:color="auto"/>
            </w:tcBorders>
            <w:vAlign w:val="bottom"/>
          </w:tcPr>
          <w:p w14:paraId="7FE1C80A"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i/>
                <w:iCs/>
                <w:sz w:val="20"/>
                <w:szCs w:val="20"/>
              </w:rPr>
              <w:t>Intermediary</w:t>
            </w:r>
          </w:p>
        </w:tc>
      </w:tr>
      <w:tr w:rsidR="00CC0A94" w14:paraId="7FE1C811" w14:textId="77777777" w:rsidTr="029F4E13">
        <w:tc>
          <w:tcPr>
            <w:tcW w:w="1183" w:type="dxa"/>
            <w:tcBorders>
              <w:top w:val="single" w:sz="8" w:space="0" w:color="auto"/>
              <w:bottom w:val="single" w:sz="8" w:space="0" w:color="auto"/>
              <w:right w:val="single" w:sz="8" w:space="0" w:color="auto"/>
            </w:tcBorders>
            <w:vAlign w:val="center"/>
          </w:tcPr>
          <w:p w14:paraId="7FE1C80C"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0100</w:t>
            </w:r>
          </w:p>
        </w:tc>
        <w:tc>
          <w:tcPr>
            <w:tcW w:w="7832" w:type="dxa"/>
            <w:tcBorders>
              <w:top w:val="single" w:sz="8" w:space="0" w:color="auto"/>
              <w:left w:val="single" w:sz="8" w:space="0" w:color="auto"/>
              <w:bottom w:val="single" w:sz="8" w:space="0" w:color="auto"/>
            </w:tcBorders>
            <w:vAlign w:val="bottom"/>
          </w:tcPr>
          <w:p w14:paraId="7FE1C80D" w14:textId="77777777" w:rsidR="00CC0A94" w:rsidRDefault="006C157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Intermediary name</w:t>
            </w:r>
          </w:p>
          <w:p w14:paraId="7FE1C80E"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Commercial name of the intermediary with which the User has a contractual relationship, and which </w:t>
            </w:r>
            <w:proofErr w:type="spellStart"/>
            <w:r>
              <w:rPr>
                <w:rFonts w:ascii="Times New Roman" w:eastAsia="Times New Roman" w:hAnsi="Times New Roman" w:cs="Times New Roman"/>
                <w:sz w:val="20"/>
                <w:szCs w:val="20"/>
              </w:rPr>
              <w:t>providers</w:t>
            </w:r>
            <w:proofErr w:type="spellEnd"/>
            <w:r>
              <w:rPr>
                <w:rFonts w:ascii="Times New Roman" w:eastAsia="Times New Roman" w:hAnsi="Times New Roman" w:cs="Times New Roman"/>
                <w:sz w:val="20"/>
                <w:szCs w:val="20"/>
              </w:rPr>
              <w:t xml:space="preserve"> access to the FMI. To be reported when ‘Indirect’ or ‘Not applicable (Mode </w:t>
            </w:r>
            <w:r>
              <w:rPr>
                <w:rFonts w:ascii="Times New Roman" w:eastAsia="Times New Roman" w:hAnsi="Times New Roman" w:cs="Times New Roman"/>
                <w:sz w:val="20"/>
                <w:szCs w:val="20"/>
              </w:rPr>
              <w:lastRenderedPageBreak/>
              <w:t xml:space="preserve">of participation in FMI)’ is reported in column 0100 ‘Participation mode’. </w:t>
            </w:r>
          </w:p>
          <w:p w14:paraId="7FE1C80F"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case the intermediary is offering indirect access to several FMIs, fill one line per FMI for which the intermediary is offering indirect access.</w:t>
            </w:r>
          </w:p>
          <w:p w14:paraId="7FE1C810"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When ‘Direct’ is reported in column 0090, this column shall be empty.</w:t>
            </w:r>
          </w:p>
        </w:tc>
      </w:tr>
      <w:tr w:rsidR="00CC0A94" w14:paraId="7FE1C819" w14:textId="77777777" w:rsidTr="029F4E13">
        <w:tc>
          <w:tcPr>
            <w:tcW w:w="1183" w:type="dxa"/>
            <w:tcBorders>
              <w:top w:val="single" w:sz="8" w:space="0" w:color="auto"/>
              <w:bottom w:val="single" w:sz="8" w:space="0" w:color="auto"/>
              <w:right w:val="single" w:sz="8" w:space="0" w:color="auto"/>
            </w:tcBorders>
            <w:vAlign w:val="center"/>
          </w:tcPr>
          <w:p w14:paraId="7FE1C812"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0110</w:t>
            </w:r>
          </w:p>
        </w:tc>
        <w:tc>
          <w:tcPr>
            <w:tcW w:w="7832" w:type="dxa"/>
            <w:tcBorders>
              <w:top w:val="single" w:sz="8" w:space="0" w:color="auto"/>
              <w:left w:val="single" w:sz="8" w:space="0" w:color="auto"/>
              <w:bottom w:val="single" w:sz="8" w:space="0" w:color="auto"/>
            </w:tcBorders>
            <w:vAlign w:val="bottom"/>
          </w:tcPr>
          <w:p w14:paraId="7FE1C813" w14:textId="77777777" w:rsidR="00CC0A94" w:rsidRDefault="006C157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Intermediary code</w:t>
            </w:r>
          </w:p>
          <w:p w14:paraId="7FE1C814"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20-digit, alpha-numeric LEI code of the intermediary. </w:t>
            </w:r>
          </w:p>
          <w:p w14:paraId="7FE1C81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Cs/>
                <w:color w:val="000000" w:themeColor="text1"/>
                <w:sz w:val="20"/>
                <w:szCs w:val="20"/>
                <w:lang w:val="en-GB"/>
              </w:rPr>
              <w:t>The type of code shall be</w:t>
            </w:r>
            <w:r>
              <w:rPr>
                <w:rFonts w:ascii="Times New Roman" w:eastAsia="Cambria" w:hAnsi="Times New Roman" w:cs="Times New Roman"/>
                <w:color w:val="000000" w:themeColor="text1"/>
                <w:spacing w:val="-2"/>
                <w:w w:val="95"/>
                <w:sz w:val="20"/>
                <w:szCs w:val="20"/>
                <w:lang w:val="en-GB"/>
              </w:rPr>
              <w:t xml:space="preserve"> preferably the LEI code.</w:t>
            </w:r>
          </w:p>
          <w:p w14:paraId="7FE1C816" w14:textId="77777777" w:rsidR="00CC0A94" w:rsidRDefault="006C1571">
            <w:pPr>
              <w:pStyle w:val="TableParagraph"/>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  When the LEI is not available, report an MFI ID, or if not available, report a national code.</w:t>
            </w:r>
          </w:p>
          <w:p w14:paraId="7FE1C817" w14:textId="3F55AEB3"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hAnsi="Times New Roman" w:cs="Times New Roman"/>
                <w:bCs/>
                <w:color w:val="000000" w:themeColor="text1"/>
                <w:sz w:val="20"/>
                <w:szCs w:val="20"/>
                <w:lang w:val="en-GB"/>
              </w:rPr>
              <w:t>The identification of entities shall be made in a consistent way across templates</w:t>
            </w:r>
            <w:r w:rsidR="00E11B70">
              <w:rPr>
                <w:rFonts w:ascii="Times New Roman" w:hAnsi="Times New Roman" w:cs="Times New Roman"/>
                <w:bCs/>
                <w:color w:val="000000" w:themeColor="text1"/>
                <w:sz w:val="20"/>
                <w:szCs w:val="20"/>
                <w:lang w:val="en-GB"/>
              </w:rPr>
              <w:t xml:space="preserve"> Z 09.01 to Z 09.05 where applicable</w:t>
            </w:r>
            <w:r>
              <w:rPr>
                <w:rFonts w:ascii="Times New Roman" w:hAnsi="Times New Roman" w:cs="Times New Roman"/>
                <w:bCs/>
                <w:color w:val="000000" w:themeColor="text1"/>
                <w:sz w:val="20"/>
                <w:szCs w:val="20"/>
                <w:lang w:val="en-GB"/>
              </w:rPr>
              <w:t>.</w:t>
            </w:r>
            <w:r>
              <w:rPr>
                <w:rFonts w:ascii="Times New Roman" w:eastAsia="Times New Roman" w:hAnsi="Times New Roman" w:cs="Times New Roman"/>
                <w:sz w:val="20"/>
                <w:szCs w:val="20"/>
              </w:rPr>
              <w:t xml:space="preserve"> </w:t>
            </w:r>
          </w:p>
          <w:p w14:paraId="7FE1C818"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When ‘Direct’ is reported in column 0090, this column shall be empty.</w:t>
            </w:r>
          </w:p>
        </w:tc>
      </w:tr>
      <w:tr w:rsidR="00CC0A94" w14:paraId="7FE1C81C" w14:textId="77777777" w:rsidTr="029F4E13">
        <w:tc>
          <w:tcPr>
            <w:tcW w:w="1183" w:type="dxa"/>
            <w:tcBorders>
              <w:top w:val="single" w:sz="8" w:space="0" w:color="auto"/>
              <w:bottom w:val="single" w:sz="8" w:space="0" w:color="auto"/>
              <w:right w:val="single" w:sz="8" w:space="0" w:color="auto"/>
            </w:tcBorders>
            <w:vAlign w:val="center"/>
          </w:tcPr>
          <w:p w14:paraId="7FE1C81A"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0120-0260</w:t>
            </w:r>
          </w:p>
        </w:tc>
        <w:tc>
          <w:tcPr>
            <w:tcW w:w="7832" w:type="dxa"/>
            <w:tcBorders>
              <w:top w:val="single" w:sz="8" w:space="0" w:color="auto"/>
              <w:left w:val="single" w:sz="8" w:space="0" w:color="auto"/>
              <w:bottom w:val="single" w:sz="8" w:space="0" w:color="auto"/>
            </w:tcBorders>
            <w:vAlign w:val="bottom"/>
          </w:tcPr>
          <w:p w14:paraId="7FE1C81B" w14:textId="77777777" w:rsidR="00CC0A94" w:rsidRDefault="006C1571">
            <w:pPr>
              <w:rPr>
                <w:rFonts w:ascii="Times New Roman" w:eastAsia="Times New Roman" w:hAnsi="Times New Roman" w:cs="Times New Roman"/>
                <w:color w:val="D13438"/>
                <w:sz w:val="20"/>
                <w:szCs w:val="20"/>
                <w:u w:val="single"/>
              </w:rPr>
            </w:pPr>
            <w:r>
              <w:rPr>
                <w:rFonts w:ascii="Times New Roman" w:eastAsia="Times New Roman" w:hAnsi="Times New Roman" w:cs="Times New Roman"/>
                <w:b/>
                <w:i/>
                <w:iCs/>
                <w:sz w:val="20"/>
                <w:szCs w:val="20"/>
              </w:rPr>
              <w:t>Contracts and services</w:t>
            </w:r>
          </w:p>
        </w:tc>
      </w:tr>
      <w:tr w:rsidR="00CC0A94" w14:paraId="7FE1C820" w14:textId="77777777" w:rsidTr="029F4E13">
        <w:tc>
          <w:tcPr>
            <w:tcW w:w="1183" w:type="dxa"/>
            <w:tcBorders>
              <w:top w:val="single" w:sz="8" w:space="0" w:color="auto"/>
              <w:bottom w:val="single" w:sz="8" w:space="0" w:color="auto"/>
              <w:right w:val="single" w:sz="8" w:space="0" w:color="auto"/>
            </w:tcBorders>
            <w:vAlign w:val="center"/>
          </w:tcPr>
          <w:p w14:paraId="7FE1C81D"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0120</w:t>
            </w:r>
          </w:p>
        </w:tc>
        <w:tc>
          <w:tcPr>
            <w:tcW w:w="7832" w:type="dxa"/>
            <w:tcBorders>
              <w:top w:val="single" w:sz="8" w:space="0" w:color="auto"/>
              <w:left w:val="single" w:sz="8" w:space="0" w:color="auto"/>
              <w:bottom w:val="single" w:sz="8" w:space="0" w:color="auto"/>
            </w:tcBorders>
            <w:vAlign w:val="bottom"/>
          </w:tcPr>
          <w:p w14:paraId="7FE1C81E"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Contract ID</w:t>
            </w:r>
          </w:p>
          <w:p w14:paraId="7FE1C81F"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User’s internal identifier of the contract which governs the relationship with the FMI/intermediary which provides the service.</w:t>
            </w:r>
          </w:p>
        </w:tc>
      </w:tr>
      <w:tr w:rsidR="00CC0A94" w14:paraId="7FE1C826" w14:textId="77777777" w:rsidTr="029F4E13">
        <w:tc>
          <w:tcPr>
            <w:tcW w:w="1183" w:type="dxa"/>
            <w:tcBorders>
              <w:top w:val="single" w:sz="8" w:space="0" w:color="auto"/>
              <w:bottom w:val="single" w:sz="8" w:space="0" w:color="auto"/>
              <w:right w:val="single" w:sz="8" w:space="0" w:color="auto"/>
            </w:tcBorders>
            <w:vAlign w:val="center"/>
          </w:tcPr>
          <w:p w14:paraId="7FE1C821"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0130</w:t>
            </w:r>
          </w:p>
        </w:tc>
        <w:tc>
          <w:tcPr>
            <w:tcW w:w="7832" w:type="dxa"/>
            <w:tcBorders>
              <w:top w:val="single" w:sz="8" w:space="0" w:color="auto"/>
              <w:left w:val="single" w:sz="8" w:space="0" w:color="auto"/>
              <w:bottom w:val="single" w:sz="8" w:space="0" w:color="auto"/>
            </w:tcBorders>
            <w:vAlign w:val="bottom"/>
          </w:tcPr>
          <w:p w14:paraId="7FE1C822" w14:textId="77777777"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Governing law</w:t>
            </w:r>
          </w:p>
          <w:p w14:paraId="7FE1C823"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ISO 3166-1 alpha-2 identification of the country whose law governs the contractual relationship with the FMI. </w:t>
            </w:r>
          </w:p>
          <w:p w14:paraId="7FE1C824" w14:textId="77777777" w:rsidR="00CC0A94" w:rsidRPr="002F61BB" w:rsidRDefault="006C1571">
            <w:pPr>
              <w:pStyle w:val="TableParagraph"/>
              <w:numPr>
                <w:ilvl w:val="0"/>
                <w:numId w:val="247"/>
              </w:numPr>
              <w:spacing w:before="108"/>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For direct </w:t>
            </w:r>
            <w:proofErr w:type="gramStart"/>
            <w:r>
              <w:rPr>
                <w:rFonts w:ascii="Times New Roman" w:eastAsia="Times New Roman" w:hAnsi="Times New Roman" w:cs="Times New Roman"/>
                <w:sz w:val="20"/>
                <w:szCs w:val="20"/>
              </w:rPr>
              <w:t>accesses</w:t>
            </w:r>
            <w:proofErr w:type="gramEnd"/>
            <w:r>
              <w:rPr>
                <w:rFonts w:ascii="Times New Roman" w:eastAsia="Times New Roman" w:hAnsi="Times New Roman" w:cs="Times New Roman"/>
                <w:sz w:val="20"/>
                <w:szCs w:val="20"/>
              </w:rPr>
              <w:t>, governing law of the contract between the FMI and the User</w:t>
            </w:r>
          </w:p>
          <w:p w14:paraId="7FE1C825" w14:textId="77777777" w:rsidR="00CC0A94" w:rsidRDefault="006C1571" w:rsidP="002F61BB">
            <w:pPr>
              <w:pStyle w:val="TableParagraph"/>
              <w:numPr>
                <w:ilvl w:val="0"/>
                <w:numId w:val="247"/>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indirect </w:t>
            </w:r>
            <w:proofErr w:type="gramStart"/>
            <w:r>
              <w:rPr>
                <w:rFonts w:ascii="Times New Roman" w:eastAsia="Times New Roman" w:hAnsi="Times New Roman" w:cs="Times New Roman"/>
                <w:sz w:val="20"/>
                <w:szCs w:val="20"/>
              </w:rPr>
              <w:t>accesses</w:t>
            </w:r>
            <w:proofErr w:type="gramEnd"/>
            <w:r>
              <w:rPr>
                <w:rFonts w:ascii="Times New Roman" w:eastAsia="Times New Roman" w:hAnsi="Times New Roman" w:cs="Times New Roman"/>
                <w:sz w:val="20"/>
                <w:szCs w:val="20"/>
              </w:rPr>
              <w:t>, governing law of the contract between the intermediary and the User.</w:t>
            </w:r>
          </w:p>
        </w:tc>
      </w:tr>
      <w:tr w:rsidR="00CC0A94" w14:paraId="7FE1C82E" w14:textId="77777777" w:rsidTr="029F4E13">
        <w:tc>
          <w:tcPr>
            <w:tcW w:w="1183" w:type="dxa"/>
            <w:tcBorders>
              <w:top w:val="single" w:sz="8" w:space="0" w:color="auto"/>
              <w:bottom w:val="single" w:sz="8" w:space="0" w:color="auto"/>
              <w:right w:val="single" w:sz="8" w:space="0" w:color="auto"/>
            </w:tcBorders>
            <w:vAlign w:val="center"/>
          </w:tcPr>
          <w:p w14:paraId="7FE1C827"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0140</w:t>
            </w:r>
          </w:p>
        </w:tc>
        <w:tc>
          <w:tcPr>
            <w:tcW w:w="7832" w:type="dxa"/>
            <w:tcBorders>
              <w:top w:val="single" w:sz="8" w:space="0" w:color="auto"/>
              <w:left w:val="single" w:sz="8" w:space="0" w:color="auto"/>
              <w:bottom w:val="single" w:sz="8" w:space="0" w:color="auto"/>
            </w:tcBorders>
            <w:vAlign w:val="bottom"/>
          </w:tcPr>
          <w:p w14:paraId="7FE1C828" w14:textId="77777777"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Resolution-resilient contract </w:t>
            </w:r>
          </w:p>
          <w:p w14:paraId="7FE1C829" w14:textId="77777777" w:rsidR="00CC0A94" w:rsidRDefault="006C1571">
            <w:pPr>
              <w:pStyle w:val="TableParagraph"/>
              <w:spacing w:before="108"/>
              <w:ind w:left="85"/>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Report</w:t>
            </w:r>
            <w:proofErr w:type="gramEnd"/>
            <w:r>
              <w:rPr>
                <w:rFonts w:ascii="Times New Roman" w:eastAsia="Times New Roman" w:hAnsi="Times New Roman" w:cs="Times New Roman"/>
                <w:sz w:val="20"/>
                <w:szCs w:val="20"/>
              </w:rPr>
              <w:t xml:space="preserve"> one of the following values:</w:t>
            </w:r>
          </w:p>
          <w:p w14:paraId="7FE1C82A" w14:textId="6A33252E" w:rsidR="00CC0A94" w:rsidRDefault="006C1571">
            <w:pPr>
              <w:pStyle w:val="TableParagraph"/>
              <w:spacing w:before="108"/>
              <w:ind w:left="85"/>
              <w:jc w:val="both"/>
              <w:rPr>
                <w:rFonts w:ascii="Times New Roman" w:eastAsia="Times New Roman" w:hAnsi="Times New Roman" w:cs="Times New Roman"/>
                <w:sz w:val="20"/>
                <w:szCs w:val="20"/>
              </w:rPr>
            </w:pPr>
            <w:r w:rsidRPr="029F4E13">
              <w:rPr>
                <w:rFonts w:ascii="Times New Roman" w:eastAsia="Times New Roman" w:hAnsi="Times New Roman" w:cs="Times New Roman"/>
                <w:sz w:val="20"/>
                <w:szCs w:val="20"/>
              </w:rPr>
              <w:t>‘Y</w:t>
            </w:r>
            <w:r w:rsidR="00904640">
              <w:rPr>
                <w:rFonts w:ascii="Times New Roman" w:eastAsia="Times New Roman" w:hAnsi="Times New Roman" w:cs="Times New Roman"/>
                <w:sz w:val="20"/>
                <w:szCs w:val="20"/>
              </w:rPr>
              <w:t>es</w:t>
            </w:r>
            <w:r w:rsidRPr="029F4E13">
              <w:rPr>
                <w:rFonts w:ascii="Times New Roman" w:eastAsia="Times New Roman" w:hAnsi="Times New Roman" w:cs="Times New Roman"/>
                <w:sz w:val="20"/>
                <w:szCs w:val="20"/>
              </w:rPr>
              <w:t>’ – if the reporting entity has assessed the contract as resolution-resilient</w:t>
            </w:r>
            <w:r w:rsidRPr="002F61BB">
              <w:rPr>
                <w:rStyle w:val="FootnoteReference"/>
                <w:rFonts w:ascii="Times New Roman" w:eastAsia="Times New Roman" w:hAnsi="Times New Roman" w:cs="Times New Roman"/>
              </w:rPr>
              <w:footnoteReference w:id="32"/>
            </w:r>
            <w:r w:rsidRPr="029F4E13">
              <w:rPr>
                <w:rFonts w:ascii="Times New Roman" w:eastAsia="Times New Roman" w:hAnsi="Times New Roman" w:cs="Times New Roman"/>
                <w:sz w:val="20"/>
                <w:szCs w:val="20"/>
              </w:rPr>
              <w:t xml:space="preserve">. </w:t>
            </w:r>
          </w:p>
          <w:p w14:paraId="7FE1C82B" w14:textId="47263BD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904640">
              <w:rPr>
                <w:rFonts w:ascii="Times New Roman" w:eastAsia="Times New Roman" w:hAnsi="Times New Roman" w:cs="Times New Roman"/>
                <w:sz w:val="20"/>
                <w:szCs w:val="20"/>
              </w:rPr>
              <w:t>o</w:t>
            </w:r>
            <w:r>
              <w:rPr>
                <w:rFonts w:ascii="Times New Roman" w:eastAsia="Times New Roman" w:hAnsi="Times New Roman" w:cs="Times New Roman"/>
                <w:sz w:val="20"/>
                <w:szCs w:val="20"/>
              </w:rPr>
              <w:t>’ – if the reporting entity has assessed the contract as not resolution-resilient.</w:t>
            </w:r>
          </w:p>
          <w:p w14:paraId="7FE1C82C"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 assessed’ – if the information is not available.</w:t>
            </w:r>
          </w:p>
          <w:p w14:paraId="7FE1C82D" w14:textId="77777777" w:rsidR="00CC0A94" w:rsidRDefault="006C1571">
            <w:pPr>
              <w:pStyle w:val="TableParagraph"/>
              <w:spacing w:before="108"/>
              <w:ind w:left="85"/>
              <w:jc w:val="both"/>
              <w:rPr>
                <w:rFonts w:ascii="Times New Roman" w:eastAsia="Times New Roman" w:hAnsi="Times New Roman" w:cs="Times New Roman"/>
                <w:b/>
                <w:bCs/>
                <w:i/>
                <w:iCs/>
                <w:sz w:val="20"/>
                <w:szCs w:val="20"/>
                <w:u w:val="single"/>
              </w:rPr>
            </w:pPr>
            <w:r>
              <w:rPr>
                <w:rFonts w:ascii="Times New Roman" w:eastAsia="Times New Roman" w:hAnsi="Times New Roman" w:cs="Times New Roman"/>
                <w:sz w:val="20"/>
                <w:szCs w:val="20"/>
              </w:rPr>
              <w:t xml:space="preserve">Only report for intermediaries. Report ‘Y’ for all contracts under EEA law.  </w:t>
            </w:r>
          </w:p>
        </w:tc>
      </w:tr>
      <w:tr w:rsidR="00CC0A94" w14:paraId="7FE1C833" w14:textId="77777777" w:rsidTr="029F4E13">
        <w:tc>
          <w:tcPr>
            <w:tcW w:w="1183" w:type="dxa"/>
            <w:tcBorders>
              <w:top w:val="single" w:sz="8" w:space="0" w:color="auto"/>
              <w:bottom w:val="single" w:sz="8" w:space="0" w:color="auto"/>
              <w:right w:val="single" w:sz="8" w:space="0" w:color="auto"/>
            </w:tcBorders>
            <w:vAlign w:val="center"/>
          </w:tcPr>
          <w:p w14:paraId="7FE1C82F"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0150-0200</w:t>
            </w:r>
          </w:p>
        </w:tc>
        <w:tc>
          <w:tcPr>
            <w:tcW w:w="7832" w:type="dxa"/>
            <w:tcBorders>
              <w:top w:val="single" w:sz="8" w:space="0" w:color="auto"/>
              <w:left w:val="single" w:sz="8" w:space="0" w:color="auto"/>
              <w:bottom w:val="single" w:sz="8" w:space="0" w:color="auto"/>
            </w:tcBorders>
            <w:vAlign w:val="bottom"/>
          </w:tcPr>
          <w:p w14:paraId="7FE1C830"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Currencies relevant for reporting entity</w:t>
            </w:r>
          </w:p>
          <w:p w14:paraId="7FE1C831"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Currencies in which transactions of the reporting entity are accepted and settled in the system. Only currencies that account for at least 5% of total operations of the reporting institution with the FMI/intermediary are to be reported.</w:t>
            </w:r>
          </w:p>
          <w:p w14:paraId="7FE1C832"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Col. 150-200 are not mutually exclusive. For ‘other currencies’ (column 0170): ISO 4217 - 3 letter code of the currency(</w:t>
            </w:r>
            <w:proofErr w:type="spellStart"/>
            <w:r>
              <w:rPr>
                <w:rFonts w:ascii="Times New Roman" w:eastAsia="Times New Roman" w:hAnsi="Times New Roman" w:cs="Times New Roman"/>
                <w:sz w:val="20"/>
                <w:szCs w:val="20"/>
              </w:rPr>
              <w:t>ies</w:t>
            </w:r>
            <w:proofErr w:type="spellEnd"/>
            <w:r>
              <w:rPr>
                <w:rFonts w:ascii="Times New Roman" w:eastAsia="Times New Roman" w:hAnsi="Times New Roman" w:cs="Times New Roman"/>
                <w:sz w:val="20"/>
                <w:szCs w:val="20"/>
              </w:rPr>
              <w:t>).</w:t>
            </w:r>
          </w:p>
        </w:tc>
      </w:tr>
      <w:tr w:rsidR="00CC0A94" w14:paraId="7FE1C837" w14:textId="77777777" w:rsidTr="029F4E13">
        <w:tc>
          <w:tcPr>
            <w:tcW w:w="1183" w:type="dxa"/>
            <w:tcBorders>
              <w:top w:val="single" w:sz="8" w:space="0" w:color="auto"/>
              <w:bottom w:val="single" w:sz="8" w:space="0" w:color="auto"/>
              <w:right w:val="single" w:sz="8" w:space="0" w:color="auto"/>
            </w:tcBorders>
            <w:vAlign w:val="center"/>
          </w:tcPr>
          <w:p w14:paraId="7FE1C834"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0210</w:t>
            </w:r>
          </w:p>
        </w:tc>
        <w:tc>
          <w:tcPr>
            <w:tcW w:w="7832" w:type="dxa"/>
            <w:tcBorders>
              <w:top w:val="single" w:sz="8" w:space="0" w:color="auto"/>
              <w:left w:val="single" w:sz="8" w:space="0" w:color="auto"/>
              <w:bottom w:val="single" w:sz="8" w:space="0" w:color="auto"/>
            </w:tcBorders>
            <w:vAlign w:val="bottom"/>
          </w:tcPr>
          <w:p w14:paraId="7FE1C835"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Services provided to FMI / intermediary</w:t>
            </w:r>
          </w:p>
          <w:p w14:paraId="7FE1C836" w14:textId="3FA389EC"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Only report when the user provides services to the FMI/intermediary such as price provider, liquidity provider, cash settlement (specify currency), custody, indirect access to (foreign) CSDs, investment counterparty, other. </w:t>
            </w:r>
          </w:p>
        </w:tc>
      </w:tr>
      <w:tr w:rsidR="00CC0A94" w14:paraId="7FE1C83B" w14:textId="77777777" w:rsidTr="029F4E13">
        <w:tc>
          <w:tcPr>
            <w:tcW w:w="1183" w:type="dxa"/>
            <w:tcBorders>
              <w:top w:val="single" w:sz="8" w:space="0" w:color="auto"/>
              <w:bottom w:val="single" w:sz="8" w:space="0" w:color="auto"/>
              <w:right w:val="single" w:sz="8" w:space="0" w:color="auto"/>
            </w:tcBorders>
            <w:vAlign w:val="center"/>
          </w:tcPr>
          <w:p w14:paraId="7FE1C838"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0220</w:t>
            </w:r>
          </w:p>
        </w:tc>
        <w:tc>
          <w:tcPr>
            <w:tcW w:w="7832" w:type="dxa"/>
            <w:tcBorders>
              <w:top w:val="single" w:sz="8" w:space="0" w:color="auto"/>
              <w:left w:val="single" w:sz="8" w:space="0" w:color="auto"/>
              <w:bottom w:val="single" w:sz="8" w:space="0" w:color="auto"/>
            </w:tcBorders>
            <w:vAlign w:val="bottom"/>
          </w:tcPr>
          <w:p w14:paraId="7FE1C839"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provided by FMI/intermediary</w:t>
            </w:r>
          </w:p>
          <w:p w14:paraId="7FE1C83A"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Services that the FMI/intermediary provides to the reporting entity. Report if 0040 is ‘NA’.</w:t>
            </w:r>
          </w:p>
        </w:tc>
      </w:tr>
      <w:tr w:rsidR="00CC0A94" w14:paraId="7FE1C83E" w14:textId="77777777" w:rsidTr="029F4E13">
        <w:tc>
          <w:tcPr>
            <w:tcW w:w="1183" w:type="dxa"/>
            <w:tcBorders>
              <w:top w:val="single" w:sz="8" w:space="0" w:color="auto"/>
              <w:bottom w:val="single" w:sz="8" w:space="0" w:color="auto"/>
              <w:right w:val="single" w:sz="8" w:space="0" w:color="auto"/>
            </w:tcBorders>
            <w:vAlign w:val="center"/>
          </w:tcPr>
          <w:p w14:paraId="7FE1C83C"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i/>
                <w:iCs/>
                <w:sz w:val="20"/>
                <w:szCs w:val="20"/>
              </w:rPr>
              <w:t>0230-0250</w:t>
            </w:r>
          </w:p>
        </w:tc>
        <w:tc>
          <w:tcPr>
            <w:tcW w:w="7832" w:type="dxa"/>
            <w:tcBorders>
              <w:top w:val="single" w:sz="8" w:space="0" w:color="auto"/>
              <w:left w:val="single" w:sz="8" w:space="0" w:color="auto"/>
              <w:bottom w:val="single" w:sz="8" w:space="0" w:color="auto"/>
            </w:tcBorders>
            <w:vAlign w:val="bottom"/>
          </w:tcPr>
          <w:p w14:paraId="7FE1C83D"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Service providers</w:t>
            </w:r>
          </w:p>
        </w:tc>
      </w:tr>
      <w:tr w:rsidR="00CC0A94" w14:paraId="7FE1C843" w14:textId="77777777" w:rsidTr="029F4E13">
        <w:tc>
          <w:tcPr>
            <w:tcW w:w="1183" w:type="dxa"/>
            <w:tcBorders>
              <w:top w:val="single" w:sz="8" w:space="0" w:color="auto"/>
              <w:bottom w:val="single" w:sz="8" w:space="0" w:color="auto"/>
              <w:right w:val="single" w:sz="8" w:space="0" w:color="auto"/>
            </w:tcBorders>
            <w:vAlign w:val="center"/>
          </w:tcPr>
          <w:p w14:paraId="7FE1C83F"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lastRenderedPageBreak/>
              <w:t>0230 – 0250</w:t>
            </w:r>
          </w:p>
        </w:tc>
        <w:tc>
          <w:tcPr>
            <w:tcW w:w="7832" w:type="dxa"/>
            <w:tcBorders>
              <w:top w:val="single" w:sz="8" w:space="0" w:color="auto"/>
              <w:left w:val="single" w:sz="8" w:space="0" w:color="auto"/>
              <w:bottom w:val="single" w:sz="8" w:space="0" w:color="auto"/>
            </w:tcBorders>
            <w:vAlign w:val="bottom"/>
          </w:tcPr>
          <w:p w14:paraId="7FE1C840"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Communication service providers</w:t>
            </w:r>
          </w:p>
          <w:p w14:paraId="7FE1C841" w14:textId="7B818514"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Providers of communication services used by the institution to access the FMI. Columns 230-250 are not mutually exclusive. </w:t>
            </w:r>
          </w:p>
          <w:p w14:paraId="32DB4B00" w14:textId="3747D290" w:rsidR="00D614E0" w:rsidRDefault="00D614E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r w:rsidR="008A683F">
              <w:rPr>
                <w:rFonts w:ascii="Times New Roman" w:eastAsia="Times New Roman" w:hAnsi="Times New Roman" w:cs="Times New Roman"/>
                <w:sz w:val="20"/>
                <w:szCs w:val="20"/>
              </w:rPr>
              <w:t>the “FMI propriety”-c0230 and “SWIFT” – c0240, report:</w:t>
            </w:r>
          </w:p>
          <w:p w14:paraId="1D0FFCBE" w14:textId="373924D7" w:rsidR="008A683F" w:rsidRDefault="008A683F" w:rsidP="008A683F">
            <w:pPr>
              <w:pStyle w:val="TableParagraph"/>
              <w:numPr>
                <w:ilvl w:val="0"/>
                <w:numId w:val="18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p w14:paraId="26472FE9" w14:textId="3ED80557" w:rsidR="008A683F" w:rsidRDefault="008A683F" w:rsidP="002F61BB">
            <w:pPr>
              <w:pStyle w:val="TableParagraph"/>
              <w:numPr>
                <w:ilvl w:val="0"/>
                <w:numId w:val="18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p w14:paraId="7FE1C842" w14:textId="0C70DB31" w:rsidR="00CC0A94" w:rsidRDefault="008A683F">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w:t>
            </w:r>
            <w:r w:rsidR="006C1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w:t>
            </w:r>
            <w:r w:rsidR="006C1571">
              <w:rPr>
                <w:rFonts w:ascii="Times New Roman" w:eastAsia="Times New Roman" w:hAnsi="Times New Roman" w:cs="Times New Roman"/>
                <w:sz w:val="20"/>
                <w:szCs w:val="20"/>
              </w:rPr>
              <w:t>ther communication service providers’</w:t>
            </w:r>
            <w:r>
              <w:rPr>
                <w:rFonts w:ascii="Times New Roman" w:eastAsia="Times New Roman" w:hAnsi="Times New Roman" w:cs="Times New Roman"/>
                <w:sz w:val="20"/>
                <w:szCs w:val="20"/>
              </w:rPr>
              <w:t xml:space="preserve"> – c0250</w:t>
            </w:r>
            <w:r w:rsidR="006C1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report the </w:t>
            </w:r>
            <w:r w:rsidR="006C1571">
              <w:rPr>
                <w:rFonts w:ascii="Times New Roman" w:eastAsia="Times New Roman" w:hAnsi="Times New Roman" w:cs="Times New Roman"/>
                <w:sz w:val="20"/>
                <w:szCs w:val="20"/>
              </w:rPr>
              <w:t>commercial name of the provider.</w:t>
            </w:r>
          </w:p>
        </w:tc>
      </w:tr>
      <w:tr w:rsidR="00CC0A94" w14:paraId="7FE1C846" w14:textId="77777777" w:rsidTr="029F4E13">
        <w:tc>
          <w:tcPr>
            <w:tcW w:w="1183" w:type="dxa"/>
            <w:tcBorders>
              <w:top w:val="single" w:sz="8" w:space="0" w:color="auto"/>
              <w:bottom w:val="single" w:sz="8" w:space="0" w:color="auto"/>
              <w:right w:val="single" w:sz="8" w:space="0" w:color="auto"/>
            </w:tcBorders>
            <w:vAlign w:val="center"/>
          </w:tcPr>
          <w:p w14:paraId="7FE1C844"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i/>
                <w:iCs/>
                <w:sz w:val="20"/>
                <w:szCs w:val="20"/>
              </w:rPr>
              <w:t>0260-0270</w:t>
            </w:r>
          </w:p>
        </w:tc>
        <w:tc>
          <w:tcPr>
            <w:tcW w:w="7832" w:type="dxa"/>
            <w:tcBorders>
              <w:top w:val="single" w:sz="8" w:space="0" w:color="auto"/>
              <w:left w:val="single" w:sz="8" w:space="0" w:color="auto"/>
              <w:bottom w:val="single" w:sz="8" w:space="0" w:color="auto"/>
            </w:tcBorders>
            <w:vAlign w:val="bottom"/>
          </w:tcPr>
          <w:p w14:paraId="7FE1C845"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Other Service providers enabling access to FMI</w:t>
            </w:r>
          </w:p>
        </w:tc>
      </w:tr>
      <w:tr w:rsidR="00CC0A94" w14:paraId="7FE1C84A" w14:textId="77777777" w:rsidTr="029F4E13">
        <w:tc>
          <w:tcPr>
            <w:tcW w:w="1183" w:type="dxa"/>
            <w:tcBorders>
              <w:top w:val="single" w:sz="8" w:space="0" w:color="auto"/>
              <w:bottom w:val="single" w:sz="8" w:space="0" w:color="auto"/>
              <w:right w:val="single" w:sz="8" w:space="0" w:color="auto"/>
            </w:tcBorders>
            <w:vAlign w:val="center"/>
          </w:tcPr>
          <w:p w14:paraId="7FE1C847"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0260</w:t>
            </w:r>
          </w:p>
        </w:tc>
        <w:tc>
          <w:tcPr>
            <w:tcW w:w="7832" w:type="dxa"/>
            <w:tcBorders>
              <w:top w:val="single" w:sz="8" w:space="0" w:color="auto"/>
              <w:left w:val="single" w:sz="8" w:space="0" w:color="auto"/>
              <w:bottom w:val="single" w:sz="8" w:space="0" w:color="auto"/>
            </w:tcBorders>
            <w:vAlign w:val="bottom"/>
          </w:tcPr>
          <w:p w14:paraId="7FE1C848" w14:textId="77777777" w:rsidR="00CC0A94" w:rsidRDefault="006C1571">
            <w:pPr>
              <w:pStyle w:val="TableParagraph"/>
              <w:spacing w:before="108"/>
              <w:ind w:left="85"/>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Name of additional service providers </w:t>
            </w:r>
          </w:p>
          <w:p w14:paraId="7FE1C849"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Providers other than the intermediary that which are strictly necessary to the user, if applicable: settlement bank, cash correspondent/nostro agent, liquidity provider.  </w:t>
            </w:r>
            <w:r>
              <w:rPr>
                <w:rFonts w:ascii="Times New Roman" w:eastAsia="Times New Roman" w:hAnsi="Times New Roman" w:cs="Times New Roman"/>
                <w:sz w:val="20"/>
                <w:szCs w:val="20"/>
              </w:rPr>
              <w:br/>
              <w:t>Commercial name of the providers.</w:t>
            </w:r>
          </w:p>
        </w:tc>
      </w:tr>
      <w:tr w:rsidR="00CC0A94" w14:paraId="7FE1C84E" w14:textId="77777777" w:rsidTr="029F4E13">
        <w:tc>
          <w:tcPr>
            <w:tcW w:w="1183" w:type="dxa"/>
            <w:tcBorders>
              <w:top w:val="single" w:sz="8" w:space="0" w:color="auto"/>
              <w:bottom w:val="single" w:sz="8" w:space="0" w:color="auto"/>
              <w:right w:val="single" w:sz="8" w:space="0" w:color="auto"/>
            </w:tcBorders>
            <w:vAlign w:val="center"/>
          </w:tcPr>
          <w:p w14:paraId="7FE1C84B"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0270</w:t>
            </w:r>
          </w:p>
        </w:tc>
        <w:tc>
          <w:tcPr>
            <w:tcW w:w="7832" w:type="dxa"/>
            <w:tcBorders>
              <w:top w:val="single" w:sz="8" w:space="0" w:color="auto"/>
              <w:left w:val="single" w:sz="8" w:space="0" w:color="auto"/>
              <w:bottom w:val="single" w:sz="8" w:space="0" w:color="auto"/>
            </w:tcBorders>
            <w:vAlign w:val="bottom"/>
          </w:tcPr>
          <w:p w14:paraId="7FE1C84C"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Additional services </w:t>
            </w:r>
          </w:p>
          <w:p w14:paraId="7FE1C84D"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Services by providers reported in 0260. </w:t>
            </w:r>
          </w:p>
        </w:tc>
      </w:tr>
      <w:tr w:rsidR="00CC0A94" w14:paraId="7FE1C855" w14:textId="77777777" w:rsidTr="029F4E13">
        <w:tc>
          <w:tcPr>
            <w:tcW w:w="1183" w:type="dxa"/>
            <w:tcBorders>
              <w:top w:val="single" w:sz="8" w:space="0" w:color="auto"/>
              <w:bottom w:val="single" w:sz="8" w:space="0" w:color="auto"/>
              <w:right w:val="single" w:sz="8" w:space="0" w:color="auto"/>
            </w:tcBorders>
            <w:vAlign w:val="center"/>
          </w:tcPr>
          <w:p w14:paraId="7FE1C84F"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0280</w:t>
            </w:r>
          </w:p>
        </w:tc>
        <w:tc>
          <w:tcPr>
            <w:tcW w:w="7832" w:type="dxa"/>
            <w:tcBorders>
              <w:top w:val="single" w:sz="8" w:space="0" w:color="auto"/>
              <w:left w:val="single" w:sz="8" w:space="0" w:color="auto"/>
              <w:bottom w:val="single" w:sz="8" w:space="0" w:color="auto"/>
            </w:tcBorders>
            <w:vAlign w:val="bottom"/>
          </w:tcPr>
          <w:p w14:paraId="7FE1C850"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Point of contact at FMI / intermediary</w:t>
            </w:r>
          </w:p>
          <w:p w14:paraId="7FE1C851"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Point of contact at the FMI in case of resolution of the reporting entity. Report:</w:t>
            </w:r>
          </w:p>
          <w:p w14:paraId="7FE1C852" w14:textId="77777777" w:rsidR="00CC0A94" w:rsidRDefault="006C1571">
            <w:pPr>
              <w:pStyle w:val="TableParagraph"/>
              <w:numPr>
                <w:ilvl w:val="0"/>
                <w:numId w:val="181"/>
              </w:numPr>
              <w:ind w:left="799"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p w14:paraId="7FE1C853" w14:textId="77777777" w:rsidR="00CC0A94" w:rsidRDefault="006C1571">
            <w:pPr>
              <w:pStyle w:val="TableParagraph"/>
              <w:numPr>
                <w:ilvl w:val="0"/>
                <w:numId w:val="181"/>
              </w:numPr>
              <w:ind w:left="799"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Job title</w:t>
            </w:r>
          </w:p>
          <w:p w14:paraId="7FE1C854" w14:textId="5FE95CD9" w:rsidR="00CC0A94" w:rsidRDefault="006C1571" w:rsidP="002F61BB">
            <w:pPr>
              <w:pStyle w:val="TableParagraph"/>
              <w:numPr>
                <w:ilvl w:val="0"/>
                <w:numId w:val="181"/>
              </w:numPr>
              <w:ind w:left="799"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 address</w:t>
            </w:r>
          </w:p>
        </w:tc>
      </w:tr>
    </w:tbl>
    <w:p w14:paraId="7FE1C856" w14:textId="77777777" w:rsidR="00CC0A94" w:rsidRPr="002F61BB" w:rsidRDefault="006C1571">
      <w:pPr>
        <w:rPr>
          <w:rFonts w:ascii="Times New Roman" w:hAnsi="Times New Roman" w:cs="Times New Roman"/>
        </w:rPr>
      </w:pPr>
      <w:r w:rsidRPr="002F61BB">
        <w:rPr>
          <w:rFonts w:ascii="Times New Roman" w:hAnsi="Times New Roman" w:cs="Times New Roman"/>
        </w:rPr>
        <w:br/>
      </w:r>
      <w:r w:rsidRPr="002F61BB">
        <w:rPr>
          <w:rFonts w:ascii="Times New Roman" w:hAnsi="Times New Roman" w:cs="Times New Roman"/>
        </w:rPr>
        <w:br/>
      </w:r>
    </w:p>
    <w:p w14:paraId="7FE1C857" w14:textId="77777777" w:rsidR="00CC0A94" w:rsidRDefault="006C1571">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Such as the ECB Monetary Financial Institutions </w:t>
      </w:r>
      <w:proofErr w:type="gramStart"/>
      <w:r>
        <w:rPr>
          <w:rFonts w:ascii="Times New Roman" w:eastAsia="Verdana" w:hAnsi="Times New Roman" w:cs="Times New Roman"/>
          <w:sz w:val="20"/>
          <w:szCs w:val="20"/>
        </w:rPr>
        <w:t>unique</w:t>
      </w:r>
      <w:proofErr w:type="gramEnd"/>
      <w:r>
        <w:rPr>
          <w:rFonts w:ascii="Times New Roman" w:eastAsia="Verdana" w:hAnsi="Times New Roman" w:cs="Times New Roman"/>
          <w:sz w:val="20"/>
          <w:szCs w:val="20"/>
        </w:rPr>
        <w:t xml:space="preserve"> </w:t>
      </w:r>
      <w:proofErr w:type="spellStart"/>
      <w:r>
        <w:rPr>
          <w:rFonts w:ascii="Times New Roman" w:eastAsia="Verdana" w:hAnsi="Times New Roman" w:cs="Times New Roman"/>
          <w:sz w:val="20"/>
          <w:szCs w:val="20"/>
        </w:rPr>
        <w:t>IDentifier</w:t>
      </w:r>
      <w:proofErr w:type="spellEnd"/>
      <w:r>
        <w:rPr>
          <w:rFonts w:ascii="Times New Roman" w:eastAsia="Verdana" w:hAnsi="Times New Roman" w:cs="Times New Roman"/>
          <w:sz w:val="20"/>
          <w:szCs w:val="20"/>
        </w:rPr>
        <w:t xml:space="preserve"> (MFI ID) of the entity for use in RIAD.</w:t>
      </w:r>
    </w:p>
    <w:p w14:paraId="7FE1C858" w14:textId="77777777" w:rsidR="00CC0A94" w:rsidRDefault="006C1571">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ECB Glossary of terms related to payment, clearing and settlement systems, December 2009.</w:t>
      </w:r>
    </w:p>
    <w:p w14:paraId="7FE1C859" w14:textId="77777777" w:rsidR="00CC0A94" w:rsidRDefault="006C1571">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w:t>
      </w:r>
    </w:p>
    <w:p w14:paraId="7FE1C85A" w14:textId="77777777" w:rsidR="00CC0A94" w:rsidRPr="002F61BB" w:rsidRDefault="006C1571">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Such as the ECB Monetary Financial Institutions </w:t>
      </w:r>
      <w:proofErr w:type="gramStart"/>
      <w:r>
        <w:rPr>
          <w:rFonts w:ascii="Times New Roman" w:eastAsia="Verdana" w:hAnsi="Times New Roman" w:cs="Times New Roman"/>
          <w:sz w:val="20"/>
          <w:szCs w:val="20"/>
        </w:rPr>
        <w:t>unique</w:t>
      </w:r>
      <w:proofErr w:type="gramEnd"/>
      <w:r>
        <w:rPr>
          <w:rFonts w:ascii="Times New Roman" w:eastAsia="Verdana" w:hAnsi="Times New Roman" w:cs="Times New Roman"/>
          <w:sz w:val="20"/>
          <w:szCs w:val="20"/>
        </w:rPr>
        <w:t xml:space="preserve"> Identifier (MFI ID) of the entity for use in RIAD.</w:t>
      </w:r>
    </w:p>
    <w:p w14:paraId="7FE1C8BF" w14:textId="77777777" w:rsidR="00CC0A94" w:rsidRPr="002F61BB" w:rsidRDefault="00CC0A94">
      <w:pPr>
        <w:rPr>
          <w:rFonts w:ascii="Times New Roman" w:hAnsi="Times New Roman" w:cs="Times New Roman"/>
        </w:rPr>
      </w:pPr>
    </w:p>
    <w:p w14:paraId="7FE1C8C0" w14:textId="77777777" w:rsidR="00CC0A94" w:rsidRPr="002F61BB" w:rsidRDefault="00CC0A94" w:rsidP="002F61BB">
      <w:pPr>
        <w:rPr>
          <w:rFonts w:ascii="Times New Roman" w:hAnsi="Times New Roman"/>
          <w:sz w:val="20"/>
          <w:szCs w:val="20"/>
          <w:u w:val="single"/>
        </w:rPr>
      </w:pPr>
    </w:p>
    <w:p w14:paraId="7FE1C8C1"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37" w:name="_Toc192249075"/>
      <w:r>
        <w:rPr>
          <w:rFonts w:ascii="Times New Roman" w:hAnsi="Times New Roman" w:cs="Times New Roman"/>
        </w:rPr>
        <w:t>Z 09.02 – Mapping to Critical and Essential FMIs (FMI 2)</w:t>
      </w:r>
      <w:bookmarkEnd w:id="137"/>
    </w:p>
    <w:p w14:paraId="7FE1C8C3" w14:textId="77777777" w:rsidR="00CC0A94"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eastAsiaTheme="majorEastAsia" w:hAnsi="Times New Roman" w:cs="Times New Roman"/>
          <w:sz w:val="20"/>
          <w:szCs w:val="20"/>
          <w:lang w:val="en-GB"/>
        </w:rPr>
        <w:t xml:space="preserve">Critical and essential FMI service providers are FMI services accessed either directly or indirectly, the discontinuation of which can present a serious impediment </w:t>
      </w:r>
      <w:proofErr w:type="gramStart"/>
      <w:r>
        <w:rPr>
          <w:rFonts w:ascii="Times New Roman" w:eastAsiaTheme="majorEastAsia" w:hAnsi="Times New Roman" w:cs="Times New Roman"/>
          <w:sz w:val="20"/>
          <w:szCs w:val="20"/>
          <w:lang w:val="en-GB"/>
        </w:rPr>
        <w:t>to, or</w:t>
      </w:r>
      <w:proofErr w:type="gramEnd"/>
      <w:r>
        <w:rPr>
          <w:rFonts w:ascii="Times New Roman" w:eastAsiaTheme="majorEastAsia" w:hAnsi="Times New Roman" w:cs="Times New Roman"/>
          <w:sz w:val="20"/>
          <w:szCs w:val="20"/>
          <w:lang w:val="en-GB"/>
        </w:rPr>
        <w:t xml:space="preserve"> prevent the performance of one or more critical functions or core business lines of the User.</w:t>
      </w:r>
    </w:p>
    <w:p w14:paraId="7FE1C8C4" w14:textId="77777777" w:rsidR="00CC0A94" w:rsidRDefault="006C1571" w:rsidP="002F61BB">
      <w:pPr>
        <w:pStyle w:val="ListParagraph"/>
        <w:numPr>
          <w:ilvl w:val="2"/>
          <w:numId w:val="209"/>
        </w:numPr>
        <w:ind w:left="1276"/>
        <w:rPr>
          <w:rFonts w:ascii="Times New Roman" w:eastAsiaTheme="majorEastAsia" w:hAnsi="Times New Roman"/>
          <w:sz w:val="20"/>
          <w:szCs w:val="20"/>
          <w:lang w:eastAsia="de-DE"/>
        </w:rPr>
      </w:pPr>
      <w:r>
        <w:rPr>
          <w:rFonts w:ascii="Times New Roman" w:eastAsiaTheme="majorEastAsia" w:hAnsi="Times New Roman"/>
          <w:sz w:val="20"/>
          <w:szCs w:val="20"/>
          <w:lang w:eastAsia="de-DE"/>
        </w:rPr>
        <w:t>Only report in this sheet those FMIs across all system types that the reporting entity considers critical or essential. Do not include any other FMI which is neither critical nor essential.</w:t>
      </w:r>
    </w:p>
    <w:p w14:paraId="7FE1C8C5" w14:textId="77777777" w:rsidR="00CC0A94" w:rsidRDefault="00CC0A94" w:rsidP="002F61BB">
      <w:pPr>
        <w:pStyle w:val="ListParagraph"/>
        <w:ind w:left="1276"/>
        <w:rPr>
          <w:rFonts w:ascii="Times New Roman" w:eastAsiaTheme="majorEastAsia" w:hAnsi="Times New Roman"/>
          <w:sz w:val="20"/>
          <w:szCs w:val="20"/>
          <w:lang w:eastAsia="de-DE"/>
        </w:rPr>
      </w:pPr>
    </w:p>
    <w:p w14:paraId="7FE1C8C6" w14:textId="77777777" w:rsidR="00CC0A94" w:rsidRDefault="006C1571" w:rsidP="002F61BB">
      <w:pPr>
        <w:pStyle w:val="InstructionsText2"/>
        <w:numPr>
          <w:ilvl w:val="2"/>
          <w:numId w:val="209"/>
        </w:numPr>
        <w:spacing w:before="0"/>
        <w:ind w:left="1276"/>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For the purposes of the designation of critical and essential FMIs, the possibility of simultaneous termination of participation shall be </w:t>
      </w:r>
      <w:proofErr w:type="gramStart"/>
      <w:r>
        <w:rPr>
          <w:rFonts w:ascii="Times New Roman" w:eastAsiaTheme="majorEastAsia" w:hAnsi="Times New Roman" w:cs="Times New Roman"/>
          <w:sz w:val="20"/>
          <w:szCs w:val="20"/>
        </w:rPr>
        <w:t>taken into account</w:t>
      </w:r>
      <w:proofErr w:type="gramEnd"/>
      <w:r>
        <w:rPr>
          <w:rFonts w:ascii="Times New Roman" w:eastAsiaTheme="majorEastAsia" w:hAnsi="Times New Roman" w:cs="Times New Roman"/>
          <w:sz w:val="20"/>
          <w:szCs w:val="20"/>
        </w:rPr>
        <w:t xml:space="preserve">.  </w:t>
      </w:r>
    </w:p>
    <w:p w14:paraId="7FE1C8C7" w14:textId="77777777" w:rsidR="00CC0A94" w:rsidRDefault="00CC0A94" w:rsidP="002F61BB">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CC0A94" w14:paraId="7FE1C8CA"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Instructions </w:t>
            </w:r>
          </w:p>
        </w:tc>
      </w:tr>
      <w:tr w:rsidR="00CC0A94"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0010</w:t>
            </w:r>
          </w:p>
        </w:tc>
        <w:tc>
          <w:tcPr>
            <w:tcW w:w="7832" w:type="dxa"/>
            <w:tcBorders>
              <w:top w:val="single" w:sz="8" w:space="0" w:color="1A171C"/>
              <w:left w:val="single" w:sz="8" w:space="0" w:color="auto"/>
              <w:bottom w:val="single" w:sz="8" w:space="0" w:color="auto"/>
            </w:tcBorders>
            <w:vAlign w:val="bottom"/>
          </w:tcPr>
          <w:p w14:paraId="7FE1C8CC"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ID </w:t>
            </w:r>
            <w:proofErr w:type="gramStart"/>
            <w:r>
              <w:rPr>
                <w:rFonts w:ascii="Times New Roman" w:eastAsia="Times New Roman" w:hAnsi="Times New Roman" w:cs="Times New Roman"/>
                <w:b/>
                <w:bCs/>
                <w:sz w:val="20"/>
                <w:szCs w:val="20"/>
              </w:rPr>
              <w:t>representing</w:t>
            </w:r>
            <w:proofErr w:type="gramEnd"/>
            <w:r>
              <w:rPr>
                <w:rFonts w:ascii="Times New Roman" w:eastAsia="Times New Roman" w:hAnsi="Times New Roman" w:cs="Times New Roman"/>
                <w:b/>
                <w:bCs/>
                <w:sz w:val="20"/>
                <w:szCs w:val="20"/>
              </w:rPr>
              <w:t xml:space="preserve"> combination of user, FMI, system type and intermediary</w:t>
            </w:r>
          </w:p>
          <w:p w14:paraId="7FE1C8CD" w14:textId="389563D7" w:rsidR="00CC0A94" w:rsidRDefault="00904640">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Use a single identifier per row, which corresponds to a unique combination of user, FMI, system type and intermediary. The same ID, corresponding to the same combination, must be </w:t>
            </w:r>
            <w:r>
              <w:rPr>
                <w:rFonts w:ascii="Times New Roman" w:eastAsia="Times New Roman" w:hAnsi="Times New Roman" w:cs="Times New Roman"/>
                <w:sz w:val="20"/>
                <w:szCs w:val="20"/>
              </w:rPr>
              <w:lastRenderedPageBreak/>
              <w:t>used across the templates Z 09.01 to Z 09.05 where applicable.</w:t>
            </w:r>
          </w:p>
        </w:tc>
      </w:tr>
      <w:tr w:rsidR="00CC0A94"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CC0A94" w:rsidRPr="002F61BB" w:rsidRDefault="006C1571">
            <w:pPr>
              <w:rPr>
                <w:rFonts w:ascii="Times New Roman" w:hAnsi="Times New Roman" w:cs="Times New Roman"/>
              </w:rPr>
            </w:pPr>
            <w:r>
              <w:rPr>
                <w:rFonts w:ascii="Times New Roman" w:eastAsia="Times New Roman" w:hAnsi="Times New Roman" w:cs="Times New Roman"/>
                <w:i/>
                <w:iCs/>
                <w:sz w:val="20"/>
                <w:szCs w:val="20"/>
              </w:rPr>
              <w:lastRenderedPageBreak/>
              <w:t>0020-0040</w:t>
            </w:r>
          </w:p>
        </w:tc>
        <w:tc>
          <w:tcPr>
            <w:tcW w:w="7832" w:type="dxa"/>
            <w:tcBorders>
              <w:top w:val="single" w:sz="8" w:space="0" w:color="auto"/>
              <w:left w:val="single" w:sz="8" w:space="0" w:color="auto"/>
              <w:bottom w:val="single" w:sz="8" w:space="0" w:color="auto"/>
            </w:tcBorders>
            <w:vAlign w:val="bottom"/>
          </w:tcPr>
          <w:p w14:paraId="7FE1C8D0" w14:textId="77777777" w:rsidR="00CC0A94" w:rsidRDefault="006C1571">
            <w:pPr>
              <w:pStyle w:val="TableParagraph"/>
              <w:spacing w:before="108"/>
              <w:ind w:left="85"/>
              <w:jc w:val="both"/>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Critical FMIs</w:t>
            </w:r>
          </w:p>
        </w:tc>
      </w:tr>
      <w:tr w:rsidR="00CC0A94"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7832" w:type="dxa"/>
            <w:tcBorders>
              <w:top w:val="single" w:sz="8" w:space="0" w:color="auto"/>
              <w:left w:val="single" w:sz="8" w:space="0" w:color="auto"/>
              <w:bottom w:val="single" w:sz="8" w:space="0" w:color="auto"/>
            </w:tcBorders>
            <w:vAlign w:val="bottom"/>
          </w:tcPr>
          <w:p w14:paraId="7FE1C8D3"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Critical FMI: Y/N</w:t>
            </w:r>
          </w:p>
          <w:p w14:paraId="7FE1C8D4" w14:textId="4439D1A6" w:rsidR="00CC0A94" w:rsidRDefault="006C1571">
            <w:pPr>
              <w:pStyle w:val="TableParagraph"/>
              <w:numPr>
                <w:ilvl w:val="0"/>
                <w:numId w:val="248"/>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sidR="00904640">
              <w:rPr>
                <w:rFonts w:ascii="Times New Roman" w:eastAsia="Times New Roman" w:hAnsi="Times New Roman" w:cs="Times New Roman"/>
                <w:sz w:val="20"/>
                <w:szCs w:val="20"/>
              </w:rPr>
              <w:t>es</w:t>
            </w:r>
            <w:r>
              <w:rPr>
                <w:rFonts w:ascii="Times New Roman" w:eastAsia="Times New Roman" w:hAnsi="Times New Roman" w:cs="Times New Roman"/>
                <w:sz w:val="20"/>
                <w:szCs w:val="20"/>
              </w:rPr>
              <w:t>’ if the FMI is critical</w:t>
            </w:r>
          </w:p>
          <w:p w14:paraId="7FE1C8D5" w14:textId="792CB29B" w:rsidR="00CC0A94" w:rsidRDefault="006C1571">
            <w:pPr>
              <w:pStyle w:val="TableParagraph"/>
              <w:numPr>
                <w:ilvl w:val="0"/>
                <w:numId w:val="248"/>
              </w:numPr>
              <w:spacing w:before="108"/>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‘N</w:t>
            </w:r>
            <w:r w:rsidR="00904640">
              <w:rPr>
                <w:rFonts w:ascii="Times New Roman" w:eastAsia="Times New Roman" w:hAnsi="Times New Roman" w:cs="Times New Roman"/>
                <w:sz w:val="20"/>
                <w:szCs w:val="20"/>
              </w:rPr>
              <w:t>o</w:t>
            </w:r>
            <w:r>
              <w:rPr>
                <w:rFonts w:ascii="Times New Roman" w:eastAsia="Times New Roman" w:hAnsi="Times New Roman" w:cs="Times New Roman"/>
                <w:sz w:val="20"/>
                <w:szCs w:val="20"/>
              </w:rPr>
              <w:t>’ if the FMI is not critical</w:t>
            </w:r>
            <w:r>
              <w:rPr>
                <w:rFonts w:ascii="Times New Roman" w:eastAsia="Times New Roman" w:hAnsi="Times New Roman" w:cs="Times New Roman"/>
                <w:b/>
                <w:bCs/>
                <w:sz w:val="20"/>
                <w:szCs w:val="20"/>
              </w:rPr>
              <w:t xml:space="preserve"> </w:t>
            </w:r>
          </w:p>
          <w:p w14:paraId="7FE1C8D6"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Columns 0020 and 0050 are not mutually exclusive.</w:t>
            </w:r>
          </w:p>
        </w:tc>
      </w:tr>
      <w:tr w:rsidR="00CC0A94"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0030</w:t>
            </w:r>
          </w:p>
        </w:tc>
        <w:tc>
          <w:tcPr>
            <w:tcW w:w="7832" w:type="dxa"/>
            <w:tcBorders>
              <w:top w:val="single" w:sz="8" w:space="0" w:color="auto"/>
              <w:left w:val="single" w:sz="8" w:space="0" w:color="auto"/>
              <w:bottom w:val="single" w:sz="8" w:space="0" w:color="auto"/>
            </w:tcBorders>
            <w:vAlign w:val="bottom"/>
          </w:tcPr>
          <w:p w14:paraId="7FE1C8D9"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Country</w:t>
            </w:r>
          </w:p>
          <w:p w14:paraId="7FE1C8DA" w14:textId="56240ABE" w:rsidR="00CC0A94" w:rsidRDefault="00B549AA">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Country</w:t>
            </w:r>
            <w:r w:rsidR="006C1571">
              <w:rPr>
                <w:rFonts w:ascii="Times New Roman" w:eastAsia="Times New Roman" w:hAnsi="Times New Roman" w:cs="Times New Roman"/>
                <w:sz w:val="20"/>
                <w:szCs w:val="20"/>
              </w:rPr>
              <w:t xml:space="preserve"> in which the critical function is provided, as reported in </w:t>
            </w:r>
            <w:r w:rsidR="006C1571" w:rsidRPr="002F61BB">
              <w:rPr>
                <w:rFonts w:ascii="Times New Roman" w:eastAsia="Times New Roman" w:hAnsi="Times New Roman" w:cs="Times New Roman"/>
                <w:sz w:val="20"/>
                <w:szCs w:val="20"/>
              </w:rPr>
              <w:t xml:space="preserve">Z 07.01 </w:t>
            </w:r>
          </w:p>
        </w:tc>
      </w:tr>
      <w:tr w:rsidR="00CC0A94"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CC0A94" w:rsidRDefault="006C1571">
            <w:pPr>
              <w:rPr>
                <w:rFonts w:ascii="Times New Roman" w:eastAsia="Times New Roman" w:hAnsi="Times New Roman" w:cs="Times New Roman"/>
                <w:b/>
                <w:i/>
                <w:sz w:val="20"/>
                <w:szCs w:val="20"/>
              </w:rPr>
            </w:pPr>
            <w:r>
              <w:rPr>
                <w:rFonts w:ascii="Times New Roman" w:eastAsia="Times New Roman" w:hAnsi="Times New Roman" w:cs="Times New Roman"/>
                <w:sz w:val="20"/>
                <w:szCs w:val="20"/>
              </w:rPr>
              <w:t>0040</w:t>
            </w:r>
          </w:p>
        </w:tc>
        <w:tc>
          <w:tcPr>
            <w:tcW w:w="7832" w:type="dxa"/>
            <w:tcBorders>
              <w:top w:val="single" w:sz="8" w:space="0" w:color="auto"/>
              <w:left w:val="single" w:sz="8" w:space="0" w:color="auto"/>
              <w:bottom w:val="single" w:sz="8" w:space="0" w:color="auto"/>
            </w:tcBorders>
            <w:vAlign w:val="bottom"/>
          </w:tcPr>
          <w:p w14:paraId="7FE1C8DD" w14:textId="77777777" w:rsidR="00CC0A94" w:rsidRPr="00591328" w:rsidRDefault="006C1571">
            <w:pPr>
              <w:pStyle w:val="TableParagraph"/>
              <w:spacing w:before="108"/>
              <w:ind w:left="85"/>
              <w:jc w:val="both"/>
              <w:rPr>
                <w:rFonts w:ascii="Times New Roman" w:eastAsia="Times New Roman" w:hAnsi="Times New Roman" w:cs="Times New Roman"/>
                <w:sz w:val="20"/>
                <w:szCs w:val="20"/>
              </w:rPr>
            </w:pPr>
            <w:r w:rsidRPr="00591328">
              <w:rPr>
                <w:rFonts w:ascii="Times New Roman" w:eastAsia="Times New Roman" w:hAnsi="Times New Roman" w:cs="Times New Roman"/>
                <w:b/>
                <w:bCs/>
                <w:sz w:val="20"/>
                <w:szCs w:val="20"/>
              </w:rPr>
              <w:t>Critical function ID</w:t>
            </w:r>
          </w:p>
          <w:p w14:paraId="7FE1C8DE" w14:textId="77777777" w:rsidR="00CC0A94" w:rsidRPr="00591328" w:rsidRDefault="006C1571">
            <w:pPr>
              <w:pStyle w:val="TableParagraph"/>
              <w:spacing w:before="108"/>
              <w:ind w:left="85"/>
              <w:jc w:val="both"/>
              <w:rPr>
                <w:rFonts w:ascii="Times New Roman" w:eastAsia="Times New Roman" w:hAnsi="Times New Roman" w:cs="Times New Roman"/>
                <w:sz w:val="20"/>
                <w:szCs w:val="20"/>
              </w:rPr>
            </w:pPr>
            <w:r w:rsidRPr="00591328">
              <w:rPr>
                <w:rFonts w:ascii="Times New Roman" w:eastAsia="Times New Roman" w:hAnsi="Times New Roman" w:cs="Times New Roman"/>
                <w:sz w:val="20"/>
                <w:szCs w:val="20"/>
              </w:rPr>
              <w:t>Critical function(s) performed by the entity, the performance of which would be impeded or prevented by the disruption of access to the FMI service provider.</w:t>
            </w:r>
          </w:p>
          <w:p w14:paraId="79796B83" w14:textId="298E6F56" w:rsidR="00CC0A94" w:rsidRPr="00591328" w:rsidRDefault="006C1571">
            <w:pPr>
              <w:pStyle w:val="TableParagraph"/>
              <w:spacing w:before="108"/>
              <w:ind w:left="85"/>
              <w:jc w:val="both"/>
              <w:rPr>
                <w:rFonts w:ascii="Times New Roman" w:eastAsia="Times New Roman" w:hAnsi="Times New Roman" w:cs="Times New Roman"/>
                <w:b/>
                <w:bCs/>
                <w:sz w:val="20"/>
                <w:szCs w:val="20"/>
              </w:rPr>
            </w:pPr>
            <w:r w:rsidRPr="00591328">
              <w:rPr>
                <w:rFonts w:ascii="Times New Roman" w:eastAsia="Times New Roman" w:hAnsi="Times New Roman" w:cs="Times New Roman"/>
                <w:sz w:val="20"/>
                <w:szCs w:val="20"/>
              </w:rPr>
              <w:t xml:space="preserve">ID of the critical functions as reported in </w:t>
            </w:r>
            <w:proofErr w:type="gramStart"/>
            <w:r w:rsidRPr="002F61BB">
              <w:rPr>
                <w:rFonts w:ascii="Times New Roman" w:eastAsia="Times New Roman" w:hAnsi="Times New Roman" w:cs="Times New Roman"/>
                <w:sz w:val="20"/>
                <w:szCs w:val="20"/>
              </w:rPr>
              <w:t>Z07.01</w:t>
            </w:r>
            <w:r w:rsidRPr="00591328">
              <w:rPr>
                <w:rFonts w:ascii="Times New Roman" w:eastAsia="Times New Roman" w:hAnsi="Times New Roman" w:cs="Times New Roman"/>
                <w:b/>
                <w:bCs/>
                <w:sz w:val="20"/>
                <w:szCs w:val="20"/>
              </w:rPr>
              <w:t xml:space="preserve"> </w:t>
            </w:r>
            <w:r w:rsidR="0046145A" w:rsidRPr="00591328">
              <w:rPr>
                <w:rFonts w:ascii="Times New Roman" w:eastAsia="Times New Roman" w:hAnsi="Times New Roman" w:cs="Times New Roman"/>
                <w:b/>
                <w:bCs/>
                <w:sz w:val="20"/>
                <w:szCs w:val="20"/>
              </w:rPr>
              <w:t>:</w:t>
            </w:r>
            <w:proofErr w:type="gramEnd"/>
          </w:p>
          <w:p w14:paraId="58520404" w14:textId="77777777" w:rsidR="0046145A" w:rsidRPr="00591328" w:rsidRDefault="0046145A">
            <w:pPr>
              <w:pStyle w:val="TableParagraph"/>
              <w:spacing w:before="108"/>
              <w:ind w:left="85"/>
              <w:jc w:val="both"/>
              <w:rPr>
                <w:rFonts w:ascii="Times New Roman" w:eastAsia="Times New Roman" w:hAnsi="Times New Roman" w:cs="Times New Roman"/>
                <w:b/>
                <w:bCs/>
                <w:sz w:val="20"/>
                <w:szCs w:val="20"/>
              </w:rPr>
            </w:pPr>
          </w:p>
          <w:p w14:paraId="0E718D7B" w14:textId="77777777" w:rsidR="0046145A" w:rsidRPr="002F61BB" w:rsidRDefault="0046145A" w:rsidP="0046145A">
            <w:pPr>
              <w:rPr>
                <w:rFonts w:ascii="Times New Roman" w:eastAsiaTheme="minorHAnsi" w:hAnsi="Times New Roman" w:cs="Times New Roman"/>
                <w:sz w:val="20"/>
                <w:szCs w:val="20"/>
              </w:rPr>
            </w:pPr>
            <w:r w:rsidRPr="002F61BB">
              <w:rPr>
                <w:rFonts w:ascii="Times New Roman" w:hAnsi="Times New Roman" w:cs="Times New Roman"/>
                <w:sz w:val="20"/>
                <w:szCs w:val="20"/>
              </w:rPr>
              <w:t>Deposits</w:t>
            </w:r>
          </w:p>
          <w:p w14:paraId="354D6B7F"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Households</w:t>
            </w:r>
          </w:p>
          <w:p w14:paraId="71C89914" w14:textId="77777777" w:rsidR="00CA03F1"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 xml:space="preserve">Deposits from </w:t>
            </w:r>
            <w:proofErr w:type="gramStart"/>
            <w:r w:rsidRPr="002F61BB">
              <w:rPr>
                <w:rFonts w:ascii="Times New Roman" w:hAnsi="Times New Roman" w:cs="Times New Roman"/>
                <w:sz w:val="20"/>
                <w:szCs w:val="20"/>
              </w:rPr>
              <w:t>Non-financial</w:t>
            </w:r>
            <w:proofErr w:type="gramEnd"/>
            <w:r w:rsidRPr="002F61BB">
              <w:rPr>
                <w:rFonts w:ascii="Times New Roman" w:hAnsi="Times New Roman" w:cs="Times New Roman"/>
                <w:sz w:val="20"/>
                <w:szCs w:val="20"/>
              </w:rPr>
              <w:t xml:space="preserve"> corporations </w:t>
            </w:r>
          </w:p>
          <w:p w14:paraId="7621A95F" w14:textId="69E34691" w:rsidR="0046145A" w:rsidRPr="002F61BB" w:rsidRDefault="00CA03F1" w:rsidP="002F61BB">
            <w:pPr>
              <w:ind w:left="1405"/>
              <w:rPr>
                <w:rFonts w:ascii="Times New Roman" w:hAnsi="Times New Roman" w:cs="Times New Roman"/>
                <w:sz w:val="20"/>
                <w:szCs w:val="20"/>
              </w:rPr>
            </w:pPr>
            <w:r w:rsidRPr="009601FA">
              <w:rPr>
                <w:rFonts w:ascii="Times New Roman" w:hAnsi="Times New Roman" w:cs="Times New Roman"/>
                <w:sz w:val="20"/>
                <w:szCs w:val="20"/>
              </w:rPr>
              <w:t xml:space="preserve">Deposits from </w:t>
            </w:r>
            <w:proofErr w:type="gramStart"/>
            <w:r w:rsidRPr="009601FA">
              <w:rPr>
                <w:rFonts w:ascii="Times New Roman" w:hAnsi="Times New Roman" w:cs="Times New Roman"/>
                <w:sz w:val="20"/>
                <w:szCs w:val="20"/>
              </w:rPr>
              <w:t>Non-financial</w:t>
            </w:r>
            <w:proofErr w:type="gramEnd"/>
            <w:r w:rsidRPr="009601FA">
              <w:rPr>
                <w:rFonts w:ascii="Times New Roman" w:hAnsi="Times New Roman" w:cs="Times New Roman"/>
                <w:sz w:val="20"/>
                <w:szCs w:val="20"/>
              </w:rPr>
              <w:t xml:space="preserve"> corporations </w:t>
            </w:r>
            <w:r w:rsidR="0046145A" w:rsidRPr="002F61BB">
              <w:rPr>
                <w:rFonts w:ascii="Times New Roman" w:hAnsi="Times New Roman" w:cs="Times New Roman"/>
                <w:sz w:val="20"/>
                <w:szCs w:val="20"/>
              </w:rPr>
              <w:t>SMEs</w:t>
            </w:r>
          </w:p>
          <w:p w14:paraId="046B913C" w14:textId="73440AD0" w:rsidR="0046145A" w:rsidRPr="002F61BB" w:rsidRDefault="0046145A" w:rsidP="002F61BB">
            <w:pPr>
              <w:ind w:left="1405"/>
              <w:rPr>
                <w:rFonts w:ascii="Times New Roman" w:hAnsi="Times New Roman" w:cs="Times New Roman"/>
                <w:sz w:val="20"/>
                <w:szCs w:val="20"/>
              </w:rPr>
            </w:pPr>
            <w:r w:rsidRPr="002F61BB">
              <w:rPr>
                <w:rFonts w:ascii="Times New Roman" w:hAnsi="Times New Roman" w:cs="Times New Roman"/>
                <w:sz w:val="20"/>
                <w:szCs w:val="20"/>
              </w:rPr>
              <w:t xml:space="preserve">Deposits from </w:t>
            </w:r>
            <w:proofErr w:type="gramStart"/>
            <w:r w:rsidRPr="002F61BB">
              <w:rPr>
                <w:rFonts w:ascii="Times New Roman" w:hAnsi="Times New Roman" w:cs="Times New Roman"/>
                <w:sz w:val="20"/>
                <w:szCs w:val="20"/>
              </w:rPr>
              <w:t>Non-financial</w:t>
            </w:r>
            <w:proofErr w:type="gramEnd"/>
            <w:r w:rsidRPr="002F61BB">
              <w:rPr>
                <w:rFonts w:ascii="Times New Roman" w:hAnsi="Times New Roman" w:cs="Times New Roman"/>
                <w:sz w:val="20"/>
                <w:szCs w:val="20"/>
              </w:rPr>
              <w:t xml:space="preserve"> corporations non-SMEs</w:t>
            </w:r>
          </w:p>
          <w:p w14:paraId="2DAF57AE"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General Governments</w:t>
            </w:r>
          </w:p>
          <w:p w14:paraId="3AC3807C"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other sectors / counterparties (1)</w:t>
            </w:r>
          </w:p>
          <w:p w14:paraId="7924D974"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other sectors / counterparties (2)</w:t>
            </w:r>
          </w:p>
          <w:p w14:paraId="15B73120"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other sectors / counterparties (3)</w:t>
            </w:r>
          </w:p>
          <w:p w14:paraId="2FE46760" w14:textId="77777777" w:rsidR="0046145A" w:rsidRPr="002F61BB" w:rsidRDefault="0046145A" w:rsidP="0046145A">
            <w:pPr>
              <w:rPr>
                <w:rFonts w:ascii="Times New Roman" w:hAnsi="Times New Roman" w:cs="Times New Roman"/>
                <w:sz w:val="20"/>
                <w:szCs w:val="20"/>
              </w:rPr>
            </w:pPr>
          </w:p>
          <w:p w14:paraId="685EA40A" w14:textId="77777777" w:rsidR="0046145A" w:rsidRPr="002F61BB" w:rsidRDefault="0046145A" w:rsidP="0046145A">
            <w:pPr>
              <w:rPr>
                <w:rFonts w:ascii="Times New Roman" w:hAnsi="Times New Roman" w:cs="Times New Roman"/>
                <w:sz w:val="20"/>
                <w:szCs w:val="20"/>
              </w:rPr>
            </w:pPr>
            <w:r w:rsidRPr="002F61BB">
              <w:rPr>
                <w:rFonts w:ascii="Times New Roman" w:hAnsi="Times New Roman" w:cs="Times New Roman"/>
                <w:sz w:val="20"/>
                <w:szCs w:val="20"/>
              </w:rPr>
              <w:t>Lending</w:t>
            </w:r>
          </w:p>
          <w:p w14:paraId="11C80F7E"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Households</w:t>
            </w:r>
          </w:p>
          <w:p w14:paraId="430711EA"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Lending to Households for house purchase</w:t>
            </w:r>
          </w:p>
          <w:p w14:paraId="0147203E"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 xml:space="preserve">Lending to Households for other than house </w:t>
            </w:r>
            <w:proofErr w:type="gramStart"/>
            <w:r w:rsidRPr="002F61BB">
              <w:rPr>
                <w:rFonts w:ascii="Times New Roman" w:hAnsi="Times New Roman" w:cs="Times New Roman"/>
                <w:sz w:val="20"/>
                <w:szCs w:val="20"/>
              </w:rPr>
              <w:t>purchase</w:t>
            </w:r>
            <w:proofErr w:type="gramEnd"/>
          </w:p>
          <w:p w14:paraId="20ACA306"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 xml:space="preserve">Lending to </w:t>
            </w:r>
            <w:proofErr w:type="gramStart"/>
            <w:r w:rsidRPr="002F61BB">
              <w:rPr>
                <w:rFonts w:ascii="Times New Roman" w:hAnsi="Times New Roman" w:cs="Times New Roman"/>
                <w:sz w:val="20"/>
                <w:szCs w:val="20"/>
              </w:rPr>
              <w:t>Non-financial</w:t>
            </w:r>
            <w:proofErr w:type="gramEnd"/>
            <w:r w:rsidRPr="002F61BB">
              <w:rPr>
                <w:rFonts w:ascii="Times New Roman" w:hAnsi="Times New Roman" w:cs="Times New Roman"/>
                <w:sz w:val="20"/>
                <w:szCs w:val="20"/>
              </w:rPr>
              <w:t xml:space="preserve"> corporations</w:t>
            </w:r>
          </w:p>
          <w:p w14:paraId="19F6CF03" w14:textId="3FBCFA7C"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 xml:space="preserve">Lending to </w:t>
            </w:r>
            <w:proofErr w:type="gramStart"/>
            <w:r w:rsidRPr="002F61BB">
              <w:rPr>
                <w:rFonts w:ascii="Times New Roman" w:hAnsi="Times New Roman" w:cs="Times New Roman"/>
                <w:sz w:val="20"/>
                <w:szCs w:val="20"/>
              </w:rPr>
              <w:t>Non-financial</w:t>
            </w:r>
            <w:proofErr w:type="gramEnd"/>
            <w:r w:rsidRPr="002F61BB">
              <w:rPr>
                <w:rFonts w:ascii="Times New Roman" w:hAnsi="Times New Roman" w:cs="Times New Roman"/>
                <w:sz w:val="20"/>
                <w:szCs w:val="20"/>
              </w:rPr>
              <w:t xml:space="preserve"> corporations </w:t>
            </w:r>
            <w:r w:rsidR="0092703F">
              <w:rPr>
                <w:rFonts w:ascii="Times New Roman" w:hAnsi="Times New Roman" w:cs="Times New Roman"/>
                <w:sz w:val="20"/>
                <w:szCs w:val="20"/>
              </w:rPr>
              <w:t>SMEs</w:t>
            </w:r>
          </w:p>
          <w:p w14:paraId="2C705D0D"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 xml:space="preserve">Lending to </w:t>
            </w:r>
            <w:proofErr w:type="gramStart"/>
            <w:r w:rsidRPr="002F61BB">
              <w:rPr>
                <w:rFonts w:ascii="Times New Roman" w:hAnsi="Times New Roman" w:cs="Times New Roman"/>
                <w:sz w:val="20"/>
                <w:szCs w:val="20"/>
              </w:rPr>
              <w:t>Non-financial</w:t>
            </w:r>
            <w:proofErr w:type="gramEnd"/>
            <w:r w:rsidRPr="002F61BB">
              <w:rPr>
                <w:rFonts w:ascii="Times New Roman" w:hAnsi="Times New Roman" w:cs="Times New Roman"/>
                <w:sz w:val="20"/>
                <w:szCs w:val="20"/>
              </w:rPr>
              <w:t xml:space="preserve"> corporations non-SMEs</w:t>
            </w:r>
          </w:p>
          <w:p w14:paraId="6DAE8B55"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General Governments</w:t>
            </w:r>
          </w:p>
          <w:p w14:paraId="5C2428A3"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other sectors / counterparties (1)</w:t>
            </w:r>
          </w:p>
          <w:p w14:paraId="7237D4E5"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other sectors / counterparties (2)</w:t>
            </w:r>
          </w:p>
          <w:p w14:paraId="62EF53AB"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other sectors / counterparties (3)</w:t>
            </w:r>
          </w:p>
          <w:p w14:paraId="1269B857" w14:textId="77777777" w:rsidR="0046145A" w:rsidRPr="002F61BB" w:rsidRDefault="0046145A" w:rsidP="0046145A">
            <w:pPr>
              <w:rPr>
                <w:rFonts w:ascii="Times New Roman" w:hAnsi="Times New Roman" w:cs="Times New Roman"/>
                <w:sz w:val="20"/>
                <w:szCs w:val="20"/>
              </w:rPr>
            </w:pPr>
          </w:p>
          <w:p w14:paraId="7CD1A6B0" w14:textId="77777777" w:rsidR="0046145A" w:rsidRPr="002F61BB" w:rsidRDefault="0046145A" w:rsidP="0046145A">
            <w:pPr>
              <w:rPr>
                <w:rFonts w:ascii="Times New Roman" w:hAnsi="Times New Roman" w:cs="Times New Roman"/>
                <w:sz w:val="20"/>
                <w:szCs w:val="20"/>
              </w:rPr>
            </w:pPr>
            <w:r w:rsidRPr="002F61BB">
              <w:rPr>
                <w:rFonts w:ascii="Times New Roman" w:hAnsi="Times New Roman" w:cs="Times New Roman"/>
                <w:sz w:val="20"/>
                <w:szCs w:val="20"/>
              </w:rPr>
              <w:t xml:space="preserve">Payment, Cash, Settlement, Clearing, Custody </w:t>
            </w:r>
          </w:p>
          <w:p w14:paraId="11F499EA"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Payment services to MFIs</w:t>
            </w:r>
          </w:p>
          <w:p w14:paraId="6FC14FBE" w14:textId="4F1706DC" w:rsidR="0046145A" w:rsidRDefault="0046145A" w:rsidP="0046145A">
            <w:pPr>
              <w:ind w:left="708"/>
              <w:rPr>
                <w:rFonts w:ascii="Times New Roman" w:hAnsi="Times New Roman" w:cs="Times New Roman"/>
                <w:sz w:val="20"/>
                <w:szCs w:val="20"/>
              </w:rPr>
            </w:pPr>
            <w:bookmarkStart w:id="138" w:name="_Hlk192600698"/>
            <w:r w:rsidRPr="002F61BB">
              <w:rPr>
                <w:rFonts w:ascii="Times New Roman" w:hAnsi="Times New Roman" w:cs="Times New Roman"/>
                <w:sz w:val="20"/>
                <w:szCs w:val="20"/>
              </w:rPr>
              <w:t>Payment services to non-MFIs</w:t>
            </w:r>
          </w:p>
          <w:p w14:paraId="704B9B25" w14:textId="77777777" w:rsidR="00CA03F1" w:rsidRPr="00CA03F1" w:rsidRDefault="00CA03F1" w:rsidP="00CA03F1">
            <w:pPr>
              <w:ind w:left="1405"/>
              <w:rPr>
                <w:rFonts w:ascii="Times New Roman" w:hAnsi="Times New Roman" w:cs="Times New Roman"/>
                <w:sz w:val="20"/>
                <w:szCs w:val="20"/>
              </w:rPr>
            </w:pPr>
            <w:r w:rsidRPr="00CA03F1">
              <w:rPr>
                <w:rFonts w:ascii="Times New Roman" w:hAnsi="Times New Roman" w:cs="Times New Roman"/>
                <w:sz w:val="20"/>
                <w:szCs w:val="20"/>
              </w:rPr>
              <w:t>Payment services to non-MFIs for Households</w:t>
            </w:r>
          </w:p>
          <w:p w14:paraId="1F8BC691" w14:textId="4FE22A42" w:rsidR="00CA03F1" w:rsidRDefault="00CA03F1" w:rsidP="00CA03F1">
            <w:pPr>
              <w:ind w:left="1405"/>
              <w:rPr>
                <w:rFonts w:ascii="Times New Roman" w:hAnsi="Times New Roman" w:cs="Times New Roman"/>
                <w:sz w:val="20"/>
                <w:szCs w:val="20"/>
              </w:rPr>
            </w:pPr>
            <w:r w:rsidRPr="00CA03F1">
              <w:rPr>
                <w:rFonts w:ascii="Times New Roman" w:hAnsi="Times New Roman" w:cs="Times New Roman"/>
                <w:sz w:val="20"/>
                <w:szCs w:val="20"/>
              </w:rPr>
              <w:t xml:space="preserve">Payment services to non-MFIs for </w:t>
            </w:r>
            <w:proofErr w:type="gramStart"/>
            <w:r w:rsidRPr="00CA03F1">
              <w:rPr>
                <w:rFonts w:ascii="Times New Roman" w:hAnsi="Times New Roman" w:cs="Times New Roman"/>
                <w:sz w:val="20"/>
                <w:szCs w:val="20"/>
              </w:rPr>
              <w:t>Non-financial</w:t>
            </w:r>
            <w:proofErr w:type="gramEnd"/>
            <w:r w:rsidRPr="00CA03F1">
              <w:rPr>
                <w:rFonts w:ascii="Times New Roman" w:hAnsi="Times New Roman" w:cs="Times New Roman"/>
                <w:sz w:val="20"/>
                <w:szCs w:val="20"/>
              </w:rPr>
              <w:t xml:space="preserve"> corporations</w:t>
            </w:r>
          </w:p>
          <w:p w14:paraId="39782E47" w14:textId="1287030F" w:rsidR="00475F09" w:rsidRPr="00CA03F1" w:rsidRDefault="00475F09" w:rsidP="002F61BB">
            <w:pPr>
              <w:ind w:left="1972"/>
              <w:rPr>
                <w:rFonts w:ascii="Times New Roman" w:hAnsi="Times New Roman" w:cs="Times New Roman"/>
                <w:sz w:val="20"/>
                <w:szCs w:val="20"/>
              </w:rPr>
            </w:pPr>
            <w:r w:rsidRPr="00CA03F1">
              <w:rPr>
                <w:rFonts w:ascii="Times New Roman" w:hAnsi="Times New Roman" w:cs="Times New Roman"/>
                <w:sz w:val="20"/>
                <w:szCs w:val="20"/>
              </w:rPr>
              <w:t xml:space="preserve">Payment services to non-MFIs for </w:t>
            </w:r>
            <w:proofErr w:type="gramStart"/>
            <w:r w:rsidRPr="00CA03F1">
              <w:rPr>
                <w:rFonts w:ascii="Times New Roman" w:hAnsi="Times New Roman" w:cs="Times New Roman"/>
                <w:sz w:val="20"/>
                <w:szCs w:val="20"/>
              </w:rPr>
              <w:t>Non-financial</w:t>
            </w:r>
            <w:proofErr w:type="gramEnd"/>
            <w:r w:rsidRPr="00CA03F1">
              <w:rPr>
                <w:rFonts w:ascii="Times New Roman" w:hAnsi="Times New Roman" w:cs="Times New Roman"/>
                <w:sz w:val="20"/>
                <w:szCs w:val="20"/>
              </w:rPr>
              <w:t xml:space="preserve"> corporations SMEs</w:t>
            </w:r>
          </w:p>
          <w:p w14:paraId="416F0C20" w14:textId="504D6059" w:rsidR="00CA03F1" w:rsidRPr="002F61BB" w:rsidRDefault="00CA03F1" w:rsidP="002F61BB">
            <w:pPr>
              <w:ind w:left="1972"/>
              <w:rPr>
                <w:rFonts w:ascii="Times New Roman" w:hAnsi="Times New Roman" w:cs="Times New Roman"/>
                <w:sz w:val="20"/>
                <w:szCs w:val="20"/>
              </w:rPr>
            </w:pPr>
            <w:r w:rsidRPr="00CA03F1">
              <w:rPr>
                <w:rFonts w:ascii="Times New Roman" w:hAnsi="Times New Roman" w:cs="Times New Roman"/>
                <w:sz w:val="20"/>
                <w:szCs w:val="20"/>
              </w:rPr>
              <w:t xml:space="preserve">Payment services to non-MFIs for </w:t>
            </w:r>
            <w:proofErr w:type="gramStart"/>
            <w:r w:rsidRPr="00CA03F1">
              <w:rPr>
                <w:rFonts w:ascii="Times New Roman" w:hAnsi="Times New Roman" w:cs="Times New Roman"/>
                <w:sz w:val="20"/>
                <w:szCs w:val="20"/>
              </w:rPr>
              <w:t>Non-financial</w:t>
            </w:r>
            <w:proofErr w:type="gramEnd"/>
            <w:r w:rsidRPr="00CA03F1">
              <w:rPr>
                <w:rFonts w:ascii="Times New Roman" w:hAnsi="Times New Roman" w:cs="Times New Roman"/>
                <w:sz w:val="20"/>
                <w:szCs w:val="20"/>
              </w:rPr>
              <w:t xml:space="preserve"> corporations non-SMEs</w:t>
            </w:r>
            <w:bookmarkEnd w:id="138"/>
          </w:p>
          <w:p w14:paraId="661D0C87"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Cash services</w:t>
            </w:r>
          </w:p>
          <w:p w14:paraId="03769573"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Securities settlement services</w:t>
            </w:r>
          </w:p>
          <w:p w14:paraId="775020A9"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CCP clearing services</w:t>
            </w:r>
          </w:p>
          <w:p w14:paraId="5801E2F6"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Custody services</w:t>
            </w:r>
          </w:p>
          <w:p w14:paraId="5B6CE30A"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(1) on payments, cash, settlement, clearing and custody services</w:t>
            </w:r>
          </w:p>
          <w:p w14:paraId="7B4ED125"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(2) on payments, cash, settlement, clearing and custody services</w:t>
            </w:r>
          </w:p>
          <w:p w14:paraId="19BA6278"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lastRenderedPageBreak/>
              <w:t>Other services / activities / functions (3) on payments, cash, settlement, clearing and custody services</w:t>
            </w:r>
          </w:p>
          <w:p w14:paraId="1E6049F9" w14:textId="77777777" w:rsidR="0046145A" w:rsidRPr="002F61BB" w:rsidRDefault="0046145A" w:rsidP="0046145A">
            <w:pPr>
              <w:rPr>
                <w:rFonts w:ascii="Times New Roman" w:hAnsi="Times New Roman" w:cs="Times New Roman"/>
                <w:sz w:val="20"/>
                <w:szCs w:val="20"/>
              </w:rPr>
            </w:pPr>
          </w:p>
          <w:p w14:paraId="6F0287A8" w14:textId="77777777" w:rsidR="0046145A" w:rsidRPr="002F61BB" w:rsidRDefault="0046145A" w:rsidP="0046145A">
            <w:pPr>
              <w:rPr>
                <w:rFonts w:ascii="Times New Roman" w:hAnsi="Times New Roman" w:cs="Times New Roman"/>
                <w:sz w:val="20"/>
                <w:szCs w:val="20"/>
              </w:rPr>
            </w:pPr>
            <w:r w:rsidRPr="002F61BB">
              <w:rPr>
                <w:rFonts w:ascii="Times New Roman" w:hAnsi="Times New Roman" w:cs="Times New Roman"/>
                <w:sz w:val="20"/>
                <w:szCs w:val="20"/>
              </w:rPr>
              <w:t>Capital Markets</w:t>
            </w:r>
          </w:p>
          <w:p w14:paraId="4F1B2CB2"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 xml:space="preserve">Derivatives held for trading </w:t>
            </w:r>
          </w:p>
          <w:p w14:paraId="608E7B75"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Derivatives held for trading in OTC</w:t>
            </w:r>
          </w:p>
          <w:p w14:paraId="55232CB1"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Derivatives held for trading in non-OTC</w:t>
            </w:r>
          </w:p>
          <w:p w14:paraId="41765F70"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Secondary markets / trading</w:t>
            </w:r>
          </w:p>
          <w:p w14:paraId="75381D0F"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Primary Markets / underwriting</w:t>
            </w:r>
          </w:p>
          <w:p w14:paraId="04BFAC55"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(1) in capital markets</w:t>
            </w:r>
          </w:p>
          <w:p w14:paraId="4842F14D"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(2) in capital markets</w:t>
            </w:r>
          </w:p>
          <w:p w14:paraId="4B2FE832"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(3) in capital markets</w:t>
            </w:r>
          </w:p>
          <w:p w14:paraId="07EB9C1C" w14:textId="77777777" w:rsidR="0046145A" w:rsidRPr="002F61BB" w:rsidRDefault="0046145A" w:rsidP="0046145A">
            <w:pPr>
              <w:ind w:left="708"/>
              <w:rPr>
                <w:rFonts w:ascii="Times New Roman" w:hAnsi="Times New Roman" w:cs="Times New Roman"/>
                <w:sz w:val="20"/>
                <w:szCs w:val="20"/>
              </w:rPr>
            </w:pPr>
          </w:p>
          <w:p w14:paraId="74D09EC2" w14:textId="77777777" w:rsidR="0046145A" w:rsidRPr="002F61BB" w:rsidRDefault="0046145A" w:rsidP="0046145A">
            <w:pPr>
              <w:rPr>
                <w:rFonts w:ascii="Times New Roman" w:hAnsi="Times New Roman" w:cs="Times New Roman"/>
                <w:sz w:val="20"/>
                <w:szCs w:val="20"/>
              </w:rPr>
            </w:pPr>
            <w:r w:rsidRPr="002F61BB">
              <w:rPr>
                <w:rFonts w:ascii="Times New Roman" w:hAnsi="Times New Roman" w:cs="Times New Roman"/>
                <w:sz w:val="20"/>
                <w:szCs w:val="20"/>
              </w:rPr>
              <w:t>Wholesale Funding</w:t>
            </w:r>
          </w:p>
          <w:p w14:paraId="02676859"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Borrowing</w:t>
            </w:r>
          </w:p>
          <w:p w14:paraId="541AD926"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Derivatives (assets)</w:t>
            </w:r>
          </w:p>
          <w:p w14:paraId="25097734"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Lending</w:t>
            </w:r>
          </w:p>
          <w:p w14:paraId="772EBBB0"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Derivatives (liabilities)</w:t>
            </w:r>
          </w:p>
          <w:p w14:paraId="56E338CF"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Other product types (1) in wholesale markets</w:t>
            </w:r>
          </w:p>
          <w:p w14:paraId="6607505D"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Other product types (2) in wholesale markets</w:t>
            </w:r>
          </w:p>
          <w:p w14:paraId="41A2E098"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Other product types (3) in wholesale markets</w:t>
            </w:r>
          </w:p>
          <w:p w14:paraId="7FE1C8DF" w14:textId="2134965F" w:rsidR="0046145A" w:rsidRPr="00591328" w:rsidRDefault="0046145A">
            <w:pPr>
              <w:pStyle w:val="TableParagraph"/>
              <w:spacing w:before="108"/>
              <w:ind w:left="85"/>
              <w:jc w:val="both"/>
              <w:rPr>
                <w:rFonts w:ascii="Times New Roman" w:eastAsia="Times New Roman" w:hAnsi="Times New Roman" w:cs="Times New Roman"/>
                <w:b/>
                <w:bCs/>
                <w:i/>
                <w:iCs/>
                <w:sz w:val="20"/>
                <w:szCs w:val="20"/>
              </w:rPr>
            </w:pPr>
          </w:p>
        </w:tc>
      </w:tr>
      <w:tr w:rsidR="00CC0A94"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CC0A94" w:rsidRPr="00591328" w:rsidRDefault="006C1571">
            <w:pPr>
              <w:pStyle w:val="Heading4"/>
              <w:numPr>
                <w:ilvl w:val="3"/>
                <w:numId w:val="0"/>
              </w:numPr>
              <w:ind w:left="360"/>
              <w:rPr>
                <w:rFonts w:ascii="Times New Roman" w:eastAsia="Times New Roman" w:hAnsi="Times New Roman" w:cs="Times New Roman"/>
                <w:color w:val="auto"/>
                <w:sz w:val="20"/>
                <w:szCs w:val="20"/>
              </w:rPr>
            </w:pPr>
            <w:r w:rsidRPr="002F61BB">
              <w:rPr>
                <w:rFonts w:ascii="Times New Roman" w:eastAsia="Times New Roman" w:hAnsi="Times New Roman" w:cs="Times New Roman"/>
                <w:color w:val="auto"/>
                <w:sz w:val="20"/>
                <w:szCs w:val="20"/>
              </w:rPr>
              <w:t>Essential FMIs</w:t>
            </w:r>
          </w:p>
        </w:tc>
      </w:tr>
      <w:tr w:rsidR="00CC0A94"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0050</w:t>
            </w:r>
          </w:p>
        </w:tc>
        <w:tc>
          <w:tcPr>
            <w:tcW w:w="7832" w:type="dxa"/>
            <w:tcBorders>
              <w:top w:val="single" w:sz="8" w:space="0" w:color="auto"/>
              <w:left w:val="single" w:sz="8" w:space="0" w:color="auto"/>
              <w:bottom w:val="single" w:sz="8" w:space="0" w:color="auto"/>
            </w:tcBorders>
            <w:vAlign w:val="bottom"/>
          </w:tcPr>
          <w:p w14:paraId="7FE1C8E5" w14:textId="77777777" w:rsidR="00CC0A94" w:rsidRPr="00591328" w:rsidRDefault="006C1571">
            <w:pPr>
              <w:pStyle w:val="TableParagraph"/>
              <w:spacing w:before="108"/>
              <w:ind w:left="85"/>
              <w:jc w:val="both"/>
              <w:rPr>
                <w:rFonts w:ascii="Times New Roman" w:eastAsia="Times New Roman" w:hAnsi="Times New Roman" w:cs="Times New Roman"/>
                <w:sz w:val="20"/>
                <w:szCs w:val="20"/>
              </w:rPr>
            </w:pPr>
            <w:r w:rsidRPr="00591328">
              <w:rPr>
                <w:rFonts w:ascii="Times New Roman" w:eastAsia="Times New Roman" w:hAnsi="Times New Roman" w:cs="Times New Roman"/>
                <w:b/>
                <w:bCs/>
                <w:sz w:val="20"/>
                <w:szCs w:val="20"/>
              </w:rPr>
              <w:t>Essential FMI: Y/N</w:t>
            </w:r>
          </w:p>
          <w:p w14:paraId="7FE1C8E6" w14:textId="46FA6345" w:rsidR="00CC0A94" w:rsidRPr="00591328" w:rsidRDefault="006C1571">
            <w:pPr>
              <w:pStyle w:val="TableParagraph"/>
              <w:numPr>
                <w:ilvl w:val="0"/>
                <w:numId w:val="248"/>
              </w:numPr>
              <w:spacing w:before="108"/>
              <w:jc w:val="both"/>
              <w:rPr>
                <w:rFonts w:ascii="Times New Roman" w:eastAsia="Times New Roman" w:hAnsi="Times New Roman" w:cs="Times New Roman"/>
                <w:sz w:val="20"/>
                <w:szCs w:val="20"/>
              </w:rPr>
            </w:pPr>
            <w:r w:rsidRPr="00591328">
              <w:rPr>
                <w:rFonts w:ascii="Times New Roman" w:eastAsia="Times New Roman" w:hAnsi="Times New Roman" w:cs="Times New Roman"/>
                <w:sz w:val="20"/>
                <w:szCs w:val="20"/>
              </w:rPr>
              <w:t>‘Y</w:t>
            </w:r>
            <w:r w:rsidR="00904640" w:rsidRPr="00591328">
              <w:rPr>
                <w:rFonts w:ascii="Times New Roman" w:eastAsia="Times New Roman" w:hAnsi="Times New Roman" w:cs="Times New Roman"/>
                <w:sz w:val="20"/>
                <w:szCs w:val="20"/>
              </w:rPr>
              <w:t>es</w:t>
            </w:r>
            <w:r w:rsidRPr="00591328">
              <w:rPr>
                <w:rFonts w:ascii="Times New Roman" w:eastAsia="Times New Roman" w:hAnsi="Times New Roman" w:cs="Times New Roman"/>
                <w:sz w:val="20"/>
                <w:szCs w:val="20"/>
              </w:rPr>
              <w:t>’ if the FMI is essential</w:t>
            </w:r>
          </w:p>
          <w:p w14:paraId="7FE1C8E7" w14:textId="0EBF3638" w:rsidR="00CC0A94" w:rsidRPr="00591328" w:rsidRDefault="006C1571">
            <w:pPr>
              <w:pStyle w:val="TableParagraph"/>
              <w:numPr>
                <w:ilvl w:val="0"/>
                <w:numId w:val="248"/>
              </w:numPr>
              <w:spacing w:before="108"/>
              <w:jc w:val="both"/>
              <w:rPr>
                <w:rFonts w:ascii="Times New Roman" w:eastAsia="Times New Roman" w:hAnsi="Times New Roman" w:cs="Times New Roman"/>
                <w:sz w:val="20"/>
                <w:szCs w:val="20"/>
              </w:rPr>
            </w:pPr>
            <w:r w:rsidRPr="00591328">
              <w:rPr>
                <w:rFonts w:ascii="Times New Roman" w:eastAsia="Times New Roman" w:hAnsi="Times New Roman" w:cs="Times New Roman"/>
                <w:sz w:val="20"/>
                <w:szCs w:val="20"/>
              </w:rPr>
              <w:t>‘N</w:t>
            </w:r>
            <w:r w:rsidR="00904640" w:rsidRPr="00591328">
              <w:rPr>
                <w:rFonts w:ascii="Times New Roman" w:eastAsia="Times New Roman" w:hAnsi="Times New Roman" w:cs="Times New Roman"/>
                <w:sz w:val="20"/>
                <w:szCs w:val="20"/>
              </w:rPr>
              <w:t>o</w:t>
            </w:r>
            <w:r w:rsidRPr="00591328">
              <w:rPr>
                <w:rFonts w:ascii="Times New Roman" w:eastAsia="Times New Roman" w:hAnsi="Times New Roman" w:cs="Times New Roman"/>
                <w:sz w:val="20"/>
                <w:szCs w:val="20"/>
              </w:rPr>
              <w:t>’ if the FMI is not essential</w:t>
            </w:r>
          </w:p>
          <w:p w14:paraId="7FE1C8E8" w14:textId="77777777" w:rsidR="00CC0A94" w:rsidRPr="00591328" w:rsidRDefault="006C1571">
            <w:pPr>
              <w:pStyle w:val="Heading4"/>
              <w:numPr>
                <w:ilvl w:val="3"/>
                <w:numId w:val="0"/>
              </w:numPr>
              <w:ind w:left="360"/>
              <w:rPr>
                <w:rFonts w:ascii="Times New Roman" w:eastAsia="Times New Roman" w:hAnsi="Times New Roman" w:cs="Times New Roman"/>
                <w:b w:val="0"/>
                <w:bCs w:val="0"/>
                <w:i w:val="0"/>
                <w:iCs w:val="0"/>
                <w:color w:val="auto"/>
                <w:sz w:val="20"/>
                <w:szCs w:val="20"/>
              </w:rPr>
            </w:pPr>
            <w:r w:rsidRPr="00591328">
              <w:rPr>
                <w:rFonts w:ascii="Times New Roman" w:eastAsia="Times New Roman" w:hAnsi="Times New Roman" w:cs="Times New Roman"/>
                <w:b w:val="0"/>
                <w:bCs w:val="0"/>
                <w:i w:val="0"/>
                <w:iCs w:val="0"/>
                <w:color w:val="auto"/>
                <w:sz w:val="20"/>
                <w:szCs w:val="20"/>
              </w:rPr>
              <w:t>Columns 0020 and 0050 are not mutually exclusive.</w:t>
            </w:r>
          </w:p>
        </w:tc>
      </w:tr>
      <w:tr w:rsidR="00CC0A94"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0060</w:t>
            </w:r>
          </w:p>
        </w:tc>
        <w:tc>
          <w:tcPr>
            <w:tcW w:w="7832" w:type="dxa"/>
            <w:tcBorders>
              <w:top w:val="single" w:sz="8" w:space="0" w:color="auto"/>
              <w:left w:val="single" w:sz="8" w:space="0" w:color="auto"/>
              <w:bottom w:val="single" w:sz="8" w:space="0" w:color="auto"/>
            </w:tcBorders>
            <w:vAlign w:val="bottom"/>
          </w:tcPr>
          <w:p w14:paraId="7FE1C8EB" w14:textId="77777777" w:rsidR="00CC0A94" w:rsidRPr="00591328" w:rsidRDefault="006C1571">
            <w:pPr>
              <w:pStyle w:val="TableParagraph"/>
              <w:spacing w:before="108"/>
              <w:ind w:left="85"/>
              <w:jc w:val="both"/>
              <w:rPr>
                <w:rFonts w:ascii="Times New Roman" w:eastAsia="Times New Roman" w:hAnsi="Times New Roman" w:cs="Times New Roman"/>
                <w:b/>
                <w:sz w:val="20"/>
                <w:szCs w:val="20"/>
              </w:rPr>
            </w:pPr>
            <w:r w:rsidRPr="00591328">
              <w:rPr>
                <w:rFonts w:ascii="Times New Roman" w:eastAsia="Times New Roman" w:hAnsi="Times New Roman" w:cs="Times New Roman"/>
                <w:b/>
                <w:sz w:val="20"/>
                <w:szCs w:val="20"/>
              </w:rPr>
              <w:t>Core Business line ID</w:t>
            </w:r>
          </w:p>
          <w:p w14:paraId="7FE1C8EC" w14:textId="62673BB2" w:rsidR="00CC0A94" w:rsidRPr="002F61BB" w:rsidRDefault="006C1571">
            <w:pPr>
              <w:pStyle w:val="TableParagraph"/>
              <w:spacing w:before="108"/>
              <w:ind w:left="85"/>
              <w:jc w:val="both"/>
              <w:rPr>
                <w:rFonts w:ascii="Times New Roman" w:eastAsia="Times New Roman" w:hAnsi="Times New Roman" w:cs="Times New Roman"/>
                <w:sz w:val="20"/>
                <w:szCs w:val="20"/>
                <w:u w:val="single"/>
              </w:rPr>
            </w:pPr>
            <w:r w:rsidRPr="00591328">
              <w:rPr>
                <w:rFonts w:ascii="Times New Roman" w:eastAsia="Times New Roman" w:hAnsi="Times New Roman" w:cs="Times New Roman"/>
                <w:sz w:val="20"/>
                <w:szCs w:val="20"/>
              </w:rPr>
              <w:t>Core business lines performed by the user, the performance of which would be impeded or prevented by the disruption of access to FMI service provider.</w:t>
            </w:r>
          </w:p>
          <w:p w14:paraId="7FE1C8ED" w14:textId="77777777" w:rsidR="00CC0A94" w:rsidRPr="00591328" w:rsidRDefault="006C1571">
            <w:pPr>
              <w:pStyle w:val="TableParagraph"/>
              <w:spacing w:before="108"/>
              <w:ind w:left="85"/>
              <w:jc w:val="both"/>
              <w:rPr>
                <w:rFonts w:ascii="Times New Roman" w:eastAsia="Times New Roman" w:hAnsi="Times New Roman" w:cs="Times New Roman"/>
                <w:b/>
                <w:bCs/>
                <w:sz w:val="20"/>
                <w:szCs w:val="20"/>
              </w:rPr>
            </w:pPr>
            <w:r w:rsidRPr="00591328">
              <w:rPr>
                <w:rFonts w:ascii="Times New Roman" w:eastAsia="Times New Roman" w:hAnsi="Times New Roman" w:cs="Times New Roman"/>
                <w:sz w:val="20"/>
                <w:szCs w:val="20"/>
              </w:rPr>
              <w:t xml:space="preserve">ID of the core business line as reported in </w:t>
            </w:r>
            <w:r w:rsidRPr="002F61BB">
              <w:rPr>
                <w:rFonts w:ascii="Times New Roman" w:eastAsia="Times New Roman" w:hAnsi="Times New Roman" w:cs="Times New Roman"/>
                <w:sz w:val="20"/>
                <w:szCs w:val="20"/>
              </w:rPr>
              <w:t>Z 07.03 column 0010</w:t>
            </w:r>
            <w:r w:rsidRPr="00591328">
              <w:rPr>
                <w:rFonts w:ascii="Times New Roman" w:eastAsia="Times New Roman" w:hAnsi="Times New Roman" w:cs="Times New Roman"/>
                <w:sz w:val="20"/>
                <w:szCs w:val="20"/>
              </w:rPr>
              <w:t>.</w:t>
            </w:r>
          </w:p>
        </w:tc>
      </w:tr>
    </w:tbl>
    <w:p w14:paraId="7FE1C8EF" w14:textId="77777777" w:rsidR="00CC0A94" w:rsidRPr="002F61BB" w:rsidRDefault="00CC0A94" w:rsidP="002F61BB">
      <w:pPr>
        <w:pStyle w:val="Instructionsberschrift2"/>
        <w:ind w:left="357"/>
        <w:rPr>
          <w:rFonts w:ascii="Times New Roman" w:eastAsia="Calibri" w:hAnsi="Times New Roman" w:cs="Times New Roman"/>
          <w:szCs w:val="20"/>
        </w:rPr>
      </w:pPr>
    </w:p>
    <w:p w14:paraId="7FE1C8F0" w14:textId="77777777" w:rsidR="00CC0A94" w:rsidRDefault="006C1571">
      <w:pPr>
        <w:pStyle w:val="Instructionsberschrift2"/>
        <w:numPr>
          <w:ilvl w:val="1"/>
          <w:numId w:val="49"/>
        </w:numPr>
        <w:ind w:left="357" w:hanging="357"/>
        <w:rPr>
          <w:rFonts w:ascii="Times New Roman" w:eastAsia="Calibri" w:hAnsi="Times New Roman" w:cs="Times New Roman"/>
          <w:szCs w:val="20"/>
        </w:rPr>
      </w:pPr>
      <w:bookmarkStart w:id="139" w:name="_Toc192249076"/>
      <w:r>
        <w:rPr>
          <w:rFonts w:ascii="Times New Roman" w:eastAsia="Calibri" w:hAnsi="Times New Roman" w:cs="Times New Roman"/>
          <w:szCs w:val="20"/>
        </w:rPr>
        <w:t xml:space="preserve">Z 09.03 - FMI Services - Key </w:t>
      </w:r>
      <w:proofErr w:type="gramStart"/>
      <w:r>
        <w:rPr>
          <w:rFonts w:ascii="Times New Roman" w:eastAsia="Calibri" w:hAnsi="Times New Roman" w:cs="Times New Roman"/>
          <w:szCs w:val="20"/>
        </w:rPr>
        <w:t>Metrics  (</w:t>
      </w:r>
      <w:proofErr w:type="gramEnd"/>
      <w:r>
        <w:rPr>
          <w:rFonts w:ascii="Times New Roman" w:eastAsia="Calibri" w:hAnsi="Times New Roman" w:cs="Times New Roman"/>
          <w:szCs w:val="20"/>
        </w:rPr>
        <w:t>FMI 3)</w:t>
      </w:r>
      <w:bookmarkEnd w:id="139"/>
    </w:p>
    <w:p w14:paraId="7FE1C8F1" w14:textId="77777777" w:rsidR="00CC0A94" w:rsidRDefault="006C1571">
      <w:pPr>
        <w:pStyle w:val="Numberedtitlelevel3"/>
        <w:rPr>
          <w:rFonts w:ascii="Times New Roman" w:hAnsi="Times New Roman" w:cs="Times New Roman"/>
          <w:color w:val="000000" w:themeColor="text1"/>
          <w:sz w:val="20"/>
          <w:szCs w:val="20"/>
          <w:u w:val="single"/>
          <w:lang w:val="en-GB"/>
        </w:rPr>
      </w:pPr>
      <w:r>
        <w:rPr>
          <w:rFonts w:ascii="Times New Roman" w:hAnsi="Times New Roman" w:cs="Times New Roman"/>
          <w:color w:val="000000" w:themeColor="text1"/>
          <w:sz w:val="20"/>
          <w:szCs w:val="20"/>
          <w:u w:val="single"/>
          <w:lang w:val="en-GB"/>
        </w:rPr>
        <w:t>Instructions concerning specific positions</w:t>
      </w:r>
    </w:p>
    <w:p w14:paraId="7FE1C8F2" w14:textId="6D7EB755" w:rsidR="00CC0A94" w:rsidRDefault="006C1571" w:rsidP="002F61BB">
      <w:pPr>
        <w:pStyle w:val="InstructionsText2"/>
        <w:spacing w:before="0"/>
        <w:ind w:left="1418"/>
        <w:rPr>
          <w:rFonts w:ascii="Times New Roman" w:eastAsiaTheme="majorEastAsia" w:hAnsi="Times New Roman" w:cs="Times New Roman"/>
          <w:sz w:val="20"/>
          <w:szCs w:val="20"/>
          <w:lang w:val="en-GB"/>
        </w:rPr>
      </w:pPr>
      <w:r w:rsidRPr="029F4E13">
        <w:rPr>
          <w:rFonts w:ascii="Times New Roman" w:eastAsiaTheme="majorEastAsia" w:hAnsi="Times New Roman" w:cs="Times New Roman"/>
          <w:sz w:val="20"/>
          <w:szCs w:val="20"/>
          <w:lang w:val="en-GB"/>
        </w:rPr>
        <w:t>Only report for P</w:t>
      </w:r>
      <w:r w:rsidR="00B549AA">
        <w:rPr>
          <w:rFonts w:ascii="Times New Roman" w:eastAsiaTheme="majorEastAsia" w:hAnsi="Times New Roman" w:cs="Times New Roman"/>
          <w:sz w:val="20"/>
          <w:szCs w:val="20"/>
          <w:lang w:val="en-GB"/>
        </w:rPr>
        <w:t xml:space="preserve">ayment </w:t>
      </w:r>
      <w:r w:rsidRPr="029F4E13">
        <w:rPr>
          <w:rFonts w:ascii="Times New Roman" w:eastAsiaTheme="majorEastAsia" w:hAnsi="Times New Roman" w:cs="Times New Roman"/>
          <w:sz w:val="20"/>
          <w:szCs w:val="20"/>
          <w:lang w:val="en-GB"/>
        </w:rPr>
        <w:t>S</w:t>
      </w:r>
      <w:r w:rsidR="00B549AA">
        <w:rPr>
          <w:rFonts w:ascii="Times New Roman" w:eastAsiaTheme="majorEastAsia" w:hAnsi="Times New Roman" w:cs="Times New Roman"/>
          <w:sz w:val="20"/>
          <w:szCs w:val="20"/>
          <w:lang w:val="en-GB"/>
        </w:rPr>
        <w:t>ystems</w:t>
      </w:r>
      <w:r w:rsidRPr="029F4E13">
        <w:rPr>
          <w:rFonts w:ascii="Times New Roman" w:eastAsiaTheme="majorEastAsia" w:hAnsi="Times New Roman" w:cs="Times New Roman"/>
          <w:sz w:val="20"/>
          <w:szCs w:val="20"/>
          <w:lang w:val="en-GB"/>
        </w:rPr>
        <w:t>, (I</w:t>
      </w:r>
      <w:r w:rsidR="00B549AA">
        <w:rPr>
          <w:rFonts w:ascii="Times New Roman" w:eastAsiaTheme="majorEastAsia" w:hAnsi="Times New Roman" w:cs="Times New Roman"/>
          <w:sz w:val="20"/>
          <w:szCs w:val="20"/>
          <w:lang w:val="en-GB"/>
        </w:rPr>
        <w:t>nternational</w:t>
      </w:r>
      <w:r w:rsidRPr="029F4E13">
        <w:rPr>
          <w:rFonts w:ascii="Times New Roman" w:eastAsiaTheme="majorEastAsia" w:hAnsi="Times New Roman" w:cs="Times New Roman"/>
          <w:sz w:val="20"/>
          <w:szCs w:val="20"/>
          <w:lang w:val="en-GB"/>
        </w:rPr>
        <w:t>)</w:t>
      </w:r>
      <w:r w:rsidR="00B549AA">
        <w:rPr>
          <w:rFonts w:ascii="Times New Roman" w:eastAsiaTheme="majorEastAsia" w:hAnsi="Times New Roman" w:cs="Times New Roman"/>
          <w:sz w:val="20"/>
          <w:szCs w:val="20"/>
          <w:lang w:val="en-GB"/>
        </w:rPr>
        <w:t xml:space="preserve"> </w:t>
      </w:r>
      <w:r w:rsidRPr="029F4E13">
        <w:rPr>
          <w:rFonts w:ascii="Times New Roman" w:eastAsiaTheme="majorEastAsia" w:hAnsi="Times New Roman" w:cs="Times New Roman"/>
          <w:sz w:val="20"/>
          <w:szCs w:val="20"/>
          <w:lang w:val="en-GB"/>
        </w:rPr>
        <w:t>C</w:t>
      </w:r>
      <w:r w:rsidR="00B549AA">
        <w:rPr>
          <w:rFonts w:ascii="Times New Roman" w:eastAsiaTheme="majorEastAsia" w:hAnsi="Times New Roman" w:cs="Times New Roman"/>
          <w:sz w:val="20"/>
          <w:szCs w:val="20"/>
          <w:lang w:val="en-GB"/>
        </w:rPr>
        <w:t xml:space="preserve">entral </w:t>
      </w:r>
      <w:r w:rsidRPr="029F4E13">
        <w:rPr>
          <w:rFonts w:ascii="Times New Roman" w:eastAsiaTheme="majorEastAsia" w:hAnsi="Times New Roman" w:cs="Times New Roman"/>
          <w:sz w:val="20"/>
          <w:szCs w:val="20"/>
          <w:lang w:val="en-GB"/>
        </w:rPr>
        <w:t>S</w:t>
      </w:r>
      <w:r w:rsidR="00B549AA">
        <w:rPr>
          <w:rFonts w:ascii="Times New Roman" w:eastAsiaTheme="majorEastAsia" w:hAnsi="Times New Roman" w:cs="Times New Roman"/>
          <w:sz w:val="20"/>
          <w:szCs w:val="20"/>
          <w:lang w:val="en-GB"/>
        </w:rPr>
        <w:t xml:space="preserve">ecurities </w:t>
      </w:r>
      <w:r w:rsidRPr="029F4E13">
        <w:rPr>
          <w:rFonts w:ascii="Times New Roman" w:eastAsiaTheme="majorEastAsia" w:hAnsi="Times New Roman" w:cs="Times New Roman"/>
          <w:sz w:val="20"/>
          <w:szCs w:val="20"/>
          <w:lang w:val="en-GB"/>
        </w:rPr>
        <w:t>D</w:t>
      </w:r>
      <w:r w:rsidR="00B549AA">
        <w:rPr>
          <w:rFonts w:ascii="Times New Roman" w:eastAsiaTheme="majorEastAsia" w:hAnsi="Times New Roman" w:cs="Times New Roman"/>
          <w:sz w:val="20"/>
          <w:szCs w:val="20"/>
          <w:lang w:val="en-GB"/>
        </w:rPr>
        <w:t>epositaries</w:t>
      </w:r>
      <w:r w:rsidRPr="029F4E13">
        <w:rPr>
          <w:rFonts w:ascii="Times New Roman" w:eastAsiaTheme="majorEastAsia" w:hAnsi="Times New Roman" w:cs="Times New Roman"/>
          <w:sz w:val="20"/>
          <w:szCs w:val="20"/>
          <w:lang w:val="en-GB"/>
        </w:rPr>
        <w:t>, S</w:t>
      </w:r>
      <w:r w:rsidR="00B549AA">
        <w:rPr>
          <w:rFonts w:ascii="Times New Roman" w:eastAsiaTheme="majorEastAsia" w:hAnsi="Times New Roman" w:cs="Times New Roman"/>
          <w:sz w:val="20"/>
          <w:szCs w:val="20"/>
          <w:lang w:val="en-GB"/>
        </w:rPr>
        <w:t xml:space="preserve">ettlement </w:t>
      </w:r>
      <w:r w:rsidRPr="029F4E13">
        <w:rPr>
          <w:rFonts w:ascii="Times New Roman" w:eastAsiaTheme="majorEastAsia" w:hAnsi="Times New Roman" w:cs="Times New Roman"/>
          <w:sz w:val="20"/>
          <w:szCs w:val="20"/>
          <w:lang w:val="en-GB"/>
        </w:rPr>
        <w:t>S</w:t>
      </w:r>
      <w:r w:rsidR="00B549AA">
        <w:rPr>
          <w:rFonts w:ascii="Times New Roman" w:eastAsiaTheme="majorEastAsia" w:hAnsi="Times New Roman" w:cs="Times New Roman"/>
          <w:sz w:val="20"/>
          <w:szCs w:val="20"/>
          <w:lang w:val="en-GB"/>
        </w:rPr>
        <w:t xml:space="preserve">ervices for </w:t>
      </w:r>
      <w:r w:rsidRPr="029F4E13">
        <w:rPr>
          <w:rFonts w:ascii="Times New Roman" w:eastAsiaTheme="majorEastAsia" w:hAnsi="Times New Roman" w:cs="Times New Roman"/>
          <w:sz w:val="20"/>
          <w:szCs w:val="20"/>
          <w:lang w:val="en-GB"/>
        </w:rPr>
        <w:t>S</w:t>
      </w:r>
      <w:r w:rsidR="00B549AA">
        <w:rPr>
          <w:rFonts w:ascii="Times New Roman" w:eastAsiaTheme="majorEastAsia" w:hAnsi="Times New Roman" w:cs="Times New Roman"/>
          <w:sz w:val="20"/>
          <w:szCs w:val="20"/>
          <w:lang w:val="en-GB"/>
        </w:rPr>
        <w:t>ecurities transactions</w:t>
      </w:r>
      <w:r w:rsidRPr="029F4E13">
        <w:rPr>
          <w:rFonts w:ascii="Times New Roman" w:eastAsiaTheme="majorEastAsia" w:hAnsi="Times New Roman" w:cs="Times New Roman"/>
          <w:sz w:val="20"/>
          <w:szCs w:val="20"/>
          <w:lang w:val="en-GB"/>
        </w:rPr>
        <w:t>, C</w:t>
      </w:r>
      <w:r w:rsidR="00B549AA">
        <w:rPr>
          <w:rFonts w:ascii="Times New Roman" w:eastAsiaTheme="majorEastAsia" w:hAnsi="Times New Roman" w:cs="Times New Roman"/>
          <w:sz w:val="20"/>
          <w:szCs w:val="20"/>
          <w:lang w:val="en-GB"/>
        </w:rPr>
        <w:t xml:space="preserve">entral </w:t>
      </w:r>
      <w:r w:rsidRPr="029F4E13">
        <w:rPr>
          <w:rFonts w:ascii="Times New Roman" w:eastAsiaTheme="majorEastAsia" w:hAnsi="Times New Roman" w:cs="Times New Roman"/>
          <w:sz w:val="20"/>
          <w:szCs w:val="20"/>
          <w:lang w:val="en-GB"/>
        </w:rPr>
        <w:t>C</w:t>
      </w:r>
      <w:r w:rsidR="00B549AA">
        <w:rPr>
          <w:rFonts w:ascii="Times New Roman" w:eastAsiaTheme="majorEastAsia" w:hAnsi="Times New Roman" w:cs="Times New Roman"/>
          <w:sz w:val="20"/>
          <w:szCs w:val="20"/>
          <w:lang w:val="en-GB"/>
        </w:rPr>
        <w:t xml:space="preserve">ounterparty </w:t>
      </w:r>
      <w:r w:rsidRPr="029F4E13">
        <w:rPr>
          <w:rFonts w:ascii="Times New Roman" w:eastAsiaTheme="majorEastAsia" w:hAnsi="Times New Roman" w:cs="Times New Roman"/>
          <w:sz w:val="20"/>
          <w:szCs w:val="20"/>
          <w:lang w:val="en-GB"/>
        </w:rPr>
        <w:t>Derivatives, C</w:t>
      </w:r>
      <w:r w:rsidR="00B549AA">
        <w:rPr>
          <w:rFonts w:ascii="Times New Roman" w:eastAsiaTheme="majorEastAsia" w:hAnsi="Times New Roman" w:cs="Times New Roman"/>
          <w:sz w:val="20"/>
          <w:szCs w:val="20"/>
          <w:lang w:val="en-GB"/>
        </w:rPr>
        <w:t xml:space="preserve">entral </w:t>
      </w:r>
      <w:r w:rsidRPr="029F4E13">
        <w:rPr>
          <w:rFonts w:ascii="Times New Roman" w:eastAsiaTheme="majorEastAsia" w:hAnsi="Times New Roman" w:cs="Times New Roman"/>
          <w:sz w:val="20"/>
          <w:szCs w:val="20"/>
          <w:lang w:val="en-GB"/>
        </w:rPr>
        <w:t>C</w:t>
      </w:r>
      <w:r w:rsidR="00B549AA">
        <w:rPr>
          <w:rFonts w:ascii="Times New Roman" w:eastAsiaTheme="majorEastAsia" w:hAnsi="Times New Roman" w:cs="Times New Roman"/>
          <w:sz w:val="20"/>
          <w:szCs w:val="20"/>
          <w:lang w:val="en-GB"/>
        </w:rPr>
        <w:t xml:space="preserve">ounterparty </w:t>
      </w:r>
      <w:r w:rsidRPr="029F4E13">
        <w:rPr>
          <w:rFonts w:ascii="Times New Roman" w:eastAsiaTheme="majorEastAsia" w:hAnsi="Times New Roman" w:cs="Times New Roman"/>
          <w:sz w:val="20"/>
          <w:szCs w:val="20"/>
          <w:lang w:val="en-GB"/>
        </w:rPr>
        <w:t>Securities unless otherwise indicated</w:t>
      </w:r>
      <w:r>
        <w:rPr>
          <w:rStyle w:val="FootnoteReference"/>
          <w:rFonts w:eastAsiaTheme="majorEastAsia" w:cs="Times New Roman"/>
          <w:lang w:val="en-GB"/>
        </w:rPr>
        <w:footnoteReference w:id="33"/>
      </w:r>
      <w:r w:rsidRPr="029F4E13">
        <w:rPr>
          <w:rFonts w:ascii="Times New Roman" w:eastAsiaTheme="majorEastAsia" w:hAnsi="Times New Roman" w:cs="Times New Roman"/>
          <w:sz w:val="20"/>
          <w:szCs w:val="20"/>
          <w:lang w:val="en-GB"/>
        </w:rPr>
        <w:t>.</w:t>
      </w:r>
    </w:p>
    <w:tbl>
      <w:tblPr>
        <w:tblW w:w="9015" w:type="dxa"/>
        <w:tblInd w:w="135" w:type="dxa"/>
        <w:tblLayout w:type="fixed"/>
        <w:tblLook w:val="04A0" w:firstRow="1" w:lastRow="0" w:firstColumn="1" w:lastColumn="0" w:noHBand="0" w:noVBand="1"/>
      </w:tblPr>
      <w:tblGrid>
        <w:gridCol w:w="1183"/>
        <w:gridCol w:w="7832"/>
      </w:tblGrid>
      <w:tr w:rsidR="00CC0A94" w14:paraId="7FE1C8F5"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Instructions </w:t>
            </w:r>
          </w:p>
        </w:tc>
      </w:tr>
      <w:tr w:rsidR="00CC0A94" w14:paraId="7FE1C8F9" w14:textId="77777777" w:rsidTr="029F4E13">
        <w:tc>
          <w:tcPr>
            <w:tcW w:w="1183" w:type="dxa"/>
            <w:tcBorders>
              <w:top w:val="single" w:sz="8" w:space="0" w:color="1A171C"/>
              <w:bottom w:val="single" w:sz="8" w:space="0" w:color="auto"/>
              <w:right w:val="single" w:sz="8" w:space="0" w:color="auto"/>
            </w:tcBorders>
            <w:vAlign w:val="center"/>
          </w:tcPr>
          <w:p w14:paraId="7FE1C8F6"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0010</w:t>
            </w:r>
          </w:p>
        </w:tc>
        <w:tc>
          <w:tcPr>
            <w:tcW w:w="7832" w:type="dxa"/>
            <w:tcBorders>
              <w:top w:val="single" w:sz="8" w:space="0" w:color="1A171C"/>
              <w:left w:val="single" w:sz="8" w:space="0" w:color="auto"/>
              <w:bottom w:val="single" w:sz="8" w:space="0" w:color="auto"/>
            </w:tcBorders>
            <w:vAlign w:val="bottom"/>
          </w:tcPr>
          <w:p w14:paraId="7FE1C8F7"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ID </w:t>
            </w:r>
            <w:proofErr w:type="gramStart"/>
            <w:r>
              <w:rPr>
                <w:rFonts w:ascii="Times New Roman" w:eastAsia="Times New Roman" w:hAnsi="Times New Roman" w:cs="Times New Roman"/>
                <w:b/>
                <w:sz w:val="20"/>
                <w:szCs w:val="20"/>
              </w:rPr>
              <w:t>representing</w:t>
            </w:r>
            <w:proofErr w:type="gramEnd"/>
            <w:r>
              <w:rPr>
                <w:rFonts w:ascii="Times New Roman" w:eastAsia="Times New Roman" w:hAnsi="Times New Roman" w:cs="Times New Roman"/>
                <w:b/>
                <w:sz w:val="20"/>
                <w:szCs w:val="20"/>
              </w:rPr>
              <w:t xml:space="preserve"> combination of user, FMI, system type and intermediary</w:t>
            </w:r>
          </w:p>
          <w:p w14:paraId="7FE1C8F8" w14:textId="314C2ABF" w:rsidR="00CC0A94" w:rsidRDefault="00904640" w:rsidP="002F61BB">
            <w:pPr>
              <w:pStyle w:val="TableParagraph"/>
              <w:spacing w:before="108"/>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 xml:space="preserve">Use a single identifier per row, which corresponds to a unique combination of user, FMI, system type and intermediary. The same ID, corresponding to the same combination, must be used </w:t>
            </w:r>
            <w:r>
              <w:rPr>
                <w:rFonts w:ascii="Times New Roman" w:eastAsia="Times New Roman" w:hAnsi="Times New Roman" w:cs="Times New Roman"/>
                <w:sz w:val="20"/>
                <w:szCs w:val="20"/>
              </w:rPr>
              <w:lastRenderedPageBreak/>
              <w:t>across the templates Z 09.01 to Z 09.05 where applicable.</w:t>
            </w:r>
          </w:p>
        </w:tc>
      </w:tr>
      <w:tr w:rsidR="00CC0A94" w14:paraId="7FE1C8FD" w14:textId="77777777" w:rsidTr="029F4E13">
        <w:tc>
          <w:tcPr>
            <w:tcW w:w="1183" w:type="dxa"/>
            <w:tcBorders>
              <w:top w:val="single" w:sz="8" w:space="0" w:color="auto"/>
              <w:bottom w:val="single" w:sz="8" w:space="0" w:color="auto"/>
              <w:right w:val="single" w:sz="8" w:space="0" w:color="auto"/>
            </w:tcBorders>
            <w:vAlign w:val="center"/>
          </w:tcPr>
          <w:p w14:paraId="7FE1C8FA" w14:textId="77777777" w:rsidR="00CC0A94" w:rsidRPr="002F61BB" w:rsidRDefault="006C1571">
            <w:pPr>
              <w:rPr>
                <w:rFonts w:ascii="Times New Roman" w:hAnsi="Times New Roman" w:cs="Times New Roman"/>
                <w:strike/>
              </w:rPr>
            </w:pPr>
            <w:r>
              <w:rPr>
                <w:rFonts w:ascii="Times New Roman" w:eastAsia="Times New Roman" w:hAnsi="Times New Roman" w:cs="Times New Roman"/>
                <w:sz w:val="20"/>
                <w:szCs w:val="20"/>
              </w:rPr>
              <w:lastRenderedPageBreak/>
              <w:t>0020</w:t>
            </w:r>
          </w:p>
        </w:tc>
        <w:tc>
          <w:tcPr>
            <w:tcW w:w="7832" w:type="dxa"/>
            <w:tcBorders>
              <w:top w:val="single" w:sz="8" w:space="0" w:color="auto"/>
              <w:left w:val="single" w:sz="8" w:space="0" w:color="auto"/>
              <w:bottom w:val="single" w:sz="8" w:space="0" w:color="auto"/>
            </w:tcBorders>
            <w:vAlign w:val="bottom"/>
          </w:tcPr>
          <w:p w14:paraId="7FE1C8FB"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Segment</w:t>
            </w:r>
          </w:p>
          <w:p w14:paraId="7FE1C8FC" w14:textId="77777777" w:rsidR="00CC0A94" w:rsidRDefault="006C1571">
            <w:pPr>
              <w:pStyle w:val="TableParagraph"/>
              <w:spacing w:before="108"/>
              <w:ind w:left="85"/>
              <w:jc w:val="both"/>
              <w:rPr>
                <w:rFonts w:ascii="Times New Roman" w:eastAsia="Times New Roman" w:hAnsi="Times New Roman" w:cs="Times New Roman"/>
                <w:b/>
                <w:bCs/>
                <w:i/>
                <w:iCs/>
                <w:strike/>
                <w:sz w:val="20"/>
                <w:szCs w:val="20"/>
              </w:rPr>
            </w:pPr>
            <w:r>
              <w:rPr>
                <w:rFonts w:ascii="Times New Roman" w:eastAsia="Times New Roman" w:hAnsi="Times New Roman" w:cs="Times New Roman"/>
                <w:bCs/>
                <w:sz w:val="20"/>
                <w:szCs w:val="20"/>
              </w:rPr>
              <w:t xml:space="preserve">Market segments where the User is active. One row per segment. Only report for </w:t>
            </w:r>
            <w:r>
              <w:rPr>
                <w:rFonts w:ascii="Times New Roman" w:eastAsia="Times New Roman" w:hAnsi="Times New Roman" w:cs="Times New Roman"/>
                <w:sz w:val="20"/>
                <w:szCs w:val="20"/>
              </w:rPr>
              <w:t>CCPs</w:t>
            </w:r>
            <w:r>
              <w:rPr>
                <w:rFonts w:ascii="Times New Roman" w:eastAsia="Times New Roman" w:hAnsi="Times New Roman" w:cs="Times New Roman"/>
                <w:bCs/>
                <w:sz w:val="20"/>
                <w:szCs w:val="20"/>
              </w:rPr>
              <w:t xml:space="preserve">. </w:t>
            </w:r>
          </w:p>
        </w:tc>
      </w:tr>
      <w:tr w:rsidR="00CC0A94" w14:paraId="7FE1C902" w14:textId="77777777" w:rsidTr="029F4E13">
        <w:tc>
          <w:tcPr>
            <w:tcW w:w="1183" w:type="dxa"/>
            <w:tcBorders>
              <w:top w:val="single" w:sz="8" w:space="0" w:color="auto"/>
              <w:bottom w:val="single" w:sz="8" w:space="0" w:color="auto"/>
              <w:right w:val="single" w:sz="8" w:space="0" w:color="auto"/>
            </w:tcBorders>
            <w:vAlign w:val="center"/>
          </w:tcPr>
          <w:p w14:paraId="7FE1C8FE"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0030</w:t>
            </w:r>
          </w:p>
        </w:tc>
        <w:tc>
          <w:tcPr>
            <w:tcW w:w="7832" w:type="dxa"/>
            <w:tcBorders>
              <w:top w:val="single" w:sz="8" w:space="0" w:color="auto"/>
              <w:left w:val="single" w:sz="8" w:space="0" w:color="auto"/>
              <w:bottom w:val="single" w:sz="8" w:space="0" w:color="auto"/>
            </w:tcBorders>
            <w:vAlign w:val="bottom"/>
          </w:tcPr>
          <w:p w14:paraId="7FE1C8FF"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to Default Fund</w:t>
            </w:r>
          </w:p>
          <w:p w14:paraId="7FE1C900" w14:textId="77777777" w:rsidR="00CC0A94" w:rsidRDefault="006C1571">
            <w:pPr>
              <w:pStyle w:val="TableParagraph"/>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Contribution to default fund. Average amount over the year. </w:t>
            </w:r>
          </w:p>
          <w:p w14:paraId="7FE1C901" w14:textId="77777777" w:rsidR="00CC0A94" w:rsidRDefault="006C1571">
            <w:pPr>
              <w:pStyle w:val="TableParagraph"/>
              <w:spacing w:before="108"/>
              <w:ind w:left="85"/>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Only report for CCPs.</w:t>
            </w:r>
          </w:p>
        </w:tc>
      </w:tr>
      <w:tr w:rsidR="00CC0A94" w14:paraId="7FE1C906" w14:textId="77777777" w:rsidTr="029F4E13">
        <w:tc>
          <w:tcPr>
            <w:tcW w:w="1183" w:type="dxa"/>
            <w:tcBorders>
              <w:top w:val="single" w:sz="8" w:space="0" w:color="auto"/>
              <w:bottom w:val="single" w:sz="8" w:space="0" w:color="auto"/>
              <w:right w:val="single" w:sz="8" w:space="0" w:color="auto"/>
            </w:tcBorders>
            <w:vAlign w:val="center"/>
          </w:tcPr>
          <w:p w14:paraId="7FE1C903"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0040-0050</w:t>
            </w:r>
          </w:p>
        </w:tc>
        <w:tc>
          <w:tcPr>
            <w:tcW w:w="7832" w:type="dxa"/>
            <w:tcBorders>
              <w:top w:val="single" w:sz="8" w:space="0" w:color="auto"/>
              <w:left w:val="single" w:sz="8" w:space="0" w:color="auto"/>
              <w:bottom w:val="single" w:sz="8" w:space="0" w:color="auto"/>
            </w:tcBorders>
            <w:vAlign w:val="bottom"/>
          </w:tcPr>
          <w:p w14:paraId="7FE1C904" w14:textId="63CC55B1" w:rsidR="00CC0A94" w:rsidRDefault="006C1571">
            <w:pPr>
              <w:pStyle w:val="TableParagraph"/>
              <w:spacing w:before="108"/>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Initial margin </w:t>
            </w:r>
            <w:r>
              <w:rPr>
                <w:rFonts w:ascii="Times New Roman" w:eastAsia="Times New Roman" w:hAnsi="Times New Roman" w:cs="Times New Roman"/>
                <w:b/>
                <w:sz w:val="20"/>
                <w:szCs w:val="20"/>
              </w:rPr>
              <w:t>on proprietary and client accounts</w:t>
            </w:r>
          </w:p>
          <w:p w14:paraId="7FE1C905" w14:textId="1C30A5D8"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Initial margin posted, split by house and client accounts. Average amount over the year. Only report for CCPs. Column 0050 includes both omnibus and individual client account values.</w:t>
            </w:r>
          </w:p>
        </w:tc>
      </w:tr>
      <w:tr w:rsidR="00CC0A94" w14:paraId="7FE1C90D" w14:textId="77777777" w:rsidTr="029F4E13">
        <w:tc>
          <w:tcPr>
            <w:tcW w:w="1183" w:type="dxa"/>
            <w:tcBorders>
              <w:top w:val="single" w:sz="8" w:space="0" w:color="auto"/>
              <w:bottom w:val="single" w:sz="8" w:space="0" w:color="auto"/>
              <w:right w:val="single" w:sz="8" w:space="0" w:color="auto"/>
            </w:tcBorders>
            <w:vAlign w:val="center"/>
          </w:tcPr>
          <w:p w14:paraId="7FE1C907" w14:textId="1157106F"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0060-0070</w:t>
            </w:r>
          </w:p>
        </w:tc>
        <w:tc>
          <w:tcPr>
            <w:tcW w:w="7832" w:type="dxa"/>
            <w:tcBorders>
              <w:top w:val="single" w:sz="8" w:space="0" w:color="auto"/>
              <w:left w:val="single" w:sz="8" w:space="0" w:color="auto"/>
              <w:bottom w:val="single" w:sz="8" w:space="0" w:color="auto"/>
            </w:tcBorders>
            <w:vAlign w:val="bottom"/>
          </w:tcPr>
          <w:p w14:paraId="7FE1C908"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of positions on proprietary and client accounts</w:t>
            </w:r>
          </w:p>
          <w:p w14:paraId="7FE1C909" w14:textId="2662FB34"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Only report for CCPs and (I)CSDs. Column 0070 includes both omnibus and individual client account values.</w:t>
            </w:r>
          </w:p>
          <w:p w14:paraId="7FE1C90A" w14:textId="77777777" w:rsidR="00CC0A94" w:rsidRDefault="006C1571">
            <w:pPr>
              <w:pStyle w:val="TableParagraph"/>
              <w:numPr>
                <w:ilvl w:val="0"/>
                <w:numId w:val="249"/>
              </w:numPr>
              <w:spacing w:before="108"/>
              <w:jc w:val="both"/>
              <w:rPr>
                <w:rFonts w:ascii="Times New Roman" w:eastAsia="Times New Roman" w:hAnsi="Times New Roman" w:cs="Times New Roman"/>
                <w:sz w:val="20"/>
                <w:szCs w:val="20"/>
              </w:rPr>
            </w:pPr>
            <w:r w:rsidRPr="029F4E13">
              <w:rPr>
                <w:rFonts w:ascii="Times New Roman" w:eastAsia="Times New Roman" w:hAnsi="Times New Roman" w:cs="Times New Roman"/>
                <w:sz w:val="20"/>
                <w:szCs w:val="20"/>
              </w:rPr>
              <w:t>CCPs: Value of positions at CCPs in the respective account types</w:t>
            </w:r>
            <w:r w:rsidRPr="002F61BB">
              <w:rPr>
                <w:rStyle w:val="FootnoteReference"/>
                <w:rFonts w:ascii="Times New Roman" w:eastAsia="Times New Roman" w:hAnsi="Times New Roman" w:cs="Times New Roman"/>
              </w:rPr>
              <w:footnoteReference w:id="34"/>
            </w:r>
            <w:r w:rsidRPr="029F4E13">
              <w:rPr>
                <w:rFonts w:ascii="Times New Roman" w:eastAsia="Times New Roman" w:hAnsi="Times New Roman" w:cs="Times New Roman"/>
                <w:sz w:val="20"/>
                <w:szCs w:val="20"/>
              </w:rPr>
              <w:t xml:space="preserve">. </w:t>
            </w:r>
          </w:p>
          <w:p w14:paraId="7FE1C90B" w14:textId="77777777" w:rsidR="00CC0A94" w:rsidRDefault="006C1571">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(I)CSDs: Value of securities held in the respective account types. </w:t>
            </w:r>
          </w:p>
          <w:p w14:paraId="7FE1C90C"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Average value at end of settlement day over the previous year. </w:t>
            </w:r>
          </w:p>
        </w:tc>
      </w:tr>
      <w:tr w:rsidR="00CC0A94" w14:paraId="7FE1C912" w14:textId="77777777" w:rsidTr="029F4E13">
        <w:tc>
          <w:tcPr>
            <w:tcW w:w="1183" w:type="dxa"/>
            <w:tcBorders>
              <w:top w:val="single" w:sz="8" w:space="0" w:color="auto"/>
              <w:bottom w:val="single" w:sz="8" w:space="0" w:color="auto"/>
              <w:right w:val="single" w:sz="8" w:space="0" w:color="auto"/>
            </w:tcBorders>
            <w:vAlign w:val="center"/>
          </w:tcPr>
          <w:p w14:paraId="7FE1C90E" w14:textId="3E4BBED3"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0080-0090</w:t>
            </w:r>
          </w:p>
        </w:tc>
        <w:tc>
          <w:tcPr>
            <w:tcW w:w="7832" w:type="dxa"/>
            <w:tcBorders>
              <w:top w:val="single" w:sz="8" w:space="0" w:color="auto"/>
              <w:left w:val="single" w:sz="8" w:space="0" w:color="auto"/>
              <w:bottom w:val="single" w:sz="8" w:space="0" w:color="auto"/>
            </w:tcBorders>
            <w:vAlign w:val="bottom"/>
          </w:tcPr>
          <w:p w14:paraId="7FE1C90F"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clients </w:t>
            </w:r>
          </w:p>
          <w:p w14:paraId="7FE1C910"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Only report for CCPs and (I)CSDs. </w:t>
            </w:r>
          </w:p>
          <w:p w14:paraId="7FE1C911" w14:textId="77777777"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rPr>
            </w:pPr>
            <w:r>
              <w:rPr>
                <w:rFonts w:ascii="Times New Roman" w:eastAsia="Times New Roman" w:hAnsi="Times New Roman" w:cs="Times New Roman"/>
                <w:b w:val="0"/>
                <w:bCs w:val="0"/>
                <w:i w:val="0"/>
                <w:iCs w:val="0"/>
                <w:color w:val="auto"/>
                <w:sz w:val="20"/>
                <w:szCs w:val="20"/>
              </w:rPr>
              <w:t>Total number of clients included in the different client account types.</w:t>
            </w:r>
          </w:p>
        </w:tc>
      </w:tr>
      <w:tr w:rsidR="00CC0A94" w14:paraId="7FE1C916" w14:textId="77777777" w:rsidTr="029F4E13">
        <w:tc>
          <w:tcPr>
            <w:tcW w:w="1183" w:type="dxa"/>
            <w:tcBorders>
              <w:top w:val="single" w:sz="8" w:space="0" w:color="auto"/>
              <w:bottom w:val="single" w:sz="8" w:space="0" w:color="auto"/>
              <w:right w:val="single" w:sz="8" w:space="0" w:color="auto"/>
            </w:tcBorders>
            <w:vAlign w:val="center"/>
          </w:tcPr>
          <w:p w14:paraId="7FE1C913" w14:textId="7AE482AF"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0100-0110</w:t>
            </w:r>
          </w:p>
        </w:tc>
        <w:tc>
          <w:tcPr>
            <w:tcW w:w="7832" w:type="dxa"/>
            <w:tcBorders>
              <w:top w:val="single" w:sz="8" w:space="0" w:color="auto"/>
              <w:left w:val="single" w:sz="8" w:space="0" w:color="auto"/>
              <w:bottom w:val="single" w:sz="8" w:space="0" w:color="auto"/>
            </w:tcBorders>
            <w:vAlign w:val="bottom"/>
          </w:tcPr>
          <w:p w14:paraId="7FE1C914"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transactions on proprietary and client accounts</w:t>
            </w:r>
          </w:p>
          <w:p w14:paraId="7FE1C915" w14:textId="77777777"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u w:val="single"/>
              </w:rPr>
            </w:pPr>
            <w:r>
              <w:rPr>
                <w:rFonts w:ascii="Times New Roman" w:eastAsia="Times New Roman" w:hAnsi="Times New Roman" w:cs="Times New Roman"/>
                <w:b w:val="0"/>
                <w:bCs w:val="0"/>
                <w:i w:val="0"/>
                <w:iCs w:val="0"/>
                <w:color w:val="auto"/>
                <w:sz w:val="20"/>
                <w:szCs w:val="20"/>
              </w:rPr>
              <w:t xml:space="preserve">Total number of transactions executed during the year for the respective account types. </w:t>
            </w:r>
          </w:p>
        </w:tc>
      </w:tr>
      <w:tr w:rsidR="00CC0A94" w14:paraId="7FE1C921" w14:textId="77777777" w:rsidTr="029F4E13">
        <w:tc>
          <w:tcPr>
            <w:tcW w:w="1183" w:type="dxa"/>
            <w:tcBorders>
              <w:top w:val="single" w:sz="8" w:space="0" w:color="auto"/>
              <w:bottom w:val="single" w:sz="8" w:space="0" w:color="auto"/>
              <w:right w:val="single" w:sz="8" w:space="0" w:color="auto"/>
            </w:tcBorders>
            <w:vAlign w:val="center"/>
          </w:tcPr>
          <w:p w14:paraId="7FE1C917" w14:textId="2B767234"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0120-0130</w:t>
            </w:r>
          </w:p>
        </w:tc>
        <w:tc>
          <w:tcPr>
            <w:tcW w:w="7832" w:type="dxa"/>
            <w:tcBorders>
              <w:top w:val="single" w:sz="8" w:space="0" w:color="auto"/>
              <w:left w:val="single" w:sz="8" w:space="0" w:color="auto"/>
              <w:bottom w:val="single" w:sz="8" w:space="0" w:color="auto"/>
            </w:tcBorders>
            <w:vAlign w:val="bottom"/>
          </w:tcPr>
          <w:p w14:paraId="7FE1C918"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of transactions on proprietary and client accounts</w:t>
            </w:r>
          </w:p>
          <w:p w14:paraId="7FE1C919" w14:textId="7A080DD4"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Value of transactions </w:t>
            </w:r>
            <w:r>
              <w:rPr>
                <w:rFonts w:ascii="Times New Roman" w:eastAsia="Times New Roman" w:hAnsi="Times New Roman" w:cs="Times New Roman"/>
                <w:bCs/>
                <w:sz w:val="20"/>
                <w:szCs w:val="20"/>
              </w:rPr>
              <w:t xml:space="preserve">in the reporting year </w:t>
            </w:r>
            <w:r>
              <w:rPr>
                <w:rFonts w:ascii="Times New Roman" w:eastAsia="Times New Roman" w:hAnsi="Times New Roman" w:cs="Times New Roman"/>
                <w:sz w:val="20"/>
                <w:szCs w:val="20"/>
              </w:rPr>
              <w:t xml:space="preserve">from the respective account types. Column 0130 includes both omnibus and segregated client account values. </w:t>
            </w:r>
          </w:p>
          <w:p w14:paraId="7FE1C91A" w14:textId="77777777" w:rsidR="00CC0A94" w:rsidRDefault="006C1571">
            <w:pPr>
              <w:pStyle w:val="TableParagraph"/>
              <w:spacing w:before="108"/>
              <w:ind w:left="85"/>
              <w:jc w:val="both"/>
              <w:rPr>
                <w:rFonts w:ascii="Times New Roman" w:eastAsia="Times New Roman" w:hAnsi="Times New Roman" w:cs="Times New Roman"/>
                <w:sz w:val="20"/>
                <w:szCs w:val="20"/>
              </w:rPr>
            </w:pPr>
            <w:r w:rsidRPr="029F4E13">
              <w:rPr>
                <w:rFonts w:ascii="Times New Roman" w:eastAsia="Times New Roman" w:hAnsi="Times New Roman" w:cs="Times New Roman"/>
                <w:sz w:val="20"/>
                <w:szCs w:val="20"/>
              </w:rPr>
              <w:t>Report for PS, CCP, (I)CSD</w:t>
            </w:r>
            <w:r w:rsidRPr="002F61BB">
              <w:rPr>
                <w:rStyle w:val="FootnoteReference"/>
                <w:rFonts w:ascii="Times New Roman" w:eastAsia="Times New Roman" w:hAnsi="Times New Roman" w:cs="Times New Roman"/>
              </w:rPr>
              <w:footnoteReference w:id="35"/>
            </w:r>
            <w:r w:rsidRPr="029F4E13">
              <w:rPr>
                <w:rFonts w:ascii="Times New Roman" w:eastAsia="Times New Roman" w:hAnsi="Times New Roman" w:cs="Times New Roman"/>
                <w:sz w:val="20"/>
                <w:szCs w:val="20"/>
              </w:rPr>
              <w:t xml:space="preserve">. </w:t>
            </w:r>
          </w:p>
          <w:p w14:paraId="7FE1C91B" w14:textId="77777777" w:rsidR="00CC0A94" w:rsidRPr="009B5BE4" w:rsidRDefault="006C1571">
            <w:pPr>
              <w:pStyle w:val="TableParagraph"/>
              <w:numPr>
                <w:ilvl w:val="0"/>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PS: Value of transactions sent.</w:t>
            </w:r>
          </w:p>
          <w:p w14:paraId="7FE1C91C" w14:textId="77777777" w:rsidR="00CC0A94" w:rsidRPr="009B5BE4" w:rsidRDefault="006C1571">
            <w:pPr>
              <w:pStyle w:val="TableParagraph"/>
              <w:numPr>
                <w:ilvl w:val="0"/>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CCPs: Total value of transactions executed during the year. For CCP-Derivatives:</w:t>
            </w:r>
          </w:p>
          <w:p w14:paraId="7FE1C91D" w14:textId="77777777" w:rsidR="00CC0A94" w:rsidRPr="009B5BE4" w:rsidRDefault="006C1571">
            <w:pPr>
              <w:pStyle w:val="TableParagraph"/>
              <w:numPr>
                <w:ilvl w:val="1"/>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 xml:space="preserve">Options = strike </w:t>
            </w:r>
            <w:proofErr w:type="gramStart"/>
            <w:r w:rsidRPr="009B5BE4">
              <w:rPr>
                <w:rFonts w:ascii="Times New Roman" w:eastAsia="Times New Roman" w:hAnsi="Times New Roman" w:cs="Times New Roman"/>
                <w:sz w:val="20"/>
                <w:szCs w:val="20"/>
              </w:rPr>
              <w:t>price;</w:t>
            </w:r>
            <w:proofErr w:type="gramEnd"/>
          </w:p>
          <w:p w14:paraId="7FE1C91E" w14:textId="77777777" w:rsidR="00CC0A94" w:rsidRPr="009B5BE4" w:rsidRDefault="006C1571">
            <w:pPr>
              <w:pStyle w:val="TableParagraph"/>
              <w:numPr>
                <w:ilvl w:val="1"/>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Futures = value of underlying at the time of the transaction or, if notional underlying exists, market price of futures contracts at the time of transaction.</w:t>
            </w:r>
          </w:p>
          <w:p w14:paraId="7FE1C91F" w14:textId="77777777" w:rsidR="00CC0A94" w:rsidRPr="009B5BE4" w:rsidRDefault="006C1571">
            <w:pPr>
              <w:pStyle w:val="TableParagraph"/>
              <w:numPr>
                <w:ilvl w:val="1"/>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Swaps = total market value of transactions outstanding at year-end.</w:t>
            </w:r>
          </w:p>
          <w:p w14:paraId="7FE1C920" w14:textId="22076F29" w:rsidR="00CC0A94" w:rsidRDefault="00681B11" w:rsidP="002F61BB">
            <w:pPr>
              <w:pStyle w:val="TableParagraph"/>
              <w:numPr>
                <w:ilvl w:val="0"/>
                <w:numId w:val="250"/>
              </w:numPr>
              <w:spacing w:before="108"/>
              <w:jc w:val="both"/>
              <w:rPr>
                <w:rFonts w:ascii="Times New Roman" w:eastAsia="Times New Roman" w:hAnsi="Times New Roman" w:cs="Times New Roman"/>
                <w:strike/>
                <w:color w:val="D13438"/>
                <w:sz w:val="20"/>
                <w:szCs w:val="20"/>
                <w:u w:val="single"/>
              </w:rPr>
            </w:pPr>
            <w:r w:rsidRPr="009B5BE4">
              <w:rPr>
                <w:rFonts w:ascii="Times New Roman" w:eastAsia="Times New Roman" w:hAnsi="Times New Roman" w:cs="Times New Roman"/>
                <w:sz w:val="20"/>
                <w:szCs w:val="20"/>
              </w:rPr>
              <w:t>(I)</w:t>
            </w:r>
            <w:r w:rsidR="006C1571" w:rsidRPr="009B5BE4">
              <w:rPr>
                <w:rFonts w:ascii="Times New Roman" w:eastAsia="Times New Roman" w:hAnsi="Times New Roman" w:cs="Times New Roman"/>
                <w:sz w:val="20"/>
                <w:szCs w:val="20"/>
              </w:rPr>
              <w:t xml:space="preserve">CSD: Total value of delivery instructions. </w:t>
            </w:r>
          </w:p>
        </w:tc>
      </w:tr>
      <w:tr w:rsidR="00CC0A94" w14:paraId="7FE1C926" w14:textId="77777777" w:rsidTr="029F4E13">
        <w:tc>
          <w:tcPr>
            <w:tcW w:w="1183" w:type="dxa"/>
            <w:tcBorders>
              <w:top w:val="single" w:sz="8" w:space="0" w:color="auto"/>
              <w:bottom w:val="single" w:sz="8" w:space="0" w:color="auto"/>
              <w:right w:val="single" w:sz="8" w:space="0" w:color="auto"/>
            </w:tcBorders>
            <w:vAlign w:val="center"/>
          </w:tcPr>
          <w:p w14:paraId="7FE1C922" w14:textId="1240362A"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0140</w:t>
            </w:r>
          </w:p>
        </w:tc>
        <w:tc>
          <w:tcPr>
            <w:tcW w:w="7832" w:type="dxa"/>
            <w:tcBorders>
              <w:top w:val="single" w:sz="8" w:space="0" w:color="auto"/>
              <w:left w:val="single" w:sz="8" w:space="0" w:color="auto"/>
              <w:bottom w:val="single" w:sz="8" w:space="0" w:color="auto"/>
            </w:tcBorders>
            <w:vAlign w:val="bottom"/>
          </w:tcPr>
          <w:p w14:paraId="7FE1C923" w14:textId="77777777" w:rsidR="00CC0A94" w:rsidRDefault="006C1571">
            <w:pPr>
              <w:pStyle w:val="TableParagraph"/>
              <w:spacing w:before="108" w:after="120"/>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Cumulated notional amount</w:t>
            </w:r>
          </w:p>
          <w:p w14:paraId="7FE1C924"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 of notional amounts of transactions executed during the year, for both house and client accounts. Report </w:t>
            </w:r>
            <w:proofErr w:type="gramStart"/>
            <w:r>
              <w:rPr>
                <w:rFonts w:ascii="Times New Roman" w:eastAsia="Times New Roman" w:hAnsi="Times New Roman" w:cs="Times New Roman"/>
                <w:sz w:val="20"/>
                <w:szCs w:val="20"/>
              </w:rPr>
              <w:t>in</w:t>
            </w:r>
            <w:proofErr w:type="gramEnd"/>
            <w:r>
              <w:rPr>
                <w:rFonts w:ascii="Times New Roman" w:eastAsia="Times New Roman" w:hAnsi="Times New Roman" w:cs="Times New Roman"/>
                <w:sz w:val="20"/>
                <w:szCs w:val="20"/>
              </w:rPr>
              <w:t xml:space="preserve"> EUR bn. </w:t>
            </w:r>
          </w:p>
          <w:p w14:paraId="7FE1C925" w14:textId="77777777"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u w:val="single"/>
              </w:rPr>
            </w:pPr>
            <w:r>
              <w:rPr>
                <w:rFonts w:ascii="Times New Roman" w:eastAsia="Times New Roman" w:hAnsi="Times New Roman" w:cs="Times New Roman"/>
                <w:b w:val="0"/>
                <w:bCs w:val="0"/>
                <w:i w:val="0"/>
                <w:iCs w:val="0"/>
                <w:color w:val="auto"/>
                <w:sz w:val="20"/>
                <w:szCs w:val="20"/>
              </w:rPr>
              <w:t>Only for CCP-Derivatives.</w:t>
            </w:r>
          </w:p>
        </w:tc>
      </w:tr>
      <w:tr w:rsidR="00CC0A94" w14:paraId="7FE1C92A" w14:textId="77777777" w:rsidTr="029F4E13">
        <w:tc>
          <w:tcPr>
            <w:tcW w:w="1183" w:type="dxa"/>
            <w:tcBorders>
              <w:top w:val="single" w:sz="8" w:space="0" w:color="auto"/>
              <w:bottom w:val="single" w:sz="8" w:space="0" w:color="auto"/>
              <w:right w:val="single" w:sz="8" w:space="0" w:color="auto"/>
            </w:tcBorders>
            <w:vAlign w:val="center"/>
          </w:tcPr>
          <w:p w14:paraId="7FE1C927" w14:textId="446A9A90"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lastRenderedPageBreak/>
              <w:t>0150</w:t>
            </w:r>
          </w:p>
        </w:tc>
        <w:tc>
          <w:tcPr>
            <w:tcW w:w="7832" w:type="dxa"/>
            <w:tcBorders>
              <w:top w:val="single" w:sz="8" w:space="0" w:color="auto"/>
              <w:left w:val="single" w:sz="8" w:space="0" w:color="auto"/>
              <w:bottom w:val="single" w:sz="8" w:space="0" w:color="auto"/>
            </w:tcBorders>
            <w:vAlign w:val="bottom"/>
          </w:tcPr>
          <w:p w14:paraId="7FE1C928"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 line</w:t>
            </w:r>
          </w:p>
          <w:p w14:paraId="7FE1C929" w14:textId="77777777"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u w:val="single"/>
              </w:rPr>
            </w:pPr>
            <w:r>
              <w:rPr>
                <w:rFonts w:ascii="Times New Roman" w:eastAsia="Times New Roman" w:hAnsi="Times New Roman" w:cs="Times New Roman"/>
                <w:b w:val="0"/>
                <w:bCs w:val="0"/>
                <w:i w:val="0"/>
                <w:iCs w:val="0"/>
                <w:color w:val="auto"/>
                <w:sz w:val="20"/>
                <w:szCs w:val="20"/>
              </w:rPr>
              <w:t xml:space="preserve">Committed or uncommitted credit line granted by the system in case of direct access, or by the intermediary or other liquidity provider in case of indirect access. For undisclosed amounts, maximum usage over the year. </w:t>
            </w:r>
          </w:p>
        </w:tc>
      </w:tr>
      <w:tr w:rsidR="00CC0A94" w14:paraId="7FE1C931" w14:textId="77777777" w:rsidTr="029F4E13">
        <w:tc>
          <w:tcPr>
            <w:tcW w:w="1183" w:type="dxa"/>
            <w:tcBorders>
              <w:top w:val="single" w:sz="8" w:space="0" w:color="auto"/>
              <w:bottom w:val="single" w:sz="8" w:space="0" w:color="auto"/>
              <w:right w:val="single" w:sz="8" w:space="0" w:color="auto"/>
            </w:tcBorders>
            <w:vAlign w:val="center"/>
          </w:tcPr>
          <w:p w14:paraId="7FE1C92B" w14:textId="48B84DB8"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0160</w:t>
            </w:r>
          </w:p>
        </w:tc>
        <w:tc>
          <w:tcPr>
            <w:tcW w:w="7832" w:type="dxa"/>
            <w:tcBorders>
              <w:top w:val="single" w:sz="8" w:space="0" w:color="auto"/>
              <w:left w:val="single" w:sz="8" w:space="0" w:color="auto"/>
              <w:bottom w:val="single" w:sz="8" w:space="0" w:color="auto"/>
            </w:tcBorders>
            <w:vAlign w:val="bottom"/>
          </w:tcPr>
          <w:p w14:paraId="7FE1C92C"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Peak of liquidity or collateral requirements</w:t>
            </w:r>
          </w:p>
          <w:p w14:paraId="7FE1C92D"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Only report for PS, (I)CSD, CCPs as applicable. Peak value over the previous year.</w:t>
            </w:r>
          </w:p>
          <w:p w14:paraId="7FE1C92E" w14:textId="77777777" w:rsidR="00CC0A94" w:rsidRDefault="006C1571">
            <w:pPr>
              <w:pStyle w:val="TableParagraph"/>
              <w:numPr>
                <w:ilvl w:val="0"/>
                <w:numId w:val="25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(I)CSDs and PS: peak of credit line usage.  </w:t>
            </w:r>
          </w:p>
          <w:p w14:paraId="7FE1C92F" w14:textId="77777777" w:rsidR="00CC0A94" w:rsidRDefault="006C1571">
            <w:pPr>
              <w:pStyle w:val="TableParagraph"/>
              <w:numPr>
                <w:ilvl w:val="0"/>
                <w:numId w:val="25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CCPs: peak of margin requirements.</w:t>
            </w:r>
          </w:p>
          <w:p w14:paraId="7FE1C930" w14:textId="77777777" w:rsidR="00CC0A94" w:rsidRDefault="006C1571" w:rsidP="002F61BB">
            <w:pPr>
              <w:pStyle w:val="TableParagraph"/>
              <w:numPr>
                <w:ilvl w:val="0"/>
                <w:numId w:val="251"/>
              </w:numPr>
              <w:spacing w:before="108"/>
              <w:jc w:val="both"/>
              <w:rPr>
                <w:rFonts w:ascii="Times New Roman" w:eastAsia="Times New Roman" w:hAnsi="Times New Roman" w:cs="Times New Roman"/>
                <w:strike/>
                <w:color w:val="D13438"/>
                <w:sz w:val="20"/>
                <w:szCs w:val="20"/>
                <w:u w:val="single"/>
              </w:rPr>
            </w:pPr>
            <w:r>
              <w:rPr>
                <w:rFonts w:ascii="Times New Roman" w:eastAsia="Times New Roman" w:hAnsi="Times New Roman" w:cs="Times New Roman"/>
                <w:sz w:val="20"/>
                <w:szCs w:val="20"/>
              </w:rPr>
              <w:t xml:space="preserve">For indirect </w:t>
            </w:r>
            <w:proofErr w:type="gramStart"/>
            <w:r>
              <w:rPr>
                <w:rFonts w:ascii="Times New Roman" w:eastAsia="Times New Roman" w:hAnsi="Times New Roman" w:cs="Times New Roman"/>
                <w:sz w:val="20"/>
                <w:szCs w:val="20"/>
              </w:rPr>
              <w:t>accesses</w:t>
            </w:r>
            <w:proofErr w:type="gramEnd"/>
            <w:r>
              <w:rPr>
                <w:rFonts w:ascii="Times New Roman" w:eastAsia="Times New Roman" w:hAnsi="Times New Roman" w:cs="Times New Roman"/>
                <w:sz w:val="20"/>
                <w:szCs w:val="20"/>
              </w:rPr>
              <w:t>: peak funding required by the intermediary.</w:t>
            </w:r>
          </w:p>
        </w:tc>
      </w:tr>
      <w:tr w:rsidR="00CC0A94" w14:paraId="7FE1C935" w14:textId="77777777" w:rsidTr="029F4E13">
        <w:tc>
          <w:tcPr>
            <w:tcW w:w="1183" w:type="dxa"/>
            <w:tcBorders>
              <w:top w:val="single" w:sz="8" w:space="0" w:color="auto"/>
              <w:bottom w:val="single" w:sz="8" w:space="0" w:color="auto"/>
              <w:right w:val="single" w:sz="8" w:space="0" w:color="auto"/>
            </w:tcBorders>
            <w:vAlign w:val="center"/>
          </w:tcPr>
          <w:p w14:paraId="7FE1C932" w14:textId="618A69A7"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0170</w:t>
            </w:r>
          </w:p>
        </w:tc>
        <w:tc>
          <w:tcPr>
            <w:tcW w:w="7832" w:type="dxa"/>
            <w:tcBorders>
              <w:top w:val="single" w:sz="8" w:space="0" w:color="auto"/>
              <w:left w:val="single" w:sz="8" w:space="0" w:color="auto"/>
              <w:bottom w:val="single" w:sz="8" w:space="0" w:color="auto"/>
            </w:tcBorders>
            <w:vAlign w:val="bottom"/>
          </w:tcPr>
          <w:p w14:paraId="7FE1C933"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Estimated additional liquidity or collateral requirements in a stress situation</w:t>
            </w:r>
          </w:p>
          <w:p w14:paraId="7FE1C934" w14:textId="16041565"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u w:val="single"/>
              </w:rPr>
            </w:pPr>
            <w:r>
              <w:rPr>
                <w:rFonts w:ascii="Times New Roman" w:eastAsia="Times New Roman" w:hAnsi="Times New Roman" w:cs="Times New Roman"/>
                <w:b w:val="0"/>
                <w:bCs w:val="0"/>
                <w:i w:val="0"/>
                <w:iCs w:val="0"/>
                <w:color w:val="auto"/>
                <w:sz w:val="20"/>
                <w:szCs w:val="20"/>
              </w:rPr>
              <w:t xml:space="preserve">Estimation of potential additional liquidity or collateral above the peak requirement in column 0160, that the User may face in a situation of severe stress. </w:t>
            </w:r>
          </w:p>
        </w:tc>
      </w:tr>
    </w:tbl>
    <w:p w14:paraId="7FE1C936" w14:textId="77777777" w:rsidR="00CC0A94" w:rsidRDefault="00CC0A94" w:rsidP="002F61BB">
      <w:pPr>
        <w:pStyle w:val="Instructionsberschrift2"/>
        <w:ind w:left="357"/>
        <w:rPr>
          <w:rFonts w:ascii="Times New Roman" w:eastAsia="Calibri" w:hAnsi="Times New Roman" w:cs="Times New Roman"/>
          <w:szCs w:val="20"/>
        </w:rPr>
      </w:pPr>
    </w:p>
    <w:p w14:paraId="7FE1C937"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40" w:name="_Toc192249077"/>
      <w:r>
        <w:rPr>
          <w:rFonts w:ascii="Times New Roman" w:eastAsia="Calibri" w:hAnsi="Times New Roman" w:cs="Times New Roman"/>
          <w:szCs w:val="20"/>
        </w:rPr>
        <w:t>Z 09.04 - FMI Services – CCPs – Alternative Providers (FMI 4)</w:t>
      </w:r>
      <w:bookmarkEnd w:id="140"/>
    </w:p>
    <w:tbl>
      <w:tblPr>
        <w:tblW w:w="0" w:type="auto"/>
        <w:tblInd w:w="135" w:type="dxa"/>
        <w:tblLook w:val="04A0" w:firstRow="1" w:lastRow="0" w:firstColumn="1" w:lastColumn="0" w:noHBand="0" w:noVBand="1"/>
      </w:tblPr>
      <w:tblGrid>
        <w:gridCol w:w="1178"/>
        <w:gridCol w:w="7713"/>
      </w:tblGrid>
      <w:tr w:rsidR="00CC0A94"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rFonts w:ascii="Times New Roman" w:eastAsia="Cambria" w:hAnsi="Times New Roman" w:cs="Times New Roman"/>
                <w:color w:val="000000" w:themeColor="text1"/>
                <w:spacing w:val="-2"/>
                <w:w w:val="95"/>
                <w:sz w:val="20"/>
                <w:szCs w:val="20"/>
                <w:lang w:val="en-GB"/>
              </w:rPr>
              <w:t xml:space="preserve">Columns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Instructions </w:t>
            </w:r>
          </w:p>
        </w:tc>
      </w:tr>
      <w:tr w:rsidR="00CC0A94"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0010</w:t>
            </w:r>
          </w:p>
        </w:tc>
        <w:tc>
          <w:tcPr>
            <w:tcW w:w="7713" w:type="dxa"/>
            <w:tcBorders>
              <w:top w:val="single" w:sz="8" w:space="0" w:color="1A171C"/>
              <w:left w:val="single" w:sz="8" w:space="0" w:color="auto"/>
              <w:bottom w:val="single" w:sz="8" w:space="0" w:color="auto"/>
            </w:tcBorders>
            <w:vAlign w:val="bottom"/>
          </w:tcPr>
          <w:p w14:paraId="7FE1CBEE"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ID </w:t>
            </w:r>
            <w:proofErr w:type="gramStart"/>
            <w:r>
              <w:rPr>
                <w:rFonts w:ascii="Times New Roman" w:eastAsia="Times New Roman" w:hAnsi="Times New Roman" w:cs="Times New Roman"/>
                <w:b/>
                <w:sz w:val="20"/>
                <w:szCs w:val="20"/>
              </w:rPr>
              <w:t>representing</w:t>
            </w:r>
            <w:proofErr w:type="gramEnd"/>
            <w:r>
              <w:rPr>
                <w:rFonts w:ascii="Times New Roman" w:eastAsia="Times New Roman" w:hAnsi="Times New Roman" w:cs="Times New Roman"/>
                <w:b/>
                <w:sz w:val="20"/>
                <w:szCs w:val="20"/>
              </w:rPr>
              <w:t xml:space="preserve"> combination of user, FMI, system type and intermediary</w:t>
            </w:r>
          </w:p>
          <w:p w14:paraId="7FE1CBEF" w14:textId="2166D4DC"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Identifier of the CCP as provided in Z</w:t>
            </w:r>
            <w:r w:rsidR="005020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09.01, column 0010. </w:t>
            </w:r>
          </w:p>
          <w:p w14:paraId="7FE1CBF2" w14:textId="2A5BCF53" w:rsidR="00CC0A94" w:rsidRDefault="006C1571">
            <w:pPr>
              <w:pStyle w:val="TableParagraph"/>
              <w:spacing w:before="108"/>
              <w:ind w:left="85"/>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 xml:space="preserve">Only report for CCPs </w:t>
            </w:r>
            <w:proofErr w:type="gramStart"/>
            <w:r>
              <w:rPr>
                <w:rFonts w:ascii="Times New Roman" w:eastAsia="Times New Roman" w:hAnsi="Times New Roman" w:cs="Times New Roman"/>
                <w:sz w:val="20"/>
                <w:szCs w:val="20"/>
              </w:rPr>
              <w:t>accessed</w:t>
            </w:r>
            <w:proofErr w:type="gramEnd"/>
            <w:r>
              <w:rPr>
                <w:rFonts w:ascii="Times New Roman" w:eastAsia="Times New Roman" w:hAnsi="Times New Roman" w:cs="Times New Roman"/>
                <w:sz w:val="20"/>
                <w:szCs w:val="20"/>
              </w:rPr>
              <w:t xml:space="preserve"> either directly or indirectly. </w:t>
            </w:r>
            <w:proofErr w:type="gramStart"/>
            <w:r>
              <w:rPr>
                <w:rFonts w:ascii="Times New Roman" w:eastAsia="Times New Roman" w:hAnsi="Times New Roman" w:cs="Times New Roman"/>
                <w:sz w:val="20"/>
                <w:szCs w:val="20"/>
              </w:rPr>
              <w:t>Report</w:t>
            </w:r>
            <w:proofErr w:type="gramEnd"/>
            <w:r>
              <w:rPr>
                <w:rFonts w:ascii="Times New Roman" w:eastAsia="Times New Roman" w:hAnsi="Times New Roman" w:cs="Times New Roman"/>
                <w:sz w:val="20"/>
                <w:szCs w:val="20"/>
              </w:rPr>
              <w:t xml:space="preserve"> all </w:t>
            </w:r>
            <w:proofErr w:type="gramStart"/>
            <w:r>
              <w:rPr>
                <w:rFonts w:ascii="Times New Roman" w:eastAsia="Times New Roman" w:hAnsi="Times New Roman" w:cs="Times New Roman"/>
                <w:sz w:val="20"/>
                <w:szCs w:val="20"/>
              </w:rPr>
              <w:t>accesses</w:t>
            </w:r>
            <w:proofErr w:type="gramEnd"/>
            <w:r>
              <w:rPr>
                <w:rFonts w:ascii="Times New Roman" w:eastAsia="Times New Roman" w:hAnsi="Times New Roman" w:cs="Times New Roman"/>
                <w:sz w:val="20"/>
                <w:szCs w:val="20"/>
              </w:rPr>
              <w:t xml:space="preserve"> to CCPs.</w:t>
            </w:r>
          </w:p>
        </w:tc>
      </w:tr>
      <w:tr w:rsidR="00CC0A94"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0020</w:t>
            </w:r>
          </w:p>
        </w:tc>
        <w:tc>
          <w:tcPr>
            <w:tcW w:w="7713" w:type="dxa"/>
            <w:tcBorders>
              <w:top w:val="single" w:sz="8" w:space="0" w:color="auto"/>
              <w:left w:val="single" w:sz="8" w:space="0" w:color="auto"/>
              <w:bottom w:val="single" w:sz="8" w:space="0" w:color="auto"/>
            </w:tcBorders>
            <w:vAlign w:val="bottom"/>
          </w:tcPr>
          <w:p w14:paraId="7FE1CBF5" w14:textId="77777777"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Product Type</w:t>
            </w:r>
          </w:p>
          <w:p w14:paraId="7FE1CBF8" w14:textId="236012E4" w:rsidR="00CC0A94" w:rsidRDefault="006C1571">
            <w:pPr>
              <w:pStyle w:val="TableParagraph"/>
              <w:spacing w:before="108"/>
              <w:ind w:left="85"/>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 xml:space="preserve">Product type covered by the clearing agreement. Report at appropriate level of granularity needed for the substitutability analysis. </w:t>
            </w:r>
          </w:p>
        </w:tc>
      </w:tr>
      <w:tr w:rsidR="00CC0A94"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0030</w:t>
            </w:r>
          </w:p>
        </w:tc>
        <w:tc>
          <w:tcPr>
            <w:tcW w:w="7713" w:type="dxa"/>
            <w:tcBorders>
              <w:top w:val="single" w:sz="8" w:space="0" w:color="auto"/>
              <w:left w:val="single" w:sz="8" w:space="0" w:color="auto"/>
              <w:bottom w:val="single" w:sz="8" w:space="0" w:color="auto"/>
            </w:tcBorders>
            <w:vAlign w:val="bottom"/>
          </w:tcPr>
          <w:p w14:paraId="7FE1CBFB"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bCs/>
                <w:sz w:val="20"/>
                <w:szCs w:val="20"/>
              </w:rPr>
              <w:t>Substitutability Y/N</w:t>
            </w:r>
          </w:p>
          <w:p w14:paraId="7FE1CBFC" w14:textId="24D3331D"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Ability of User to replace the clearing service provider in Z</w:t>
            </w:r>
            <w:r w:rsidR="00642C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09.0</w:t>
            </w:r>
            <w:r w:rsidR="00904640">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column 0020 with an alternative FMI/intermediary with which it has a contractual relationship at the reporting date</w:t>
            </w:r>
            <w:proofErr w:type="gramStart"/>
            <w:r>
              <w:rPr>
                <w:rFonts w:ascii="Times New Roman" w:eastAsia="Times New Roman" w:hAnsi="Times New Roman" w:cs="Times New Roman"/>
                <w:sz w:val="20"/>
                <w:szCs w:val="20"/>
              </w:rPr>
              <w:t>. .</w:t>
            </w:r>
            <w:proofErr w:type="gramEnd"/>
          </w:p>
          <w:p w14:paraId="7FE1CBFE" w14:textId="1F022B26" w:rsidR="00CC0A94" w:rsidRDefault="006C1571">
            <w:pPr>
              <w:pStyle w:val="TableParagraph"/>
              <w:numPr>
                <w:ilvl w:val="0"/>
                <w:numId w:val="256"/>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sidR="00904640">
              <w:rPr>
                <w:rFonts w:ascii="Times New Roman" w:eastAsia="Times New Roman" w:hAnsi="Times New Roman" w:cs="Times New Roman"/>
                <w:sz w:val="20"/>
                <w:szCs w:val="20"/>
              </w:rPr>
              <w:t>es</w:t>
            </w:r>
            <w:r>
              <w:rPr>
                <w:rFonts w:ascii="Times New Roman" w:eastAsia="Times New Roman" w:hAnsi="Times New Roman" w:cs="Times New Roman"/>
                <w:sz w:val="20"/>
                <w:szCs w:val="20"/>
              </w:rPr>
              <w:t>’ if substitution is possible</w:t>
            </w:r>
          </w:p>
          <w:p w14:paraId="7FE1CBFF" w14:textId="719E31EA" w:rsidR="00CC0A94" w:rsidRDefault="006C1571" w:rsidP="002F61BB">
            <w:pPr>
              <w:pStyle w:val="TableParagraph"/>
              <w:numPr>
                <w:ilvl w:val="0"/>
                <w:numId w:val="256"/>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904640">
              <w:rPr>
                <w:rFonts w:ascii="Times New Roman" w:eastAsia="Times New Roman" w:hAnsi="Times New Roman" w:cs="Times New Roman"/>
                <w:sz w:val="20"/>
                <w:szCs w:val="20"/>
              </w:rPr>
              <w:t>o</w:t>
            </w:r>
            <w:r>
              <w:rPr>
                <w:rFonts w:ascii="Times New Roman" w:eastAsia="Times New Roman" w:hAnsi="Times New Roman" w:cs="Times New Roman"/>
                <w:sz w:val="20"/>
                <w:szCs w:val="20"/>
              </w:rPr>
              <w:t>’ if substitution is not possible</w:t>
            </w:r>
          </w:p>
          <w:p w14:paraId="7FE1CC02" w14:textId="77777777" w:rsidR="00CC0A94" w:rsidRDefault="00CC0A94" w:rsidP="002F61BB">
            <w:pPr>
              <w:pStyle w:val="TableParagraph"/>
              <w:spacing w:before="108"/>
              <w:jc w:val="both"/>
              <w:rPr>
                <w:rFonts w:ascii="Times New Roman" w:eastAsia="Times New Roman" w:hAnsi="Times New Roman" w:cs="Times New Roman"/>
                <w:b/>
                <w:sz w:val="20"/>
                <w:szCs w:val="20"/>
              </w:rPr>
            </w:pPr>
          </w:p>
        </w:tc>
      </w:tr>
      <w:tr w:rsidR="00CC0A94"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0040</w:t>
            </w:r>
          </w:p>
        </w:tc>
        <w:tc>
          <w:tcPr>
            <w:tcW w:w="7713" w:type="dxa"/>
            <w:tcBorders>
              <w:top w:val="single" w:sz="8" w:space="0" w:color="auto"/>
              <w:left w:val="single" w:sz="8" w:space="0" w:color="auto"/>
              <w:bottom w:val="single" w:sz="8" w:space="0" w:color="auto"/>
            </w:tcBorders>
            <w:vAlign w:val="bottom"/>
          </w:tcPr>
          <w:p w14:paraId="7FE1CC05" w14:textId="77777777" w:rsidR="00CC0A94" w:rsidRDefault="006C1571">
            <w:pPr>
              <w:pStyle w:val="TableParagraph"/>
              <w:spacing w:before="108" w:after="12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Alternative Provider</w:t>
            </w:r>
          </w:p>
          <w:p w14:paraId="7FE1CC06" w14:textId="77777777" w:rsidR="00CC0A94" w:rsidRDefault="006C1571">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Name of FMI/intermediary identified as potential substitute. </w:t>
            </w:r>
          </w:p>
          <w:p w14:paraId="7FE1CC07" w14:textId="2011DAFC"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Report only if Z</w:t>
            </w:r>
            <w:r w:rsidR="00642C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09.04 column 0030 is Yes.</w:t>
            </w:r>
          </w:p>
        </w:tc>
      </w:tr>
      <w:tr w:rsidR="00CC0A94"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7713" w:type="dxa"/>
            <w:tcBorders>
              <w:top w:val="single" w:sz="8" w:space="0" w:color="auto"/>
              <w:left w:val="single" w:sz="8" w:space="0" w:color="auto"/>
              <w:bottom w:val="single" w:sz="8" w:space="0" w:color="auto"/>
            </w:tcBorders>
            <w:vAlign w:val="bottom"/>
          </w:tcPr>
          <w:p w14:paraId="7FE1CC0A" w14:textId="77777777" w:rsidR="00CC0A94" w:rsidRDefault="006C1571">
            <w:pPr>
              <w:pStyle w:val="TableParagraph"/>
              <w:spacing w:before="108"/>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ID alternative provider</w:t>
            </w:r>
          </w:p>
          <w:p w14:paraId="7FE1CC0B" w14:textId="680AAC78" w:rsidR="00CC0A94" w:rsidRDefault="006C1571">
            <w:pPr>
              <w:spacing w:after="120" w:line="276"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Unique ID </w:t>
            </w:r>
            <w:proofErr w:type="gramStart"/>
            <w:r>
              <w:rPr>
                <w:rFonts w:ascii="Times New Roman" w:eastAsia="Times New Roman" w:hAnsi="Times New Roman" w:cs="Times New Roman"/>
                <w:sz w:val="20"/>
                <w:szCs w:val="20"/>
              </w:rPr>
              <w:t>representing</w:t>
            </w:r>
            <w:proofErr w:type="gramEnd"/>
            <w:r>
              <w:rPr>
                <w:rFonts w:ascii="Times New Roman" w:eastAsia="Times New Roman" w:hAnsi="Times New Roman" w:cs="Times New Roman"/>
                <w:sz w:val="20"/>
                <w:szCs w:val="20"/>
              </w:rPr>
              <w:t xml:space="preserve"> combination of user, FMI, system type and intermediary of the Alternative Provider with which the User has an established contractual relationship as reported in Z</w:t>
            </w:r>
            <w:r w:rsidR="00642C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09.01 column 0010.</w:t>
            </w:r>
            <w:r>
              <w:rPr>
                <w:rFonts w:ascii="Times New Roman" w:eastAsia="Times New Roman" w:hAnsi="Times New Roman" w:cs="Times New Roman"/>
                <w:b/>
                <w:bCs/>
                <w:sz w:val="20"/>
                <w:szCs w:val="20"/>
              </w:rPr>
              <w:t xml:space="preserve"> </w:t>
            </w:r>
          </w:p>
          <w:p w14:paraId="7FE1CC0C" w14:textId="7C8756E6"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Report only if Z</w:t>
            </w:r>
            <w:r w:rsidR="00642C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09.04 column 0030 is Yes.</w:t>
            </w:r>
          </w:p>
        </w:tc>
      </w:tr>
    </w:tbl>
    <w:p w14:paraId="7FE1CECA" w14:textId="77777777" w:rsidR="00CC0A94" w:rsidRDefault="00CC0A94">
      <w:pPr>
        <w:rPr>
          <w:rFonts w:ascii="Times New Roman" w:hAnsi="Times New Roman" w:cs="Times New Roman"/>
          <w:b/>
          <w:color w:val="000000" w:themeColor="text1"/>
          <w:sz w:val="20"/>
          <w:szCs w:val="20"/>
          <w:u w:val="single"/>
          <w:lang w:val="en-GB"/>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CC0A94" w:rsidRDefault="00CC0A94">
      <w:pPr>
        <w:pStyle w:val="Instructionsberschrift2"/>
        <w:ind w:left="357"/>
        <w:rPr>
          <w:rFonts w:ascii="Times New Roman" w:eastAsia="Calibri" w:hAnsi="Times New Roman" w:cs="Times New Roman"/>
          <w:szCs w:val="20"/>
        </w:rPr>
      </w:pPr>
    </w:p>
    <w:p w14:paraId="7FE1CF07" w14:textId="77777777"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41" w:name="_Toc192249425"/>
      <w:r w:rsidRPr="002F61BB">
        <w:rPr>
          <w:rFonts w:ascii="Times New Roman" w:eastAsiaTheme="minorEastAsia" w:hAnsi="Times New Roman" w:cs="Times New Roman"/>
        </w:rPr>
        <w:t>Liability Analysis</w:t>
      </w:r>
      <w:bookmarkEnd w:id="241"/>
    </w:p>
    <w:p w14:paraId="7FE1CF08" w14:textId="53CCE3BD" w:rsidR="00CC0A94" w:rsidRPr="002F61BB" w:rsidRDefault="006C1571" w:rsidP="002F61BB">
      <w:pPr>
        <w:pStyle w:val="Instructionsberschrift2"/>
        <w:numPr>
          <w:ilvl w:val="1"/>
          <w:numId w:val="49"/>
        </w:numPr>
        <w:spacing w:before="0"/>
        <w:ind w:left="357" w:hanging="357"/>
        <w:rPr>
          <w:rFonts w:ascii="Times New Roman" w:hAnsi="Times New Roman" w:cs="Times New Roman"/>
          <w:lang w:val="fr-BE"/>
        </w:rPr>
      </w:pPr>
      <w:bookmarkStart w:id="242" w:name="_Toc192249426"/>
      <w:r>
        <w:rPr>
          <w:rFonts w:ascii="Times New Roman" w:hAnsi="Times New Roman" w:cs="Times New Roman"/>
          <w:color w:val="000000" w:themeColor="text1"/>
          <w:lang w:val="fr-BE"/>
        </w:rPr>
        <w:t>Z 11.0</w:t>
      </w:r>
      <w:r w:rsidR="00D34E5E">
        <w:rPr>
          <w:rFonts w:ascii="Times New Roman" w:hAnsi="Times New Roman" w:cs="Times New Roman"/>
          <w:color w:val="000000" w:themeColor="text1"/>
          <w:lang w:val="fr-BE"/>
        </w:rPr>
        <w:t>0</w:t>
      </w:r>
      <w:r>
        <w:rPr>
          <w:rFonts w:ascii="Times New Roman" w:hAnsi="Times New Roman" w:cs="Times New Roman"/>
          <w:color w:val="000000" w:themeColor="text1"/>
          <w:lang w:val="fr-BE"/>
        </w:rPr>
        <w:t xml:space="preserve"> </w:t>
      </w:r>
      <w:proofErr w:type="spellStart"/>
      <w:r>
        <w:rPr>
          <w:rFonts w:ascii="Times New Roman" w:hAnsi="Times New Roman" w:cs="Times New Roman"/>
          <w:color w:val="000000" w:themeColor="text1"/>
          <w:lang w:val="fr-BE"/>
        </w:rPr>
        <w:t>Intragroup</w:t>
      </w:r>
      <w:proofErr w:type="spellEnd"/>
      <w:r>
        <w:rPr>
          <w:rFonts w:ascii="Times New Roman" w:hAnsi="Times New Roman" w:cs="Times New Roman"/>
          <w:color w:val="000000" w:themeColor="text1"/>
          <w:lang w:val="fr-BE"/>
        </w:rPr>
        <w:t xml:space="preserve"> </w:t>
      </w:r>
      <w:proofErr w:type="spellStart"/>
      <w:r>
        <w:rPr>
          <w:rFonts w:ascii="Times New Roman" w:hAnsi="Times New Roman" w:cs="Times New Roman"/>
          <w:color w:val="000000" w:themeColor="text1"/>
          <w:lang w:val="fr-BE"/>
        </w:rPr>
        <w:t>Liabilities</w:t>
      </w:r>
      <w:proofErr w:type="spellEnd"/>
      <w:r>
        <w:rPr>
          <w:rFonts w:ascii="Times New Roman" w:eastAsia="Calibri" w:hAnsi="Times New Roman" w:cs="Times New Roman"/>
          <w:szCs w:val="20"/>
          <w:lang w:val="fr-BE"/>
        </w:rPr>
        <w:t xml:space="preserve"> (LIAB-G-1)</w:t>
      </w:r>
      <w:bookmarkEnd w:id="242"/>
    </w:p>
    <w:p w14:paraId="7FE1CF0A" w14:textId="69A86E79" w:rsidR="00CC0A94" w:rsidRPr="002F61BB" w:rsidRDefault="006C1571" w:rsidP="002F61BB">
      <w:pPr>
        <w:pStyle w:val="Numberedtitlelevel3"/>
        <w:rPr>
          <w:rFonts w:ascii="Times New Roman" w:hAnsi="Times New Roman" w:cs="Times New Roman"/>
          <w:color w:val="auto"/>
          <w:szCs w:val="20"/>
          <w:lang w:eastAsia="de-DE"/>
        </w:rPr>
      </w:pPr>
      <w:bookmarkStart w:id="243" w:name="_Toc81454213"/>
      <w:r w:rsidRPr="002F61BB">
        <w:rPr>
          <w:rFonts w:ascii="Times New Roman" w:eastAsia="Times New Roman" w:hAnsi="Times New Roman" w:cs="Times New Roman"/>
          <w:b w:val="0"/>
          <w:color w:val="auto"/>
          <w:sz w:val="20"/>
          <w:szCs w:val="20"/>
          <w:lang w:val="en-GB" w:eastAsia="de-DE"/>
        </w:rPr>
        <w:t>General remarks</w:t>
      </w:r>
    </w:p>
    <w:p w14:paraId="7FE1CF0B" w14:textId="77777777"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hAnsi="Times New Roman" w:cs="Times New Roman"/>
          <w:sz w:val="20"/>
          <w:szCs w:val="20"/>
          <w:lang w:val="en-GB"/>
        </w:rPr>
        <w:t>This table requires information on intragroup liabilities covers all own funds and liabilities.</w:t>
      </w:r>
    </w:p>
    <w:p w14:paraId="7FE1CF0C" w14:textId="4049DE4D"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hAnsi="Times New Roman" w:cs="Times New Roman"/>
          <w:sz w:val="20"/>
          <w:szCs w:val="20"/>
          <w:lang w:val="en-GB"/>
        </w:rPr>
        <w:t>Entities to be considered as intragroup are those that - in line with the definition of column 0100 of Z02.00 - belong to the accounting scope of consolidation of the ultimate parent entity. As a result, these liabilities shall not be reported under the detailed tabs Z 1</w:t>
      </w:r>
      <w:r w:rsidR="000B45B0">
        <w:rPr>
          <w:rFonts w:ascii="Times New Roman" w:hAnsi="Times New Roman" w:cs="Times New Roman"/>
          <w:sz w:val="20"/>
          <w:szCs w:val="20"/>
          <w:lang w:val="en-GB"/>
        </w:rPr>
        <w:t>2</w:t>
      </w:r>
      <w:r>
        <w:rPr>
          <w:rFonts w:ascii="Times New Roman" w:hAnsi="Times New Roman" w:cs="Times New Roman"/>
          <w:sz w:val="20"/>
          <w:szCs w:val="20"/>
          <w:lang w:val="en-GB"/>
        </w:rPr>
        <w:t>.0</w:t>
      </w:r>
      <w:r w:rsidR="000B45B0">
        <w:rPr>
          <w:rFonts w:ascii="Times New Roman" w:hAnsi="Times New Roman" w:cs="Times New Roman"/>
          <w:sz w:val="20"/>
          <w:szCs w:val="20"/>
          <w:lang w:val="en-GB"/>
        </w:rPr>
        <w:t>0</w:t>
      </w:r>
      <w:r>
        <w:rPr>
          <w:rFonts w:ascii="Times New Roman" w:hAnsi="Times New Roman" w:cs="Times New Roman"/>
          <w:sz w:val="20"/>
          <w:szCs w:val="20"/>
          <w:lang w:val="en-GB"/>
        </w:rPr>
        <w:t xml:space="preserve"> through Z 1</w:t>
      </w:r>
      <w:r w:rsidR="000B45B0">
        <w:rPr>
          <w:rFonts w:ascii="Times New Roman" w:hAnsi="Times New Roman" w:cs="Times New Roman"/>
          <w:sz w:val="20"/>
          <w:szCs w:val="20"/>
          <w:lang w:val="en-GB"/>
        </w:rPr>
        <w:t>7</w:t>
      </w:r>
      <w:r>
        <w:rPr>
          <w:rFonts w:ascii="Times New Roman" w:hAnsi="Times New Roman" w:cs="Times New Roman"/>
          <w:sz w:val="20"/>
          <w:szCs w:val="20"/>
          <w:lang w:val="en-GB"/>
        </w:rPr>
        <w:t>.0</w:t>
      </w:r>
      <w:r w:rsidR="000B45B0">
        <w:rPr>
          <w:rFonts w:ascii="Times New Roman" w:hAnsi="Times New Roman" w:cs="Times New Roman"/>
          <w:sz w:val="20"/>
          <w:szCs w:val="20"/>
          <w:lang w:val="en-GB"/>
        </w:rPr>
        <w:t>0</w:t>
      </w:r>
      <w:r>
        <w:rPr>
          <w:rFonts w:ascii="Times New Roman" w:hAnsi="Times New Roman" w:cs="Times New Roman"/>
          <w:sz w:val="20"/>
          <w:szCs w:val="20"/>
          <w:lang w:val="en-GB"/>
        </w:rPr>
        <w:t>, except for Z 1</w:t>
      </w:r>
      <w:r w:rsidR="00E22C47">
        <w:rPr>
          <w:rFonts w:ascii="Times New Roman" w:hAnsi="Times New Roman" w:cs="Times New Roman"/>
          <w:sz w:val="20"/>
          <w:szCs w:val="20"/>
          <w:lang w:val="en-GB"/>
        </w:rPr>
        <w:t>5</w:t>
      </w:r>
      <w:r>
        <w:rPr>
          <w:rFonts w:ascii="Times New Roman" w:hAnsi="Times New Roman" w:cs="Times New Roman"/>
          <w:sz w:val="20"/>
          <w:szCs w:val="20"/>
          <w:lang w:val="en-GB"/>
        </w:rPr>
        <w:t>.0</w:t>
      </w:r>
      <w:r w:rsidR="00E22C47">
        <w:rPr>
          <w:rFonts w:ascii="Times New Roman" w:hAnsi="Times New Roman" w:cs="Times New Roman"/>
          <w:sz w:val="20"/>
          <w:szCs w:val="20"/>
          <w:lang w:val="en-GB"/>
        </w:rPr>
        <w:t>0</w:t>
      </w:r>
      <w:r>
        <w:rPr>
          <w:rFonts w:ascii="Times New Roman" w:hAnsi="Times New Roman" w:cs="Times New Roman"/>
          <w:sz w:val="20"/>
          <w:szCs w:val="20"/>
          <w:lang w:val="en-GB"/>
        </w:rPr>
        <w:t xml:space="preserve"> Derivatives (see below).</w:t>
      </w:r>
    </w:p>
    <w:p w14:paraId="7FE1CF0D" w14:textId="170B6ABA"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hAnsi="Times New Roman" w:cs="Times New Roman"/>
          <w:sz w:val="20"/>
          <w:szCs w:val="20"/>
          <w:lang w:val="en-GB"/>
        </w:rPr>
        <w:t xml:space="preserve">Derivatives are specific in nature and </w:t>
      </w:r>
      <w:proofErr w:type="gramStart"/>
      <w:r>
        <w:rPr>
          <w:rFonts w:ascii="Times New Roman" w:hAnsi="Times New Roman" w:cs="Times New Roman"/>
          <w:sz w:val="20"/>
          <w:szCs w:val="20"/>
          <w:lang w:val="en-GB"/>
        </w:rPr>
        <w:t>are not be</w:t>
      </w:r>
      <w:proofErr w:type="gramEnd"/>
      <w:r>
        <w:rPr>
          <w:rFonts w:ascii="Times New Roman" w:hAnsi="Times New Roman" w:cs="Times New Roman"/>
          <w:sz w:val="20"/>
          <w:szCs w:val="20"/>
          <w:lang w:val="en-GB"/>
        </w:rPr>
        <w:t xml:space="preserve"> reported under Z 11.0</w:t>
      </w:r>
      <w:r w:rsidR="000B45B0">
        <w:rPr>
          <w:rFonts w:ascii="Times New Roman" w:hAnsi="Times New Roman" w:cs="Times New Roman"/>
          <w:sz w:val="20"/>
          <w:szCs w:val="20"/>
          <w:lang w:val="en-GB"/>
        </w:rPr>
        <w:t>0</w:t>
      </w:r>
      <w:r>
        <w:rPr>
          <w:rFonts w:ascii="Times New Roman" w:hAnsi="Times New Roman" w:cs="Times New Roman"/>
          <w:sz w:val="20"/>
          <w:szCs w:val="20"/>
          <w:lang w:val="en-GB"/>
        </w:rPr>
        <w:t xml:space="preserve"> but always in Z 1</w:t>
      </w:r>
      <w:r w:rsidR="000B45B0">
        <w:rPr>
          <w:rFonts w:ascii="Times New Roman" w:hAnsi="Times New Roman" w:cs="Times New Roman"/>
          <w:sz w:val="20"/>
          <w:szCs w:val="20"/>
          <w:lang w:val="en-GB"/>
        </w:rPr>
        <w:t>5</w:t>
      </w:r>
      <w:r>
        <w:rPr>
          <w:rFonts w:ascii="Times New Roman" w:hAnsi="Times New Roman" w:cs="Times New Roman"/>
          <w:sz w:val="20"/>
          <w:szCs w:val="20"/>
          <w:lang w:val="en-GB"/>
        </w:rPr>
        <w:t>.0</w:t>
      </w:r>
      <w:r w:rsidR="000B45B0">
        <w:rPr>
          <w:rFonts w:ascii="Times New Roman" w:hAnsi="Times New Roman" w:cs="Times New Roman"/>
          <w:sz w:val="20"/>
          <w:szCs w:val="20"/>
          <w:lang w:val="en-GB"/>
        </w:rPr>
        <w:t>0</w:t>
      </w:r>
      <w:r>
        <w:rPr>
          <w:rFonts w:ascii="Times New Roman" w:hAnsi="Times New Roman" w:cs="Times New Roman"/>
          <w:sz w:val="20"/>
          <w:szCs w:val="20"/>
          <w:lang w:val="en-GB"/>
        </w:rPr>
        <w:t>.</w:t>
      </w:r>
    </w:p>
    <w:p w14:paraId="7FE1CF0E" w14:textId="18AE2C5B"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hAnsi="Times New Roman" w:cs="Times New Roman"/>
          <w:sz w:val="20"/>
          <w:szCs w:val="20"/>
          <w:lang w:val="en-GB"/>
        </w:rPr>
        <w:t>All liabilities issued to entities within the accounting scope of consolidation (including SPVs under the scope of consolidation) both inside and outside of the resolution group shall be reported in template Z 11.0</w:t>
      </w:r>
      <w:r w:rsidR="000B45B0">
        <w:rPr>
          <w:rFonts w:ascii="Times New Roman" w:hAnsi="Times New Roman" w:cs="Times New Roman"/>
          <w:sz w:val="20"/>
          <w:szCs w:val="20"/>
          <w:lang w:val="en-GB"/>
        </w:rPr>
        <w:t>0</w:t>
      </w:r>
      <w:r>
        <w:rPr>
          <w:rFonts w:ascii="Times New Roman" w:hAnsi="Times New Roman" w:cs="Times New Roman"/>
          <w:sz w:val="20"/>
          <w:szCs w:val="20"/>
          <w:lang w:val="en-GB"/>
        </w:rPr>
        <w:t xml:space="preserve">. For the purposes of this table, liabilities </w:t>
      </w:r>
      <w:proofErr w:type="gramStart"/>
      <w:r>
        <w:rPr>
          <w:rFonts w:ascii="Times New Roman" w:hAnsi="Times New Roman" w:cs="Times New Roman"/>
          <w:sz w:val="20"/>
          <w:szCs w:val="20"/>
          <w:lang w:val="en-GB"/>
        </w:rPr>
        <w:t>have to</w:t>
      </w:r>
      <w:proofErr w:type="gramEnd"/>
      <w:r>
        <w:rPr>
          <w:rFonts w:ascii="Times New Roman" w:hAnsi="Times New Roman" w:cs="Times New Roman"/>
          <w:sz w:val="20"/>
          <w:szCs w:val="20"/>
          <w:lang w:val="en-GB"/>
        </w:rPr>
        <w:t xml:space="preserve"> be reported on a transaction basis, i.e. each transaction reported as an individual row item. However, transactions must be reported in multiple row items in case they pertain to different insolvency rankings.</w:t>
      </w:r>
    </w:p>
    <w:p w14:paraId="7FE1CF0F" w14:textId="77777777" w:rsidR="00CC0A94" w:rsidRDefault="006C1571" w:rsidP="002F61BB">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Instructions concerning specific positions</w:t>
      </w:r>
    </w:p>
    <w:tbl>
      <w:tblPr>
        <w:tblW w:w="0" w:type="auto"/>
        <w:tblLook w:val="01E0" w:firstRow="1" w:lastRow="1" w:firstColumn="1" w:lastColumn="1" w:noHBand="0" w:noVBand="0"/>
      </w:tblPr>
      <w:tblGrid>
        <w:gridCol w:w="1244"/>
        <w:gridCol w:w="7717"/>
        <w:gridCol w:w="65"/>
      </w:tblGrid>
      <w:tr w:rsidR="00CC0A94" w14:paraId="7FE1CF14" w14:textId="77777777" w:rsidTr="002F61BB">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Columns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CC0A94" w:rsidRDefault="006C1571">
            <w:pPr>
              <w:pStyle w:val="TableParagraph"/>
              <w:spacing w:before="108"/>
              <w:ind w:left="85" w:right="1"/>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Instructions</w:t>
            </w:r>
          </w:p>
        </w:tc>
      </w:tr>
      <w:tr w:rsidR="00CC0A94" w14:paraId="7FE1CF18" w14:textId="77777777" w:rsidTr="002F61BB">
        <w:tc>
          <w:tcPr>
            <w:tcW w:w="1244" w:type="dxa"/>
            <w:tcBorders>
              <w:top w:val="single" w:sz="8" w:space="0" w:color="1A171C"/>
              <w:left w:val="nil"/>
              <w:bottom w:val="single" w:sz="8" w:space="0" w:color="1A171C"/>
              <w:right w:val="single" w:sz="8" w:space="0" w:color="1A171C"/>
            </w:tcBorders>
            <w:vAlign w:val="center"/>
          </w:tcPr>
          <w:p w14:paraId="7FE1CF1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 </w:t>
            </w:r>
          </w:p>
          <w:p w14:paraId="7FE1CF17"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row items. </w:t>
            </w:r>
          </w:p>
        </w:tc>
      </w:tr>
      <w:tr w:rsidR="00CC0A94" w14:paraId="7FE1CF1C" w14:textId="77777777" w:rsidTr="002F61BB">
        <w:tc>
          <w:tcPr>
            <w:tcW w:w="1244" w:type="dxa"/>
            <w:tcBorders>
              <w:top w:val="single" w:sz="8" w:space="0" w:color="1A171C"/>
              <w:left w:val="nil"/>
              <w:bottom w:val="single" w:sz="8" w:space="0" w:color="1A171C"/>
              <w:right w:val="single" w:sz="8" w:space="0" w:color="1A171C"/>
            </w:tcBorders>
            <w:vAlign w:val="center"/>
          </w:tcPr>
          <w:p w14:paraId="7FE1CF1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Row </w:t>
            </w:r>
          </w:p>
          <w:p w14:paraId="7FE1CF1B" w14:textId="474C414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instrument, a reconciliation with the categories of liabilities of the liability structure in Z02.00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from a predefined list of values.</w:t>
            </w:r>
          </w:p>
        </w:tc>
      </w:tr>
      <w:tr w:rsidR="00CC0A94" w14:paraId="7FE1CF20" w14:textId="77777777" w:rsidTr="002F61BB">
        <w:tc>
          <w:tcPr>
            <w:tcW w:w="1244" w:type="dxa"/>
            <w:tcBorders>
              <w:top w:val="single" w:sz="8" w:space="0" w:color="1A171C"/>
              <w:left w:val="nil"/>
              <w:bottom w:val="single" w:sz="8" w:space="0" w:color="1A171C"/>
              <w:right w:val="single" w:sz="8" w:space="0" w:color="1A171C"/>
            </w:tcBorders>
            <w:vAlign w:val="center"/>
          </w:tcPr>
          <w:p w14:paraId="7FE1CF1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CF1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instrument, a reconciliation with the counterparty class in Z02.00 to which the liability is owed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from predefined list of values.</w:t>
            </w:r>
          </w:p>
        </w:tc>
      </w:tr>
      <w:tr w:rsidR="00CC0A94" w14:paraId="7FE1CF24" w14:textId="77777777" w:rsidTr="002F61BB">
        <w:tc>
          <w:tcPr>
            <w:tcW w:w="1244" w:type="dxa"/>
            <w:tcBorders>
              <w:top w:val="single" w:sz="8" w:space="0" w:color="1A171C"/>
              <w:left w:val="nil"/>
              <w:bottom w:val="single" w:sz="8" w:space="0" w:color="1A171C"/>
              <w:right w:val="single" w:sz="8" w:space="0" w:color="1A171C"/>
            </w:tcBorders>
            <w:vAlign w:val="center"/>
          </w:tcPr>
          <w:p w14:paraId="7FE1CF21"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Insolvency Ranking</w:t>
            </w:r>
          </w:p>
          <w:p w14:paraId="7FE1CF23" w14:textId="396478F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CF28" w14:textId="77777777" w:rsidTr="002F61BB">
        <w:tc>
          <w:tcPr>
            <w:tcW w:w="1244" w:type="dxa"/>
            <w:tcBorders>
              <w:top w:val="single" w:sz="8" w:space="0" w:color="1A171C"/>
              <w:left w:val="nil"/>
              <w:bottom w:val="single" w:sz="8" w:space="0" w:color="1A171C"/>
              <w:right w:val="single" w:sz="8" w:space="0" w:color="1A171C"/>
            </w:tcBorders>
            <w:vAlign w:val="center"/>
          </w:tcPr>
          <w:p w14:paraId="7FE1CF2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Contract identifier</w:t>
            </w:r>
          </w:p>
          <w:p w14:paraId="7FE1CF27" w14:textId="5E827C3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ISIN or, in case the ISIN is not available, another contract identifier of the instrument shall be reported.</w:t>
            </w:r>
          </w:p>
        </w:tc>
      </w:tr>
      <w:tr w:rsidR="00CC0A94" w14:paraId="7FE1CF2C" w14:textId="77777777" w:rsidTr="002F61BB">
        <w:tc>
          <w:tcPr>
            <w:tcW w:w="1244" w:type="dxa"/>
            <w:tcBorders>
              <w:top w:val="single" w:sz="8" w:space="0" w:color="1A171C"/>
              <w:left w:val="nil"/>
              <w:bottom w:val="single" w:sz="8" w:space="0" w:color="1A171C"/>
              <w:right w:val="single" w:sz="8" w:space="0" w:color="1A171C"/>
            </w:tcBorders>
            <w:vAlign w:val="center"/>
          </w:tcPr>
          <w:p w14:paraId="7FE1CF29"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Name of the counterparty</w:t>
            </w:r>
          </w:p>
          <w:p w14:paraId="7FE1CF2B" w14:textId="28E31BB6"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entity name of the counterparty of the liability.</w:t>
            </w:r>
          </w:p>
        </w:tc>
      </w:tr>
      <w:tr w:rsidR="00CC0A94" w14:paraId="7FE1CF31" w14:textId="77777777" w:rsidTr="002F61BB">
        <w:tc>
          <w:tcPr>
            <w:tcW w:w="1244" w:type="dxa"/>
            <w:tcBorders>
              <w:top w:val="single" w:sz="8" w:space="0" w:color="1A171C"/>
              <w:left w:val="nil"/>
              <w:bottom w:val="single" w:sz="8" w:space="0" w:color="1A171C"/>
              <w:right w:val="single" w:sz="8" w:space="0" w:color="1A171C"/>
            </w:tcBorders>
            <w:vAlign w:val="center"/>
          </w:tcPr>
          <w:p w14:paraId="7FE1CF2D"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Identifier of the counterparty</w:t>
            </w:r>
          </w:p>
          <w:p w14:paraId="7FE1CF2F" w14:textId="5864B2B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unique LEI code of the </w:t>
            </w:r>
            <w:r>
              <w:rPr>
                <w:rFonts w:ascii="Times New Roman" w:eastAsia="Times New Roman" w:hAnsi="Times New Roman" w:cs="Times New Roman"/>
                <w:sz w:val="20"/>
                <w:szCs w:val="20"/>
              </w:rPr>
              <w:t>counterparty</w:t>
            </w:r>
            <w:r w:rsidRPr="002F61BB">
              <w:rPr>
                <w:rFonts w:ascii="Times New Roman" w:eastAsia="Times New Roman" w:hAnsi="Times New Roman" w:cs="Times New Roman"/>
                <w:sz w:val="20"/>
                <w:szCs w:val="20"/>
              </w:rPr>
              <w:t xml:space="preserve">. In the absence of a LEI, the ECB Monetary Financial Institutions </w:t>
            </w:r>
            <w:proofErr w:type="gramStart"/>
            <w:r w:rsidRPr="002F61BB">
              <w:rPr>
                <w:rFonts w:ascii="Times New Roman" w:eastAsia="Times New Roman" w:hAnsi="Times New Roman" w:cs="Times New Roman"/>
                <w:sz w:val="20"/>
                <w:szCs w:val="20"/>
              </w:rPr>
              <w:t>unique</w:t>
            </w:r>
            <w:proofErr w:type="gramEnd"/>
            <w:r w:rsidRPr="002F61BB">
              <w:rPr>
                <w:rFonts w:ascii="Times New Roman" w:eastAsia="Times New Roman" w:hAnsi="Times New Roman" w:cs="Times New Roman"/>
                <w:sz w:val="20"/>
                <w:szCs w:val="20"/>
              </w:rPr>
              <w:t xml:space="preserve"> Identifier (MFI ID) of the credit institution for use in RIAD </w:t>
            </w:r>
            <w:r>
              <w:rPr>
                <w:rFonts w:ascii="Times New Roman" w:eastAsia="Times New Roman" w:hAnsi="Times New Roman" w:cs="Times New Roman"/>
                <w:sz w:val="20"/>
                <w:szCs w:val="20"/>
              </w:rPr>
              <w:t>is</w:t>
            </w:r>
            <w:r w:rsidRPr="002F61BB">
              <w:rPr>
                <w:rFonts w:ascii="Times New Roman" w:eastAsia="Times New Roman" w:hAnsi="Times New Roman" w:cs="Times New Roman"/>
                <w:sz w:val="20"/>
                <w:szCs w:val="20"/>
              </w:rPr>
              <w:t>s</w:t>
            </w:r>
            <w:r>
              <w:rPr>
                <w:rFonts w:ascii="Times New Roman" w:eastAsia="Times New Roman" w:hAnsi="Times New Roman" w:cs="Times New Roman"/>
                <w:sz w:val="20"/>
                <w:szCs w:val="20"/>
              </w:rPr>
              <w:t>u</w:t>
            </w:r>
            <w:r w:rsidRPr="002F61BB">
              <w:rPr>
                <w:rFonts w:ascii="Times New Roman" w:eastAsia="Times New Roman" w:hAnsi="Times New Roman" w:cs="Times New Roman"/>
                <w:sz w:val="20"/>
                <w:szCs w:val="20"/>
              </w:rPr>
              <w:t>ed. In the absence of both such identifiers, the internal identifier can be used.</w:t>
            </w:r>
          </w:p>
          <w:p w14:paraId="7FE1CF30" w14:textId="585107E3"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CF35" w14:textId="77777777" w:rsidTr="002F61BB">
        <w:tc>
          <w:tcPr>
            <w:tcW w:w="1244" w:type="dxa"/>
            <w:tcBorders>
              <w:top w:val="single" w:sz="8" w:space="0" w:color="1A171C"/>
              <w:left w:val="nil"/>
              <w:bottom w:val="single" w:sz="8" w:space="0" w:color="1A171C"/>
              <w:right w:val="single" w:sz="8" w:space="0" w:color="1A171C"/>
            </w:tcBorders>
            <w:vAlign w:val="center"/>
          </w:tcPr>
          <w:p w14:paraId="7FE1CF32" w14:textId="37A8736C"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Type of Identifier</w:t>
            </w:r>
          </w:p>
          <w:p w14:paraId="7FE1CF34"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CF39" w14:textId="77777777" w:rsidTr="002F61BB">
        <w:tc>
          <w:tcPr>
            <w:tcW w:w="1244" w:type="dxa"/>
            <w:tcBorders>
              <w:top w:val="single" w:sz="8" w:space="0" w:color="1A171C"/>
              <w:left w:val="nil"/>
              <w:bottom w:val="single" w:sz="8" w:space="0" w:color="1A171C"/>
              <w:right w:val="single" w:sz="8" w:space="0" w:color="1A171C"/>
            </w:tcBorders>
            <w:vAlign w:val="center"/>
          </w:tcPr>
          <w:p w14:paraId="7FE1CF36" w14:textId="5460B58C"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lastRenderedPageBreak/>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Relationship with </w:t>
            </w:r>
            <w:proofErr w:type="gramStart"/>
            <w:r w:rsidRPr="002F61BB">
              <w:rPr>
                <w:rFonts w:ascii="Times New Roman" w:eastAsia="Times New Roman" w:hAnsi="Times New Roman" w:cs="Times New Roman"/>
                <w:b/>
                <w:bCs/>
                <w:sz w:val="20"/>
                <w:szCs w:val="20"/>
              </w:rPr>
              <w:t>counterparty</w:t>
            </w:r>
            <w:proofErr w:type="gramEnd"/>
          </w:p>
          <w:p w14:paraId="7FE1CF38" w14:textId="1D86F34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This field indicates the relationship </w:t>
            </w:r>
            <w:proofErr w:type="gramStart"/>
            <w:r w:rsidRPr="002F61BB">
              <w:rPr>
                <w:rFonts w:ascii="Times New Roman" w:eastAsia="Times New Roman" w:hAnsi="Times New Roman" w:cs="Times New Roman"/>
                <w:sz w:val="20"/>
                <w:szCs w:val="20"/>
              </w:rPr>
              <w:t>of</w:t>
            </w:r>
            <w:proofErr w:type="gramEnd"/>
            <w:r w:rsidRPr="002F61BB">
              <w:rPr>
                <w:rFonts w:ascii="Times New Roman" w:eastAsia="Times New Roman" w:hAnsi="Times New Roman" w:cs="Times New Roman"/>
                <w:sz w:val="20"/>
                <w:szCs w:val="20"/>
              </w:rPr>
              <w:t xml:space="preserve"> the lending entity to the reporting entity. A list of values is foreseen for this field: the </w:t>
            </w:r>
            <w:r>
              <w:rPr>
                <w:rFonts w:ascii="Times New Roman" w:eastAsia="Times New Roman" w:hAnsi="Times New Roman" w:cs="Times New Roman"/>
                <w:sz w:val="20"/>
                <w:szCs w:val="20"/>
              </w:rPr>
              <w:t>counterparty</w:t>
            </w:r>
            <w:r w:rsidRPr="002F61BB">
              <w:rPr>
                <w:rFonts w:ascii="Times New Roman" w:eastAsia="Times New Roman" w:hAnsi="Times New Roman" w:cs="Times New Roman"/>
                <w:sz w:val="20"/>
                <w:szCs w:val="20"/>
              </w:rPr>
              <w:t xml:space="preserve"> can either be a </w:t>
            </w:r>
            <w:r w:rsidR="00EF5B83">
              <w:rPr>
                <w:rFonts w:ascii="Times New Roman" w:eastAsia="Times New Roman" w:hAnsi="Times New Roman" w:cs="Times New Roman"/>
                <w:sz w:val="20"/>
                <w:szCs w:val="20"/>
              </w:rPr>
              <w:t>“D</w:t>
            </w:r>
            <w:r w:rsidRPr="002F61BB">
              <w:rPr>
                <w:rFonts w:ascii="Times New Roman" w:eastAsia="Times New Roman" w:hAnsi="Times New Roman" w:cs="Times New Roman"/>
                <w:sz w:val="20"/>
                <w:szCs w:val="20"/>
              </w:rPr>
              <w:t>irect or indirect</w:t>
            </w:r>
            <w:r w:rsidR="00EF5B83">
              <w:rPr>
                <w:rFonts w:ascii="Times New Roman" w:eastAsia="Times New Roman" w:hAnsi="Times New Roman" w:cs="Times New Roman"/>
                <w:sz w:val="20"/>
                <w:szCs w:val="20"/>
              </w:rPr>
              <w:t xml:space="preserve"> parent”</w:t>
            </w:r>
            <w:r w:rsidRPr="002F61BB">
              <w:rPr>
                <w:rFonts w:ascii="Times New Roman" w:eastAsia="Times New Roman" w:hAnsi="Times New Roman" w:cs="Times New Roman"/>
                <w:sz w:val="20"/>
                <w:szCs w:val="20"/>
              </w:rPr>
              <w:t xml:space="preserve">, a </w:t>
            </w:r>
            <w:r w:rsidR="00EF5B83">
              <w:rPr>
                <w:rFonts w:ascii="Times New Roman" w:eastAsia="Times New Roman" w:hAnsi="Times New Roman" w:cs="Times New Roman"/>
                <w:sz w:val="20"/>
                <w:szCs w:val="20"/>
              </w:rPr>
              <w:t>“D</w:t>
            </w:r>
            <w:r w:rsidRPr="002F61BB">
              <w:rPr>
                <w:rFonts w:ascii="Times New Roman" w:eastAsia="Times New Roman" w:hAnsi="Times New Roman" w:cs="Times New Roman"/>
                <w:sz w:val="20"/>
                <w:szCs w:val="20"/>
              </w:rPr>
              <w:t>irect or indirect</w:t>
            </w:r>
            <w:r w:rsidR="00EF5B83">
              <w:rPr>
                <w:rFonts w:ascii="Times New Roman" w:eastAsia="Times New Roman" w:hAnsi="Times New Roman" w:cs="Times New Roman"/>
                <w:sz w:val="20"/>
                <w:szCs w:val="20"/>
              </w:rPr>
              <w:t xml:space="preserve"> subsidiary”</w:t>
            </w:r>
            <w:r w:rsidRPr="002F61BB">
              <w:rPr>
                <w:rFonts w:ascii="Times New Roman" w:eastAsia="Times New Roman" w:hAnsi="Times New Roman" w:cs="Times New Roman"/>
                <w:sz w:val="20"/>
                <w:szCs w:val="20"/>
              </w:rPr>
              <w:t xml:space="preserve"> or alternatively a “Sister”.</w:t>
            </w:r>
          </w:p>
        </w:tc>
      </w:tr>
      <w:tr w:rsidR="00CC0A94" w14:paraId="7FE1CF3D" w14:textId="77777777" w:rsidTr="002F61BB">
        <w:tc>
          <w:tcPr>
            <w:tcW w:w="1244" w:type="dxa"/>
            <w:tcBorders>
              <w:top w:val="single" w:sz="8" w:space="0" w:color="1A171C"/>
              <w:left w:val="nil"/>
              <w:bottom w:val="single" w:sz="8" w:space="0" w:color="1A171C"/>
              <w:right w:val="single" w:sz="8" w:space="0" w:color="1A171C"/>
            </w:tcBorders>
            <w:vAlign w:val="center"/>
          </w:tcPr>
          <w:p w14:paraId="7FE1CF3A"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Type of Liability</w:t>
            </w:r>
          </w:p>
          <w:p w14:paraId="7FE1CF3C" w14:textId="07B04D0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liabilities which are reported under </w:t>
            </w:r>
            <w:r w:rsidR="00EF5B83">
              <w:rPr>
                <w:rFonts w:ascii="Times New Roman" w:eastAsia="Times New Roman" w:hAnsi="Times New Roman" w:cs="Times New Roman"/>
                <w:sz w:val="20"/>
                <w:szCs w:val="20"/>
              </w:rPr>
              <w:t>Z0</w:t>
            </w:r>
            <w:r w:rsidR="00E22C47">
              <w:rPr>
                <w:rFonts w:ascii="Times New Roman" w:eastAsia="Times New Roman" w:hAnsi="Times New Roman" w:cs="Times New Roman"/>
                <w:sz w:val="20"/>
                <w:szCs w:val="20"/>
              </w:rPr>
              <w:t>2</w:t>
            </w:r>
            <w:r w:rsidR="00EF5B83">
              <w:rPr>
                <w:rFonts w:ascii="Times New Roman" w:eastAsia="Times New Roman" w:hAnsi="Times New Roman" w:cs="Times New Roman"/>
                <w:sz w:val="20"/>
                <w:szCs w:val="20"/>
              </w:rPr>
              <w:t>.00-</w:t>
            </w:r>
            <w:r w:rsidRPr="002F61BB">
              <w:rPr>
                <w:rFonts w:ascii="Times New Roman" w:eastAsia="Times New Roman" w:hAnsi="Times New Roman" w:cs="Times New Roman"/>
                <w:sz w:val="20"/>
                <w:szCs w:val="20"/>
              </w:rPr>
              <w:t>c0020-Row as “r0210 - Liabilities towards other entities of the resolution group”, indicate the type of liability as it would have been reported in Z0</w:t>
            </w:r>
            <w:r w:rsidR="00E22C47">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had the liability not been considered as excluded</w:t>
            </w:r>
            <w:r>
              <w:rPr>
                <w:rFonts w:ascii="Times New Roman" w:eastAsia="Times New Roman" w:hAnsi="Times New Roman" w:cs="Times New Roman"/>
                <w:sz w:val="20"/>
                <w:szCs w:val="20"/>
              </w:rPr>
              <w:t>.</w:t>
            </w:r>
          </w:p>
        </w:tc>
      </w:tr>
      <w:tr w:rsidR="00CC0A94" w14:paraId="7FE1CF41" w14:textId="77777777" w:rsidTr="002F61BB">
        <w:tc>
          <w:tcPr>
            <w:tcW w:w="1244" w:type="dxa"/>
            <w:tcBorders>
              <w:top w:val="single" w:sz="8" w:space="0" w:color="1A171C"/>
              <w:left w:val="nil"/>
              <w:bottom w:val="single" w:sz="8" w:space="0" w:color="1A171C"/>
              <w:right w:val="single" w:sz="8" w:space="0" w:color="1A171C"/>
            </w:tcBorders>
            <w:vAlign w:val="center"/>
          </w:tcPr>
          <w:p w14:paraId="7FE1CF3E" w14:textId="23D0ECF1"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Governing Law</w:t>
            </w:r>
          </w:p>
          <w:p w14:paraId="7FE1CF40" w14:textId="2C49BDF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code of the country whose law governs the instrument (use the ISO 3166-2 code when the law of an administrative subdivision is relevant, e.</w:t>
            </w:r>
            <w:proofErr w:type="gramStart"/>
            <w:r w:rsidRPr="002F61BB">
              <w:rPr>
                <w:rFonts w:ascii="Times New Roman" w:eastAsia="Times New Roman" w:hAnsi="Times New Roman" w:cs="Times New Roman"/>
                <w:sz w:val="20"/>
                <w:szCs w:val="20"/>
              </w:rPr>
              <w:t>g. ‘</w:t>
            </w:r>
            <w:proofErr w:type="gramEnd"/>
            <w:r w:rsidRPr="002F61BB">
              <w:rPr>
                <w:rFonts w:ascii="Times New Roman" w:eastAsia="Times New Roman" w:hAnsi="Times New Roman" w:cs="Times New Roman"/>
                <w:sz w:val="20"/>
                <w:szCs w:val="20"/>
              </w:rPr>
              <w:t xml:space="preserve">US-NY’). If the contract is governed by the law of more than one country, the country the law of which has the highest relevance for the recognition of write down and conversion powers shall be reported.  </w:t>
            </w:r>
          </w:p>
        </w:tc>
      </w:tr>
      <w:tr w:rsidR="00CC0A94" w14:paraId="7FE1CF4A" w14:textId="77777777" w:rsidTr="002F61BB">
        <w:tc>
          <w:tcPr>
            <w:tcW w:w="1244" w:type="dxa"/>
            <w:tcBorders>
              <w:top w:val="single" w:sz="8" w:space="0" w:color="1A171C"/>
              <w:left w:val="nil"/>
              <w:bottom w:val="single" w:sz="8" w:space="0" w:color="1A171C"/>
              <w:right w:val="single" w:sz="8" w:space="0" w:color="1A171C"/>
            </w:tcBorders>
            <w:vAlign w:val="center"/>
          </w:tcPr>
          <w:p w14:paraId="7FE1CF42"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If third-country law, contractual recognition </w:t>
            </w:r>
          </w:p>
          <w:p w14:paraId="7FE1CF4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Identification of contractual provisions for the recognition of bail-in powers in line with article 55 of the BRRD, either </w:t>
            </w:r>
          </w:p>
          <w:p w14:paraId="7FE1CF4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“Yes, supported by Legal Opinion” = the liability includes a bail-in recognition clause in line with Article 55 BRRD that is supported by a legal </w:t>
            </w:r>
            <w:proofErr w:type="gramStart"/>
            <w:r w:rsidRPr="002F61BB">
              <w:rPr>
                <w:rFonts w:ascii="Times New Roman" w:eastAsia="Times New Roman" w:hAnsi="Times New Roman" w:cs="Times New Roman"/>
                <w:sz w:val="20"/>
                <w:szCs w:val="20"/>
              </w:rPr>
              <w:t>opinion;</w:t>
            </w:r>
            <w:proofErr w:type="gramEnd"/>
          </w:p>
          <w:p w14:paraId="7FE1CF47"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“Yes, not supported by Legal Opinion” = the liability includes a bail-in recognition clause in line with Article 55 BRRD that is currently not supported by a legal </w:t>
            </w:r>
            <w:proofErr w:type="gramStart"/>
            <w:r w:rsidRPr="002F61BB">
              <w:rPr>
                <w:rFonts w:ascii="Times New Roman" w:eastAsia="Times New Roman" w:hAnsi="Times New Roman" w:cs="Times New Roman"/>
                <w:sz w:val="20"/>
                <w:szCs w:val="20"/>
              </w:rPr>
              <w:t>opinion;</w:t>
            </w:r>
            <w:proofErr w:type="gramEnd"/>
          </w:p>
          <w:p w14:paraId="7FE1CF48" w14:textId="7427A49E"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“No” = the liability does not include a bail-in recognition </w:t>
            </w:r>
            <w:proofErr w:type="gramStart"/>
            <w:r w:rsidRPr="002F61BB">
              <w:rPr>
                <w:rFonts w:ascii="Times New Roman" w:eastAsia="Times New Roman" w:hAnsi="Times New Roman" w:cs="Times New Roman"/>
                <w:sz w:val="20"/>
                <w:szCs w:val="20"/>
              </w:rPr>
              <w:t>clause;</w:t>
            </w:r>
            <w:proofErr w:type="gramEnd"/>
          </w:p>
          <w:p w14:paraId="7FE1CF49" w14:textId="2FE33A6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“Not applicable”.  from a predefined list.</w:t>
            </w:r>
          </w:p>
        </w:tc>
      </w:tr>
      <w:tr w:rsidR="00CC0A94" w14:paraId="7FE1CF4E" w14:textId="77777777" w:rsidTr="002F61BB">
        <w:tc>
          <w:tcPr>
            <w:tcW w:w="1244" w:type="dxa"/>
            <w:vAlign w:val="center"/>
          </w:tcPr>
          <w:p w14:paraId="7FE1CF4B"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Outstanding Principal Amount </w:t>
            </w:r>
          </w:p>
          <w:p w14:paraId="7FE1CF4D" w14:textId="1F7D603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principal amount of the liability.</w:t>
            </w:r>
          </w:p>
        </w:tc>
      </w:tr>
      <w:tr w:rsidR="00CC0A94" w14:paraId="7FE1CF52" w14:textId="77777777" w:rsidTr="002F61BB">
        <w:tc>
          <w:tcPr>
            <w:tcW w:w="1244" w:type="dxa"/>
            <w:tcBorders>
              <w:top w:val="single" w:sz="8" w:space="0" w:color="1A171C"/>
              <w:left w:val="nil"/>
              <w:bottom w:val="single" w:sz="8" w:space="0" w:color="1A171C"/>
              <w:right w:val="single" w:sz="8" w:space="0" w:color="1A171C"/>
            </w:tcBorders>
            <w:vAlign w:val="center"/>
          </w:tcPr>
          <w:p w14:paraId="7FE1CF4F"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Accrued Interest</w:t>
            </w:r>
          </w:p>
          <w:p w14:paraId="7FE1CF51" w14:textId="6BF1C45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outstanding accrued interest </w:t>
            </w:r>
            <w:proofErr w:type="gramStart"/>
            <w:r w:rsidRPr="002F61BB">
              <w:rPr>
                <w:rFonts w:ascii="Times New Roman" w:eastAsia="Times New Roman" w:hAnsi="Times New Roman" w:cs="Times New Roman"/>
                <w:sz w:val="20"/>
                <w:szCs w:val="20"/>
              </w:rPr>
              <w:t>on</w:t>
            </w:r>
            <w:proofErr w:type="gramEnd"/>
            <w:r w:rsidRPr="002F61BB">
              <w:rPr>
                <w:rFonts w:ascii="Times New Roman" w:eastAsia="Times New Roman" w:hAnsi="Times New Roman" w:cs="Times New Roman"/>
                <w:sz w:val="20"/>
                <w:szCs w:val="20"/>
              </w:rPr>
              <w:t xml:space="preserve"> the liability.</w:t>
            </w:r>
          </w:p>
        </w:tc>
      </w:tr>
      <w:tr w:rsidR="00CC0A94" w14:paraId="7FE1CF56" w14:textId="77777777" w:rsidTr="002F61BB">
        <w:tc>
          <w:tcPr>
            <w:tcW w:w="1244" w:type="dxa"/>
            <w:tcBorders>
              <w:top w:val="single" w:sz="8" w:space="0" w:color="1A171C"/>
              <w:left w:val="nil"/>
              <w:bottom w:val="single" w:sz="8" w:space="0" w:color="1A171C"/>
              <w:right w:val="single" w:sz="8" w:space="0" w:color="1A171C"/>
            </w:tcBorders>
            <w:vAlign w:val="center"/>
          </w:tcPr>
          <w:p w14:paraId="7FE1CF53"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Currency</w:t>
            </w:r>
          </w:p>
          <w:p w14:paraId="7FE1CF55" w14:textId="7419E4E6"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currency of the liability </w:t>
            </w:r>
            <w:proofErr w:type="gramStart"/>
            <w:r w:rsidRPr="002F61BB">
              <w:rPr>
                <w:rFonts w:ascii="Times New Roman" w:eastAsia="Times New Roman" w:hAnsi="Times New Roman" w:cs="Times New Roman"/>
                <w:sz w:val="20"/>
                <w:szCs w:val="20"/>
              </w:rPr>
              <w:t>in</w:t>
            </w:r>
            <w:proofErr w:type="gramEnd"/>
            <w:r w:rsidRPr="002F61BB">
              <w:rPr>
                <w:rFonts w:ascii="Times New Roman" w:eastAsia="Times New Roman" w:hAnsi="Times New Roman" w:cs="Times New Roman"/>
                <w:sz w:val="20"/>
                <w:szCs w:val="20"/>
              </w:rPr>
              <w:t xml:space="preserve"> line with its 3-letter ISO 4217 code.</w:t>
            </w:r>
          </w:p>
        </w:tc>
      </w:tr>
      <w:tr w:rsidR="00CC0A94" w14:paraId="7FE1CF5A" w14:textId="77777777" w:rsidTr="002F61BB">
        <w:tc>
          <w:tcPr>
            <w:tcW w:w="1244" w:type="dxa"/>
            <w:tcBorders>
              <w:top w:val="single" w:sz="8" w:space="0" w:color="1A171C"/>
              <w:left w:val="nil"/>
              <w:bottom w:val="single" w:sz="8" w:space="0" w:color="1A171C"/>
              <w:right w:val="single" w:sz="8" w:space="0" w:color="1A171C"/>
            </w:tcBorders>
            <w:vAlign w:val="center"/>
          </w:tcPr>
          <w:p w14:paraId="7FE1CF57"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Issuance Date</w:t>
            </w:r>
          </w:p>
          <w:p w14:paraId="7FE1CF59"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Date of the original issuance of the liability. For securities financing transactions subject to a netting arrangement and reported as a netting set, the reporting date can be used as the issuance date.</w:t>
            </w:r>
          </w:p>
        </w:tc>
      </w:tr>
      <w:tr w:rsidR="00CC0A94" w14:paraId="7FE1CF5E" w14:textId="77777777" w:rsidTr="002F61BB">
        <w:tc>
          <w:tcPr>
            <w:tcW w:w="1244" w:type="dxa"/>
            <w:tcBorders>
              <w:top w:val="single" w:sz="8" w:space="0" w:color="1A171C"/>
              <w:left w:val="nil"/>
              <w:bottom w:val="single" w:sz="8" w:space="0" w:color="1A171C"/>
              <w:right w:val="single" w:sz="8" w:space="0" w:color="1A171C"/>
            </w:tcBorders>
            <w:vAlign w:val="center"/>
          </w:tcPr>
          <w:p w14:paraId="7FE1CF5B"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Earliest Redemption Date</w:t>
            </w:r>
          </w:p>
          <w:p w14:paraId="7FE1CF5D" w14:textId="206F36C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an option exists for the creditor to request early reimbursement, or conditions for early reimbursement of the liability are contractually foreseen, </w:t>
            </w:r>
            <w:r>
              <w:rPr>
                <w:rFonts w:ascii="Times New Roman" w:eastAsia="Times New Roman" w:hAnsi="Times New Roman" w:cs="Times New Roman"/>
                <w:sz w:val="20"/>
                <w:szCs w:val="20"/>
              </w:rPr>
              <w:t xml:space="preserve">provide </w:t>
            </w:r>
            <w:r w:rsidRPr="002F61BB">
              <w:rPr>
                <w:rFonts w:ascii="Times New Roman" w:eastAsia="Times New Roman" w:hAnsi="Times New Roman" w:cs="Times New Roman"/>
                <w:sz w:val="20"/>
                <w:szCs w:val="20"/>
              </w:rPr>
              <w:t xml:space="preserve">the earliest occurrence date. If the early reimbursement relates to only a portion of the liability (e.g. early reimbursement of 50% of the nominal amount), </w:t>
            </w:r>
            <w:r>
              <w:rPr>
                <w:rFonts w:ascii="Times New Roman" w:eastAsia="Times New Roman" w:hAnsi="Times New Roman" w:cs="Times New Roman"/>
                <w:sz w:val="20"/>
                <w:szCs w:val="20"/>
              </w:rPr>
              <w:t xml:space="preserve">split </w:t>
            </w:r>
            <w:r w:rsidRPr="002F61BB">
              <w:rPr>
                <w:rFonts w:ascii="Times New Roman" w:eastAsia="Times New Roman" w:hAnsi="Times New Roman" w:cs="Times New Roman"/>
                <w:sz w:val="20"/>
                <w:szCs w:val="20"/>
              </w:rPr>
              <w:t xml:space="preserve">the liability to </w:t>
            </w:r>
            <w:proofErr w:type="gramStart"/>
            <w:r w:rsidRPr="002F61BB">
              <w:rPr>
                <w:rFonts w:ascii="Times New Roman" w:eastAsia="Times New Roman" w:hAnsi="Times New Roman" w:cs="Times New Roman"/>
                <w:sz w:val="20"/>
                <w:szCs w:val="20"/>
              </w:rPr>
              <w:t>take into account</w:t>
            </w:r>
            <w:proofErr w:type="gramEnd"/>
            <w:r w:rsidRPr="002F61BB">
              <w:rPr>
                <w:rFonts w:ascii="Times New Roman" w:eastAsia="Times New Roman" w:hAnsi="Times New Roman" w:cs="Times New Roman"/>
                <w:sz w:val="20"/>
                <w:szCs w:val="20"/>
              </w:rPr>
              <w:t xml:space="preserve"> this partial early redemption clause. For securities financing transactions subject to a netting arrangement and reported as a netting set, </w:t>
            </w:r>
            <w:r>
              <w:rPr>
                <w:rFonts w:ascii="Times New Roman" w:eastAsia="Times New Roman" w:hAnsi="Times New Roman" w:cs="Times New Roman"/>
                <w:sz w:val="20"/>
                <w:szCs w:val="20"/>
              </w:rPr>
              <w:t xml:space="preserve">use </w:t>
            </w:r>
            <w:r w:rsidRPr="002F61BB">
              <w:rPr>
                <w:rFonts w:ascii="Times New Roman" w:eastAsia="Times New Roman" w:hAnsi="Times New Roman" w:cs="Times New Roman"/>
                <w:sz w:val="20"/>
                <w:szCs w:val="20"/>
              </w:rPr>
              <w:t>the day following the reporting date.</w:t>
            </w:r>
          </w:p>
        </w:tc>
      </w:tr>
      <w:tr w:rsidR="00CC0A94" w14:paraId="7FE1CF63" w14:textId="77777777" w:rsidTr="002F61BB">
        <w:tc>
          <w:tcPr>
            <w:tcW w:w="1244" w:type="dxa"/>
            <w:tcBorders>
              <w:top w:val="single" w:sz="8" w:space="0" w:color="1A171C"/>
              <w:left w:val="nil"/>
              <w:bottom w:val="single" w:sz="8" w:space="0" w:color="1A171C"/>
              <w:right w:val="single" w:sz="8" w:space="0" w:color="1A171C"/>
            </w:tcBorders>
            <w:vAlign w:val="center"/>
          </w:tcPr>
          <w:p w14:paraId="7FE1CF5F"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Legal Maturity</w:t>
            </w:r>
          </w:p>
          <w:p w14:paraId="7FE1CF61" w14:textId="6595476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of the legal, final maturity of the liability. For perpetual instruments, </w:t>
            </w:r>
            <w:r>
              <w:rPr>
                <w:rFonts w:ascii="Times New Roman" w:eastAsia="Times New Roman" w:hAnsi="Times New Roman" w:cs="Times New Roman"/>
                <w:sz w:val="20"/>
                <w:szCs w:val="20"/>
              </w:rPr>
              <w:t>use</w:t>
            </w:r>
            <w:r w:rsidRPr="002F61BB">
              <w:rPr>
                <w:rFonts w:ascii="Times New Roman" w:eastAsia="Times New Roman" w:hAnsi="Times New Roman" w:cs="Times New Roman"/>
                <w:sz w:val="20"/>
                <w:szCs w:val="20"/>
              </w:rPr>
              <w:t xml:space="preserve"> ‘2099-01-31’.</w:t>
            </w:r>
          </w:p>
          <w:p w14:paraId="7FE1CF62"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securities financing transactions subject to a netting arrangement and reported as a netting set, </w:t>
            </w:r>
            <w:r>
              <w:rPr>
                <w:rFonts w:ascii="Times New Roman" w:eastAsia="Times New Roman" w:hAnsi="Times New Roman" w:cs="Times New Roman"/>
                <w:sz w:val="20"/>
                <w:szCs w:val="20"/>
              </w:rPr>
              <w:t xml:space="preserve">use </w:t>
            </w:r>
            <w:r w:rsidRPr="002F61BB">
              <w:rPr>
                <w:rFonts w:ascii="Times New Roman" w:eastAsia="Times New Roman" w:hAnsi="Times New Roman" w:cs="Times New Roman"/>
                <w:sz w:val="20"/>
                <w:szCs w:val="20"/>
              </w:rPr>
              <w:t>the day following the reporting date.</w:t>
            </w:r>
          </w:p>
        </w:tc>
      </w:tr>
      <w:tr w:rsidR="00CC0A94" w14:paraId="7FE1CF67" w14:textId="77777777" w:rsidTr="002F61BB">
        <w:tc>
          <w:tcPr>
            <w:tcW w:w="1244" w:type="dxa"/>
            <w:tcBorders>
              <w:top w:val="single" w:sz="8" w:space="0" w:color="1A171C"/>
              <w:left w:val="nil"/>
              <w:bottom w:val="single" w:sz="8" w:space="0" w:color="1A171C"/>
              <w:right w:val="single" w:sz="8" w:space="0" w:color="1A171C"/>
            </w:tcBorders>
            <w:vAlign w:val="center"/>
          </w:tcPr>
          <w:p w14:paraId="7FE1CF64"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of pledge, </w:t>
            </w:r>
            <w:proofErr w:type="gramStart"/>
            <w:r w:rsidRPr="002F61BB">
              <w:rPr>
                <w:rFonts w:ascii="Times New Roman" w:eastAsia="Times New Roman" w:hAnsi="Times New Roman" w:cs="Times New Roman"/>
                <w:b/>
                <w:bCs/>
                <w:sz w:val="20"/>
                <w:szCs w:val="20"/>
              </w:rPr>
              <w:t>lien</w:t>
            </w:r>
            <w:proofErr w:type="gramEnd"/>
            <w:r w:rsidRPr="002F61BB">
              <w:rPr>
                <w:rFonts w:ascii="Times New Roman" w:eastAsia="Times New Roman" w:hAnsi="Times New Roman" w:cs="Times New Roman"/>
                <w:b/>
                <w:bCs/>
                <w:sz w:val="20"/>
                <w:szCs w:val="20"/>
              </w:rPr>
              <w:t xml:space="preserve"> or collateral</w:t>
            </w:r>
          </w:p>
          <w:p w14:paraId="7FE1CF66"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lastRenderedPageBreak/>
              <w:t xml:space="preserve">Where </w:t>
            </w:r>
            <w:proofErr w:type="gramStart"/>
            <w:r w:rsidRPr="002F61BB">
              <w:rPr>
                <w:rFonts w:ascii="Times New Roman" w:eastAsia="Times New Roman" w:hAnsi="Times New Roman" w:cs="Times New Roman"/>
                <w:sz w:val="20"/>
                <w:szCs w:val="20"/>
              </w:rPr>
              <w:t>a liability</w:t>
            </w:r>
            <w:proofErr w:type="gramEnd"/>
            <w:r w:rsidRPr="002F61BB">
              <w:rPr>
                <w:rFonts w:ascii="Times New Roman" w:eastAsia="Times New Roman" w:hAnsi="Times New Roman" w:cs="Times New Roman"/>
                <w:sz w:val="20"/>
                <w:szCs w:val="20"/>
              </w:rPr>
              <w:t xml:space="preserve"> is secured by a pledge, </w:t>
            </w:r>
            <w:proofErr w:type="gramStart"/>
            <w:r w:rsidRPr="002F61BB">
              <w:rPr>
                <w:rFonts w:ascii="Times New Roman" w:eastAsia="Times New Roman" w:hAnsi="Times New Roman" w:cs="Times New Roman"/>
                <w:sz w:val="20"/>
                <w:szCs w:val="20"/>
              </w:rPr>
              <w:t>lien</w:t>
            </w:r>
            <w:proofErr w:type="gramEnd"/>
            <w:r w:rsidRPr="002F61BB">
              <w:rPr>
                <w:rFonts w:ascii="Times New Roman" w:eastAsia="Times New Roman" w:hAnsi="Times New Roman" w:cs="Times New Roman"/>
                <w:sz w:val="20"/>
                <w:szCs w:val="20"/>
              </w:rPr>
              <w:t xml:space="preserve"> or collateral, the gross value of the latter shall be provided. Otherwise, for unsecured liabilities this category shall be reported as nil. This amount will determine the collateralized and eventually the uncollateralized part of any secured liability. For collateral pools securing multiple row items, </w:t>
            </w:r>
            <w:r>
              <w:rPr>
                <w:rFonts w:ascii="Times New Roman" w:eastAsia="Times New Roman" w:hAnsi="Times New Roman" w:cs="Times New Roman"/>
                <w:sz w:val="20"/>
                <w:szCs w:val="20"/>
              </w:rPr>
              <w:t xml:space="preserve">determine </w:t>
            </w:r>
            <w:r w:rsidRPr="002F61BB">
              <w:rPr>
                <w:rFonts w:ascii="Times New Roman" w:eastAsia="Times New Roman" w:hAnsi="Times New Roman" w:cs="Times New Roman"/>
                <w:sz w:val="20"/>
                <w:szCs w:val="20"/>
              </w:rPr>
              <w:t>the overall coverage ratio and appl</w:t>
            </w:r>
            <w:r>
              <w:rPr>
                <w:rFonts w:ascii="Times New Roman" w:eastAsia="Times New Roman" w:hAnsi="Times New Roman" w:cs="Times New Roman"/>
                <w:sz w:val="20"/>
                <w:szCs w:val="20"/>
              </w:rPr>
              <w:t>y</w:t>
            </w:r>
            <w:r w:rsidRPr="002F61BB">
              <w:rPr>
                <w:rFonts w:ascii="Times New Roman" w:eastAsia="Times New Roman" w:hAnsi="Times New Roman" w:cs="Times New Roman"/>
                <w:sz w:val="20"/>
                <w:szCs w:val="20"/>
              </w:rPr>
              <w:t xml:space="preserve"> pro rata to all row items covered by this pool.</w:t>
            </w:r>
          </w:p>
        </w:tc>
      </w:tr>
      <w:tr w:rsidR="00CC0A94" w14:paraId="7FE1CF6B" w14:textId="77777777" w:rsidTr="002F61BB">
        <w:tc>
          <w:tcPr>
            <w:tcW w:w="1244" w:type="dxa"/>
            <w:tcBorders>
              <w:top w:val="single" w:sz="8" w:space="0" w:color="1A171C"/>
              <w:left w:val="nil"/>
              <w:bottom w:val="single" w:sz="8" w:space="0" w:color="1A171C"/>
              <w:right w:val="single" w:sz="8" w:space="0" w:color="1A171C"/>
            </w:tcBorders>
            <w:vAlign w:val="center"/>
          </w:tcPr>
          <w:p w14:paraId="7FE1CF68"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lastRenderedPageBreak/>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Guarantor if applicable</w:t>
            </w:r>
          </w:p>
          <w:p w14:paraId="7FE1CF6A"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there are guarantees provided for the instrument, provide a detailed identification of the guarantor (LEI code, ISO 3166-1 alpha-2 country code for government, etc.). Where multiple guarantors are present, </w:t>
            </w:r>
            <w:r>
              <w:rPr>
                <w:rFonts w:ascii="Times New Roman" w:eastAsia="Times New Roman" w:hAnsi="Times New Roman" w:cs="Times New Roman"/>
                <w:sz w:val="20"/>
                <w:szCs w:val="20"/>
              </w:rPr>
              <w:t xml:space="preserve">report all </w:t>
            </w:r>
            <w:r w:rsidRPr="002F61BB">
              <w:rPr>
                <w:rFonts w:ascii="Times New Roman" w:eastAsia="Times New Roman" w:hAnsi="Times New Roman" w:cs="Times New Roman"/>
                <w:sz w:val="20"/>
                <w:szCs w:val="20"/>
              </w:rPr>
              <w:t>identifiers, separated by a semicolon.</w:t>
            </w:r>
          </w:p>
        </w:tc>
      </w:tr>
      <w:tr w:rsidR="00CC0A94" w14:paraId="7FE1CF70" w14:textId="77777777" w:rsidTr="002F61BB">
        <w:tc>
          <w:tcPr>
            <w:tcW w:w="1244" w:type="dxa"/>
            <w:tcBorders>
              <w:top w:val="single" w:sz="8" w:space="0" w:color="1A171C"/>
              <w:left w:val="nil"/>
              <w:bottom w:val="single" w:sz="8" w:space="0" w:color="1A171C"/>
              <w:right w:val="single" w:sz="8" w:space="0" w:color="1A171C"/>
            </w:tcBorders>
            <w:vAlign w:val="center"/>
          </w:tcPr>
          <w:p w14:paraId="7FE1CF6C"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Amount meeting the conditions for MREL eligibility</w:t>
            </w:r>
          </w:p>
          <w:p w14:paraId="7FE1CF6F" w14:textId="4E658BD3"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amount of the own funds and eligible liabilities counting towards the requirement set in accordance with Article 45(1) of the Directive 2014/59/EU. </w:t>
            </w:r>
          </w:p>
        </w:tc>
      </w:tr>
      <w:tr w:rsidR="00CC0A94" w14:paraId="7FE1CF76" w14:textId="77777777" w:rsidTr="002F61BB">
        <w:tc>
          <w:tcPr>
            <w:tcW w:w="1244" w:type="dxa"/>
            <w:tcBorders>
              <w:top w:val="single" w:sz="8" w:space="0" w:color="1A171C"/>
              <w:left w:val="nil"/>
              <w:bottom w:val="single" w:sz="8" w:space="0" w:color="1A171C"/>
              <w:right w:val="single" w:sz="8" w:space="0" w:color="1A171C"/>
            </w:tcBorders>
            <w:vAlign w:val="center"/>
          </w:tcPr>
          <w:p w14:paraId="7FE1CF71"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Qualifying as Own Funds</w:t>
            </w:r>
          </w:p>
          <w:p w14:paraId="7FE1CF73" w14:textId="52056531"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F61BB">
              <w:rPr>
                <w:rFonts w:ascii="Times New Roman" w:eastAsia="Times New Roman" w:hAnsi="Times New Roman" w:cs="Times New Roman"/>
                <w:sz w:val="20"/>
                <w:szCs w:val="20"/>
              </w:rPr>
              <w:t xml:space="preserve">ndicate if and at which level the instrument is included in </w:t>
            </w:r>
            <w:proofErr w:type="gramStart"/>
            <w:r w:rsidRPr="002F61BB">
              <w:rPr>
                <w:rFonts w:ascii="Times New Roman" w:eastAsia="Times New Roman" w:hAnsi="Times New Roman" w:cs="Times New Roman"/>
                <w:sz w:val="20"/>
                <w:szCs w:val="20"/>
              </w:rPr>
              <w:t>the</w:t>
            </w:r>
            <w:proofErr w:type="gramEnd"/>
            <w:r w:rsidRPr="002F61BB">
              <w:rPr>
                <w:rFonts w:ascii="Times New Roman" w:eastAsia="Times New Roman" w:hAnsi="Times New Roman" w:cs="Times New Roman"/>
                <w:sz w:val="20"/>
                <w:szCs w:val="20"/>
              </w:rPr>
              <w:t xml:space="preserve"> own funds, alongside information on the phase-out regime and grandfathering arrangements. Value can be ‘No</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Partially AT1</w:t>
            </w:r>
            <w:r w:rsidR="0003338C">
              <w:rPr>
                <w:rFonts w:ascii="Times New Roman" w:eastAsia="Times New Roman" w:hAnsi="Times New Roman" w:cs="Times New Roman"/>
                <w:sz w:val="20"/>
                <w:szCs w:val="20"/>
              </w:rPr>
              <w:t>, T1</w:t>
            </w:r>
            <w:r w:rsidRPr="002F61BB">
              <w:rPr>
                <w:rFonts w:ascii="Times New Roman" w:eastAsia="Times New Roman" w:hAnsi="Times New Roman" w:cs="Times New Roman"/>
                <w:sz w:val="20"/>
                <w:szCs w:val="20"/>
              </w:rPr>
              <w:t xml:space="preserve"> and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T2 in phase-out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Grandfathered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Fully Compliant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Grandfathered AT1</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Fully Compliant AT1’ or ‘CET1’ from a predefined list.</w:t>
            </w:r>
          </w:p>
          <w:p w14:paraId="7FE1CF74"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list of options, the term 'phase-out' refers to the period of 5 years before maturity of any given T2 instrument, during which there is only a proportionate recognition based on the time remaining until maturity. 'Grandfathered' refers to any transitional measure applicable to a T2 instrument, not including the 'phase-out'. During this 'grandfathering', recognition can be full or partial.</w:t>
            </w:r>
          </w:p>
          <w:p w14:paraId="7FE1CF75" w14:textId="77777777"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CF7A" w14:textId="77777777" w:rsidTr="002F61BB">
        <w:tc>
          <w:tcPr>
            <w:tcW w:w="1244" w:type="dxa"/>
            <w:tcBorders>
              <w:top w:val="single" w:sz="8" w:space="0" w:color="1A171C"/>
              <w:left w:val="nil"/>
              <w:bottom w:val="single" w:sz="8" w:space="0" w:color="1A171C"/>
              <w:right w:val="single" w:sz="8" w:space="0" w:color="1A171C"/>
            </w:tcBorders>
            <w:vAlign w:val="center"/>
          </w:tcPr>
          <w:p w14:paraId="7FE1CF77"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Amount Qualifying as Own Funds</w:t>
            </w:r>
          </w:p>
          <w:p w14:paraId="7FE1CF79" w14:textId="28EFFBC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instrument qualifying as own funds.</w:t>
            </w:r>
          </w:p>
        </w:tc>
      </w:tr>
    </w:tbl>
    <w:p w14:paraId="7FE1CF7B" w14:textId="77777777" w:rsidR="00CC0A94" w:rsidRDefault="00CC0A94">
      <w:pPr>
        <w:pStyle w:val="Instructionsberschrift2"/>
        <w:ind w:left="357"/>
        <w:rPr>
          <w:rFonts w:ascii="Times New Roman" w:eastAsia="Calibri" w:hAnsi="Times New Roman" w:cs="Times New Roman"/>
          <w:szCs w:val="20"/>
        </w:rPr>
      </w:pPr>
    </w:p>
    <w:p w14:paraId="7FE1CF7C" w14:textId="78CE26C4" w:rsidR="00CC0A94" w:rsidRPr="002F61BB" w:rsidRDefault="006C1571" w:rsidP="002F61BB">
      <w:pPr>
        <w:pStyle w:val="Instructionsberschrift2"/>
        <w:numPr>
          <w:ilvl w:val="1"/>
          <w:numId w:val="49"/>
        </w:numPr>
        <w:spacing w:before="0"/>
        <w:ind w:left="357" w:hanging="357"/>
        <w:rPr>
          <w:rFonts w:ascii="Times New Roman" w:hAnsi="Times New Roman" w:cs="Times New Roman"/>
        </w:rPr>
      </w:pPr>
      <w:bookmarkStart w:id="244" w:name="_Toc192249427"/>
      <w:r>
        <w:rPr>
          <w:rFonts w:ascii="Times New Roman" w:hAnsi="Times New Roman" w:cs="Times New Roman"/>
          <w:color w:val="000000" w:themeColor="text1"/>
        </w:rPr>
        <w:t>Z 1</w:t>
      </w:r>
      <w:r w:rsidR="00D34E5E">
        <w:rPr>
          <w:rFonts w:ascii="Times New Roman" w:hAnsi="Times New Roman" w:cs="Times New Roman"/>
          <w:color w:val="000000" w:themeColor="text1"/>
        </w:rPr>
        <w:t>2</w:t>
      </w:r>
      <w:r>
        <w:rPr>
          <w:rFonts w:ascii="Times New Roman" w:hAnsi="Times New Roman" w:cs="Times New Roman"/>
          <w:color w:val="000000" w:themeColor="text1"/>
        </w:rPr>
        <w:t>.0</w:t>
      </w:r>
      <w:r w:rsidR="00D34E5E">
        <w:rPr>
          <w:rFonts w:ascii="Times New Roman" w:hAnsi="Times New Roman" w:cs="Times New Roman"/>
          <w:color w:val="000000" w:themeColor="text1"/>
        </w:rPr>
        <w:t>0</w:t>
      </w:r>
      <w:r>
        <w:rPr>
          <w:rFonts w:ascii="Times New Roman" w:hAnsi="Times New Roman" w:cs="Times New Roman"/>
          <w:color w:val="000000" w:themeColor="text1"/>
        </w:rPr>
        <w:t xml:space="preserve"> - </w:t>
      </w:r>
      <w:r w:rsidRPr="002F61BB">
        <w:rPr>
          <w:rFonts w:ascii="Times New Roman" w:eastAsia="Cambria" w:hAnsi="Times New Roman" w:cs="Times New Roman"/>
        </w:rPr>
        <w:t>Securities (including CET1, AT1 &amp; Tier 2 instruments; excluding intragroup)</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CC0A94" w:rsidRDefault="006C1571">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General remarks</w:t>
      </w:r>
    </w:p>
    <w:p w14:paraId="7FE1CF7F" w14:textId="048C4053" w:rsidR="00CC0A94" w:rsidRPr="002F61BB" w:rsidRDefault="006C1571" w:rsidP="002F61BB">
      <w:pPr>
        <w:pStyle w:val="InstructionsText2"/>
        <w:spacing w:before="0"/>
        <w:ind w:left="1134"/>
        <w:rPr>
          <w:rFonts w:ascii="Times New Roman" w:eastAsiaTheme="majorEastAsia" w:hAnsi="Times New Roman" w:cs="Times New Roman"/>
          <w:sz w:val="20"/>
          <w:szCs w:val="20"/>
          <w:lang w:val="en-GB"/>
        </w:rPr>
      </w:pPr>
      <w:r w:rsidRPr="002F61BB">
        <w:rPr>
          <w:rFonts w:ascii="Times New Roman" w:eastAsia="Cambria" w:hAnsi="Times New Roman" w:cs="Times New Roman"/>
          <w:sz w:val="20"/>
          <w:szCs w:val="20"/>
          <w:lang w:val="en-GB"/>
        </w:rPr>
        <w:t xml:space="preserve">A security is a fungible, negotiable financial instrument that represents a financial value, irrespective of its actual specificities (e.g. these instruments </w:t>
      </w:r>
      <w:r>
        <w:rPr>
          <w:rFonts w:ascii="Times New Roman" w:eastAsia="Cambria" w:hAnsi="Times New Roman" w:cs="Times New Roman"/>
          <w:sz w:val="20"/>
          <w:szCs w:val="20"/>
          <w:lang w:val="en-GB"/>
        </w:rPr>
        <w:t>are</w:t>
      </w:r>
      <w:r w:rsidRPr="002F61BB">
        <w:rPr>
          <w:rFonts w:ascii="Times New Roman" w:eastAsia="Cambria" w:hAnsi="Times New Roman" w:cs="Times New Roman"/>
          <w:sz w:val="20"/>
          <w:szCs w:val="20"/>
          <w:lang w:val="en-GB"/>
        </w:rPr>
        <w:t xml:space="preserve"> either secured or unsecured). This table shall also include </w:t>
      </w:r>
      <w:r w:rsidRPr="029F4E13">
        <w:rPr>
          <w:rFonts w:ascii="Times New Roman" w:eastAsia="Cambria" w:hAnsi="Times New Roman" w:cs="Times New Roman"/>
          <w:sz w:val="20"/>
          <w:szCs w:val="20"/>
          <w:lang w:val="en-GB"/>
        </w:rPr>
        <w:t>Own Funds</w:t>
      </w:r>
      <w:r w:rsidRPr="002F61BB">
        <w:rPr>
          <w:rFonts w:ascii="Times New Roman" w:eastAsia="Cambria" w:hAnsi="Times New Roman" w:cs="Times New Roman"/>
          <w:sz w:val="20"/>
          <w:szCs w:val="20"/>
          <w:lang w:val="en-GB"/>
        </w:rPr>
        <w:t xml:space="preserve"> instruments</w:t>
      </w:r>
      <w:r>
        <w:rPr>
          <w:rStyle w:val="FootnoteReference"/>
          <w:rFonts w:eastAsia="Cambria" w:cs="Times New Roman"/>
          <w:lang w:val="en-GB"/>
        </w:rPr>
        <w:footnoteReference w:id="36"/>
      </w:r>
      <w:r w:rsidRPr="002F61BB">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For the purposes of CET1 capital instruments, the residual claim of shares on total accounting equity (as defined by Z</w:t>
      </w:r>
      <w:r w:rsidR="00DB2112" w:rsidRPr="029F4E13">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02.00-r0511) shall be reported on instrument level.</w:t>
      </w:r>
    </w:p>
    <w:p w14:paraId="7FE1CF81" w14:textId="262B713C" w:rsidR="00CC0A94" w:rsidRPr="002F61BB" w:rsidRDefault="006C1571" w:rsidP="002F61BB">
      <w:pPr>
        <w:pStyle w:val="InstructionsText2"/>
        <w:numPr>
          <w:ilvl w:val="2"/>
          <w:numId w:val="209"/>
        </w:numPr>
        <w:spacing w:before="0"/>
        <w:ind w:left="1134"/>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Where the creditor identifier (column 0210) is not available (e.g. in case of instruments traded on platforms), each row shall be reported at the aggregate level with respect to this field.</w:t>
      </w:r>
    </w:p>
    <w:p w14:paraId="7FE1CF83" w14:textId="77777777" w:rsidR="00CC0A94" w:rsidRPr="002F61BB" w:rsidRDefault="006C1571" w:rsidP="002F61BB">
      <w:pPr>
        <w:pStyle w:val="InstructionsText2"/>
        <w:numPr>
          <w:ilvl w:val="2"/>
          <w:numId w:val="209"/>
        </w:numPr>
        <w:spacing w:before="0"/>
        <w:ind w:left="1134"/>
        <w:rPr>
          <w:rFonts w:ascii="Times New Roman" w:hAnsi="Times New Roman" w:cs="Times New Roman"/>
          <w:sz w:val="20"/>
          <w:szCs w:val="20"/>
          <w:lang w:val="en-GB"/>
        </w:rPr>
      </w:pPr>
      <w:r w:rsidRPr="002F61BB">
        <w:rPr>
          <w:rFonts w:ascii="Times New Roman" w:eastAsia="Cambria" w:hAnsi="Times New Roman" w:cs="Times New Roman"/>
          <w:sz w:val="20"/>
          <w:szCs w:val="20"/>
          <w:lang w:val="en-GB"/>
        </w:rPr>
        <w:t>For the purposes of this table, liabilities shall be reported in rows at the granularity level defined by the requested fields.</w:t>
      </w:r>
    </w:p>
    <w:p w14:paraId="7FE1CF86" w14:textId="77777777" w:rsidR="00CC0A94" w:rsidRPr="002F61BB" w:rsidRDefault="00CC0A94">
      <w:pPr>
        <w:spacing w:line="276" w:lineRule="auto"/>
        <w:rPr>
          <w:rFonts w:ascii="Times New Roman" w:hAnsi="Times New Roman" w:cs="Times New Roman"/>
          <w:sz w:val="20"/>
          <w:szCs w:val="20"/>
          <w:lang w:val="en-GB"/>
        </w:rPr>
      </w:pPr>
    </w:p>
    <w:p w14:paraId="7FE1CF87" w14:textId="77777777" w:rsidR="00CC0A94" w:rsidRDefault="006C1571">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Instructions concerning specific positions</w:t>
      </w:r>
    </w:p>
    <w:p w14:paraId="7FE1CF88" w14:textId="77777777" w:rsidR="00CC0A94" w:rsidRDefault="00CC0A94">
      <w:pPr>
        <w:pStyle w:val="body"/>
        <w:rPr>
          <w:rFonts w:ascii="Times New Roman" w:hAnsi="Times New Roman" w:cs="Times New Roman"/>
          <w:color w:val="000000" w:themeColor="text1"/>
          <w:sz w:val="20"/>
          <w:szCs w:val="20"/>
          <w:lang w:val="en-GB"/>
        </w:rPr>
      </w:pPr>
    </w:p>
    <w:tbl>
      <w:tblPr>
        <w:tblW w:w="0" w:type="auto"/>
        <w:tblLook w:val="01E0" w:firstRow="1" w:lastRow="1" w:firstColumn="1" w:lastColumn="1" w:noHBand="0" w:noVBand="0"/>
      </w:tblPr>
      <w:tblGrid>
        <w:gridCol w:w="1415"/>
        <w:gridCol w:w="7547"/>
        <w:gridCol w:w="64"/>
      </w:tblGrid>
      <w:tr w:rsidR="00CC0A94" w14:paraId="7FE1CF8B" w14:textId="77777777" w:rsidTr="002F61BB">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Columns</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CC0A94" w:rsidRDefault="006C1571">
            <w:pPr>
              <w:pStyle w:val="TableParagraph"/>
              <w:spacing w:before="108"/>
              <w:ind w:left="85" w:right="1"/>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Instructions</w:t>
            </w:r>
          </w:p>
        </w:tc>
      </w:tr>
      <w:tr w:rsidR="00CC0A94" w14:paraId="7FE1CF8F" w14:textId="77777777" w:rsidTr="002F61BB">
        <w:tc>
          <w:tcPr>
            <w:tcW w:w="1415" w:type="dxa"/>
            <w:tcBorders>
              <w:top w:val="single" w:sz="8" w:space="0" w:color="1A171C"/>
              <w:left w:val="nil"/>
              <w:bottom w:val="single" w:sz="8" w:space="0" w:color="1A171C"/>
              <w:right w:val="single" w:sz="8" w:space="0" w:color="1A171C"/>
            </w:tcBorders>
            <w:vAlign w:val="center"/>
          </w:tcPr>
          <w:p w14:paraId="7FE1CF8C"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 </w:t>
            </w:r>
          </w:p>
          <w:p w14:paraId="7FE1CF8E"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Unique number/primary key to identify the row items.</w:t>
            </w:r>
          </w:p>
        </w:tc>
      </w:tr>
      <w:tr w:rsidR="00CC0A94" w14:paraId="7FE1CF93" w14:textId="77777777" w:rsidTr="002F61BB">
        <w:tc>
          <w:tcPr>
            <w:tcW w:w="1415" w:type="dxa"/>
            <w:tcBorders>
              <w:top w:val="single" w:sz="8" w:space="0" w:color="1A171C"/>
              <w:left w:val="nil"/>
              <w:bottom w:val="single" w:sz="8" w:space="0" w:color="1A171C"/>
              <w:right w:val="single" w:sz="8" w:space="0" w:color="1A171C"/>
            </w:tcBorders>
            <w:vAlign w:val="center"/>
          </w:tcPr>
          <w:p w14:paraId="7FE1CF90"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CC0A94" w:rsidRPr="002F61BB" w:rsidRDefault="000B45B0" w:rsidP="002F61BB">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Row</w:t>
            </w:r>
          </w:p>
          <w:p w14:paraId="7FE1CF92" w14:textId="771261C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a reconciliation with the categories of liabilities of the liability structure in Z02.00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at the level of maturity from a predefined list of values.</w:t>
            </w:r>
          </w:p>
        </w:tc>
      </w:tr>
      <w:tr w:rsidR="00CC0A94" w14:paraId="7FE1CF97" w14:textId="77777777" w:rsidTr="002F61BB">
        <w:tc>
          <w:tcPr>
            <w:tcW w:w="1415" w:type="dxa"/>
            <w:tcBorders>
              <w:top w:val="single" w:sz="8" w:space="0" w:color="1A171C"/>
              <w:left w:val="nil"/>
              <w:bottom w:val="single" w:sz="8" w:space="0" w:color="1A171C"/>
              <w:right w:val="single" w:sz="8" w:space="0" w:color="1A171C"/>
            </w:tcBorders>
            <w:vAlign w:val="center"/>
          </w:tcPr>
          <w:p w14:paraId="7FE1CF9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CF96" w14:textId="68A01AA0"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a reconciliation with the counterparty class in Ζ02.00 to which the liability is owed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from predefined list of values.</w:t>
            </w:r>
          </w:p>
        </w:tc>
      </w:tr>
      <w:tr w:rsidR="00CC0A94" w14:paraId="7FE1CF9B" w14:textId="77777777" w:rsidTr="002F61BB">
        <w:tc>
          <w:tcPr>
            <w:tcW w:w="1415" w:type="dxa"/>
            <w:tcBorders>
              <w:top w:val="single" w:sz="8" w:space="0" w:color="1A171C"/>
              <w:left w:val="nil"/>
              <w:bottom w:val="single" w:sz="8" w:space="0" w:color="1A171C"/>
              <w:right w:val="single" w:sz="8" w:space="0" w:color="1A171C"/>
            </w:tcBorders>
            <w:vAlign w:val="center"/>
          </w:tcPr>
          <w:p w14:paraId="7FE1CF98"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Insolvency ranking  </w:t>
            </w:r>
          </w:p>
          <w:p w14:paraId="7FE1CF9A" w14:textId="3376851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insolvency rank shall be one of the ranks included in the insolvency rankings published by the resolution authority of that jurisdiction. </w:t>
            </w:r>
          </w:p>
        </w:tc>
      </w:tr>
      <w:tr w:rsidR="00CC0A94" w14:paraId="7FE1CF9F" w14:textId="77777777" w:rsidTr="002F61BB">
        <w:tc>
          <w:tcPr>
            <w:tcW w:w="1415" w:type="dxa"/>
            <w:tcBorders>
              <w:top w:val="single" w:sz="8" w:space="0" w:color="1A171C"/>
              <w:left w:val="nil"/>
              <w:bottom w:val="single" w:sz="8" w:space="0" w:color="1A171C"/>
              <w:right w:val="single" w:sz="8" w:space="0" w:color="1A171C"/>
            </w:tcBorders>
            <w:vAlign w:val="center"/>
          </w:tcPr>
          <w:p w14:paraId="7FE1CF9C"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ISIN</w:t>
            </w:r>
          </w:p>
          <w:p w14:paraId="7FE1CF9E" w14:textId="02C8C7D3"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ISIN or, in case the ISIN is not available, another contract identifier of the instrument shall be reported.</w:t>
            </w:r>
          </w:p>
        </w:tc>
      </w:tr>
      <w:tr w:rsidR="00CC0A94" w14:paraId="7FE1CFAC" w14:textId="77777777" w:rsidTr="002F61BB">
        <w:tc>
          <w:tcPr>
            <w:tcW w:w="1415" w:type="dxa"/>
            <w:tcBorders>
              <w:top w:val="single" w:sz="8" w:space="0" w:color="1A171C"/>
              <w:left w:val="nil"/>
              <w:bottom w:val="single" w:sz="8" w:space="0" w:color="1A171C"/>
              <w:right w:val="single" w:sz="8" w:space="0" w:color="1A171C"/>
            </w:tcBorders>
            <w:vAlign w:val="center"/>
          </w:tcPr>
          <w:p w14:paraId="7FE1CFA0"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instrument  </w:t>
            </w:r>
          </w:p>
          <w:p w14:paraId="7FE1CFA2"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Identification of the type of instrument, either </w:t>
            </w:r>
          </w:p>
          <w:p w14:paraId="7FE1CFA3"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Registered Bond</w:t>
            </w:r>
          </w:p>
          <w:p w14:paraId="7FE1CFA4" w14:textId="77777777"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Bearer Bond</w:t>
            </w:r>
          </w:p>
          <w:p w14:paraId="7FE1CFA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Borrower Note Loan</w:t>
            </w:r>
          </w:p>
          <w:p w14:paraId="7FE1CFA7" w14:textId="3E3D590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Certificate of Deposit</w:t>
            </w:r>
            <w:r>
              <w:rPr>
                <w:rFonts w:ascii="Times New Roman" w:eastAsia="Times New Roman" w:hAnsi="Times New Roman" w:cs="Times New Roman"/>
                <w:sz w:val="20"/>
                <w:szCs w:val="20"/>
              </w:rPr>
              <w:t>/Commercial paper</w:t>
            </w:r>
          </w:p>
          <w:p w14:paraId="7FE1CFA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Title of ownership</w:t>
            </w:r>
          </w:p>
          <w:p w14:paraId="7FE1CFA9"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Other</w:t>
            </w:r>
          </w:p>
          <w:p w14:paraId="7FE1CFAA" w14:textId="2BCDE67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w:t>
            </w:r>
          </w:p>
          <w:p w14:paraId="7FE1CFAB"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from a predefined list.</w:t>
            </w:r>
          </w:p>
        </w:tc>
      </w:tr>
      <w:tr w:rsidR="00CC0A94" w14:paraId="7FE1CFB0" w14:textId="77777777" w:rsidTr="002F61BB">
        <w:tc>
          <w:tcPr>
            <w:tcW w:w="1415" w:type="dxa"/>
            <w:tcBorders>
              <w:top w:val="single" w:sz="8" w:space="0" w:color="1A171C"/>
              <w:left w:val="nil"/>
              <w:bottom w:val="single" w:sz="8" w:space="0" w:color="1A171C"/>
              <w:right w:val="single" w:sz="8" w:space="0" w:color="1A171C"/>
            </w:tcBorders>
            <w:vAlign w:val="center"/>
          </w:tcPr>
          <w:p w14:paraId="7FE1CFA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Governing law  </w:t>
            </w:r>
          </w:p>
          <w:p w14:paraId="7FE1CFAF" w14:textId="2BE77EA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code of the country whose law governs the instrument (use the ISO 3166-2 code when the law of an administrative subdivision is relevant, e.</w:t>
            </w:r>
            <w:proofErr w:type="gramStart"/>
            <w:r w:rsidRPr="002F61BB">
              <w:rPr>
                <w:rFonts w:ascii="Times New Roman" w:eastAsia="Times New Roman" w:hAnsi="Times New Roman" w:cs="Times New Roman"/>
                <w:sz w:val="20"/>
                <w:szCs w:val="20"/>
              </w:rPr>
              <w:t>g. ‘</w:t>
            </w:r>
            <w:proofErr w:type="gramEnd"/>
            <w:r w:rsidRPr="002F61BB">
              <w:rPr>
                <w:rFonts w:ascii="Times New Roman" w:eastAsia="Times New Roman" w:hAnsi="Times New Roman" w:cs="Times New Roman"/>
                <w:sz w:val="20"/>
                <w:szCs w:val="20"/>
              </w:rPr>
              <w:t xml:space="preserve">US-NY’). If the contract is governed by the law of more than one country, the country the law of which has the highest relevance for the recognition of write down and conversion powers shall be reported.  </w:t>
            </w:r>
          </w:p>
        </w:tc>
      </w:tr>
      <w:tr w:rsidR="00CC0A94" w14:paraId="7FE1CFB9" w14:textId="77777777" w:rsidTr="002F61BB">
        <w:tc>
          <w:tcPr>
            <w:tcW w:w="1415" w:type="dxa"/>
            <w:tcBorders>
              <w:top w:val="single" w:sz="8" w:space="0" w:color="1A171C"/>
              <w:left w:val="nil"/>
              <w:bottom w:val="single" w:sz="8" w:space="0" w:color="1A171C"/>
              <w:right w:val="single" w:sz="8" w:space="0" w:color="1A171C"/>
            </w:tcBorders>
            <w:vAlign w:val="center"/>
          </w:tcPr>
          <w:p w14:paraId="7FE1CFB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If third country law, contractual recognition </w:t>
            </w:r>
          </w:p>
          <w:p w14:paraId="7FE1CFB3" w14:textId="0329FBCA"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Identification of contractual provisions for the recognition of bail-in powers in line with article 55 of the BRRD, either</w:t>
            </w:r>
            <w:r>
              <w:rPr>
                <w:rFonts w:ascii="Times New Roman" w:eastAsia="Times New Roman" w:hAnsi="Times New Roman" w:cs="Times New Roman"/>
                <w:sz w:val="20"/>
                <w:szCs w:val="20"/>
              </w:rPr>
              <w:t>:</w:t>
            </w:r>
          </w:p>
          <w:p w14:paraId="7FE1CFB4" w14:textId="7CAD351E"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“Yes, supported by Legal Opinion” = the liability includes a bail-in recognition clause in line with Article 55 BRRD that is supported by a legal </w:t>
            </w:r>
            <w:proofErr w:type="gramStart"/>
            <w:r w:rsidRPr="002F61BB">
              <w:rPr>
                <w:rFonts w:ascii="Times New Roman" w:eastAsia="Times New Roman" w:hAnsi="Times New Roman" w:cs="Times New Roman"/>
                <w:sz w:val="20"/>
                <w:szCs w:val="20"/>
              </w:rPr>
              <w:t>opinion;</w:t>
            </w:r>
            <w:proofErr w:type="gramEnd"/>
          </w:p>
          <w:p w14:paraId="7FE1CFB5"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“Yes, not supported by Legal Opinion” = the liability includes a bail-in recognition clause in line with Article 55 BRRD that is currently not supported by a legal </w:t>
            </w:r>
            <w:proofErr w:type="gramStart"/>
            <w:r w:rsidRPr="002F61BB">
              <w:rPr>
                <w:rFonts w:ascii="Times New Roman" w:eastAsia="Times New Roman" w:hAnsi="Times New Roman" w:cs="Times New Roman"/>
                <w:sz w:val="20"/>
                <w:szCs w:val="20"/>
              </w:rPr>
              <w:t>opinion;</w:t>
            </w:r>
            <w:proofErr w:type="gramEnd"/>
          </w:p>
          <w:p w14:paraId="7FE1CFB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“No” = the liability does not include a bail-in recognition </w:t>
            </w:r>
            <w:proofErr w:type="gramStart"/>
            <w:r w:rsidRPr="002F61BB">
              <w:rPr>
                <w:rFonts w:ascii="Times New Roman" w:eastAsia="Times New Roman" w:hAnsi="Times New Roman" w:cs="Times New Roman"/>
                <w:sz w:val="20"/>
                <w:szCs w:val="20"/>
              </w:rPr>
              <w:t>clause;</w:t>
            </w:r>
            <w:proofErr w:type="gramEnd"/>
          </w:p>
          <w:p w14:paraId="7FE1CFB7" w14:textId="58099242"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“Not applicable”</w:t>
            </w:r>
            <w:r>
              <w:rPr>
                <w:rFonts w:ascii="Times New Roman" w:eastAsia="Times New Roman" w:hAnsi="Times New Roman" w:cs="Times New Roman"/>
                <w:sz w:val="20"/>
                <w:szCs w:val="20"/>
              </w:rPr>
              <w:t>,</w:t>
            </w:r>
            <w:r w:rsidRPr="002F61BB">
              <w:rPr>
                <w:rFonts w:ascii="Times New Roman" w:eastAsia="Times New Roman" w:hAnsi="Times New Roman" w:cs="Times New Roman"/>
                <w:sz w:val="20"/>
                <w:szCs w:val="20"/>
              </w:rPr>
              <w:t xml:space="preserve">  </w:t>
            </w:r>
          </w:p>
          <w:p w14:paraId="7FE1CFB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from a predefined list.</w:t>
            </w:r>
          </w:p>
        </w:tc>
      </w:tr>
      <w:tr w:rsidR="00CC0A94" w14:paraId="7FE1CFBD" w14:textId="77777777" w:rsidTr="002F61BB">
        <w:tc>
          <w:tcPr>
            <w:tcW w:w="1415" w:type="dxa"/>
            <w:tcBorders>
              <w:top w:val="single" w:sz="8" w:space="0" w:color="1A171C"/>
              <w:left w:val="nil"/>
              <w:bottom w:val="single" w:sz="8" w:space="0" w:color="1A171C"/>
              <w:right w:val="single" w:sz="8" w:space="0" w:color="1A171C"/>
            </w:tcBorders>
            <w:vAlign w:val="center"/>
          </w:tcPr>
          <w:p w14:paraId="7FE1CFB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Currency </w:t>
            </w:r>
          </w:p>
          <w:p w14:paraId="7FE1CFBC" w14:textId="71E1420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currency of the liability </w:t>
            </w:r>
            <w:proofErr w:type="gramStart"/>
            <w:r w:rsidRPr="002F61BB">
              <w:rPr>
                <w:rFonts w:ascii="Times New Roman" w:eastAsia="Times New Roman" w:hAnsi="Times New Roman" w:cs="Times New Roman"/>
                <w:sz w:val="20"/>
                <w:szCs w:val="20"/>
              </w:rPr>
              <w:t>in</w:t>
            </w:r>
            <w:proofErr w:type="gramEnd"/>
            <w:r w:rsidRPr="002F61BB">
              <w:rPr>
                <w:rFonts w:ascii="Times New Roman" w:eastAsia="Times New Roman" w:hAnsi="Times New Roman" w:cs="Times New Roman"/>
                <w:sz w:val="20"/>
                <w:szCs w:val="20"/>
              </w:rPr>
              <w:t xml:space="preserve"> line with its 3-letter ISO 4217 code.</w:t>
            </w:r>
          </w:p>
        </w:tc>
      </w:tr>
      <w:tr w:rsidR="00CC0A94" w14:paraId="7FE1CFC8" w14:textId="77777777" w:rsidTr="002F61BB">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p w14:paraId="7FE1CFC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w:t>
            </w:r>
          </w:p>
        </w:tc>
        <w:tc>
          <w:tcPr>
            <w:tcW w:w="7611" w:type="dxa"/>
            <w:gridSpan w:val="2"/>
            <w:tcBorders>
              <w:top w:val="single" w:sz="8" w:space="0" w:color="1A171C"/>
              <w:left w:val="single" w:sz="8" w:space="0" w:color="1A171C"/>
              <w:right w:val="nil"/>
            </w:tcBorders>
            <w:vAlign w:val="bottom"/>
          </w:tcPr>
          <w:p w14:paraId="7FE1CFC4"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Outstanding principal amount  </w:t>
            </w:r>
          </w:p>
          <w:p w14:paraId="7FE1CFC5" w14:textId="3E328E9E"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outstanding principal amount of the instrument held by the counterparty </w:t>
            </w:r>
            <w:proofErr w:type="gramStart"/>
            <w:r w:rsidRPr="002F61BB">
              <w:rPr>
                <w:rFonts w:ascii="Times New Roman" w:eastAsia="Times New Roman" w:hAnsi="Times New Roman" w:cs="Times New Roman"/>
                <w:sz w:val="20"/>
                <w:szCs w:val="20"/>
              </w:rPr>
              <w:t>specified</w:t>
            </w:r>
            <w:proofErr w:type="gramEnd"/>
            <w:r w:rsidRPr="002F61BB">
              <w:rPr>
                <w:rFonts w:ascii="Times New Roman" w:eastAsia="Times New Roman" w:hAnsi="Times New Roman" w:cs="Times New Roman"/>
                <w:sz w:val="20"/>
                <w:szCs w:val="20"/>
              </w:rPr>
              <w:t xml:space="preserve"> in column 0210. If the counterparty is not available because the creditors cannot be identified, the outstanding princip</w:t>
            </w:r>
            <w:r w:rsidR="00D609F8">
              <w:rPr>
                <w:rFonts w:ascii="Times New Roman" w:eastAsia="Times New Roman" w:hAnsi="Times New Roman" w:cs="Times New Roman"/>
                <w:sz w:val="20"/>
                <w:szCs w:val="20"/>
              </w:rPr>
              <w:t>al</w:t>
            </w:r>
            <w:r w:rsidRPr="002F61BB">
              <w:rPr>
                <w:rFonts w:ascii="Times New Roman" w:eastAsia="Times New Roman" w:hAnsi="Times New Roman" w:cs="Times New Roman"/>
                <w:sz w:val="20"/>
                <w:szCs w:val="20"/>
              </w:rPr>
              <w:t xml:space="preserve"> amounts </w:t>
            </w:r>
            <w:r>
              <w:rPr>
                <w:rFonts w:ascii="Times New Roman" w:eastAsia="Times New Roman" w:hAnsi="Times New Roman" w:cs="Times New Roman"/>
                <w:sz w:val="20"/>
                <w:szCs w:val="20"/>
              </w:rPr>
              <w:t>shall</w:t>
            </w:r>
            <w:r w:rsidRPr="002F61BB">
              <w:rPr>
                <w:rFonts w:ascii="Times New Roman" w:eastAsia="Times New Roman" w:hAnsi="Times New Roman" w:cs="Times New Roman"/>
                <w:sz w:val="20"/>
                <w:szCs w:val="20"/>
              </w:rPr>
              <w:t xml:space="preserve"> be grouped by not considering the counterparty. For shares, this amount includes reserves, in line with the guidance related to Z02.00-r0511.</w:t>
            </w:r>
            <w:r>
              <w:rPr>
                <w:rFonts w:ascii="Times New Roman" w:eastAsia="Times New Roman" w:hAnsi="Times New Roman" w:cs="Times New Roman"/>
                <w:sz w:val="20"/>
                <w:szCs w:val="20"/>
              </w:rPr>
              <w:t xml:space="preserve"> </w:t>
            </w:r>
          </w:p>
          <w:p w14:paraId="7FE1CFC7" w14:textId="1EFD62D1"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CFCC" w14:textId="77777777" w:rsidTr="002F61BB">
        <w:tc>
          <w:tcPr>
            <w:tcW w:w="1415" w:type="dxa"/>
            <w:tcBorders>
              <w:top w:val="single" w:sz="8" w:space="0" w:color="1A171C"/>
              <w:left w:val="nil"/>
              <w:bottom w:val="single" w:sz="8" w:space="0" w:color="1A171C"/>
              <w:right w:val="single" w:sz="8" w:space="0" w:color="1A171C"/>
            </w:tcBorders>
            <w:vAlign w:val="center"/>
          </w:tcPr>
          <w:p w14:paraId="7FE1CFC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Accrued interest </w:t>
            </w:r>
          </w:p>
          <w:p w14:paraId="7FE1CFCB" w14:textId="5040BFD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accrued interest on the instrument.</w:t>
            </w:r>
          </w:p>
        </w:tc>
      </w:tr>
      <w:tr w:rsidR="00CC0A94" w14:paraId="7FE1CFD0" w14:textId="77777777" w:rsidTr="002F61BB">
        <w:tc>
          <w:tcPr>
            <w:tcW w:w="1415" w:type="dxa"/>
            <w:tcBorders>
              <w:top w:val="single" w:sz="8" w:space="0" w:color="1A171C"/>
              <w:left w:val="nil"/>
              <w:bottom w:val="single" w:sz="8" w:space="0" w:color="1A171C"/>
              <w:right w:val="single" w:sz="8" w:space="0" w:color="1A171C"/>
            </w:tcBorders>
            <w:vAlign w:val="center"/>
          </w:tcPr>
          <w:p w14:paraId="7FE1CFC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Coupon type </w:t>
            </w:r>
          </w:p>
          <w:p w14:paraId="7FE1CFC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Identification of the current type of coupon payment, either ‘Fixed coupon’, ‘Floating coupon’, ‘Structured coupon’ or ‘Zero-Coupon’ from a predefined list.</w:t>
            </w:r>
          </w:p>
        </w:tc>
      </w:tr>
      <w:tr w:rsidR="00CC0A94" w14:paraId="7FE1CFD4" w14:textId="77777777" w:rsidTr="002F61BB">
        <w:tc>
          <w:tcPr>
            <w:tcW w:w="1415" w:type="dxa"/>
            <w:tcBorders>
              <w:top w:val="single" w:sz="8" w:space="0" w:color="1A171C"/>
              <w:left w:val="nil"/>
              <w:bottom w:val="single" w:sz="8" w:space="0" w:color="1A171C"/>
              <w:right w:val="single" w:sz="8" w:space="0" w:color="1A171C"/>
            </w:tcBorders>
            <w:vAlign w:val="center"/>
          </w:tcPr>
          <w:p w14:paraId="7FE1CFD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Current coupon rate </w:t>
            </w:r>
            <w:r>
              <w:rPr>
                <w:rFonts w:ascii="Times New Roman" w:eastAsia="Times New Roman" w:hAnsi="Times New Roman" w:cs="Times New Roman"/>
                <w:b/>
                <w:bCs/>
                <w:sz w:val="20"/>
                <w:szCs w:val="20"/>
              </w:rPr>
              <w:t>(%)</w:t>
            </w:r>
          </w:p>
          <w:p w14:paraId="7FE1CFD3" w14:textId="32FFE80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Level of the coupon rate that is applicable to the instrument at the reporting date. </w:t>
            </w:r>
          </w:p>
        </w:tc>
      </w:tr>
      <w:tr w:rsidR="00CC0A94" w14:paraId="7FE1CFD8" w14:textId="77777777" w:rsidTr="002F61BB">
        <w:tc>
          <w:tcPr>
            <w:tcW w:w="1415" w:type="dxa"/>
            <w:tcBorders>
              <w:top w:val="single" w:sz="8" w:space="0" w:color="1A171C"/>
              <w:left w:val="nil"/>
              <w:bottom w:val="single" w:sz="8" w:space="0" w:color="1A171C"/>
              <w:right w:val="single" w:sz="8" w:space="0" w:color="1A171C"/>
            </w:tcBorders>
            <w:vAlign w:val="center"/>
          </w:tcPr>
          <w:p w14:paraId="7FE1CFD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Issue date </w:t>
            </w:r>
          </w:p>
          <w:p w14:paraId="7FE1CFD7"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Date of the original issuance of the instrument.</w:t>
            </w:r>
          </w:p>
        </w:tc>
      </w:tr>
      <w:tr w:rsidR="00CC0A94" w14:paraId="7FE1CFDC" w14:textId="77777777" w:rsidTr="002F61BB">
        <w:tc>
          <w:tcPr>
            <w:tcW w:w="1415" w:type="dxa"/>
            <w:tcBorders>
              <w:top w:val="single" w:sz="8" w:space="0" w:color="1A171C"/>
              <w:left w:val="nil"/>
              <w:bottom w:val="single" w:sz="8" w:space="0" w:color="1A171C"/>
              <w:right w:val="single" w:sz="8" w:space="0" w:color="1A171C"/>
            </w:tcBorders>
            <w:vAlign w:val="center"/>
          </w:tcPr>
          <w:p w14:paraId="7FE1CFD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Earliest redemption date  </w:t>
            </w:r>
          </w:p>
          <w:p w14:paraId="7FE1CFDB" w14:textId="2A33C76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an option exists for the holders of the instrument to request early reimbursement, or conditions for early reimbursement are contractually foreseen,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earliest occurrence date. Where such termination events are not linked to a date, but rather on the occurrence of any event in the future,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earliest date at which the event </w:t>
            </w:r>
            <w:r>
              <w:rPr>
                <w:rFonts w:ascii="Times New Roman" w:eastAsia="Times New Roman" w:hAnsi="Times New Roman" w:cs="Times New Roman"/>
                <w:sz w:val="20"/>
                <w:szCs w:val="20"/>
              </w:rPr>
              <w:t xml:space="preserve">may </w:t>
            </w:r>
            <w:r w:rsidRPr="002F61BB">
              <w:rPr>
                <w:rFonts w:ascii="Times New Roman" w:eastAsia="Times New Roman" w:hAnsi="Times New Roman" w:cs="Times New Roman"/>
                <w:sz w:val="20"/>
                <w:szCs w:val="20"/>
              </w:rPr>
              <w:t xml:space="preserve">occur. If the early reimbursement relates to only a portion of the liability (e.g. early reimbursement of 50% of the nominal amount), </w:t>
            </w:r>
            <w:r>
              <w:rPr>
                <w:rFonts w:ascii="Times New Roman" w:eastAsia="Times New Roman" w:hAnsi="Times New Roman" w:cs="Times New Roman"/>
                <w:sz w:val="20"/>
                <w:szCs w:val="20"/>
              </w:rPr>
              <w:t xml:space="preserve">split </w:t>
            </w:r>
            <w:r w:rsidRPr="002F61BB">
              <w:rPr>
                <w:rFonts w:ascii="Times New Roman" w:eastAsia="Times New Roman" w:hAnsi="Times New Roman" w:cs="Times New Roman"/>
                <w:sz w:val="20"/>
                <w:szCs w:val="20"/>
              </w:rPr>
              <w:t xml:space="preserve">the liability to </w:t>
            </w:r>
            <w:proofErr w:type="gramStart"/>
            <w:r w:rsidRPr="002F61BB">
              <w:rPr>
                <w:rFonts w:ascii="Times New Roman" w:eastAsia="Times New Roman" w:hAnsi="Times New Roman" w:cs="Times New Roman"/>
                <w:sz w:val="20"/>
                <w:szCs w:val="20"/>
              </w:rPr>
              <w:t>take into account</w:t>
            </w:r>
            <w:proofErr w:type="gramEnd"/>
            <w:r w:rsidRPr="002F61BB">
              <w:rPr>
                <w:rFonts w:ascii="Times New Roman" w:eastAsia="Times New Roman" w:hAnsi="Times New Roman" w:cs="Times New Roman"/>
                <w:sz w:val="20"/>
                <w:szCs w:val="20"/>
              </w:rPr>
              <w:t xml:space="preserve"> this partial early redemption clause.</w:t>
            </w:r>
          </w:p>
        </w:tc>
      </w:tr>
      <w:tr w:rsidR="00CC0A94" w14:paraId="7FE1CFE0" w14:textId="77777777" w:rsidTr="002F61BB">
        <w:tc>
          <w:tcPr>
            <w:tcW w:w="1415" w:type="dxa"/>
            <w:tcBorders>
              <w:top w:val="single" w:sz="8" w:space="0" w:color="1A171C"/>
              <w:left w:val="nil"/>
              <w:bottom w:val="single" w:sz="8" w:space="0" w:color="1A171C"/>
              <w:right w:val="single" w:sz="8" w:space="0" w:color="1A171C"/>
            </w:tcBorders>
            <w:vAlign w:val="center"/>
          </w:tcPr>
          <w:p w14:paraId="7FE1CFD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Legal maturity </w:t>
            </w:r>
          </w:p>
          <w:p w14:paraId="7FE1CFDF" w14:textId="3157371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of the legal, final maturity of the instrument. For perpetual instruments, </w:t>
            </w:r>
            <w:r>
              <w:rPr>
                <w:rFonts w:ascii="Times New Roman" w:eastAsia="Times New Roman" w:hAnsi="Times New Roman" w:cs="Times New Roman"/>
                <w:sz w:val="20"/>
                <w:szCs w:val="20"/>
              </w:rPr>
              <w:t>use</w:t>
            </w:r>
            <w:r w:rsidRPr="002F61BB">
              <w:rPr>
                <w:rFonts w:ascii="Times New Roman" w:eastAsia="Times New Roman" w:hAnsi="Times New Roman" w:cs="Times New Roman"/>
                <w:sz w:val="20"/>
                <w:szCs w:val="20"/>
              </w:rPr>
              <w:t xml:space="preserve"> ‘2099-01-31’.</w:t>
            </w:r>
          </w:p>
        </w:tc>
      </w:tr>
      <w:tr w:rsidR="00CC0A94" w14:paraId="7FE1CFE4" w14:textId="77777777" w:rsidTr="002F61BB">
        <w:tc>
          <w:tcPr>
            <w:tcW w:w="1415" w:type="dxa"/>
            <w:tcBorders>
              <w:top w:val="single" w:sz="8" w:space="0" w:color="1A171C"/>
              <w:left w:val="nil"/>
              <w:bottom w:val="single" w:sz="8" w:space="0" w:color="1A171C"/>
              <w:right w:val="single" w:sz="8" w:space="0" w:color="1A171C"/>
            </w:tcBorders>
            <w:vAlign w:val="center"/>
          </w:tcPr>
          <w:p w14:paraId="7FE1CFE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Public/Private placement </w:t>
            </w:r>
          </w:p>
          <w:p w14:paraId="7FE1CFE3"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In a public placement, the entity will have publicized the issuance with a specific timing for a bidding procedure. On the contrary, private placements are negotiated between individual parties acting either for their own account </w:t>
            </w:r>
            <w:proofErr w:type="gramStart"/>
            <w:r w:rsidRPr="002F61BB">
              <w:rPr>
                <w:rFonts w:ascii="Times New Roman" w:eastAsia="Times New Roman" w:hAnsi="Times New Roman" w:cs="Times New Roman"/>
                <w:sz w:val="20"/>
                <w:szCs w:val="20"/>
              </w:rPr>
              <w:t>of</w:t>
            </w:r>
            <w:proofErr w:type="gramEnd"/>
            <w:r w:rsidRPr="002F61BB">
              <w:rPr>
                <w:rFonts w:ascii="Times New Roman" w:eastAsia="Times New Roman" w:hAnsi="Times New Roman" w:cs="Times New Roman"/>
                <w:sz w:val="20"/>
                <w:szCs w:val="20"/>
              </w:rPr>
              <w:t xml:space="preserve"> for the account of third parties. Value can be ‘Public Placement’ or ‘Private Placement’ from a predefined list.</w:t>
            </w:r>
          </w:p>
        </w:tc>
      </w:tr>
      <w:tr w:rsidR="00CC0A94" w14:paraId="7FE1CFE8" w14:textId="77777777" w:rsidTr="002F61BB">
        <w:tc>
          <w:tcPr>
            <w:tcW w:w="1415" w:type="dxa"/>
            <w:tcBorders>
              <w:top w:val="single" w:sz="8" w:space="0" w:color="1A171C"/>
              <w:left w:val="nil"/>
              <w:bottom w:val="single" w:sz="8" w:space="0" w:color="1A171C"/>
              <w:right w:val="single" w:sz="8" w:space="0" w:color="1A171C"/>
            </w:tcBorders>
            <w:vAlign w:val="center"/>
          </w:tcPr>
          <w:p w14:paraId="7FE1CFE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Paying agent </w:t>
            </w:r>
          </w:p>
          <w:p w14:paraId="7FE1CFE7"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Identification of the Paying Agent for the instrument using its LEI code. A "paying agent" is an institution, usually an investment bank, which accepts funds from the </w:t>
            </w:r>
            <w:proofErr w:type="gramStart"/>
            <w:r w:rsidRPr="002F61BB">
              <w:rPr>
                <w:rFonts w:ascii="Times New Roman" w:eastAsia="Times New Roman" w:hAnsi="Times New Roman" w:cs="Times New Roman"/>
                <w:sz w:val="20"/>
                <w:szCs w:val="20"/>
              </w:rPr>
              <w:t>issuer of a security</w:t>
            </w:r>
            <w:proofErr w:type="gramEnd"/>
            <w:r w:rsidRPr="002F61BB">
              <w:rPr>
                <w:rFonts w:ascii="Times New Roman" w:eastAsia="Times New Roman" w:hAnsi="Times New Roman" w:cs="Times New Roman"/>
                <w:sz w:val="20"/>
                <w:szCs w:val="20"/>
              </w:rPr>
              <w:t xml:space="preserve"> and distributes them to that </w:t>
            </w:r>
            <w:proofErr w:type="gramStart"/>
            <w:r w:rsidRPr="002F61BB">
              <w:rPr>
                <w:rFonts w:ascii="Times New Roman" w:eastAsia="Times New Roman" w:hAnsi="Times New Roman" w:cs="Times New Roman"/>
                <w:sz w:val="20"/>
                <w:szCs w:val="20"/>
              </w:rPr>
              <w:t>security's</w:t>
            </w:r>
            <w:proofErr w:type="gramEnd"/>
            <w:r w:rsidRPr="002F61BB">
              <w:rPr>
                <w:rFonts w:ascii="Times New Roman" w:eastAsia="Times New Roman" w:hAnsi="Times New Roman" w:cs="Times New Roman"/>
                <w:sz w:val="20"/>
                <w:szCs w:val="20"/>
              </w:rPr>
              <w:t xml:space="preserve"> holders. For stocks, a paying agent distributes dividends to stockholders. For bonds, it distributes coupon payments and reimbursements of principal to bondholders.</w:t>
            </w:r>
          </w:p>
        </w:tc>
      </w:tr>
      <w:tr w:rsidR="00CC0A94" w14:paraId="7FE1CFF0" w14:textId="77777777" w:rsidTr="002F61BB">
        <w:tc>
          <w:tcPr>
            <w:tcW w:w="1415" w:type="dxa"/>
            <w:tcBorders>
              <w:top w:val="single" w:sz="8" w:space="0" w:color="1A171C"/>
              <w:left w:val="nil"/>
              <w:bottom w:val="single" w:sz="8" w:space="0" w:color="1A171C"/>
              <w:right w:val="single" w:sz="8" w:space="0" w:color="1A171C"/>
            </w:tcBorders>
            <w:vAlign w:val="center"/>
          </w:tcPr>
          <w:p w14:paraId="7FE1CFED" w14:textId="77777777" w:rsidR="00CC0A94" w:rsidRPr="002F61BB" w:rsidRDefault="006C1571" w:rsidP="002F61BB">
            <w:pPr>
              <w:pStyle w:val="TableParagraph"/>
              <w:spacing w:before="108"/>
              <w:ind w:left="85"/>
              <w:jc w:val="both"/>
              <w:rPr>
                <w:rFonts w:ascii="Times New Roman" w:hAnsi="Times New Roman" w:cs="Times New Roman"/>
              </w:rPr>
            </w:pPr>
            <w:r w:rsidRPr="002F61BB">
              <w:rPr>
                <w:rFonts w:ascii="Times New Roman" w:eastAsia="Times New Roman" w:hAnsi="Times New Roman" w:cs="Times New Roman"/>
                <w:sz w:val="20"/>
                <w:szCs w:val="20"/>
              </w:rP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Counterparty identifier </w:t>
            </w:r>
          </w:p>
          <w:p w14:paraId="7FE1CFEF" w14:textId="599C655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eport the creditor’s LEI code. In the absence of a LEI, in the case of banks</w:t>
            </w:r>
            <w:r>
              <w:rPr>
                <w:rFonts w:ascii="Times New Roman" w:eastAsia="Times New Roman" w:hAnsi="Times New Roman" w:cs="Times New Roman"/>
                <w:sz w:val="20"/>
                <w:szCs w:val="20"/>
              </w:rPr>
              <w:t>, report</w:t>
            </w:r>
            <w:r w:rsidRPr="002F61BB">
              <w:rPr>
                <w:rFonts w:ascii="Times New Roman" w:eastAsia="Times New Roman" w:hAnsi="Times New Roman" w:cs="Times New Roman"/>
                <w:sz w:val="20"/>
                <w:szCs w:val="20"/>
              </w:rPr>
              <w:t xml:space="preserve"> the ECB Monetary Financial Institutions identifier (MFI ID) used in RIAD. Exclusively in absence of both these identifiers,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an internal identifier.</w:t>
            </w:r>
          </w:p>
        </w:tc>
      </w:tr>
      <w:tr w:rsidR="00CC0A94" w14:paraId="7FE1CFF4" w14:textId="77777777" w:rsidTr="002F61BB">
        <w:tc>
          <w:tcPr>
            <w:tcW w:w="1415" w:type="dxa"/>
            <w:tcBorders>
              <w:top w:val="single" w:sz="8" w:space="0" w:color="1A171C"/>
              <w:left w:val="nil"/>
              <w:bottom w:val="single" w:sz="8" w:space="0" w:color="1A171C"/>
              <w:right w:val="single" w:sz="8" w:space="0" w:color="1A171C"/>
            </w:tcBorders>
            <w:vAlign w:val="center"/>
          </w:tcPr>
          <w:p w14:paraId="7FE1CFF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CFF3"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lastRenderedPageBreak/>
              <w:t>To be chosen among the following options: “LEI code”, “MFI code” or “Type of identifier, other than LEI or MFI code”.</w:t>
            </w:r>
          </w:p>
        </w:tc>
      </w:tr>
      <w:tr w:rsidR="00CC0A94" w14:paraId="7FE1CFF8" w14:textId="77777777" w:rsidTr="002F61BB">
        <w:tc>
          <w:tcPr>
            <w:tcW w:w="1415" w:type="dxa"/>
            <w:tcBorders>
              <w:top w:val="single" w:sz="8" w:space="0" w:color="1A171C"/>
              <w:left w:val="nil"/>
              <w:bottom w:val="single" w:sz="8" w:space="0" w:color="1A171C"/>
              <w:right w:val="single" w:sz="8" w:space="0" w:color="1A171C"/>
            </w:tcBorders>
            <w:vAlign w:val="center"/>
          </w:tcPr>
          <w:p w14:paraId="7FE1CFF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Exchanges securities are listed on </w:t>
            </w:r>
          </w:p>
          <w:p w14:paraId="7FE1CFF7" w14:textId="3C377B4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instruments are listed on an exchange platform, </w:t>
            </w:r>
            <w:r>
              <w:rPr>
                <w:rFonts w:ascii="Times New Roman" w:eastAsia="Times New Roman" w:hAnsi="Times New Roman" w:cs="Times New Roman"/>
                <w:sz w:val="20"/>
                <w:szCs w:val="20"/>
              </w:rPr>
              <w:t xml:space="preserve">provide </w:t>
            </w:r>
            <w:r w:rsidRPr="002F61BB">
              <w:rPr>
                <w:rFonts w:ascii="Times New Roman" w:eastAsia="Times New Roman" w:hAnsi="Times New Roman" w:cs="Times New Roman"/>
                <w:sz w:val="20"/>
                <w:szCs w:val="20"/>
              </w:rPr>
              <w:t>this/these platform(s). Where multiple exchanges are concerned, separate the platforms with a semicolon.</w:t>
            </w:r>
          </w:p>
        </w:tc>
      </w:tr>
      <w:tr w:rsidR="00CC0A94" w14:paraId="7FE1CFFC" w14:textId="77777777" w:rsidTr="002F61BB">
        <w:tc>
          <w:tcPr>
            <w:tcW w:w="1415" w:type="dxa"/>
            <w:tcBorders>
              <w:top w:val="single" w:sz="8" w:space="0" w:color="1A171C"/>
              <w:left w:val="nil"/>
              <w:bottom w:val="single" w:sz="8" w:space="0" w:color="1A171C"/>
              <w:right w:val="single" w:sz="8" w:space="0" w:color="1A171C"/>
            </w:tcBorders>
            <w:vAlign w:val="center"/>
          </w:tcPr>
          <w:p w14:paraId="7FE1CFF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Settlement systems  </w:t>
            </w:r>
          </w:p>
          <w:p w14:paraId="7FE1CFFB" w14:textId="2006B3A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the Securities Settlement Systems where these securities can be settled. Where multiple settlement systems are concerned, separate each one with a semicolon.</w:t>
            </w:r>
          </w:p>
        </w:tc>
      </w:tr>
      <w:tr w:rsidR="00CC0A94" w14:paraId="7FE1D000" w14:textId="77777777" w:rsidTr="002F61BB">
        <w:tc>
          <w:tcPr>
            <w:tcW w:w="1415" w:type="dxa"/>
            <w:tcBorders>
              <w:top w:val="single" w:sz="8" w:space="0" w:color="1A171C"/>
              <w:left w:val="nil"/>
              <w:bottom w:val="single" w:sz="8" w:space="0" w:color="1A171C"/>
              <w:right w:val="single" w:sz="8" w:space="0" w:color="1A171C"/>
            </w:tcBorders>
            <w:vAlign w:val="center"/>
          </w:tcPr>
          <w:p w14:paraId="7FE1CFF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Registrar </w:t>
            </w:r>
          </w:p>
          <w:p w14:paraId="7FE1CFF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Indicate the registrar (responsible for holding the records of these securities' owners). The registrar or register holder is usually the issuer itself, a CSD or another entity. </w:t>
            </w:r>
          </w:p>
        </w:tc>
      </w:tr>
      <w:tr w:rsidR="00CC0A94" w14:paraId="7FE1D004" w14:textId="77777777" w:rsidTr="002F61BB">
        <w:tc>
          <w:tcPr>
            <w:tcW w:w="1415" w:type="dxa"/>
            <w:tcBorders>
              <w:top w:val="single" w:sz="8" w:space="0" w:color="1A171C"/>
              <w:left w:val="nil"/>
              <w:right w:val="single" w:sz="8" w:space="0" w:color="1A171C"/>
            </w:tcBorders>
            <w:vAlign w:val="center"/>
          </w:tcPr>
          <w:p w14:paraId="7FE1D00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c250</w:t>
            </w:r>
          </w:p>
        </w:tc>
        <w:tc>
          <w:tcPr>
            <w:tcW w:w="7611" w:type="dxa"/>
            <w:gridSpan w:val="2"/>
            <w:tcBorders>
              <w:top w:val="single" w:sz="8" w:space="0" w:color="1A171C"/>
              <w:left w:val="single" w:sz="8" w:space="0" w:color="1A171C"/>
              <w:right w:val="nil"/>
            </w:tcBorders>
            <w:vAlign w:val="bottom"/>
          </w:tcPr>
          <w:p w14:paraId="7FE1D002" w14:textId="200E4E8A"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Central </w:t>
            </w:r>
            <w:proofErr w:type="gramStart"/>
            <w:r w:rsidRPr="002F61BB">
              <w:rPr>
                <w:rFonts w:ascii="Times New Roman" w:eastAsia="Times New Roman" w:hAnsi="Times New Roman" w:cs="Times New Roman"/>
                <w:b/>
                <w:bCs/>
                <w:sz w:val="20"/>
                <w:szCs w:val="20"/>
              </w:rPr>
              <w:t>securities depository</w:t>
            </w:r>
            <w:proofErr w:type="gramEnd"/>
            <w:r w:rsidRPr="002F61BB">
              <w:rPr>
                <w:rFonts w:ascii="Times New Roman" w:eastAsia="Times New Roman" w:hAnsi="Times New Roman" w:cs="Times New Roman"/>
                <w:b/>
                <w:bCs/>
                <w:sz w:val="20"/>
                <w:szCs w:val="20"/>
              </w:rPr>
              <w:t xml:space="preserve"> </w:t>
            </w:r>
          </w:p>
          <w:p w14:paraId="7FE1D003"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Indicate the </w:t>
            </w:r>
            <w:proofErr w:type="gramStart"/>
            <w:r w:rsidRPr="002F61BB">
              <w:rPr>
                <w:rFonts w:ascii="Times New Roman" w:eastAsia="Times New Roman" w:hAnsi="Times New Roman" w:cs="Times New Roman"/>
                <w:sz w:val="20"/>
                <w:szCs w:val="20"/>
              </w:rPr>
              <w:t>CSD of</w:t>
            </w:r>
            <w:proofErr w:type="gramEnd"/>
            <w:r w:rsidRPr="002F61BB">
              <w:rPr>
                <w:rFonts w:ascii="Times New Roman" w:eastAsia="Times New Roman" w:hAnsi="Times New Roman" w:cs="Times New Roman"/>
                <w:sz w:val="20"/>
                <w:szCs w:val="20"/>
              </w:rPr>
              <w:t xml:space="preserve"> issue for the security.</w:t>
            </w:r>
          </w:p>
        </w:tc>
      </w:tr>
      <w:tr w:rsidR="00CC0A94" w14:paraId="7FE1D02F" w14:textId="77777777" w:rsidTr="002F61BB">
        <w:tc>
          <w:tcPr>
            <w:tcW w:w="1415" w:type="dxa"/>
            <w:tcBorders>
              <w:left w:val="nil"/>
              <w:bottom w:val="single" w:sz="8" w:space="0" w:color="1A171C"/>
              <w:right w:val="single" w:sz="8" w:space="0" w:color="1A171C"/>
            </w:tcBorders>
            <w:vAlign w:val="center"/>
          </w:tcPr>
          <w:p w14:paraId="7FE1D00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w:t>
            </w:r>
          </w:p>
        </w:tc>
        <w:tc>
          <w:tcPr>
            <w:tcW w:w="7611" w:type="dxa"/>
            <w:gridSpan w:val="2"/>
            <w:tcBorders>
              <w:left w:val="single" w:sz="8" w:space="0" w:color="1A171C"/>
              <w:bottom w:val="single" w:sz="8" w:space="0" w:color="1A171C"/>
              <w:right w:val="nil"/>
            </w:tcBorders>
            <w:vAlign w:val="bottom"/>
          </w:tcPr>
          <w:p w14:paraId="7FE1D006" w14:textId="599DD4C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When reporting the CSD of issue, use the abbreviation indicated in the table below, except if the relevant CSD is not in the list:</w:t>
            </w:r>
          </w:p>
          <w:p w14:paraId="7FE1D007"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ATHEX CSD_EL</w:t>
            </w:r>
          </w:p>
          <w:p w14:paraId="7FE1D008"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BOGS_EL</w:t>
            </w:r>
          </w:p>
          <w:p w14:paraId="7FE1D009"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CBF_DE</w:t>
            </w:r>
          </w:p>
          <w:p w14:paraId="7FE1D00A"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CBL_LU</w:t>
            </w:r>
          </w:p>
          <w:p w14:paraId="7FE1D00B"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CDCP SR_SK</w:t>
            </w:r>
          </w:p>
          <w:p w14:paraId="7FE1D00C"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CDCP_CZ</w:t>
            </w:r>
          </w:p>
          <w:p w14:paraId="7FE1D00D"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Central Depository &amp; Clearing </w:t>
            </w:r>
            <w:proofErr w:type="spellStart"/>
            <w:r w:rsidRPr="002F61BB">
              <w:rPr>
                <w:rFonts w:ascii="Times New Roman" w:eastAsia="Times New Roman" w:hAnsi="Times New Roman" w:cs="Times New Roman"/>
                <w:sz w:val="20"/>
                <w:szCs w:val="20"/>
              </w:rPr>
              <w:t>Company_HR</w:t>
            </w:r>
            <w:proofErr w:type="spellEnd"/>
          </w:p>
          <w:p w14:paraId="7FE1D00E"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Central Depository of Securities </w:t>
            </w:r>
            <w:proofErr w:type="spellStart"/>
            <w:r w:rsidRPr="002F61BB">
              <w:rPr>
                <w:rFonts w:ascii="Times New Roman" w:eastAsia="Times New Roman" w:hAnsi="Times New Roman" w:cs="Times New Roman"/>
                <w:sz w:val="20"/>
                <w:szCs w:val="20"/>
              </w:rPr>
              <w:t>Prague_CZ</w:t>
            </w:r>
            <w:proofErr w:type="spellEnd"/>
          </w:p>
          <w:p w14:paraId="7FE1D00F"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Central </w:t>
            </w:r>
            <w:proofErr w:type="spellStart"/>
            <w:r w:rsidRPr="002F61BB">
              <w:rPr>
                <w:rFonts w:ascii="Times New Roman" w:eastAsia="Times New Roman" w:hAnsi="Times New Roman" w:cs="Times New Roman"/>
                <w:sz w:val="20"/>
                <w:szCs w:val="20"/>
              </w:rPr>
              <w:t>Depository_BG</w:t>
            </w:r>
            <w:proofErr w:type="spellEnd"/>
          </w:p>
          <w:p w14:paraId="7FE1D010"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Cyprus CDCR_CY</w:t>
            </w:r>
          </w:p>
          <w:p w14:paraId="7FE1D011"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proofErr w:type="spellStart"/>
            <w:r w:rsidRPr="002F61BB">
              <w:rPr>
                <w:rFonts w:ascii="Times New Roman" w:eastAsia="Times New Roman" w:hAnsi="Times New Roman" w:cs="Times New Roman"/>
                <w:sz w:val="20"/>
                <w:szCs w:val="20"/>
              </w:rPr>
              <w:t>Depozitarul</w:t>
            </w:r>
            <w:proofErr w:type="spellEnd"/>
            <w:r w:rsidRPr="002F61BB">
              <w:rPr>
                <w:rFonts w:ascii="Times New Roman" w:eastAsia="Times New Roman" w:hAnsi="Times New Roman" w:cs="Times New Roman"/>
                <w:sz w:val="20"/>
                <w:szCs w:val="20"/>
              </w:rPr>
              <w:t xml:space="preserve"> </w:t>
            </w:r>
            <w:proofErr w:type="spellStart"/>
            <w:r w:rsidRPr="002F61BB">
              <w:rPr>
                <w:rFonts w:ascii="Times New Roman" w:eastAsia="Times New Roman" w:hAnsi="Times New Roman" w:cs="Times New Roman"/>
                <w:sz w:val="20"/>
                <w:szCs w:val="20"/>
              </w:rPr>
              <w:t>Central_RO</w:t>
            </w:r>
            <w:proofErr w:type="spellEnd"/>
          </w:p>
          <w:p w14:paraId="7FE1D012"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DTC_US</w:t>
            </w:r>
          </w:p>
          <w:p w14:paraId="7FE1D013"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Euroclear </w:t>
            </w:r>
            <w:proofErr w:type="spellStart"/>
            <w:r w:rsidRPr="002F61BB">
              <w:rPr>
                <w:rFonts w:ascii="Times New Roman" w:eastAsia="Times New Roman" w:hAnsi="Times New Roman" w:cs="Times New Roman"/>
                <w:sz w:val="20"/>
                <w:szCs w:val="20"/>
              </w:rPr>
              <w:t>Bank_BE</w:t>
            </w:r>
            <w:proofErr w:type="spellEnd"/>
          </w:p>
          <w:p w14:paraId="7FE1D014"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Euroclear </w:t>
            </w:r>
            <w:proofErr w:type="spellStart"/>
            <w:r w:rsidRPr="002F61BB">
              <w:rPr>
                <w:rFonts w:ascii="Times New Roman" w:eastAsia="Times New Roman" w:hAnsi="Times New Roman" w:cs="Times New Roman"/>
                <w:sz w:val="20"/>
                <w:szCs w:val="20"/>
              </w:rPr>
              <w:t>Belgium_BE</w:t>
            </w:r>
            <w:proofErr w:type="spellEnd"/>
          </w:p>
          <w:p w14:paraId="7FE1D015"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Euroclear </w:t>
            </w:r>
            <w:proofErr w:type="spellStart"/>
            <w:r w:rsidRPr="002F61BB">
              <w:rPr>
                <w:rFonts w:ascii="Times New Roman" w:eastAsia="Times New Roman" w:hAnsi="Times New Roman" w:cs="Times New Roman"/>
                <w:sz w:val="20"/>
                <w:szCs w:val="20"/>
              </w:rPr>
              <w:t>Finland_FI</w:t>
            </w:r>
            <w:proofErr w:type="spellEnd"/>
          </w:p>
          <w:p w14:paraId="7FE1D01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Euroclear </w:t>
            </w:r>
            <w:proofErr w:type="spellStart"/>
            <w:r w:rsidRPr="002F61BB">
              <w:rPr>
                <w:rFonts w:ascii="Times New Roman" w:eastAsia="Times New Roman" w:hAnsi="Times New Roman" w:cs="Times New Roman"/>
                <w:sz w:val="20"/>
                <w:szCs w:val="20"/>
              </w:rPr>
              <w:t>France_FR</w:t>
            </w:r>
            <w:proofErr w:type="spellEnd"/>
          </w:p>
          <w:p w14:paraId="7FE1D017"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Euroclear </w:t>
            </w:r>
            <w:proofErr w:type="spellStart"/>
            <w:r w:rsidRPr="002F61BB">
              <w:rPr>
                <w:rFonts w:ascii="Times New Roman" w:eastAsia="Times New Roman" w:hAnsi="Times New Roman" w:cs="Times New Roman"/>
                <w:sz w:val="20"/>
                <w:szCs w:val="20"/>
              </w:rPr>
              <w:t>Netherlands_NL</w:t>
            </w:r>
            <w:proofErr w:type="spellEnd"/>
          </w:p>
          <w:p w14:paraId="7FE1D018"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Euroclear </w:t>
            </w:r>
            <w:proofErr w:type="spellStart"/>
            <w:r w:rsidRPr="002F61BB">
              <w:rPr>
                <w:rFonts w:ascii="Times New Roman" w:eastAsia="Times New Roman" w:hAnsi="Times New Roman" w:cs="Times New Roman"/>
                <w:sz w:val="20"/>
                <w:szCs w:val="20"/>
              </w:rPr>
              <w:t>Sweden_SE</w:t>
            </w:r>
            <w:proofErr w:type="spellEnd"/>
          </w:p>
          <w:p w14:paraId="7FE1D019"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Euroclear UK &amp; </w:t>
            </w:r>
            <w:proofErr w:type="spellStart"/>
            <w:r w:rsidRPr="002F61BB">
              <w:rPr>
                <w:rFonts w:ascii="Times New Roman" w:eastAsia="Times New Roman" w:hAnsi="Times New Roman" w:cs="Times New Roman"/>
                <w:sz w:val="20"/>
                <w:szCs w:val="20"/>
              </w:rPr>
              <w:t>Ireland_UK</w:t>
            </w:r>
            <w:proofErr w:type="spellEnd"/>
          </w:p>
          <w:p w14:paraId="7FE1D01A"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Government Securities Depository (GSD)_BG</w:t>
            </w:r>
          </w:p>
          <w:p w14:paraId="7FE1D01B"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proofErr w:type="spellStart"/>
            <w:r w:rsidRPr="002F61BB">
              <w:rPr>
                <w:rFonts w:ascii="Times New Roman" w:eastAsia="Times New Roman" w:hAnsi="Times New Roman" w:cs="Times New Roman"/>
                <w:sz w:val="20"/>
                <w:szCs w:val="20"/>
                <w:lang w:val="es-ES"/>
              </w:rPr>
              <w:t>Iberclear_ES</w:t>
            </w:r>
            <w:proofErr w:type="spellEnd"/>
          </w:p>
          <w:p w14:paraId="7FE1D01C"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INTERBOLSA_PT</w:t>
            </w:r>
          </w:p>
          <w:p w14:paraId="7FE1D01D"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KDD_SI</w:t>
            </w:r>
          </w:p>
          <w:p w14:paraId="7FE1D01E"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KDPW_PL</w:t>
            </w:r>
          </w:p>
          <w:p w14:paraId="7FE1D01F"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KELER_HU</w:t>
            </w:r>
          </w:p>
          <w:p w14:paraId="7FE1D020"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lastRenderedPageBreak/>
              <w:t>LUX CSD_LU</w:t>
            </w:r>
          </w:p>
          <w:p w14:paraId="7FE1D021"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Malta Stock Exchange CSD_MT</w:t>
            </w:r>
          </w:p>
          <w:p w14:paraId="7FE1D022"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Euronext Securities </w:t>
            </w:r>
            <w:proofErr w:type="spellStart"/>
            <w:r w:rsidRPr="002F61BB">
              <w:rPr>
                <w:rFonts w:ascii="Times New Roman" w:eastAsia="Times New Roman" w:hAnsi="Times New Roman" w:cs="Times New Roman"/>
                <w:sz w:val="20"/>
                <w:szCs w:val="20"/>
              </w:rPr>
              <w:t>Milan_IT</w:t>
            </w:r>
            <w:proofErr w:type="spellEnd"/>
          </w:p>
          <w:p w14:paraId="7FE1D023"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Nasdaq CSD_EE</w:t>
            </w:r>
          </w:p>
          <w:p w14:paraId="7FE1D024"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Nasdaq CSD_LT</w:t>
            </w:r>
          </w:p>
          <w:p w14:paraId="7FE1D025"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Nasdaq CSD_LV</w:t>
            </w:r>
          </w:p>
          <w:p w14:paraId="7FE1D02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NBB SSS_BE</w:t>
            </w:r>
          </w:p>
          <w:p w14:paraId="7FE1D027"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proofErr w:type="spellStart"/>
            <w:r w:rsidRPr="002F61BB">
              <w:rPr>
                <w:rFonts w:ascii="Times New Roman" w:eastAsia="Times New Roman" w:hAnsi="Times New Roman" w:cs="Times New Roman"/>
                <w:sz w:val="20"/>
                <w:szCs w:val="20"/>
              </w:rPr>
              <w:t>nCDCP_SK</w:t>
            </w:r>
            <w:proofErr w:type="spellEnd"/>
          </w:p>
          <w:p w14:paraId="7FE1D028"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proofErr w:type="spellStart"/>
            <w:r w:rsidRPr="002F61BB">
              <w:rPr>
                <w:rFonts w:ascii="Times New Roman" w:eastAsia="Times New Roman" w:hAnsi="Times New Roman" w:cs="Times New Roman"/>
                <w:sz w:val="20"/>
                <w:szCs w:val="20"/>
              </w:rPr>
              <w:t>OeKB</w:t>
            </w:r>
            <w:proofErr w:type="spellEnd"/>
            <w:r w:rsidRPr="002F61BB">
              <w:rPr>
                <w:rFonts w:ascii="Times New Roman" w:eastAsia="Times New Roman" w:hAnsi="Times New Roman" w:cs="Times New Roman"/>
                <w:sz w:val="20"/>
                <w:szCs w:val="20"/>
              </w:rPr>
              <w:t xml:space="preserve"> CSD_AT</w:t>
            </w:r>
          </w:p>
          <w:p w14:paraId="7FE1D029"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SAFIR_RO</w:t>
            </w:r>
          </w:p>
          <w:p w14:paraId="7FE1D02A"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SIX SIS_CH</w:t>
            </w:r>
          </w:p>
          <w:p w14:paraId="7FE1D02B"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SKARBNET4_PL</w:t>
            </w:r>
          </w:p>
          <w:p w14:paraId="7FE1D02C"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SKD_CZ</w:t>
            </w:r>
          </w:p>
          <w:p w14:paraId="7FE1D02D"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VP </w:t>
            </w:r>
            <w:proofErr w:type="spellStart"/>
            <w:r w:rsidRPr="002F61BB">
              <w:rPr>
                <w:rFonts w:ascii="Times New Roman" w:eastAsia="Times New Roman" w:hAnsi="Times New Roman" w:cs="Times New Roman"/>
                <w:sz w:val="20"/>
                <w:szCs w:val="20"/>
              </w:rPr>
              <w:t>Securities_DK</w:t>
            </w:r>
            <w:proofErr w:type="spellEnd"/>
          </w:p>
          <w:p w14:paraId="7FE1D02E"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VPS_NO</w:t>
            </w:r>
          </w:p>
        </w:tc>
      </w:tr>
      <w:tr w:rsidR="00CC0A94" w14:paraId="7FE1D036" w14:textId="77777777" w:rsidTr="002F61BB">
        <w:tc>
          <w:tcPr>
            <w:tcW w:w="1415" w:type="dxa"/>
            <w:tcBorders>
              <w:top w:val="single" w:sz="8" w:space="0" w:color="1A171C"/>
              <w:left w:val="nil"/>
              <w:bottom w:val="single" w:sz="8" w:space="0" w:color="1A171C"/>
              <w:right w:val="single" w:sz="8" w:space="0" w:color="1A171C"/>
            </w:tcBorders>
            <w:vAlign w:val="center"/>
          </w:tcPr>
          <w:p w14:paraId="7FE1D03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of pledge, </w:t>
            </w:r>
            <w:proofErr w:type="gramStart"/>
            <w:r w:rsidRPr="002F61BB">
              <w:rPr>
                <w:rFonts w:ascii="Times New Roman" w:eastAsia="Times New Roman" w:hAnsi="Times New Roman" w:cs="Times New Roman"/>
                <w:b/>
                <w:bCs/>
                <w:sz w:val="20"/>
                <w:szCs w:val="20"/>
              </w:rPr>
              <w:t>lien</w:t>
            </w:r>
            <w:proofErr w:type="gramEnd"/>
            <w:r w:rsidRPr="002F61BB">
              <w:rPr>
                <w:rFonts w:ascii="Times New Roman" w:eastAsia="Times New Roman" w:hAnsi="Times New Roman" w:cs="Times New Roman"/>
                <w:b/>
                <w:bCs/>
                <w:sz w:val="20"/>
                <w:szCs w:val="20"/>
              </w:rPr>
              <w:t xml:space="preserve"> or collateral</w:t>
            </w:r>
          </w:p>
          <w:p w14:paraId="7FE1D035" w14:textId="01C91AE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Where a liability is secured by a pledge, </w:t>
            </w:r>
            <w:proofErr w:type="gramStart"/>
            <w:r w:rsidRPr="002F61BB">
              <w:rPr>
                <w:rFonts w:ascii="Times New Roman" w:eastAsia="Times New Roman" w:hAnsi="Times New Roman" w:cs="Times New Roman"/>
                <w:sz w:val="20"/>
                <w:szCs w:val="20"/>
              </w:rPr>
              <w:t>lien</w:t>
            </w:r>
            <w:proofErr w:type="gramEnd"/>
            <w:r w:rsidRPr="002F61BB">
              <w:rPr>
                <w:rFonts w:ascii="Times New Roman" w:eastAsia="Times New Roman" w:hAnsi="Times New Roman" w:cs="Times New Roman"/>
                <w:sz w:val="20"/>
                <w:szCs w:val="20"/>
              </w:rPr>
              <w:t xml:space="preserve"> or collateral, the gross market value of the latter shall be reported. Otherwise, for unsecured liabilities this category shall be reported as nil. This amount will determine the collateralized and eventually the uncollateralized part of any secured liability. For collateral pools securing multiple </w:t>
            </w:r>
            <w:r>
              <w:rPr>
                <w:rFonts w:ascii="Times New Roman" w:eastAsia="Times New Roman" w:hAnsi="Times New Roman" w:cs="Times New Roman"/>
                <w:sz w:val="20"/>
                <w:szCs w:val="20"/>
              </w:rPr>
              <w:t>line</w:t>
            </w:r>
            <w:r w:rsidRPr="002F61BB">
              <w:rPr>
                <w:rFonts w:ascii="Times New Roman" w:eastAsia="Times New Roman" w:hAnsi="Times New Roman" w:cs="Times New Roman"/>
                <w:sz w:val="20"/>
                <w:szCs w:val="20"/>
              </w:rPr>
              <w:t xml:space="preserve"> items,</w:t>
            </w:r>
            <w:r>
              <w:rPr>
                <w:rFonts w:ascii="Times New Roman" w:eastAsia="Times New Roman" w:hAnsi="Times New Roman" w:cs="Times New Roman"/>
                <w:sz w:val="20"/>
                <w:szCs w:val="20"/>
              </w:rPr>
              <w:t xml:space="preserve"> determine</w:t>
            </w:r>
            <w:r w:rsidRPr="002F61BB">
              <w:rPr>
                <w:rFonts w:ascii="Times New Roman" w:eastAsia="Times New Roman" w:hAnsi="Times New Roman" w:cs="Times New Roman"/>
                <w:sz w:val="20"/>
                <w:szCs w:val="20"/>
              </w:rPr>
              <w:t xml:space="preserve"> the overall coverage ratio and appl</w:t>
            </w:r>
            <w:r>
              <w:rPr>
                <w:rFonts w:ascii="Times New Roman" w:eastAsia="Times New Roman" w:hAnsi="Times New Roman" w:cs="Times New Roman"/>
                <w:sz w:val="20"/>
                <w:szCs w:val="20"/>
              </w:rPr>
              <w:t>y</w:t>
            </w:r>
            <w:r w:rsidRPr="002F61BB">
              <w:rPr>
                <w:rFonts w:ascii="Times New Roman" w:eastAsia="Times New Roman" w:hAnsi="Times New Roman" w:cs="Times New Roman"/>
                <w:sz w:val="20"/>
                <w:szCs w:val="20"/>
              </w:rPr>
              <w:t xml:space="preserve"> pro rata to all </w:t>
            </w:r>
            <w:r>
              <w:rPr>
                <w:rFonts w:ascii="Times New Roman" w:eastAsia="Times New Roman" w:hAnsi="Times New Roman" w:cs="Times New Roman"/>
                <w:sz w:val="20"/>
                <w:szCs w:val="20"/>
              </w:rPr>
              <w:t>line</w:t>
            </w:r>
            <w:r w:rsidRPr="002F61BB">
              <w:rPr>
                <w:rFonts w:ascii="Times New Roman" w:eastAsia="Times New Roman" w:hAnsi="Times New Roman" w:cs="Times New Roman"/>
                <w:sz w:val="20"/>
                <w:szCs w:val="20"/>
              </w:rPr>
              <w:t xml:space="preserve"> items covered by this pool.</w:t>
            </w:r>
          </w:p>
        </w:tc>
      </w:tr>
      <w:tr w:rsidR="00CC0A94" w14:paraId="7FE1D03A" w14:textId="77777777" w:rsidTr="002F61BB">
        <w:tc>
          <w:tcPr>
            <w:tcW w:w="1415" w:type="dxa"/>
            <w:tcBorders>
              <w:top w:val="single" w:sz="8" w:space="0" w:color="1A171C"/>
              <w:left w:val="nil"/>
              <w:bottom w:val="single" w:sz="8" w:space="0" w:color="1A171C"/>
              <w:right w:val="single" w:sz="8" w:space="0" w:color="1A171C"/>
            </w:tcBorders>
            <w:vAlign w:val="center"/>
          </w:tcPr>
          <w:p w14:paraId="7FE1D03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Guarantor </w:t>
            </w:r>
          </w:p>
          <w:p w14:paraId="7FE1D039" w14:textId="7525BFD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there are guarantees provided for the instrument, provide a detailed identification of the guarantor (LEI code, ISO 3166-1 alpha-2 country code for government, etc.). Where multiple guarantors are present, </w:t>
            </w:r>
            <w:r>
              <w:rPr>
                <w:rFonts w:ascii="Times New Roman" w:eastAsia="Times New Roman" w:hAnsi="Times New Roman" w:cs="Times New Roman"/>
                <w:sz w:val="20"/>
                <w:szCs w:val="20"/>
              </w:rPr>
              <w:t>report all</w:t>
            </w:r>
            <w:r w:rsidRPr="002F61BB">
              <w:rPr>
                <w:rFonts w:ascii="Times New Roman" w:eastAsia="Times New Roman" w:hAnsi="Times New Roman" w:cs="Times New Roman"/>
                <w:sz w:val="20"/>
                <w:szCs w:val="20"/>
              </w:rPr>
              <w:t xml:space="preserve"> identifiers, separated by a semicolon.</w:t>
            </w:r>
          </w:p>
        </w:tc>
      </w:tr>
      <w:tr w:rsidR="00CC0A94" w14:paraId="7FE1D045" w14:textId="77777777" w:rsidTr="002F61BB">
        <w:tc>
          <w:tcPr>
            <w:tcW w:w="1415" w:type="dxa"/>
            <w:tcBorders>
              <w:top w:val="single" w:sz="8" w:space="0" w:color="1A171C"/>
              <w:left w:val="nil"/>
              <w:bottom w:val="single" w:sz="8" w:space="0" w:color="1A171C"/>
              <w:right w:val="single" w:sz="8" w:space="0" w:color="1A171C"/>
            </w:tcBorders>
            <w:vAlign w:val="center"/>
          </w:tcPr>
          <w:p w14:paraId="7FE1D04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meeting the conditions for MREL eligibility </w:t>
            </w:r>
          </w:p>
          <w:p w14:paraId="7FE1D044" w14:textId="63D3C63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own funds and eligible liabilities counting towards the requirement set in accordance with Article 45(1) of the Directive 2014/59/EU</w:t>
            </w:r>
            <w:r>
              <w:rPr>
                <w:rFonts w:ascii="Times New Roman" w:eastAsia="Times New Roman" w:hAnsi="Times New Roman" w:cs="Times New Roman"/>
                <w:sz w:val="20"/>
                <w:szCs w:val="20"/>
              </w:rPr>
              <w:t>.</w:t>
            </w:r>
          </w:p>
        </w:tc>
      </w:tr>
      <w:tr w:rsidR="00CC0A94"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0310</w:t>
            </w:r>
          </w:p>
          <w:p w14:paraId="7FE1D04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w:t>
            </w:r>
          </w:p>
        </w:tc>
        <w:tc>
          <w:tcPr>
            <w:tcW w:w="7611" w:type="dxa"/>
            <w:gridSpan w:val="2"/>
            <w:tcBorders>
              <w:top w:val="single" w:sz="8" w:space="0" w:color="1A171C"/>
              <w:left w:val="single" w:sz="8" w:space="0" w:color="1A171C"/>
              <w:right w:val="nil"/>
            </w:tcBorders>
            <w:vAlign w:val="bottom"/>
          </w:tcPr>
          <w:p w14:paraId="7FE1D048" w14:textId="1CDBBE51"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Qualifying as own funds </w:t>
            </w:r>
          </w:p>
          <w:p w14:paraId="7FE1D049" w14:textId="4AE6A326"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F61BB">
              <w:rPr>
                <w:rFonts w:ascii="Times New Roman" w:eastAsia="Times New Roman" w:hAnsi="Times New Roman" w:cs="Times New Roman"/>
                <w:sz w:val="20"/>
                <w:szCs w:val="20"/>
              </w:rPr>
              <w:t xml:space="preserve">ndicate if and at which level the instrument is included in </w:t>
            </w:r>
            <w:proofErr w:type="gramStart"/>
            <w:r w:rsidRPr="002F61BB">
              <w:rPr>
                <w:rFonts w:ascii="Times New Roman" w:eastAsia="Times New Roman" w:hAnsi="Times New Roman" w:cs="Times New Roman"/>
                <w:sz w:val="20"/>
                <w:szCs w:val="20"/>
              </w:rPr>
              <w:t>the</w:t>
            </w:r>
            <w:proofErr w:type="gramEnd"/>
            <w:r w:rsidRPr="002F61BB">
              <w:rPr>
                <w:rFonts w:ascii="Times New Roman" w:eastAsia="Times New Roman" w:hAnsi="Times New Roman" w:cs="Times New Roman"/>
                <w:sz w:val="20"/>
                <w:szCs w:val="20"/>
              </w:rPr>
              <w:t xml:space="preserve"> own funds, alongside information on the phase-out regime and grandfathering arrangements. Value can be ‘No</w:t>
            </w:r>
            <w:proofErr w:type="gramStart"/>
            <w:r w:rsidRPr="002F61BB">
              <w:rPr>
                <w:rFonts w:ascii="Times New Roman" w:eastAsia="Times New Roman" w:hAnsi="Times New Roman" w:cs="Times New Roman"/>
                <w:sz w:val="20"/>
                <w:szCs w:val="20"/>
              </w:rPr>
              <w:t>’, ‘</w:t>
            </w:r>
            <w:proofErr w:type="gramEnd"/>
            <w:r w:rsidR="00FB6BAE">
              <w:rPr>
                <w:rFonts w:ascii="Times New Roman" w:eastAsia="Times New Roman" w:hAnsi="Times New Roman" w:cs="Times New Roman"/>
                <w:sz w:val="20"/>
                <w:szCs w:val="20"/>
              </w:rPr>
              <w:t>Partially AT1, T</w:t>
            </w:r>
            <w:proofErr w:type="gramStart"/>
            <w:r w:rsidR="00FB6BAE">
              <w:rPr>
                <w:rFonts w:ascii="Times New Roman" w:eastAsia="Times New Roman" w:hAnsi="Times New Roman" w:cs="Times New Roman"/>
                <w:sz w:val="20"/>
                <w:szCs w:val="20"/>
              </w:rPr>
              <w:t xml:space="preserve">1 </w:t>
            </w:r>
            <w:r w:rsidRPr="002F61BB">
              <w:rPr>
                <w:rFonts w:ascii="Times New Roman" w:eastAsia="Times New Roman" w:hAnsi="Times New Roman" w:cs="Times New Roman"/>
                <w:sz w:val="20"/>
                <w:szCs w:val="20"/>
              </w:rPr>
              <w:t xml:space="preserve"> and</w:t>
            </w:r>
            <w:proofErr w:type="gramEnd"/>
            <w:r w:rsidRPr="002F61BB">
              <w:rPr>
                <w:rFonts w:ascii="Times New Roman" w:eastAsia="Times New Roman" w:hAnsi="Times New Roman" w:cs="Times New Roman"/>
                <w:sz w:val="20"/>
                <w:szCs w:val="20"/>
              </w:rPr>
              <w:t xml:space="preserve">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T2 in phase-out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Grandfathered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Fully Compliant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Grandfathered AT1</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Fully Compliant AT1’ or ‘CET1’ from a predefined list. </w:t>
            </w:r>
          </w:p>
          <w:p w14:paraId="7FE1D04A" w14:textId="62223A6F"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list of options, the term 'phase-out' refers to the period of 5 years before maturity of any given T2 instrument, during which there is only a proportionate recognition based on the time remaining until maturity. 'Grandfathered' refers to any transitional measure applicable to a T2 instrument, not including the 'phase-out'. During this 'grandfathering', recognition can be full or partial.</w:t>
            </w:r>
          </w:p>
          <w:p w14:paraId="7FE1D04B" w14:textId="5628990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w:t>
            </w:r>
          </w:p>
        </w:tc>
      </w:tr>
      <w:tr w:rsidR="00CC0A94" w14:paraId="7FE1D051" w14:textId="77777777" w:rsidTr="002F61BB">
        <w:tc>
          <w:tcPr>
            <w:tcW w:w="1415" w:type="dxa"/>
            <w:tcBorders>
              <w:top w:val="single" w:sz="8" w:space="0" w:color="1A171C"/>
              <w:left w:val="nil"/>
              <w:bottom w:val="single" w:sz="8" w:space="0" w:color="1A171C"/>
              <w:right w:val="single" w:sz="8" w:space="0" w:color="1A171C"/>
            </w:tcBorders>
            <w:vAlign w:val="center"/>
          </w:tcPr>
          <w:p w14:paraId="7FE1D04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Amount Qualifying as Own Funds </w:t>
            </w:r>
          </w:p>
          <w:p w14:paraId="7FE1D050" w14:textId="1253231B"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instrument qualifying as own funds.</w:t>
            </w:r>
          </w:p>
        </w:tc>
      </w:tr>
    </w:tbl>
    <w:p w14:paraId="7FE1D052" w14:textId="77777777" w:rsidR="00CC0A94" w:rsidRPr="002F61BB" w:rsidRDefault="00CC0A94">
      <w:pPr>
        <w:rPr>
          <w:rFonts w:ascii="Times New Roman" w:hAnsi="Times New Roman" w:cs="Times New Roman"/>
        </w:rPr>
      </w:pPr>
    </w:p>
    <w:p w14:paraId="7FE1D053" w14:textId="77777777" w:rsidR="00CC0A94" w:rsidRDefault="00CC0A94">
      <w:pPr>
        <w:pStyle w:val="Instructionsberschrift2"/>
        <w:ind w:left="357"/>
        <w:rPr>
          <w:rFonts w:ascii="Times New Roman" w:eastAsia="Calibri" w:hAnsi="Times New Roman" w:cs="Times New Roman"/>
          <w:szCs w:val="20"/>
        </w:rPr>
      </w:pPr>
    </w:p>
    <w:p w14:paraId="7FE1D054" w14:textId="6B5C3BCC"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45" w:name="_Toc192249428"/>
      <w:r>
        <w:rPr>
          <w:rFonts w:ascii="Times New Roman" w:eastAsiaTheme="minorEastAsia" w:hAnsi="Times New Roman" w:cs="Times New Roman"/>
        </w:rPr>
        <w:t>Z 1</w:t>
      </w:r>
      <w:r w:rsidR="00D34E5E">
        <w:rPr>
          <w:rFonts w:ascii="Times New Roman" w:eastAsiaTheme="minorEastAsia" w:hAnsi="Times New Roman" w:cs="Times New Roman"/>
        </w:rPr>
        <w:t>3</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 All Deposits (excluding intragroup)</w:t>
      </w:r>
      <w:r>
        <w:rPr>
          <w:rFonts w:ascii="Times New Roman" w:eastAsiaTheme="minorEastAsia" w:hAnsi="Times New Roman" w:cs="Times New Roman"/>
        </w:rPr>
        <w:t xml:space="preserve"> </w:t>
      </w:r>
      <w:r>
        <w:rPr>
          <w:rFonts w:ascii="Times New Roman" w:eastAsia="Calibri" w:hAnsi="Times New Roman" w:cs="Times New Roman"/>
          <w:szCs w:val="20"/>
        </w:rPr>
        <w:t>(LIAB-G-3)</w:t>
      </w:r>
      <w:bookmarkEnd w:id="245"/>
    </w:p>
    <w:p w14:paraId="7FE1D057" w14:textId="77777777" w:rsidR="00CC0A94" w:rsidRDefault="006C1571">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General remarks</w:t>
      </w:r>
    </w:p>
    <w:p w14:paraId="7FE1D058" w14:textId="669C462E" w:rsidR="00CC0A94" w:rsidRPr="002F61BB" w:rsidRDefault="006C1571" w:rsidP="002F61BB">
      <w:pPr>
        <w:pStyle w:val="InstructionsText2"/>
        <w:numPr>
          <w:ilvl w:val="2"/>
          <w:numId w:val="209"/>
        </w:numPr>
        <w:spacing w:before="0"/>
        <w:ind w:left="1418"/>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The scope of this report covers all deposits, excluding intragroup transactions, regardless of the nature of the deposit or the term.</w:t>
      </w:r>
      <w:r>
        <w:rPr>
          <w:rFonts w:ascii="Times New Roman" w:eastAsia="Cambria" w:hAnsi="Times New Roman" w:cs="Times New Roman"/>
          <w:sz w:val="20"/>
          <w:szCs w:val="20"/>
          <w:lang w:val="en-GB"/>
        </w:rPr>
        <w:t xml:space="preserve"> Deposits should be identified based on the definition provided under article 2 </w:t>
      </w:r>
      <w:r w:rsidRPr="002F61BB">
        <w:rPr>
          <w:rFonts w:ascii="Times New Roman" w:eastAsia="Cambria" w:hAnsi="Times New Roman" w:cs="Times New Roman"/>
          <w:sz w:val="20"/>
          <w:szCs w:val="20"/>
          <w:lang w:val="en-GB"/>
        </w:rPr>
        <w:t xml:space="preserve">(1) (3) </w:t>
      </w:r>
      <w:r>
        <w:rPr>
          <w:rFonts w:ascii="Times New Roman" w:hAnsi="Times New Roman" w:cs="Times New Roman"/>
          <w:sz w:val="20"/>
          <w:szCs w:val="20"/>
        </w:rPr>
        <w:t>of the Directive 2014/49/EU</w:t>
      </w:r>
      <w:r w:rsidRPr="002F61BB">
        <w:rPr>
          <w:rFonts w:ascii="Times New Roman" w:eastAsia="Cambria" w:hAnsi="Times New Roman" w:cs="Times New Roman"/>
          <w:sz w:val="20"/>
          <w:szCs w:val="20"/>
          <w:lang w:val="en-GB"/>
        </w:rPr>
        <w:t>.</w:t>
      </w:r>
    </w:p>
    <w:p w14:paraId="7FE1D05A" w14:textId="4B3AE2E6" w:rsidR="00CC0A94" w:rsidRPr="002F61BB" w:rsidRDefault="006C1571" w:rsidP="002F61BB">
      <w:pPr>
        <w:pStyle w:val="InstructionsText2"/>
        <w:numPr>
          <w:ilvl w:val="2"/>
          <w:numId w:val="209"/>
        </w:numPr>
        <w:spacing w:before="0"/>
        <w:ind w:left="1418"/>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 xml:space="preserve">For the purposes of this table, </w:t>
      </w:r>
      <w:r>
        <w:rPr>
          <w:rFonts w:ascii="Times New Roman" w:eastAsia="Cambria" w:hAnsi="Times New Roman" w:cs="Times New Roman"/>
          <w:sz w:val="20"/>
          <w:szCs w:val="20"/>
          <w:lang w:val="en-GB"/>
        </w:rPr>
        <w:t xml:space="preserve">group </w:t>
      </w:r>
      <w:r w:rsidRPr="002F61BB">
        <w:rPr>
          <w:rFonts w:ascii="Times New Roman" w:eastAsia="Cambria" w:hAnsi="Times New Roman" w:cs="Times New Roman"/>
          <w:sz w:val="20"/>
          <w:szCs w:val="20"/>
          <w:lang w:val="en-GB"/>
        </w:rPr>
        <w:t xml:space="preserve">all </w:t>
      </w:r>
      <w:r>
        <w:rPr>
          <w:rFonts w:ascii="Times New Roman" w:eastAsia="Cambria" w:hAnsi="Times New Roman" w:cs="Times New Roman"/>
          <w:sz w:val="20"/>
          <w:szCs w:val="20"/>
          <w:lang w:val="en-GB"/>
        </w:rPr>
        <w:t>N</w:t>
      </w:r>
      <w:r w:rsidRPr="002F61BB">
        <w:rPr>
          <w:rFonts w:ascii="Times New Roman" w:eastAsia="Cambria" w:hAnsi="Times New Roman" w:cs="Times New Roman"/>
          <w:sz w:val="20"/>
          <w:szCs w:val="20"/>
          <w:lang w:val="en-GB"/>
        </w:rPr>
        <w:t>ot-</w:t>
      </w:r>
      <w:r>
        <w:rPr>
          <w:rFonts w:ascii="Times New Roman" w:eastAsia="Cambria" w:hAnsi="Times New Roman" w:cs="Times New Roman"/>
          <w:sz w:val="20"/>
          <w:szCs w:val="20"/>
          <w:lang w:val="en-GB"/>
        </w:rPr>
        <w:t>C</w:t>
      </w:r>
      <w:r w:rsidRPr="002F61BB">
        <w:rPr>
          <w:rFonts w:ascii="Times New Roman" w:eastAsia="Cambria" w:hAnsi="Times New Roman" w:cs="Times New Roman"/>
          <w:sz w:val="20"/>
          <w:szCs w:val="20"/>
          <w:lang w:val="en-GB"/>
        </w:rPr>
        <w:t>overed</w:t>
      </w:r>
      <w:r>
        <w:rPr>
          <w:rFonts w:ascii="Times New Roman" w:eastAsia="Cambria" w:hAnsi="Times New Roman" w:cs="Times New Roman"/>
          <w:sz w:val="20"/>
          <w:szCs w:val="20"/>
          <w:lang w:val="en-GB"/>
        </w:rPr>
        <w:t>-and-N</w:t>
      </w:r>
      <w:r w:rsidRPr="002F61BB">
        <w:rPr>
          <w:rFonts w:ascii="Times New Roman" w:eastAsia="Cambria" w:hAnsi="Times New Roman" w:cs="Times New Roman"/>
          <w:sz w:val="20"/>
          <w:szCs w:val="20"/>
          <w:lang w:val="en-GB"/>
        </w:rPr>
        <w:t>ot-</w:t>
      </w:r>
      <w:r>
        <w:rPr>
          <w:rFonts w:ascii="Times New Roman" w:eastAsia="Cambria" w:hAnsi="Times New Roman" w:cs="Times New Roman"/>
          <w:sz w:val="20"/>
          <w:szCs w:val="20"/>
          <w:lang w:val="en-GB"/>
        </w:rPr>
        <w:t>P</w:t>
      </w:r>
      <w:r w:rsidRPr="002F61BB">
        <w:rPr>
          <w:rFonts w:ascii="Times New Roman" w:eastAsia="Cambria" w:hAnsi="Times New Roman" w:cs="Times New Roman"/>
          <w:sz w:val="20"/>
          <w:szCs w:val="20"/>
          <w:lang w:val="en-GB"/>
        </w:rPr>
        <w:t>r</w:t>
      </w:r>
      <w:r>
        <w:rPr>
          <w:rFonts w:ascii="Times New Roman" w:eastAsia="Cambria" w:hAnsi="Times New Roman" w:cs="Times New Roman"/>
          <w:sz w:val="20"/>
          <w:szCs w:val="20"/>
          <w:lang w:val="en-GB"/>
        </w:rPr>
        <w:t>eferential</w:t>
      </w:r>
      <w:r w:rsidRPr="002F61BB">
        <w:rPr>
          <w:rFonts w:ascii="Times New Roman" w:eastAsia="Cambria" w:hAnsi="Times New Roman" w:cs="Times New Roman"/>
          <w:sz w:val="20"/>
          <w:szCs w:val="20"/>
          <w:lang w:val="en-GB"/>
        </w:rPr>
        <w:t xml:space="preserve"> deposits </w:t>
      </w:r>
      <w:r>
        <w:rPr>
          <w:rFonts w:ascii="Times New Roman" w:eastAsia="Cambria" w:hAnsi="Times New Roman" w:cs="Times New Roman"/>
          <w:sz w:val="20"/>
          <w:szCs w:val="20"/>
          <w:lang w:val="en-GB"/>
        </w:rPr>
        <w:t>(as defined by Z</w:t>
      </w:r>
      <w:r w:rsidR="00C27BAD">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 xml:space="preserve">02.00-r0320) </w:t>
      </w:r>
      <w:r w:rsidRPr="002F61BB">
        <w:rPr>
          <w:rFonts w:ascii="Times New Roman" w:eastAsia="Cambria" w:hAnsi="Times New Roman" w:cs="Times New Roman"/>
          <w:sz w:val="20"/>
          <w:szCs w:val="20"/>
          <w:lang w:val="en-GB"/>
        </w:rPr>
        <w:t>with a residual maturity of less than 1 year, all covered deposits and Not</w:t>
      </w:r>
      <w:r>
        <w:rPr>
          <w:rFonts w:ascii="Times New Roman" w:eastAsia="Cambria" w:hAnsi="Times New Roman" w:cs="Times New Roman"/>
          <w:sz w:val="20"/>
          <w:szCs w:val="20"/>
          <w:lang w:val="en-GB"/>
        </w:rPr>
        <w:t>-</w:t>
      </w:r>
      <w:r w:rsidRPr="002F61BB">
        <w:rPr>
          <w:rFonts w:ascii="Times New Roman" w:eastAsia="Cambria" w:hAnsi="Times New Roman" w:cs="Times New Roman"/>
          <w:sz w:val="20"/>
          <w:szCs w:val="20"/>
          <w:lang w:val="en-GB"/>
        </w:rPr>
        <w:t>Covered</w:t>
      </w:r>
      <w:r>
        <w:rPr>
          <w:rFonts w:ascii="Times New Roman" w:eastAsia="Cambria" w:hAnsi="Times New Roman" w:cs="Times New Roman"/>
          <w:sz w:val="20"/>
          <w:szCs w:val="20"/>
          <w:lang w:val="en-GB"/>
        </w:rPr>
        <w:t>-</w:t>
      </w:r>
      <w:r w:rsidRPr="002F61BB">
        <w:rPr>
          <w:rFonts w:ascii="Times New Roman" w:eastAsia="Cambria" w:hAnsi="Times New Roman" w:cs="Times New Roman"/>
          <w:sz w:val="20"/>
          <w:szCs w:val="20"/>
          <w:lang w:val="en-GB"/>
        </w:rPr>
        <w:t>but</w:t>
      </w:r>
      <w:r>
        <w:rPr>
          <w:rFonts w:ascii="Times New Roman" w:eastAsia="Cambria" w:hAnsi="Times New Roman" w:cs="Times New Roman"/>
          <w:sz w:val="20"/>
          <w:szCs w:val="20"/>
          <w:lang w:val="en-GB"/>
        </w:rPr>
        <w:t>-</w:t>
      </w:r>
      <w:r w:rsidRPr="002F61BB">
        <w:rPr>
          <w:rFonts w:ascii="Times New Roman" w:eastAsia="Cambria" w:hAnsi="Times New Roman" w:cs="Times New Roman"/>
          <w:sz w:val="20"/>
          <w:szCs w:val="20"/>
          <w:lang w:val="en-GB"/>
        </w:rPr>
        <w:t>Preferential deposits (</w:t>
      </w:r>
      <w:r>
        <w:rPr>
          <w:rFonts w:ascii="Times New Roman" w:eastAsia="Cambria" w:hAnsi="Times New Roman" w:cs="Times New Roman"/>
          <w:sz w:val="20"/>
          <w:szCs w:val="20"/>
          <w:lang w:val="en-GB"/>
        </w:rPr>
        <w:t>as defined by Z</w:t>
      </w:r>
      <w:r w:rsidR="00C27BAD">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 xml:space="preserve">02.00-r0310 and </w:t>
      </w:r>
      <w:r w:rsidRPr="002F61BB">
        <w:rPr>
          <w:rFonts w:ascii="Times New Roman" w:eastAsia="Cambria" w:hAnsi="Times New Roman" w:cs="Times New Roman"/>
          <w:sz w:val="20"/>
          <w:szCs w:val="20"/>
          <w:lang w:val="en-GB"/>
        </w:rPr>
        <w:t>regardless of their residual maturity), by category of liability (column 0020), counterparty type (column 0025) and insolvency ranking (column 0030). Not-Covered</w:t>
      </w:r>
      <w:r>
        <w:rPr>
          <w:rFonts w:ascii="Times New Roman" w:eastAsia="Cambria" w:hAnsi="Times New Roman" w:cs="Times New Roman"/>
          <w:sz w:val="20"/>
          <w:szCs w:val="20"/>
          <w:lang w:val="en-GB"/>
        </w:rPr>
        <w:t>-and-</w:t>
      </w:r>
      <w:r w:rsidRPr="002F61BB">
        <w:rPr>
          <w:rFonts w:ascii="Times New Roman" w:eastAsia="Cambria" w:hAnsi="Times New Roman" w:cs="Times New Roman"/>
          <w:sz w:val="20"/>
          <w:szCs w:val="20"/>
          <w:lang w:val="en-GB"/>
        </w:rPr>
        <w:t xml:space="preserve">Not-Preferred deposits with a residual maturity </w:t>
      </w:r>
      <w:r>
        <w:rPr>
          <w:rFonts w:ascii="Times New Roman" w:eastAsia="Cambria" w:hAnsi="Times New Roman" w:cs="Times New Roman"/>
          <w:sz w:val="20"/>
          <w:szCs w:val="20"/>
          <w:lang w:val="en-GB"/>
        </w:rPr>
        <w:t xml:space="preserve">greater than or equal to </w:t>
      </w:r>
      <w:r w:rsidRPr="002F61BB">
        <w:rPr>
          <w:rFonts w:ascii="Times New Roman" w:eastAsia="Cambria" w:hAnsi="Times New Roman" w:cs="Times New Roman"/>
          <w:sz w:val="20"/>
          <w:szCs w:val="20"/>
          <w:lang w:val="en-GB"/>
        </w:rPr>
        <w:t xml:space="preserve">1 year must be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 with regard of all the requested fields. </w:t>
      </w:r>
    </w:p>
    <w:p w14:paraId="7FE1D05B" w14:textId="4C000A39" w:rsidR="00CC0A94" w:rsidRPr="002F61BB" w:rsidRDefault="006C1571" w:rsidP="002F61BB">
      <w:pPr>
        <w:pStyle w:val="InstructionsText2"/>
        <w:numPr>
          <w:ilvl w:val="2"/>
          <w:numId w:val="209"/>
        </w:numPr>
        <w:spacing w:before="0"/>
        <w:ind w:left="1418"/>
        <w:rPr>
          <w:rFonts w:ascii="Times New Roman" w:eastAsia="Cambria" w:hAnsi="Times New Roman" w:cs="Times New Roman"/>
          <w:sz w:val="20"/>
          <w:szCs w:val="20"/>
          <w:lang w:val="en-GB"/>
        </w:rPr>
      </w:pPr>
      <w:r>
        <w:rPr>
          <w:rFonts w:ascii="Times New Roman" w:eastAsia="Cambria" w:hAnsi="Times New Roman" w:cs="Times New Roman"/>
          <w:sz w:val="20"/>
          <w:szCs w:val="20"/>
          <w:lang w:val="en-GB"/>
        </w:rPr>
        <w:t>Notwithstanding point 67), e</w:t>
      </w:r>
      <w:r w:rsidRPr="002F61BB">
        <w:rPr>
          <w:rFonts w:ascii="Times New Roman" w:eastAsia="Cambria" w:hAnsi="Times New Roman" w:cs="Times New Roman"/>
          <w:sz w:val="20"/>
          <w:szCs w:val="20"/>
          <w:lang w:val="en-GB"/>
        </w:rPr>
        <w:t xml:space="preserve">ach deposit from a credit institution, regardless of the type of deposit, must be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w:t>
      </w:r>
      <w:r w:rsidRPr="002F61BB">
        <w:rPr>
          <w:rFonts w:ascii="Times New Roman" w:hAnsi="Times New Roman" w:cs="Times New Roman"/>
        </w:rPr>
        <w:t xml:space="preserve"> </w:t>
      </w:r>
      <w:r w:rsidRPr="002F61BB">
        <w:rPr>
          <w:rFonts w:ascii="Times New Roman" w:eastAsia="Cambria" w:hAnsi="Times New Roman" w:cs="Times New Roman"/>
          <w:sz w:val="20"/>
          <w:szCs w:val="20"/>
          <w:lang w:val="en-GB"/>
        </w:rPr>
        <w:t xml:space="preserve">with regard of all the requested fields. </w:t>
      </w:r>
      <w:r>
        <w:rPr>
          <w:rFonts w:ascii="Times New Roman" w:eastAsia="Cambria" w:hAnsi="Times New Roman" w:cs="Times New Roman"/>
          <w:sz w:val="20"/>
          <w:szCs w:val="20"/>
          <w:lang w:val="en-GB"/>
        </w:rPr>
        <w:t>For instance, single</w:t>
      </w:r>
      <w:r w:rsidRPr="002F61BB">
        <w:rPr>
          <w:rFonts w:ascii="Times New Roman" w:eastAsia="Cambria" w:hAnsi="Times New Roman" w:cs="Times New Roman"/>
          <w:sz w:val="20"/>
          <w:szCs w:val="20"/>
          <w:lang w:val="en-GB"/>
        </w:rPr>
        <w:t xml:space="preserve"> transaction must be reported in multiple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items in case </w:t>
      </w:r>
      <w:r>
        <w:rPr>
          <w:rFonts w:ascii="Times New Roman" w:eastAsia="Cambria" w:hAnsi="Times New Roman" w:cs="Times New Roman"/>
          <w:sz w:val="20"/>
          <w:szCs w:val="20"/>
          <w:lang w:val="en-GB"/>
        </w:rPr>
        <w:t>it</w:t>
      </w:r>
      <w:r w:rsidRPr="002F61BB">
        <w:rPr>
          <w:rFonts w:ascii="Times New Roman" w:eastAsia="Cambria" w:hAnsi="Times New Roman" w:cs="Times New Roman"/>
          <w:sz w:val="20"/>
          <w:szCs w:val="20"/>
          <w:lang w:val="en-GB"/>
        </w:rPr>
        <w:t xml:space="preserve"> pertain</w:t>
      </w:r>
      <w:r>
        <w:rPr>
          <w:rFonts w:ascii="Times New Roman" w:eastAsia="Cambria" w:hAnsi="Times New Roman" w:cs="Times New Roman"/>
          <w:sz w:val="20"/>
          <w:szCs w:val="20"/>
          <w:lang w:val="en-GB"/>
        </w:rPr>
        <w:t>s</w:t>
      </w:r>
      <w:r w:rsidRPr="002F61BB">
        <w:rPr>
          <w:rFonts w:ascii="Times New Roman" w:eastAsia="Cambria" w:hAnsi="Times New Roman" w:cs="Times New Roman"/>
          <w:sz w:val="20"/>
          <w:szCs w:val="20"/>
          <w:lang w:val="en-GB"/>
        </w:rPr>
        <w:t xml:space="preserve"> to different insolvency rankings.</w:t>
      </w:r>
    </w:p>
    <w:p w14:paraId="7FE1D05C" w14:textId="0E610125" w:rsidR="00CC0A94" w:rsidRPr="002F61BB" w:rsidRDefault="006C1571" w:rsidP="002F61BB">
      <w:pPr>
        <w:pStyle w:val="InstructionsText2"/>
        <w:numPr>
          <w:ilvl w:val="2"/>
          <w:numId w:val="209"/>
        </w:numPr>
        <w:spacing w:before="0"/>
        <w:ind w:left="1418"/>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 xml:space="preserve">All other deposits not explicitly referenced above, must be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w:t>
      </w:r>
      <w:r w:rsidRPr="002F61BB">
        <w:rPr>
          <w:rFonts w:ascii="Times New Roman" w:hAnsi="Times New Roman" w:cs="Times New Roman"/>
        </w:rPr>
        <w:t xml:space="preserve"> </w:t>
      </w:r>
      <w:r w:rsidRPr="002F61BB">
        <w:rPr>
          <w:rFonts w:ascii="Times New Roman" w:eastAsia="Cambria" w:hAnsi="Times New Roman" w:cs="Times New Roman"/>
          <w:sz w:val="20"/>
          <w:szCs w:val="20"/>
          <w:lang w:val="en-GB"/>
        </w:rPr>
        <w:t>with regard of all the requested fields.</w:t>
      </w:r>
    </w:p>
    <w:p w14:paraId="7FE1D061" w14:textId="77777777" w:rsidR="00CC0A94" w:rsidRDefault="006C1571" w:rsidP="002F61BB">
      <w:pPr>
        <w:pStyle w:val="InstructionsText2"/>
        <w:numPr>
          <w:ilvl w:val="0"/>
          <w:numId w:val="0"/>
        </w:numPr>
        <w:ind w:left="753"/>
        <w:rPr>
          <w:rFonts w:ascii="Times New Roman" w:hAnsi="Times New Roman" w:cs="Times New Roman"/>
          <w:color w:val="000000" w:themeColor="text1"/>
          <w:sz w:val="20"/>
          <w:szCs w:val="20"/>
          <w:u w:val="single"/>
          <w:lang w:val="en-GB"/>
        </w:rPr>
      </w:pPr>
      <w:r>
        <w:rPr>
          <w:rFonts w:ascii="Times New Roman" w:hAnsi="Times New Roman" w:cs="Times New Roman"/>
          <w:color w:val="000000" w:themeColor="text1"/>
          <w:sz w:val="20"/>
          <w:szCs w:val="20"/>
          <w:u w:val="single"/>
          <w:lang w:val="en-GB"/>
        </w:rPr>
        <w:t>Instructions concerning specific positions</w:t>
      </w:r>
    </w:p>
    <w:tbl>
      <w:tblPr>
        <w:tblW w:w="0" w:type="auto"/>
        <w:tblLook w:val="01E0" w:firstRow="1" w:lastRow="1" w:firstColumn="1" w:lastColumn="1" w:noHBand="0" w:noVBand="0"/>
      </w:tblPr>
      <w:tblGrid>
        <w:gridCol w:w="1188"/>
        <w:gridCol w:w="7772"/>
        <w:gridCol w:w="66"/>
      </w:tblGrid>
      <w:tr w:rsidR="00CC0A94" w14:paraId="7FE1D064" w14:textId="77777777" w:rsidTr="002F61BB">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Columns</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CC0A94" w:rsidRDefault="006C1571">
            <w:pPr>
              <w:pStyle w:val="TableParagraph"/>
              <w:spacing w:before="108"/>
              <w:ind w:left="85" w:right="1"/>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Instructions</w:t>
            </w:r>
          </w:p>
        </w:tc>
      </w:tr>
      <w:tr w:rsidR="00CC0A94" w14:paraId="7FE1D068" w14:textId="77777777" w:rsidTr="002F61BB">
        <w:tc>
          <w:tcPr>
            <w:tcW w:w="1188" w:type="dxa"/>
            <w:tcBorders>
              <w:top w:val="single" w:sz="8" w:space="0" w:color="1A171C"/>
              <w:left w:val="nil"/>
              <w:bottom w:val="single" w:sz="8" w:space="0" w:color="1A171C"/>
              <w:right w:val="single" w:sz="8" w:space="0" w:color="1A171C"/>
            </w:tcBorders>
          </w:tcPr>
          <w:p w14:paraId="7FE1D06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 </w:t>
            </w:r>
          </w:p>
          <w:p w14:paraId="7FE1D067" w14:textId="4344997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06C" w14:textId="77777777" w:rsidTr="002F61BB">
        <w:tc>
          <w:tcPr>
            <w:tcW w:w="1188" w:type="dxa"/>
            <w:tcBorders>
              <w:top w:val="single" w:sz="8" w:space="0" w:color="1A171C"/>
              <w:left w:val="nil"/>
              <w:bottom w:val="single" w:sz="8" w:space="0" w:color="1A171C"/>
              <w:right w:val="single" w:sz="8" w:space="0" w:color="1A171C"/>
            </w:tcBorders>
          </w:tcPr>
          <w:p w14:paraId="7FE1D06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CC0A94" w:rsidRPr="002F61BB" w:rsidRDefault="000B45B0" w:rsidP="002F61BB">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Row</w:t>
            </w:r>
            <w:r w:rsidR="006C1571" w:rsidRPr="002F61BB">
              <w:rPr>
                <w:rFonts w:ascii="Times New Roman" w:eastAsia="Times New Roman" w:hAnsi="Times New Roman" w:cs="Times New Roman"/>
                <w:b/>
                <w:bCs/>
                <w:sz w:val="20"/>
                <w:szCs w:val="20"/>
              </w:rPr>
              <w:t xml:space="preserve"> </w:t>
            </w:r>
          </w:p>
          <w:p w14:paraId="7FE1D06B" w14:textId="7887C3E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a reconciliation with the category of liabilities of the liability structure in </w:t>
            </w:r>
            <w:r>
              <w:rPr>
                <w:rFonts w:ascii="Times New Roman" w:eastAsia="Times New Roman" w:hAnsi="Times New Roman" w:cs="Times New Roman"/>
                <w:sz w:val="20"/>
                <w:szCs w:val="20"/>
              </w:rPr>
              <w:t>Z</w:t>
            </w:r>
            <w:r w:rsidRPr="002F61B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 xml:space="preserve">.00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at the level of maturity from a predefined list of values.</w:t>
            </w:r>
          </w:p>
        </w:tc>
      </w:tr>
      <w:tr w:rsidR="00CC0A94" w14:paraId="7FE1D070" w14:textId="77777777" w:rsidTr="002F61BB">
        <w:tc>
          <w:tcPr>
            <w:tcW w:w="1188" w:type="dxa"/>
            <w:tcBorders>
              <w:top w:val="single" w:sz="8" w:space="0" w:color="1A171C"/>
              <w:left w:val="nil"/>
              <w:bottom w:val="single" w:sz="8" w:space="0" w:color="1A171C"/>
              <w:right w:val="single" w:sz="8" w:space="0" w:color="1A171C"/>
            </w:tcBorders>
          </w:tcPr>
          <w:p w14:paraId="7FE1D06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D06F" w14:textId="34DE133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a reconciliation with the counterparty class in Ζ02.00 to which the deposit is owed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from predefined list of values.</w:t>
            </w:r>
          </w:p>
        </w:tc>
      </w:tr>
      <w:tr w:rsidR="00CC0A94" w14:paraId="7FE1D074" w14:textId="77777777" w:rsidTr="002F61BB">
        <w:tc>
          <w:tcPr>
            <w:tcW w:w="1188" w:type="dxa"/>
            <w:tcBorders>
              <w:top w:val="single" w:sz="8" w:space="0" w:color="1A171C"/>
              <w:left w:val="nil"/>
              <w:bottom w:val="single" w:sz="8" w:space="0" w:color="1A171C"/>
              <w:right w:val="single" w:sz="8" w:space="0" w:color="1A171C"/>
            </w:tcBorders>
          </w:tcPr>
          <w:p w14:paraId="7FE1D07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Insolvency ranking  </w:t>
            </w:r>
          </w:p>
          <w:p w14:paraId="7FE1D073" w14:textId="3CA3DC0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078" w14:textId="77777777" w:rsidTr="002F61BB">
        <w:tc>
          <w:tcPr>
            <w:tcW w:w="1188" w:type="dxa"/>
            <w:tcBorders>
              <w:top w:val="single" w:sz="8" w:space="0" w:color="1A171C"/>
              <w:left w:val="nil"/>
              <w:bottom w:val="single" w:sz="8" w:space="0" w:color="1A171C"/>
              <w:right w:val="single" w:sz="8" w:space="0" w:color="1A171C"/>
            </w:tcBorders>
          </w:tcPr>
          <w:p w14:paraId="7FE1D07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Contract Identifier </w:t>
            </w:r>
          </w:p>
          <w:p w14:paraId="7FE1D077"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Internal identifier of the contract.</w:t>
            </w:r>
          </w:p>
        </w:tc>
      </w:tr>
      <w:tr w:rsidR="00CC0A94" w14:paraId="7FE1D07C" w14:textId="77777777" w:rsidTr="002F61BB">
        <w:tc>
          <w:tcPr>
            <w:tcW w:w="1188" w:type="dxa"/>
            <w:vMerge w:val="restart"/>
            <w:tcBorders>
              <w:top w:val="single" w:sz="8" w:space="0" w:color="1A171C"/>
              <w:left w:val="nil"/>
              <w:bottom w:val="single" w:sz="8" w:space="0" w:color="1A171C"/>
              <w:right w:val="single" w:sz="8" w:space="0" w:color="1A171C"/>
            </w:tcBorders>
          </w:tcPr>
          <w:p w14:paraId="7FE1D07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8" w:type="dxa"/>
            <w:gridSpan w:val="2"/>
            <w:tcBorders>
              <w:top w:val="single" w:sz="8" w:space="0" w:color="1A171C"/>
              <w:left w:val="single" w:sz="8" w:space="0" w:color="1A171C"/>
              <w:right w:val="nil"/>
            </w:tcBorders>
          </w:tcPr>
          <w:p w14:paraId="7FE1D07A" w14:textId="0FCA0B7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Counterparty identifier  </w:t>
            </w:r>
          </w:p>
          <w:p w14:paraId="7FE1D07B" w14:textId="67D0F26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 xml:space="preserve">eport the depositor’s LEI code. In the absence of a LEI, in the case of banks’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ECB Monetary Financial Institutions identifier (MFI ID) used in RIAD. Exclusively in absence of both these identifiers,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an internal identifier (only one unique identifier </w:t>
            </w:r>
            <w:r>
              <w:rPr>
                <w:rFonts w:ascii="Times New Roman" w:eastAsia="Times New Roman" w:hAnsi="Times New Roman" w:cs="Times New Roman"/>
                <w:sz w:val="20"/>
                <w:szCs w:val="20"/>
              </w:rPr>
              <w:t xml:space="preserve">is expected </w:t>
            </w:r>
            <w:r w:rsidRPr="002F61BB">
              <w:rPr>
                <w:rFonts w:ascii="Times New Roman" w:eastAsia="Times New Roman" w:hAnsi="Times New Roman" w:cs="Times New Roman"/>
                <w:sz w:val="20"/>
                <w:szCs w:val="20"/>
              </w:rPr>
              <w:t xml:space="preserve">per counterpart). </w:t>
            </w:r>
          </w:p>
        </w:tc>
      </w:tr>
      <w:tr w:rsidR="00CC0A94" w14:paraId="7FE1D07F" w14:textId="77777777" w:rsidTr="002F61BB">
        <w:tc>
          <w:tcPr>
            <w:tcW w:w="1188" w:type="dxa"/>
            <w:vMerge/>
            <w:tcBorders>
              <w:bottom w:val="single" w:sz="4" w:space="0" w:color="auto"/>
              <w:right w:val="single" w:sz="8" w:space="0" w:color="1A171C"/>
            </w:tcBorders>
            <w:vAlign w:val="center"/>
          </w:tcPr>
          <w:p w14:paraId="7FE1D07D" w14:textId="77777777" w:rsidR="00CC0A94" w:rsidRPr="002F61BB" w:rsidRDefault="00CC0A94">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For the deposits reported on an aggregate level, indicate “0000” as this field is mandatory.</w:t>
            </w:r>
          </w:p>
        </w:tc>
      </w:tr>
      <w:tr w:rsidR="00CC0A94" w14:paraId="7FE1D083" w14:textId="77777777" w:rsidTr="002F61BB">
        <w:tc>
          <w:tcPr>
            <w:tcW w:w="1188" w:type="dxa"/>
            <w:vMerge w:val="restart"/>
            <w:tcBorders>
              <w:top w:val="single" w:sz="4" w:space="0" w:color="auto"/>
              <w:left w:val="nil"/>
              <w:bottom w:val="single" w:sz="8" w:space="0" w:color="1A171C"/>
              <w:right w:val="single" w:sz="4" w:space="0" w:color="auto"/>
            </w:tcBorders>
          </w:tcPr>
          <w:p w14:paraId="7FE1D080"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0045</w:t>
            </w:r>
          </w:p>
        </w:tc>
        <w:tc>
          <w:tcPr>
            <w:tcW w:w="7838" w:type="dxa"/>
            <w:gridSpan w:val="2"/>
            <w:tcBorders>
              <w:top w:val="single" w:sz="4" w:space="0" w:color="auto"/>
              <w:left w:val="single" w:sz="4" w:space="0" w:color="auto"/>
            </w:tcBorders>
          </w:tcPr>
          <w:p w14:paraId="7FE1D081" w14:textId="05C9393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082"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086" w14:textId="77777777" w:rsidTr="002F61BB">
        <w:tc>
          <w:tcPr>
            <w:tcW w:w="1188" w:type="dxa"/>
            <w:vMerge/>
            <w:tcBorders>
              <w:top w:val="single" w:sz="8" w:space="0" w:color="1A171C"/>
              <w:bottom w:val="single" w:sz="4" w:space="0" w:color="auto"/>
              <w:right w:val="single" w:sz="4" w:space="0" w:color="auto"/>
            </w:tcBorders>
            <w:vAlign w:val="center"/>
          </w:tcPr>
          <w:p w14:paraId="7FE1D084" w14:textId="77777777" w:rsidR="00CC0A94" w:rsidRPr="002F61BB" w:rsidRDefault="00CC0A94">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For the deposits reported on an aggregate level, indicate “Type of identifier, other than LEI or MFI code”.</w:t>
            </w:r>
          </w:p>
        </w:tc>
      </w:tr>
      <w:tr w:rsidR="00CC0A94" w14:paraId="7FE1D08A" w14:textId="77777777" w:rsidTr="002F61BB">
        <w:tc>
          <w:tcPr>
            <w:tcW w:w="1188" w:type="dxa"/>
            <w:tcBorders>
              <w:top w:val="single" w:sz="4" w:space="0" w:color="auto"/>
              <w:left w:val="nil"/>
              <w:bottom w:val="single" w:sz="8" w:space="0" w:color="1A171C"/>
              <w:right w:val="single" w:sz="8" w:space="0" w:color="1A171C"/>
            </w:tcBorders>
          </w:tcPr>
          <w:p w14:paraId="7FE1D08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Governing law  </w:t>
            </w:r>
          </w:p>
          <w:p w14:paraId="7FE1D089" w14:textId="1A451092"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code of the country whose law governs the instrument (use the ISO 3166-2 code when the law of an administrative subdivision is relevant, e.</w:t>
            </w:r>
            <w:proofErr w:type="gramStart"/>
            <w:r w:rsidRPr="002F61BB">
              <w:rPr>
                <w:rFonts w:ascii="Times New Roman" w:eastAsia="Times New Roman" w:hAnsi="Times New Roman" w:cs="Times New Roman"/>
                <w:sz w:val="20"/>
                <w:szCs w:val="20"/>
              </w:rPr>
              <w:t>g. ‘</w:t>
            </w:r>
            <w:proofErr w:type="gramEnd"/>
            <w:r w:rsidRPr="002F61BB">
              <w:rPr>
                <w:rFonts w:ascii="Times New Roman" w:eastAsia="Times New Roman" w:hAnsi="Times New Roman" w:cs="Times New Roman"/>
                <w:sz w:val="20"/>
                <w:szCs w:val="20"/>
              </w:rPr>
              <w:t>US-NY’). If the contract is governed by the law of more than one country, the country the law of which has the highest relevance for the recognition of write down and conversion powers shall be reported.  For deposits reported on an aggregate level, use the value “Other Countries”.</w:t>
            </w:r>
          </w:p>
        </w:tc>
      </w:tr>
      <w:tr w:rsidR="00CC0A94" w14:paraId="7FE1D08E" w14:textId="77777777" w:rsidTr="002F61BB">
        <w:tc>
          <w:tcPr>
            <w:tcW w:w="1188" w:type="dxa"/>
            <w:tcBorders>
              <w:top w:val="single" w:sz="8" w:space="0" w:color="1A171C"/>
              <w:left w:val="nil"/>
              <w:bottom w:val="single" w:sz="8" w:space="0" w:color="1A171C"/>
              <w:right w:val="single" w:sz="8" w:space="0" w:color="1A171C"/>
            </w:tcBorders>
          </w:tcPr>
          <w:p w14:paraId="7FE1D08B"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Currency  </w:t>
            </w:r>
          </w:p>
          <w:p w14:paraId="7FE1D08D" w14:textId="3FCE0053"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currency of the deposit </w:t>
            </w:r>
            <w:proofErr w:type="gramStart"/>
            <w:r w:rsidRPr="002F61BB">
              <w:rPr>
                <w:rFonts w:ascii="Times New Roman" w:eastAsia="Times New Roman" w:hAnsi="Times New Roman" w:cs="Times New Roman"/>
                <w:sz w:val="20"/>
                <w:szCs w:val="20"/>
              </w:rPr>
              <w:t>in</w:t>
            </w:r>
            <w:proofErr w:type="gramEnd"/>
            <w:r w:rsidRPr="002F61BB">
              <w:rPr>
                <w:rFonts w:ascii="Times New Roman" w:eastAsia="Times New Roman" w:hAnsi="Times New Roman" w:cs="Times New Roman"/>
                <w:sz w:val="20"/>
                <w:szCs w:val="20"/>
              </w:rPr>
              <w:t xml:space="preserve"> line with its 3-letter ISO 4217 code. For deposits reported on an aggregate level,</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use the value “XXX”.</w:t>
            </w:r>
          </w:p>
        </w:tc>
      </w:tr>
      <w:tr w:rsidR="00CC0A94" w14:paraId="7FE1D092" w14:textId="77777777" w:rsidTr="002F61BB">
        <w:tc>
          <w:tcPr>
            <w:tcW w:w="1188" w:type="dxa"/>
            <w:tcBorders>
              <w:top w:val="single" w:sz="8" w:space="0" w:color="1A171C"/>
              <w:left w:val="nil"/>
              <w:bottom w:val="single" w:sz="8" w:space="0" w:color="1A171C"/>
              <w:right w:val="single" w:sz="8" w:space="0" w:color="1A171C"/>
            </w:tcBorders>
          </w:tcPr>
          <w:p w14:paraId="7FE1D08F"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Outstanding Principal Amount  </w:t>
            </w:r>
          </w:p>
          <w:p w14:paraId="7FE1D091" w14:textId="6232EFB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principal amount of the deposit.</w:t>
            </w:r>
          </w:p>
        </w:tc>
      </w:tr>
      <w:tr w:rsidR="00CC0A94" w14:paraId="7FE1D096" w14:textId="77777777" w:rsidTr="002F61BB">
        <w:tc>
          <w:tcPr>
            <w:tcW w:w="1188" w:type="dxa"/>
            <w:tcBorders>
              <w:top w:val="single" w:sz="8" w:space="0" w:color="1A171C"/>
              <w:left w:val="nil"/>
              <w:bottom w:val="single" w:sz="8" w:space="0" w:color="1A171C"/>
              <w:right w:val="single" w:sz="8" w:space="0" w:color="1A171C"/>
            </w:tcBorders>
          </w:tcPr>
          <w:p w14:paraId="7FE1D09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Accrued Interest </w:t>
            </w:r>
          </w:p>
          <w:p w14:paraId="7FE1D095" w14:textId="1CBCCFC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outstanding accrued interest </w:t>
            </w:r>
            <w:proofErr w:type="gramStart"/>
            <w:r w:rsidRPr="002F61BB">
              <w:rPr>
                <w:rFonts w:ascii="Times New Roman" w:eastAsia="Times New Roman" w:hAnsi="Times New Roman" w:cs="Times New Roman"/>
                <w:sz w:val="20"/>
                <w:szCs w:val="20"/>
              </w:rPr>
              <w:t>on</w:t>
            </w:r>
            <w:proofErr w:type="gramEnd"/>
            <w:r w:rsidRPr="002F61BB">
              <w:rPr>
                <w:rFonts w:ascii="Times New Roman" w:eastAsia="Times New Roman" w:hAnsi="Times New Roman" w:cs="Times New Roman"/>
                <w:sz w:val="20"/>
                <w:szCs w:val="20"/>
              </w:rPr>
              <w:t xml:space="preserve"> the deposit.</w:t>
            </w:r>
          </w:p>
        </w:tc>
      </w:tr>
      <w:tr w:rsidR="00CC0A94" w14:paraId="7FE1D09A" w14:textId="77777777" w:rsidTr="002F61BB">
        <w:tc>
          <w:tcPr>
            <w:tcW w:w="1188" w:type="dxa"/>
            <w:tcBorders>
              <w:top w:val="single" w:sz="8" w:space="0" w:color="1A171C"/>
              <w:left w:val="nil"/>
              <w:bottom w:val="single" w:sz="8" w:space="0" w:color="1A171C"/>
              <w:right w:val="single" w:sz="8" w:space="0" w:color="1A171C"/>
            </w:tcBorders>
          </w:tcPr>
          <w:p w14:paraId="7FE1D09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Current interest rate (%) </w:t>
            </w:r>
          </w:p>
          <w:p w14:paraId="7FE1D099" w14:textId="0E3CB27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Current level of the interest rate that is applicable to the deposit. </w:t>
            </w:r>
          </w:p>
        </w:tc>
      </w:tr>
      <w:tr w:rsidR="00CC0A94" w14:paraId="7FE1D0A3" w14:textId="77777777" w:rsidTr="002F61BB">
        <w:tc>
          <w:tcPr>
            <w:tcW w:w="1188" w:type="dxa"/>
            <w:tcBorders>
              <w:top w:val="single" w:sz="8" w:space="0" w:color="1A171C"/>
              <w:left w:val="nil"/>
              <w:bottom w:val="single" w:sz="8" w:space="0" w:color="1A171C"/>
              <w:right w:val="single" w:sz="8" w:space="0" w:color="1A171C"/>
            </w:tcBorders>
          </w:tcPr>
          <w:p w14:paraId="7FE1D09F" w14:textId="77777777" w:rsidR="00CC0A94" w:rsidRPr="002F61BB" w:rsidRDefault="006C1571" w:rsidP="002F61BB">
            <w:pPr>
              <w:pStyle w:val="TableParagraph"/>
              <w:spacing w:before="108"/>
              <w:ind w:left="85"/>
              <w:jc w:val="both"/>
              <w:rPr>
                <w:rFonts w:ascii="Times New Roman" w:hAnsi="Times New Roman" w:cs="Times New Roman"/>
              </w:rPr>
            </w:pPr>
            <w:r w:rsidRPr="002F61BB">
              <w:rPr>
                <w:rFonts w:ascii="Times New Roman" w:eastAsia="Times New Roman" w:hAnsi="Times New Roman" w:cs="Times New Roman"/>
                <w:sz w:val="20"/>
                <w:szCs w:val="20"/>
              </w:rP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of pledge, </w:t>
            </w:r>
            <w:proofErr w:type="gramStart"/>
            <w:r w:rsidRPr="002F61BB">
              <w:rPr>
                <w:rFonts w:ascii="Times New Roman" w:eastAsia="Times New Roman" w:hAnsi="Times New Roman" w:cs="Times New Roman"/>
                <w:b/>
                <w:bCs/>
                <w:sz w:val="20"/>
                <w:szCs w:val="20"/>
              </w:rPr>
              <w:t>lien</w:t>
            </w:r>
            <w:proofErr w:type="gramEnd"/>
            <w:r w:rsidRPr="002F61BB">
              <w:rPr>
                <w:rFonts w:ascii="Times New Roman" w:eastAsia="Times New Roman" w:hAnsi="Times New Roman" w:cs="Times New Roman"/>
                <w:b/>
                <w:bCs/>
                <w:sz w:val="20"/>
                <w:szCs w:val="20"/>
              </w:rPr>
              <w:t xml:space="preserve"> or collateral </w:t>
            </w:r>
          </w:p>
          <w:p w14:paraId="7FE1D0A2" w14:textId="5FFC3F02"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Where a liability is secured by a pledge, </w:t>
            </w:r>
            <w:proofErr w:type="gramStart"/>
            <w:r w:rsidRPr="002F61BB">
              <w:rPr>
                <w:rFonts w:ascii="Times New Roman" w:eastAsia="Times New Roman" w:hAnsi="Times New Roman" w:cs="Times New Roman"/>
                <w:sz w:val="20"/>
                <w:szCs w:val="20"/>
              </w:rPr>
              <w:t>lien</w:t>
            </w:r>
            <w:proofErr w:type="gramEnd"/>
            <w:r w:rsidRPr="002F61BB">
              <w:rPr>
                <w:rFonts w:ascii="Times New Roman" w:eastAsia="Times New Roman" w:hAnsi="Times New Roman" w:cs="Times New Roman"/>
                <w:sz w:val="20"/>
                <w:szCs w:val="20"/>
              </w:rPr>
              <w:t xml:space="preserve"> or collateral, the gross market value of the latter shall be provided. Otherwise, for unsecured liabilities this category shall be reported as nil. This amount will determine the collateralized and eventually the uncollateralized part of any secured deposit. For collateral pools securing multiple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 </w:t>
            </w:r>
            <w:r>
              <w:rPr>
                <w:rFonts w:ascii="Times New Roman" w:eastAsia="Times New Roman" w:hAnsi="Times New Roman" w:cs="Times New Roman"/>
                <w:sz w:val="20"/>
                <w:szCs w:val="20"/>
              </w:rPr>
              <w:t xml:space="preserve">determine </w:t>
            </w:r>
            <w:r w:rsidRPr="002F61BB">
              <w:rPr>
                <w:rFonts w:ascii="Times New Roman" w:eastAsia="Times New Roman" w:hAnsi="Times New Roman" w:cs="Times New Roman"/>
                <w:sz w:val="20"/>
                <w:szCs w:val="20"/>
              </w:rPr>
              <w:t>the overall coverage ratio and appl</w:t>
            </w:r>
            <w:r>
              <w:rPr>
                <w:rFonts w:ascii="Times New Roman" w:eastAsia="Times New Roman" w:hAnsi="Times New Roman" w:cs="Times New Roman"/>
                <w:sz w:val="20"/>
                <w:szCs w:val="20"/>
              </w:rPr>
              <w:t>y</w:t>
            </w:r>
            <w:r w:rsidRPr="002F61BB">
              <w:rPr>
                <w:rFonts w:ascii="Times New Roman" w:eastAsia="Times New Roman" w:hAnsi="Times New Roman" w:cs="Times New Roman"/>
                <w:sz w:val="20"/>
                <w:szCs w:val="20"/>
              </w:rPr>
              <w:t xml:space="preserve"> pro rata to all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 covered by this pool.</w:t>
            </w:r>
          </w:p>
        </w:tc>
      </w:tr>
      <w:tr w:rsidR="00CC0A94" w14:paraId="7FE1D0A7" w14:textId="77777777" w:rsidTr="002F61BB">
        <w:tc>
          <w:tcPr>
            <w:tcW w:w="1188" w:type="dxa"/>
            <w:tcBorders>
              <w:top w:val="single" w:sz="8" w:space="0" w:color="1A171C"/>
              <w:left w:val="nil"/>
              <w:bottom w:val="single" w:sz="8" w:space="0" w:color="1A171C"/>
              <w:right w:val="single" w:sz="8" w:space="0" w:color="1A171C"/>
            </w:tcBorders>
          </w:tcPr>
          <w:p w14:paraId="7FE1D0A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meeting the conditions for MREL eligibility </w:t>
            </w:r>
          </w:p>
          <w:p w14:paraId="7FE1D0A6" w14:textId="65380CF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own funds and eligible liabilities counting towards the requirement set in accordance with Article 45(1) of the Directive 2014/59/EU.</w:t>
            </w:r>
          </w:p>
        </w:tc>
      </w:tr>
      <w:tr w:rsidR="00CC0A94" w14:paraId="7FE1D0AB" w14:textId="77777777" w:rsidTr="002F61BB">
        <w:tc>
          <w:tcPr>
            <w:tcW w:w="1188" w:type="dxa"/>
            <w:tcBorders>
              <w:top w:val="single" w:sz="8" w:space="0" w:color="1A171C"/>
              <w:left w:val="nil"/>
              <w:bottom w:val="single" w:sz="8" w:space="0" w:color="1A171C"/>
              <w:right w:val="single" w:sz="8" w:space="0" w:color="1A171C"/>
            </w:tcBorders>
          </w:tcPr>
          <w:p w14:paraId="7FE1D0A8"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Issuance Date for Term Deposits </w:t>
            </w:r>
          </w:p>
          <w:p w14:paraId="7FE1D0AA"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Date of the original issuance of the term deposit.</w:t>
            </w:r>
          </w:p>
        </w:tc>
      </w:tr>
      <w:tr w:rsidR="00CC0A94" w14:paraId="7FE1D0AF" w14:textId="77777777" w:rsidTr="002F61BB">
        <w:tc>
          <w:tcPr>
            <w:tcW w:w="1188" w:type="dxa"/>
            <w:vMerge w:val="restart"/>
            <w:tcBorders>
              <w:top w:val="single" w:sz="8" w:space="0" w:color="1A171C"/>
              <w:left w:val="nil"/>
              <w:right w:val="single" w:sz="8" w:space="0" w:color="1A171C"/>
            </w:tcBorders>
          </w:tcPr>
          <w:p w14:paraId="7FE1D0AC"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838" w:type="dxa"/>
            <w:gridSpan w:val="2"/>
            <w:tcBorders>
              <w:top w:val="single" w:sz="8" w:space="0" w:color="1A171C"/>
              <w:left w:val="single" w:sz="8" w:space="0" w:color="1A171C"/>
              <w:right w:val="nil"/>
            </w:tcBorders>
          </w:tcPr>
          <w:p w14:paraId="7FE1D0AD" w14:textId="42C2FA3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Earliest redemption date  </w:t>
            </w:r>
          </w:p>
          <w:p w14:paraId="7FE1D0AE" w14:textId="5DABFCE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an option exists for the holders of the creditor to request early reimbursement of the liability, or conditions for early reimbursement are contractually foreseen, </w:t>
            </w:r>
            <w:r>
              <w:rPr>
                <w:rFonts w:ascii="Times New Roman" w:eastAsia="Times New Roman" w:hAnsi="Times New Roman" w:cs="Times New Roman"/>
                <w:sz w:val="20"/>
                <w:szCs w:val="20"/>
              </w:rPr>
              <w:t xml:space="preserve">provide </w:t>
            </w:r>
            <w:r w:rsidRPr="002F61BB">
              <w:rPr>
                <w:rFonts w:ascii="Times New Roman" w:eastAsia="Times New Roman" w:hAnsi="Times New Roman" w:cs="Times New Roman"/>
                <w:sz w:val="20"/>
                <w:szCs w:val="20"/>
              </w:rPr>
              <w:t xml:space="preserve">the earliest occurrence date, otherwise the date of the legal final maturity of the deposit. If the early reimbursement relates to only a portion of the liability (e.g. early reimbursement of 50% of the nominal amount), </w:t>
            </w:r>
            <w:r>
              <w:rPr>
                <w:rFonts w:ascii="Times New Roman" w:eastAsia="Times New Roman" w:hAnsi="Times New Roman" w:cs="Times New Roman"/>
                <w:sz w:val="20"/>
                <w:szCs w:val="20"/>
              </w:rPr>
              <w:t xml:space="preserve">split </w:t>
            </w:r>
            <w:r w:rsidRPr="002F61BB">
              <w:rPr>
                <w:rFonts w:ascii="Times New Roman" w:eastAsia="Times New Roman" w:hAnsi="Times New Roman" w:cs="Times New Roman"/>
                <w:sz w:val="20"/>
                <w:szCs w:val="20"/>
              </w:rPr>
              <w:t xml:space="preserve">the liability to </w:t>
            </w:r>
            <w:proofErr w:type="gramStart"/>
            <w:r w:rsidRPr="002F61BB">
              <w:rPr>
                <w:rFonts w:ascii="Times New Roman" w:eastAsia="Times New Roman" w:hAnsi="Times New Roman" w:cs="Times New Roman"/>
                <w:sz w:val="20"/>
                <w:szCs w:val="20"/>
              </w:rPr>
              <w:t>take into account</w:t>
            </w:r>
            <w:proofErr w:type="gramEnd"/>
            <w:r w:rsidRPr="002F61BB">
              <w:rPr>
                <w:rFonts w:ascii="Times New Roman" w:eastAsia="Times New Roman" w:hAnsi="Times New Roman" w:cs="Times New Roman"/>
                <w:sz w:val="20"/>
                <w:szCs w:val="20"/>
              </w:rPr>
              <w:t xml:space="preserve"> this partial early redemption clause.</w:t>
            </w:r>
          </w:p>
        </w:tc>
      </w:tr>
      <w:tr w:rsidR="00CC0A94" w14:paraId="7FE1D0B2" w14:textId="77777777" w:rsidTr="002F61BB">
        <w:tc>
          <w:tcPr>
            <w:tcW w:w="1188" w:type="dxa"/>
            <w:vMerge/>
            <w:tcBorders>
              <w:bottom w:val="single" w:sz="8" w:space="0" w:color="1A171C"/>
              <w:right w:val="single" w:sz="8" w:space="0" w:color="1A171C"/>
            </w:tcBorders>
            <w:vAlign w:val="center"/>
          </w:tcPr>
          <w:p w14:paraId="7FE1D0B0" w14:textId="77777777" w:rsidR="00CC0A94" w:rsidRPr="002F61BB" w:rsidRDefault="00CC0A9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the deposits reported on an aggregate level, the earliest redemption date shall be reported as “2199-12-31”. </w:t>
            </w:r>
          </w:p>
        </w:tc>
      </w:tr>
      <w:tr w:rsidR="00CC0A94" w14:paraId="7FE1D0B6" w14:textId="77777777" w:rsidTr="002F61BB">
        <w:tc>
          <w:tcPr>
            <w:tcW w:w="1188" w:type="dxa"/>
            <w:vMerge w:val="restart"/>
            <w:tcBorders>
              <w:top w:val="single" w:sz="8" w:space="0" w:color="1A171C"/>
              <w:left w:val="nil"/>
              <w:right w:val="single" w:sz="8" w:space="0" w:color="1A171C"/>
            </w:tcBorders>
          </w:tcPr>
          <w:p w14:paraId="7FE1D0B3" w14:textId="413885FF" w:rsidR="00CC0A94" w:rsidRPr="002F61BB" w:rsidRDefault="00CC0A94">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D0B9" w14:textId="77777777" w:rsidTr="002F61BB">
        <w:tc>
          <w:tcPr>
            <w:tcW w:w="1188" w:type="dxa"/>
            <w:vMerge/>
            <w:tcBorders>
              <w:bottom w:val="single" w:sz="8" w:space="0" w:color="1A171C"/>
              <w:right w:val="single" w:sz="8" w:space="0" w:color="1A171C"/>
            </w:tcBorders>
            <w:vAlign w:val="center"/>
          </w:tcPr>
          <w:p w14:paraId="7FE1D0B7" w14:textId="77777777" w:rsidR="00CC0A94" w:rsidRPr="002F61BB" w:rsidRDefault="00CC0A9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CC0A94" w:rsidRPr="002F61BB" w:rsidRDefault="00CC0A94">
            <w:pPr>
              <w:rPr>
                <w:rFonts w:ascii="Times New Roman" w:hAnsi="Times New Roman" w:cs="Times New Roman"/>
              </w:rPr>
            </w:pPr>
          </w:p>
        </w:tc>
      </w:tr>
    </w:tbl>
    <w:p w14:paraId="7FE1D0BA" w14:textId="77777777" w:rsidR="00CC0A94" w:rsidRPr="002F61BB" w:rsidRDefault="00CC0A94">
      <w:pPr>
        <w:pStyle w:val="body"/>
        <w:rPr>
          <w:rFonts w:ascii="Times New Roman" w:hAnsi="Times New Roman" w:cs="Times New Roman"/>
          <w:color w:val="000000" w:themeColor="text1"/>
          <w:sz w:val="20"/>
          <w:szCs w:val="20"/>
          <w:lang w:val="en-GB"/>
        </w:rPr>
      </w:pPr>
    </w:p>
    <w:p w14:paraId="7FE1D0BB" w14:textId="77777777" w:rsidR="00CC0A94" w:rsidRPr="002F61BB" w:rsidRDefault="00CC0A94">
      <w:pPr>
        <w:rPr>
          <w:rFonts w:ascii="Times New Roman" w:hAnsi="Times New Roman" w:cs="Times New Roman"/>
        </w:rPr>
      </w:pPr>
    </w:p>
    <w:p w14:paraId="7FE1D0BC" w14:textId="77777777" w:rsidR="00CC0A94" w:rsidRDefault="00CC0A94">
      <w:pPr>
        <w:pStyle w:val="Instructionsberschrift2"/>
        <w:ind w:left="357"/>
        <w:rPr>
          <w:rFonts w:ascii="Times New Roman" w:eastAsia="Calibri" w:hAnsi="Times New Roman" w:cs="Times New Roman"/>
          <w:szCs w:val="20"/>
        </w:rPr>
      </w:pPr>
    </w:p>
    <w:p w14:paraId="7FE1D0BD" w14:textId="2FE97D37" w:rsidR="00CC0A94" w:rsidRPr="002F61BB" w:rsidRDefault="006C1571" w:rsidP="002F61BB">
      <w:pPr>
        <w:pStyle w:val="Instructionsberschrift2"/>
        <w:numPr>
          <w:ilvl w:val="1"/>
          <w:numId w:val="49"/>
        </w:numPr>
        <w:spacing w:before="0"/>
        <w:ind w:left="357" w:hanging="357"/>
        <w:rPr>
          <w:rFonts w:ascii="Times New Roman" w:hAnsi="Times New Roman" w:cs="Times New Roman"/>
          <w:color w:val="000000" w:themeColor="text1"/>
          <w:szCs w:val="20"/>
        </w:rPr>
      </w:pPr>
      <w:r w:rsidRPr="002F61BB">
        <w:rPr>
          <w:rFonts w:ascii="Times New Roman" w:eastAsiaTheme="minorEastAsia" w:hAnsi="Times New Roman" w:cs="Times New Roman"/>
        </w:rPr>
        <w:t xml:space="preserve"> </w:t>
      </w:r>
      <w:bookmarkStart w:id="246" w:name="_Toc192249429"/>
      <w:r>
        <w:rPr>
          <w:rFonts w:ascii="Times New Roman" w:eastAsiaTheme="minorEastAsia" w:hAnsi="Times New Roman" w:cs="Times New Roman"/>
        </w:rPr>
        <w:t>Z 1</w:t>
      </w:r>
      <w:r w:rsidR="00D34E5E">
        <w:rPr>
          <w:rFonts w:ascii="Times New Roman" w:eastAsiaTheme="minorEastAsia" w:hAnsi="Times New Roman" w:cs="Times New Roman"/>
        </w:rPr>
        <w:t>4</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 </w:t>
      </w:r>
      <w:r>
        <w:rPr>
          <w:rFonts w:ascii="Times New Roman" w:hAnsi="Times New Roman" w:cs="Times New Roman"/>
          <w:color w:val="000000" w:themeColor="text1"/>
        </w:rPr>
        <w:t xml:space="preserve">Other Financial Liabilities (not included in other tabs, excluding intragroup) </w:t>
      </w:r>
      <w:r>
        <w:rPr>
          <w:rFonts w:ascii="Times New Roman" w:eastAsia="Calibri" w:hAnsi="Times New Roman" w:cs="Times New Roman"/>
          <w:szCs w:val="20"/>
        </w:rPr>
        <w:t>(LIAB-G-4)</w:t>
      </w:r>
      <w:bookmarkEnd w:id="246"/>
    </w:p>
    <w:p w14:paraId="7FE1D0BE" w14:textId="56404057" w:rsidR="00CC0A94" w:rsidRPr="002F61BB" w:rsidRDefault="00CC0A94" w:rsidP="002F61BB">
      <w:pPr>
        <w:pStyle w:val="Instructionsberschrift2"/>
        <w:ind w:left="357"/>
        <w:rPr>
          <w:rFonts w:ascii="Times New Roman" w:eastAsiaTheme="minorEastAsia" w:hAnsi="Times New Roman" w:cs="Times New Roman"/>
          <w:color w:val="000000" w:themeColor="text1"/>
        </w:rPr>
      </w:pPr>
    </w:p>
    <w:p w14:paraId="7FE1D0BF" w14:textId="77777777" w:rsidR="00CC0A94" w:rsidRDefault="006C1571">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General remarks</w:t>
      </w:r>
    </w:p>
    <w:p w14:paraId="7FE1D0C0" w14:textId="28B97243"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This table covers all the liabilities, that are not reported in any of the other detailed information requirements (i.e. Z1</w:t>
      </w:r>
      <w:r w:rsidR="00E22C47">
        <w:rPr>
          <w:rFonts w:ascii="Times New Roman" w:eastAsia="Cambria" w:hAnsi="Times New Roman" w:cs="Times New Roman"/>
          <w:sz w:val="20"/>
          <w:szCs w:val="20"/>
          <w:lang w:val="en-GB"/>
        </w:rPr>
        <w:t>1</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Z1</w:t>
      </w:r>
      <w:r w:rsidR="00E22C47">
        <w:rPr>
          <w:rFonts w:ascii="Times New Roman" w:eastAsia="Cambria" w:hAnsi="Times New Roman" w:cs="Times New Roman"/>
          <w:sz w:val="20"/>
          <w:szCs w:val="20"/>
          <w:lang w:val="en-GB"/>
        </w:rPr>
        <w:t>2</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Z1</w:t>
      </w:r>
      <w:r w:rsidR="00E22C47">
        <w:rPr>
          <w:rFonts w:ascii="Times New Roman" w:eastAsia="Cambria" w:hAnsi="Times New Roman" w:cs="Times New Roman"/>
          <w:sz w:val="20"/>
          <w:szCs w:val="20"/>
          <w:lang w:val="en-GB"/>
        </w:rPr>
        <w:t>3</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Z1</w:t>
      </w:r>
      <w:r w:rsidR="00E22C47">
        <w:rPr>
          <w:rFonts w:ascii="Times New Roman" w:eastAsia="Cambria" w:hAnsi="Times New Roman" w:cs="Times New Roman"/>
          <w:sz w:val="20"/>
          <w:szCs w:val="20"/>
          <w:lang w:val="en-GB"/>
        </w:rPr>
        <w:t>5</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Z1</w:t>
      </w:r>
      <w:r w:rsidR="00E22C47">
        <w:rPr>
          <w:rFonts w:ascii="Times New Roman" w:eastAsia="Cambria" w:hAnsi="Times New Roman" w:cs="Times New Roman"/>
          <w:sz w:val="20"/>
          <w:szCs w:val="20"/>
          <w:lang w:val="en-GB"/>
        </w:rPr>
        <w:t>6</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xml:space="preserve"> and Z1</w:t>
      </w:r>
      <w:r w:rsidR="00E22C47">
        <w:rPr>
          <w:rFonts w:ascii="Times New Roman" w:eastAsia="Cambria" w:hAnsi="Times New Roman" w:cs="Times New Roman"/>
          <w:sz w:val="20"/>
          <w:szCs w:val="20"/>
          <w:lang w:val="en-GB"/>
        </w:rPr>
        <w:t>7</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such as loans, operational liabilities, liabilities towards clearing houses, etc.</w:t>
      </w:r>
    </w:p>
    <w:p w14:paraId="7FE1D0C2" w14:textId="3CB02A11"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Cells which are not applicable for a given liability (e.g. accrued interest, current interest rate, issuance date, etc.) can be left blank.</w:t>
      </w:r>
    </w:p>
    <w:p w14:paraId="7FE1D0C3" w14:textId="7C8B3D6D"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 xml:space="preserve">For the purposes of this table, liabilities shall be reported in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s at the granularity level defined by the requested fields</w:t>
      </w:r>
      <w:r>
        <w:rPr>
          <w:rFonts w:ascii="Times New Roman" w:eastAsia="Cambria" w:hAnsi="Times New Roman" w:cs="Times New Roman"/>
          <w:sz w:val="20"/>
          <w:szCs w:val="20"/>
          <w:lang w:val="en-GB"/>
        </w:rPr>
        <w:t xml:space="preserve"> (in principle each transaction reported as an individual row item)</w:t>
      </w:r>
      <w:r w:rsidRPr="002F61BB">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Group e</w:t>
      </w:r>
      <w:r w:rsidRPr="002F61BB">
        <w:rPr>
          <w:rFonts w:ascii="Times New Roman" w:eastAsia="Cambria" w:hAnsi="Times New Roman" w:cs="Times New Roman"/>
          <w:sz w:val="20"/>
          <w:szCs w:val="20"/>
          <w:lang w:val="en-GB"/>
        </w:rPr>
        <w:t>mployees’ liabilities by type and insolvency ranking.</w:t>
      </w:r>
    </w:p>
    <w:p w14:paraId="7FE1D0C5" w14:textId="77777777" w:rsidR="00CC0A94" w:rsidRDefault="006C1571" w:rsidP="002F61BB">
      <w:pPr>
        <w:pStyle w:val="InstructionsText2"/>
        <w:numPr>
          <w:ilvl w:val="0"/>
          <w:numId w:val="0"/>
        </w:numPr>
        <w:spacing w:before="0"/>
        <w:rPr>
          <w:rFonts w:ascii="Times New Roman" w:hAnsi="Times New Roman" w:cs="Times New Roman"/>
          <w:color w:val="000000" w:themeColor="text1"/>
          <w:sz w:val="20"/>
          <w:szCs w:val="20"/>
          <w:u w:val="single"/>
          <w:lang w:val="en-GB"/>
        </w:rPr>
      </w:pPr>
      <w:r>
        <w:rPr>
          <w:rFonts w:ascii="Times New Roman" w:hAnsi="Times New Roman" w:cs="Times New Roman"/>
          <w:color w:val="000000" w:themeColor="text1"/>
          <w:sz w:val="20"/>
          <w:szCs w:val="20"/>
          <w:u w:val="single"/>
          <w:lang w:val="en-GB"/>
        </w:rPr>
        <w:t>Instructions concerning specific positions</w:t>
      </w:r>
    </w:p>
    <w:tbl>
      <w:tblPr>
        <w:tblW w:w="9015" w:type="dxa"/>
        <w:tblInd w:w="135" w:type="dxa"/>
        <w:tblLayout w:type="fixed"/>
        <w:tblLook w:val="04A0" w:firstRow="1" w:lastRow="0" w:firstColumn="1" w:lastColumn="0" w:noHBand="0" w:noVBand="1"/>
      </w:tblPr>
      <w:tblGrid>
        <w:gridCol w:w="1183"/>
        <w:gridCol w:w="7832"/>
      </w:tblGrid>
      <w:tr w:rsidR="00CC0A94" w14:paraId="7FE1D0C8"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CC0A94" w:rsidRPr="002F61BB" w:rsidRDefault="006C1571" w:rsidP="002F61BB">
            <w:pPr>
              <w:pStyle w:val="TableParagraph"/>
              <w:spacing w:before="108"/>
              <w:ind w:left="85"/>
              <w:rPr>
                <w:rFonts w:ascii="Times New Roman" w:eastAsia="Cambria" w:hAnsi="Times New Roman" w:cs="Times New Roman"/>
                <w:color w:val="000000" w:themeColor="text1"/>
                <w:sz w:val="20"/>
                <w:szCs w:val="20"/>
                <w:lang w:val="en-GB"/>
              </w:rPr>
            </w:pPr>
            <w:r w:rsidRPr="002F61BB">
              <w:rPr>
                <w:rFonts w:ascii="Times New Roman" w:eastAsia="Cambria" w:hAnsi="Times New Roman" w:cs="Times New Roman"/>
                <w:color w:val="000000" w:themeColor="text1"/>
                <w:sz w:val="20"/>
                <w:szCs w:val="20"/>
                <w:lang w:val="en-GB"/>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CC0A94" w:rsidRPr="002F61BB" w:rsidRDefault="006C1571" w:rsidP="002F61BB">
            <w:pPr>
              <w:pStyle w:val="TableParagraph"/>
              <w:spacing w:before="108"/>
              <w:ind w:left="85"/>
              <w:rPr>
                <w:rFonts w:ascii="Times New Roman" w:eastAsia="Cambria" w:hAnsi="Times New Roman" w:cs="Times New Roman"/>
                <w:color w:val="000000" w:themeColor="text1"/>
                <w:sz w:val="20"/>
                <w:szCs w:val="20"/>
                <w:lang w:val="en-GB"/>
              </w:rPr>
            </w:pPr>
            <w:r w:rsidRPr="002F61BB">
              <w:rPr>
                <w:rFonts w:ascii="Times New Roman" w:eastAsia="Cambria" w:hAnsi="Times New Roman" w:cs="Times New Roman"/>
                <w:color w:val="000000" w:themeColor="text1"/>
                <w:sz w:val="20"/>
                <w:szCs w:val="20"/>
                <w:lang w:val="en-GB"/>
              </w:rPr>
              <w:t xml:space="preserve">Instructions </w:t>
            </w:r>
          </w:p>
        </w:tc>
      </w:tr>
      <w:tr w:rsidR="00CC0A94"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 </w:t>
            </w:r>
          </w:p>
          <w:p w14:paraId="7FE1D0CB" w14:textId="1F8D919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CC0A94" w:rsidRPr="002F61BB" w:rsidRDefault="000B45B0" w:rsidP="002F61BB">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Row</w:t>
            </w:r>
            <w:r w:rsidR="006C1571" w:rsidRPr="002F61BB">
              <w:rPr>
                <w:rFonts w:ascii="Times New Roman" w:eastAsia="Times New Roman" w:hAnsi="Times New Roman" w:cs="Times New Roman"/>
                <w:b/>
                <w:bCs/>
                <w:sz w:val="20"/>
                <w:szCs w:val="20"/>
              </w:rPr>
              <w:t xml:space="preserve"> </w:t>
            </w:r>
          </w:p>
          <w:p w14:paraId="7FE1D0CF" w14:textId="3C03C28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a reconciliation with the categories of liabilities of the liability structure in Z02.00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at the level of maturity from a predefined list of values.</w:t>
            </w:r>
          </w:p>
        </w:tc>
      </w:tr>
      <w:tr w:rsidR="00CC0A94"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D0D3" w14:textId="0F37C95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a reconciliation with the counterparty class in Z02.00 to which the liability is owed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from predefined list of values.</w:t>
            </w:r>
          </w:p>
        </w:tc>
      </w:tr>
      <w:tr w:rsidR="00CC0A94"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Insolvency ranking  </w:t>
            </w:r>
          </w:p>
          <w:p w14:paraId="7FE1D0D7" w14:textId="3C00E6E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Contract identifier </w:t>
            </w:r>
          </w:p>
          <w:p w14:paraId="7FE1D0DB" w14:textId="09A77FF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ISIN or, in case the ISIN is not available, another contract identifier of the instrument shall be reported.</w:t>
            </w:r>
          </w:p>
        </w:tc>
      </w:tr>
      <w:tr w:rsidR="00CC0A94"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Name of the counterparty </w:t>
            </w:r>
          </w:p>
          <w:p w14:paraId="7FE1D0DF" w14:textId="5D08E31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w:t>
            </w:r>
            <w:proofErr w:type="gramStart"/>
            <w:r w:rsidRPr="002F61BB">
              <w:rPr>
                <w:rFonts w:ascii="Times New Roman" w:eastAsia="Times New Roman" w:hAnsi="Times New Roman" w:cs="Times New Roman"/>
                <w:sz w:val="20"/>
                <w:szCs w:val="20"/>
              </w:rPr>
              <w:t>entity name of the</w:t>
            </w:r>
            <w:proofErr w:type="gramEnd"/>
            <w:r w:rsidRPr="002F61BB">
              <w:rPr>
                <w:rFonts w:ascii="Times New Roman" w:eastAsia="Times New Roman" w:hAnsi="Times New Roman" w:cs="Times New Roman"/>
                <w:sz w:val="20"/>
                <w:szCs w:val="20"/>
              </w:rPr>
              <w:t xml:space="preserve"> counterparty of the </w:t>
            </w:r>
            <w:proofErr w:type="gramStart"/>
            <w:r w:rsidRPr="002F61BB">
              <w:rPr>
                <w:rFonts w:ascii="Times New Roman" w:eastAsia="Times New Roman" w:hAnsi="Times New Roman" w:cs="Times New Roman"/>
                <w:sz w:val="20"/>
                <w:szCs w:val="20"/>
              </w:rPr>
              <w:t>liability..</w:t>
            </w:r>
            <w:proofErr w:type="gramEnd"/>
          </w:p>
        </w:tc>
      </w:tr>
      <w:tr w:rsidR="00CC0A94"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8A017A" w:rsidRDefault="008A017A">
            <w:pPr>
              <w:pStyle w:val="TableParagraph"/>
              <w:spacing w:before="108"/>
              <w:ind w:left="85"/>
              <w:jc w:val="both"/>
              <w:rPr>
                <w:rFonts w:ascii="Times New Roman" w:eastAsia="Times New Roman" w:hAnsi="Times New Roman" w:cs="Times New Roman"/>
                <w:sz w:val="20"/>
                <w:szCs w:val="20"/>
              </w:rPr>
            </w:pPr>
            <w:r w:rsidRPr="008A017A">
              <w:rPr>
                <w:rFonts w:ascii="Times New Roman" w:eastAsia="Times New Roman" w:hAnsi="Times New Roman" w:cs="Times New Roman"/>
                <w:b/>
                <w:bCs/>
                <w:sz w:val="20"/>
                <w:szCs w:val="20"/>
              </w:rPr>
              <w:t>Counterparty identifier</w:t>
            </w:r>
          </w:p>
          <w:p w14:paraId="7FE1D0E3" w14:textId="4E34C2DB" w:rsidR="00CC0A94"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 xml:space="preserve">eport the creditor’s LEI code. In the absence of a LEI, in the case of banks’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ECB Monetary Financial Institutions identifier (MFI ID) used in RIAD. Exclusively in absence of both these identifiers,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an internal identifier.</w:t>
            </w:r>
          </w:p>
          <w:p w14:paraId="7FE1D0E4" w14:textId="1D573481"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0E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007</w:t>
            </w:r>
            <w:r w:rsidR="00ED6B02">
              <w:rPr>
                <w:rFonts w:ascii="Times New Roman" w:eastAsia="Times New Roman" w:hAnsi="Times New Roman" w:cs="Times New Roman"/>
                <w:sz w:val="20"/>
                <w:szCs w:val="20"/>
              </w:rPr>
              <w:t>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Governing law  </w:t>
            </w:r>
          </w:p>
          <w:p w14:paraId="7FE1D0EC" w14:textId="237CB9E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code of the country whose law governs the instrument (use the ISO 3166-2 code when the law of an administrative subdivision is relevant, e.</w:t>
            </w:r>
            <w:proofErr w:type="gramStart"/>
            <w:r w:rsidRPr="002F61BB">
              <w:rPr>
                <w:rFonts w:ascii="Times New Roman" w:eastAsia="Times New Roman" w:hAnsi="Times New Roman" w:cs="Times New Roman"/>
                <w:sz w:val="20"/>
                <w:szCs w:val="20"/>
              </w:rPr>
              <w:t>g. ‘</w:t>
            </w:r>
            <w:proofErr w:type="gramEnd"/>
            <w:r w:rsidRPr="002F61BB">
              <w:rPr>
                <w:rFonts w:ascii="Times New Roman" w:eastAsia="Times New Roman" w:hAnsi="Times New Roman" w:cs="Times New Roman"/>
                <w:sz w:val="20"/>
                <w:szCs w:val="20"/>
              </w:rPr>
              <w:t xml:space="preserve">US-NY’). If the </w:t>
            </w:r>
            <w:r w:rsidRPr="002F61BB">
              <w:rPr>
                <w:rFonts w:ascii="Times New Roman" w:eastAsia="Times New Roman" w:hAnsi="Times New Roman" w:cs="Times New Roman"/>
                <w:sz w:val="20"/>
                <w:szCs w:val="20"/>
              </w:rPr>
              <w:lastRenderedPageBreak/>
              <w:t xml:space="preserve">contract is governed by the law of more than one country, the country the law of which has the highest relevance for the recognition of write down and conversion powers shall be reported.  </w:t>
            </w:r>
          </w:p>
        </w:tc>
      </w:tr>
      <w:tr w:rsidR="00CC0A94"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 xml:space="preserve"> 007</w:t>
            </w:r>
            <w:r w:rsidR="00ED6B02">
              <w:rPr>
                <w:rFonts w:ascii="Times New Roman" w:eastAsia="Times New Roman" w:hAnsi="Times New Roman" w:cs="Times New Roman"/>
                <w:sz w:val="20"/>
                <w:szCs w:val="20"/>
              </w:rPr>
              <w:t>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financial liabilities </w:t>
            </w:r>
          </w:p>
          <w:p w14:paraId="7FE1D0F0" w14:textId="3ACB2D3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w:t>
            </w:r>
            <w:r>
              <w:rPr>
                <w:rFonts w:ascii="Times New Roman" w:eastAsia="Times New Roman" w:hAnsi="Times New Roman" w:cs="Times New Roman"/>
                <w:sz w:val="20"/>
                <w:szCs w:val="20"/>
              </w:rPr>
              <w:t>Borrower Note Loan</w:t>
            </w:r>
            <w:r w:rsidRPr="002F61BB">
              <w:rPr>
                <w:rFonts w:ascii="Times New Roman" w:eastAsia="Times New Roman" w:hAnsi="Times New Roman" w:cs="Times New Roman"/>
                <w:sz w:val="20"/>
                <w:szCs w:val="20"/>
              </w:rPr>
              <w:t xml:space="preserve">”, “Registered </w:t>
            </w:r>
            <w:r>
              <w:rPr>
                <w:rFonts w:ascii="Times New Roman" w:eastAsia="Times New Roman" w:hAnsi="Times New Roman" w:cs="Times New Roman"/>
                <w:sz w:val="20"/>
                <w:szCs w:val="20"/>
              </w:rPr>
              <w:t>bond</w:t>
            </w:r>
            <w:r w:rsidRPr="002F61BB">
              <w:rPr>
                <w:rFonts w:ascii="Times New Roman" w:eastAsia="Times New Roman" w:hAnsi="Times New Roman" w:cs="Times New Roman"/>
                <w:sz w:val="20"/>
                <w:szCs w:val="20"/>
              </w:rPr>
              <w:t>”, “Bill of exchange”, “Silent Partnership Contributions”, “</w:t>
            </w:r>
            <w:r>
              <w:rPr>
                <w:rFonts w:ascii="Times New Roman" w:eastAsia="Times New Roman" w:hAnsi="Times New Roman" w:cs="Times New Roman"/>
                <w:sz w:val="20"/>
                <w:szCs w:val="20"/>
              </w:rPr>
              <w:t>Other f</w:t>
            </w:r>
            <w:r w:rsidRPr="002F61BB">
              <w:rPr>
                <w:rFonts w:ascii="Times New Roman" w:eastAsia="Times New Roman" w:hAnsi="Times New Roman" w:cs="Times New Roman"/>
                <w:sz w:val="20"/>
                <w:szCs w:val="20"/>
              </w:rPr>
              <w:t>inancial liabilities</w:t>
            </w:r>
            <w:r>
              <w:rPr>
                <w:rFonts w:ascii="Times New Roman" w:eastAsia="Times New Roman" w:hAnsi="Times New Roman" w:cs="Times New Roman"/>
                <w:sz w:val="20"/>
                <w:szCs w:val="20"/>
              </w:rPr>
              <w:t>”.</w:t>
            </w:r>
          </w:p>
        </w:tc>
      </w:tr>
      <w:tr w:rsidR="00CC0A94"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b/>
                <w:bCs/>
                <w:sz w:val="20"/>
                <w:szCs w:val="20"/>
              </w:rPr>
              <w:t xml:space="preserve">If Third Country Law, contractual recognition </w:t>
            </w:r>
          </w:p>
          <w:p w14:paraId="7FE1D0F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Identification of contractual provisions for the recognition of bail-in powers in line with article 55 of the BRRD, either </w:t>
            </w:r>
          </w:p>
          <w:p w14:paraId="7FE1D0F7"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Yes, supported by Legal Opinion” = the liability includes a bail-in recognition clause in line with Article 55 BRRD that is supported by a legal </w:t>
            </w:r>
            <w:proofErr w:type="gramStart"/>
            <w:r w:rsidRPr="002F61BB">
              <w:rPr>
                <w:rFonts w:ascii="Times New Roman" w:eastAsia="Times New Roman" w:hAnsi="Times New Roman" w:cs="Times New Roman"/>
                <w:sz w:val="20"/>
                <w:szCs w:val="20"/>
              </w:rPr>
              <w:t>opinion;</w:t>
            </w:r>
            <w:proofErr w:type="gramEnd"/>
          </w:p>
          <w:p w14:paraId="7FE1D0F8"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“Yes, not supported by Legal Opinion” = the liability includes a bail-in recognition clause in line with Article 55 BRRD that is currently not supported by a legal </w:t>
            </w:r>
            <w:proofErr w:type="gramStart"/>
            <w:r w:rsidRPr="002F61BB">
              <w:rPr>
                <w:rFonts w:ascii="Times New Roman" w:eastAsia="Times New Roman" w:hAnsi="Times New Roman" w:cs="Times New Roman"/>
                <w:sz w:val="20"/>
                <w:szCs w:val="20"/>
              </w:rPr>
              <w:t>opinion;</w:t>
            </w:r>
            <w:proofErr w:type="gramEnd"/>
          </w:p>
          <w:p w14:paraId="7FE1D0F9"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“No” = the liability does not include a bail-in recognition </w:t>
            </w:r>
            <w:proofErr w:type="gramStart"/>
            <w:r w:rsidRPr="002F61BB">
              <w:rPr>
                <w:rFonts w:ascii="Times New Roman" w:eastAsia="Times New Roman" w:hAnsi="Times New Roman" w:cs="Times New Roman"/>
                <w:sz w:val="20"/>
                <w:szCs w:val="20"/>
              </w:rPr>
              <w:t>clause;</w:t>
            </w:r>
            <w:proofErr w:type="gramEnd"/>
          </w:p>
          <w:p w14:paraId="7FE1D0FA" w14:textId="07E9B1A6"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“Not applicable”</w:t>
            </w:r>
            <w:r>
              <w:rPr>
                <w:rFonts w:ascii="Times New Roman" w:eastAsia="Times New Roman" w:hAnsi="Times New Roman" w:cs="Times New Roman"/>
                <w:sz w:val="20"/>
                <w:szCs w:val="20"/>
              </w:rPr>
              <w:t>,</w:t>
            </w:r>
            <w:r w:rsidRPr="002F61BB">
              <w:rPr>
                <w:rFonts w:ascii="Times New Roman" w:eastAsia="Times New Roman" w:hAnsi="Times New Roman" w:cs="Times New Roman"/>
                <w:sz w:val="20"/>
                <w:szCs w:val="20"/>
              </w:rPr>
              <w:t xml:space="preserve">   </w:t>
            </w:r>
          </w:p>
          <w:p w14:paraId="7FE1D0FB"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from a predefined list.</w:t>
            </w:r>
          </w:p>
        </w:tc>
      </w:tr>
      <w:tr w:rsidR="00CC0A94"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Outstanding Principal Amount  </w:t>
            </w:r>
          </w:p>
          <w:p w14:paraId="7FE1D0FF" w14:textId="66FDB1F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principal amount of the liability.</w:t>
            </w:r>
          </w:p>
        </w:tc>
      </w:tr>
      <w:tr w:rsidR="00CC0A94"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Accrued Interest </w:t>
            </w:r>
          </w:p>
          <w:p w14:paraId="7FE1D103" w14:textId="345D6EB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outstanding accrued interest </w:t>
            </w:r>
            <w:proofErr w:type="gramStart"/>
            <w:r w:rsidRPr="002F61BB">
              <w:rPr>
                <w:rFonts w:ascii="Times New Roman" w:eastAsia="Times New Roman" w:hAnsi="Times New Roman" w:cs="Times New Roman"/>
                <w:sz w:val="20"/>
                <w:szCs w:val="20"/>
              </w:rPr>
              <w:t>on</w:t>
            </w:r>
            <w:proofErr w:type="gramEnd"/>
            <w:r w:rsidRPr="002F61BB">
              <w:rPr>
                <w:rFonts w:ascii="Times New Roman" w:eastAsia="Times New Roman" w:hAnsi="Times New Roman" w:cs="Times New Roman"/>
                <w:sz w:val="20"/>
                <w:szCs w:val="20"/>
              </w:rPr>
              <w:t xml:space="preserve"> the liability.</w:t>
            </w:r>
          </w:p>
        </w:tc>
      </w:tr>
      <w:tr w:rsidR="00CC0A94"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Current Interest Rate (%) </w:t>
            </w:r>
          </w:p>
          <w:p w14:paraId="7FE1D107" w14:textId="574366A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Current level of </w:t>
            </w:r>
            <w:proofErr w:type="gramStart"/>
            <w:r w:rsidRPr="002F61BB">
              <w:rPr>
                <w:rFonts w:ascii="Times New Roman" w:eastAsia="Times New Roman" w:hAnsi="Times New Roman" w:cs="Times New Roman"/>
                <w:sz w:val="20"/>
                <w:szCs w:val="20"/>
              </w:rPr>
              <w:t>the interest</w:t>
            </w:r>
            <w:proofErr w:type="gramEnd"/>
            <w:r w:rsidRPr="002F61BB">
              <w:rPr>
                <w:rFonts w:ascii="Times New Roman" w:eastAsia="Times New Roman" w:hAnsi="Times New Roman" w:cs="Times New Roman"/>
                <w:sz w:val="20"/>
                <w:szCs w:val="20"/>
              </w:rPr>
              <w:t xml:space="preserve"> </w:t>
            </w:r>
            <w:proofErr w:type="gramStart"/>
            <w:r w:rsidRPr="002F61BB">
              <w:rPr>
                <w:rFonts w:ascii="Times New Roman" w:eastAsia="Times New Roman" w:hAnsi="Times New Roman" w:cs="Times New Roman"/>
                <w:sz w:val="20"/>
                <w:szCs w:val="20"/>
              </w:rPr>
              <w:t>rate that</w:t>
            </w:r>
            <w:proofErr w:type="gramEnd"/>
            <w:r w:rsidRPr="002F61BB">
              <w:rPr>
                <w:rFonts w:ascii="Times New Roman" w:eastAsia="Times New Roman" w:hAnsi="Times New Roman" w:cs="Times New Roman"/>
                <w:sz w:val="20"/>
                <w:szCs w:val="20"/>
              </w:rPr>
              <w:t xml:space="preserve"> is applicable to the liability. </w:t>
            </w:r>
          </w:p>
        </w:tc>
      </w:tr>
      <w:tr w:rsidR="00CC0A94"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Currency  </w:t>
            </w:r>
          </w:p>
          <w:p w14:paraId="7FE1D10B" w14:textId="4FC71DB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currency of the liability </w:t>
            </w:r>
            <w:proofErr w:type="gramStart"/>
            <w:r w:rsidRPr="002F61BB">
              <w:rPr>
                <w:rFonts w:ascii="Times New Roman" w:eastAsia="Times New Roman" w:hAnsi="Times New Roman" w:cs="Times New Roman"/>
                <w:sz w:val="20"/>
                <w:szCs w:val="20"/>
              </w:rPr>
              <w:t>in</w:t>
            </w:r>
            <w:proofErr w:type="gramEnd"/>
            <w:r w:rsidRPr="002F61BB">
              <w:rPr>
                <w:rFonts w:ascii="Times New Roman" w:eastAsia="Times New Roman" w:hAnsi="Times New Roman" w:cs="Times New Roman"/>
                <w:sz w:val="20"/>
                <w:szCs w:val="20"/>
              </w:rPr>
              <w:t xml:space="preserve"> line with its 3-letter ISO 4217 code.</w:t>
            </w:r>
          </w:p>
        </w:tc>
      </w:tr>
      <w:tr w:rsidR="00CC0A94"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Issuance Date </w:t>
            </w:r>
          </w:p>
          <w:p w14:paraId="7FE1D10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Date of the original issuance of the liability.</w:t>
            </w:r>
          </w:p>
        </w:tc>
      </w:tr>
      <w:tr w:rsidR="00CC0A94"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Earliest Redemption Date  </w:t>
            </w:r>
          </w:p>
          <w:p w14:paraId="7FE1D113" w14:textId="6DCF032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an option exists for the creditor to request early reimbursement, or conditions for early reimbursement of the liability are contractually foreseen, </w:t>
            </w:r>
            <w:r>
              <w:rPr>
                <w:rFonts w:ascii="Times New Roman" w:eastAsia="Times New Roman" w:hAnsi="Times New Roman" w:cs="Times New Roman"/>
                <w:sz w:val="20"/>
                <w:szCs w:val="20"/>
              </w:rPr>
              <w:t xml:space="preserve">provide </w:t>
            </w:r>
            <w:r w:rsidRPr="002F61BB">
              <w:rPr>
                <w:rFonts w:ascii="Times New Roman" w:eastAsia="Times New Roman" w:hAnsi="Times New Roman" w:cs="Times New Roman"/>
                <w:sz w:val="20"/>
                <w:szCs w:val="20"/>
              </w:rPr>
              <w:t xml:space="preserve">the earliest occurrence date. If the early reimbursement relates to only a portion of the liability (e.g. early reimbursement of 50% of the nominal amount), </w:t>
            </w:r>
            <w:r>
              <w:rPr>
                <w:rFonts w:ascii="Times New Roman" w:eastAsia="Times New Roman" w:hAnsi="Times New Roman" w:cs="Times New Roman"/>
                <w:sz w:val="20"/>
                <w:szCs w:val="20"/>
              </w:rPr>
              <w:t xml:space="preserve">split </w:t>
            </w:r>
            <w:r w:rsidRPr="002F61BB">
              <w:rPr>
                <w:rFonts w:ascii="Times New Roman" w:eastAsia="Times New Roman" w:hAnsi="Times New Roman" w:cs="Times New Roman"/>
                <w:sz w:val="20"/>
                <w:szCs w:val="20"/>
              </w:rPr>
              <w:t xml:space="preserve">the liability to </w:t>
            </w:r>
            <w:proofErr w:type="gramStart"/>
            <w:r w:rsidRPr="002F61BB">
              <w:rPr>
                <w:rFonts w:ascii="Times New Roman" w:eastAsia="Times New Roman" w:hAnsi="Times New Roman" w:cs="Times New Roman"/>
                <w:sz w:val="20"/>
                <w:szCs w:val="20"/>
              </w:rPr>
              <w:t>take into account</w:t>
            </w:r>
            <w:proofErr w:type="gramEnd"/>
            <w:r w:rsidRPr="002F61BB">
              <w:rPr>
                <w:rFonts w:ascii="Times New Roman" w:eastAsia="Times New Roman" w:hAnsi="Times New Roman" w:cs="Times New Roman"/>
                <w:sz w:val="20"/>
                <w:szCs w:val="20"/>
              </w:rPr>
              <w:t xml:space="preserve"> this partial early redemption clause.</w:t>
            </w:r>
          </w:p>
        </w:tc>
      </w:tr>
      <w:tr w:rsidR="00CC0A94"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Legal Maturity </w:t>
            </w:r>
          </w:p>
          <w:p w14:paraId="7FE1D117" w14:textId="39B8EDB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of the legal, final maturity of the instrument. For perpetual instruments, </w:t>
            </w:r>
            <w:r>
              <w:rPr>
                <w:rFonts w:ascii="Times New Roman" w:eastAsia="Times New Roman" w:hAnsi="Times New Roman" w:cs="Times New Roman"/>
                <w:sz w:val="20"/>
                <w:szCs w:val="20"/>
              </w:rPr>
              <w:t>use</w:t>
            </w:r>
            <w:r w:rsidRPr="002F61BB">
              <w:rPr>
                <w:rFonts w:ascii="Times New Roman" w:eastAsia="Times New Roman" w:hAnsi="Times New Roman" w:cs="Times New Roman"/>
                <w:sz w:val="20"/>
                <w:szCs w:val="20"/>
              </w:rPr>
              <w:t xml:space="preserve"> ‘2099-01-31’.</w:t>
            </w:r>
          </w:p>
        </w:tc>
      </w:tr>
      <w:tr w:rsidR="00CC0A94"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of pledge, </w:t>
            </w:r>
            <w:proofErr w:type="gramStart"/>
            <w:r w:rsidRPr="002F61BB">
              <w:rPr>
                <w:rFonts w:ascii="Times New Roman" w:eastAsia="Times New Roman" w:hAnsi="Times New Roman" w:cs="Times New Roman"/>
                <w:b/>
                <w:bCs/>
                <w:sz w:val="20"/>
                <w:szCs w:val="20"/>
              </w:rPr>
              <w:t>lien</w:t>
            </w:r>
            <w:proofErr w:type="gramEnd"/>
            <w:r w:rsidRPr="002F61BB">
              <w:rPr>
                <w:rFonts w:ascii="Times New Roman" w:eastAsia="Times New Roman" w:hAnsi="Times New Roman" w:cs="Times New Roman"/>
                <w:b/>
                <w:bCs/>
                <w:sz w:val="20"/>
                <w:szCs w:val="20"/>
              </w:rPr>
              <w:t xml:space="preserve"> or collateral </w:t>
            </w:r>
          </w:p>
          <w:p w14:paraId="7FE1D120" w14:textId="7CF01C3B"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Where a liability is secured by a pledge, </w:t>
            </w:r>
            <w:proofErr w:type="gramStart"/>
            <w:r w:rsidRPr="002F61BB">
              <w:rPr>
                <w:rFonts w:ascii="Times New Roman" w:eastAsia="Times New Roman" w:hAnsi="Times New Roman" w:cs="Times New Roman"/>
                <w:sz w:val="20"/>
                <w:szCs w:val="20"/>
              </w:rPr>
              <w:t>lien</w:t>
            </w:r>
            <w:proofErr w:type="gramEnd"/>
            <w:r w:rsidRPr="002F61BB">
              <w:rPr>
                <w:rFonts w:ascii="Times New Roman" w:eastAsia="Times New Roman" w:hAnsi="Times New Roman" w:cs="Times New Roman"/>
                <w:sz w:val="20"/>
                <w:szCs w:val="20"/>
              </w:rPr>
              <w:t xml:space="preserve"> or collateral, the gross market value of the latter shall be provided. Otherwise, for unsecured liabilities this category shall be reported as nil. This amount will determine the collateralized and eventually the uncollateralized part of any secured liability. For collateral pools securing multiple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 </w:t>
            </w:r>
            <w:r>
              <w:rPr>
                <w:rFonts w:ascii="Times New Roman" w:eastAsia="Times New Roman" w:hAnsi="Times New Roman" w:cs="Times New Roman"/>
                <w:sz w:val="20"/>
                <w:szCs w:val="20"/>
              </w:rPr>
              <w:t xml:space="preserve">determine </w:t>
            </w:r>
            <w:r w:rsidRPr="002F61BB">
              <w:rPr>
                <w:rFonts w:ascii="Times New Roman" w:eastAsia="Times New Roman" w:hAnsi="Times New Roman" w:cs="Times New Roman"/>
                <w:sz w:val="20"/>
                <w:szCs w:val="20"/>
              </w:rPr>
              <w:t>the overall coverage ratio and appl</w:t>
            </w:r>
            <w:r>
              <w:rPr>
                <w:rFonts w:ascii="Times New Roman" w:eastAsia="Times New Roman" w:hAnsi="Times New Roman" w:cs="Times New Roman"/>
                <w:sz w:val="20"/>
                <w:szCs w:val="20"/>
              </w:rPr>
              <w:t>y</w:t>
            </w:r>
            <w:r w:rsidRPr="002F61BB">
              <w:rPr>
                <w:rFonts w:ascii="Times New Roman" w:eastAsia="Times New Roman" w:hAnsi="Times New Roman" w:cs="Times New Roman"/>
                <w:sz w:val="20"/>
                <w:szCs w:val="20"/>
              </w:rPr>
              <w:t xml:space="preserve"> pro rata to all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 covered by this pool.</w:t>
            </w:r>
          </w:p>
        </w:tc>
      </w:tr>
      <w:tr w:rsidR="00CC0A94"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Guarantor </w:t>
            </w:r>
          </w:p>
          <w:p w14:paraId="7FE1D124" w14:textId="216ADC1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there are guarantees provided for the instrument, provide a detailed identification of the guarantor (LEI code, ISO 3166-1 alpha-2 country code for government, etc.). Where multiple guarantors are present, </w:t>
            </w:r>
            <w:r>
              <w:rPr>
                <w:rFonts w:ascii="Times New Roman" w:eastAsia="Times New Roman" w:hAnsi="Times New Roman" w:cs="Times New Roman"/>
                <w:sz w:val="20"/>
                <w:szCs w:val="20"/>
              </w:rPr>
              <w:t>report all</w:t>
            </w:r>
            <w:r w:rsidRPr="002F61BB">
              <w:rPr>
                <w:rFonts w:ascii="Times New Roman" w:eastAsia="Times New Roman" w:hAnsi="Times New Roman" w:cs="Times New Roman"/>
                <w:sz w:val="20"/>
                <w:szCs w:val="20"/>
              </w:rPr>
              <w:t xml:space="preserve"> identifiers, separated by a semicolon.</w:t>
            </w:r>
          </w:p>
        </w:tc>
      </w:tr>
      <w:tr w:rsidR="00CC0A94"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meeting the conditions for MREL eligibility </w:t>
            </w:r>
          </w:p>
          <w:p w14:paraId="7FE1D130" w14:textId="267C8F5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own funds and eligible liabilities counting towards the requirement set in accordance with Article 45(1) of the Directive 2014/59/EU</w:t>
            </w:r>
          </w:p>
        </w:tc>
      </w:tr>
      <w:tr w:rsidR="00CC0A94"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Qualifying as own funds </w:t>
            </w:r>
          </w:p>
          <w:p w14:paraId="7FE1D134" w14:textId="3B38CBB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F61BB">
              <w:rPr>
                <w:rFonts w:ascii="Times New Roman" w:eastAsia="Times New Roman" w:hAnsi="Times New Roman" w:cs="Times New Roman"/>
                <w:sz w:val="20"/>
                <w:szCs w:val="20"/>
              </w:rPr>
              <w:t xml:space="preserve">ndicate if and at which level the instrument is included in </w:t>
            </w:r>
            <w:proofErr w:type="gramStart"/>
            <w:r w:rsidRPr="002F61BB">
              <w:rPr>
                <w:rFonts w:ascii="Times New Roman" w:eastAsia="Times New Roman" w:hAnsi="Times New Roman" w:cs="Times New Roman"/>
                <w:sz w:val="20"/>
                <w:szCs w:val="20"/>
              </w:rPr>
              <w:t>the</w:t>
            </w:r>
            <w:proofErr w:type="gramEnd"/>
            <w:r w:rsidRPr="002F61BB">
              <w:rPr>
                <w:rFonts w:ascii="Times New Roman" w:eastAsia="Times New Roman" w:hAnsi="Times New Roman" w:cs="Times New Roman"/>
                <w:sz w:val="20"/>
                <w:szCs w:val="20"/>
              </w:rPr>
              <w:t xml:space="preserve"> own funds, alongside information on the phase-out regime and grandfathering arrangements. Value can be ‘No</w:t>
            </w:r>
            <w:proofErr w:type="gramStart"/>
            <w:r w:rsidRPr="002F61BB">
              <w:rPr>
                <w:rFonts w:ascii="Times New Roman" w:eastAsia="Times New Roman" w:hAnsi="Times New Roman" w:cs="Times New Roman"/>
                <w:sz w:val="20"/>
                <w:szCs w:val="20"/>
              </w:rPr>
              <w:t>’, ‘</w:t>
            </w:r>
            <w:proofErr w:type="gramEnd"/>
            <w:r w:rsidR="00FB6BAE">
              <w:rPr>
                <w:rFonts w:ascii="Times New Roman" w:eastAsia="Times New Roman" w:hAnsi="Times New Roman" w:cs="Times New Roman"/>
                <w:sz w:val="20"/>
                <w:szCs w:val="20"/>
              </w:rPr>
              <w:t>Partially AT1, T</w:t>
            </w:r>
            <w:proofErr w:type="gramStart"/>
            <w:r w:rsidR="00FB6BAE">
              <w:rPr>
                <w:rFonts w:ascii="Times New Roman" w:eastAsia="Times New Roman" w:hAnsi="Times New Roman" w:cs="Times New Roman"/>
                <w:sz w:val="20"/>
                <w:szCs w:val="20"/>
              </w:rPr>
              <w:t xml:space="preserve">1 </w:t>
            </w:r>
            <w:r w:rsidRPr="002F61BB">
              <w:rPr>
                <w:rFonts w:ascii="Times New Roman" w:eastAsia="Times New Roman" w:hAnsi="Times New Roman" w:cs="Times New Roman"/>
                <w:sz w:val="20"/>
                <w:szCs w:val="20"/>
              </w:rPr>
              <w:t xml:space="preserve"> and</w:t>
            </w:r>
            <w:proofErr w:type="gramEnd"/>
            <w:r w:rsidRPr="002F61BB">
              <w:rPr>
                <w:rFonts w:ascii="Times New Roman" w:eastAsia="Times New Roman" w:hAnsi="Times New Roman" w:cs="Times New Roman"/>
                <w:sz w:val="20"/>
                <w:szCs w:val="20"/>
              </w:rPr>
              <w:t xml:space="preserve">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T2 in phase-out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Grandfathered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Fully Compliant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Grandfathered AT1</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Fully Compliant AT1’ or ‘CET1’ from a predefined list.</w:t>
            </w:r>
          </w:p>
        </w:tc>
      </w:tr>
      <w:tr w:rsidR="00CC0A94"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Amount Qualifying as Own Funds </w:t>
            </w:r>
          </w:p>
          <w:p w14:paraId="7FE1D138" w14:textId="48ED714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instrument qualifying as own funds.</w:t>
            </w:r>
          </w:p>
        </w:tc>
      </w:tr>
    </w:tbl>
    <w:p w14:paraId="7FE1D13A" w14:textId="77777777" w:rsidR="00CC0A94" w:rsidRDefault="00CC0A94">
      <w:pPr>
        <w:pStyle w:val="Instructionsberschrift2"/>
        <w:ind w:left="357"/>
        <w:rPr>
          <w:rFonts w:ascii="Times New Roman" w:eastAsia="Calibri" w:hAnsi="Times New Roman" w:cs="Times New Roman"/>
          <w:szCs w:val="20"/>
        </w:rPr>
      </w:pPr>
      <w:bookmarkStart w:id="247" w:name="_Toc81454216"/>
    </w:p>
    <w:p w14:paraId="7FE1D13B" w14:textId="0DCB9703"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48" w:name="_Toc192249430"/>
      <w:r>
        <w:rPr>
          <w:rFonts w:ascii="Times New Roman" w:eastAsiaTheme="minorEastAsia" w:hAnsi="Times New Roman" w:cs="Times New Roman"/>
        </w:rPr>
        <w:t>Z 1</w:t>
      </w:r>
      <w:r w:rsidR="00D34E5E">
        <w:rPr>
          <w:rFonts w:ascii="Times New Roman" w:eastAsiaTheme="minorEastAsia" w:hAnsi="Times New Roman" w:cs="Times New Roman"/>
        </w:rPr>
        <w:t>5</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 Derivatives</w:t>
      </w:r>
      <w:r>
        <w:rPr>
          <w:rFonts w:ascii="Times New Roman" w:eastAsiaTheme="minorEastAsia" w:hAnsi="Times New Roman" w:cs="Times New Roman"/>
        </w:rPr>
        <w:t xml:space="preserve"> </w:t>
      </w:r>
      <w:r>
        <w:rPr>
          <w:rFonts w:ascii="Times New Roman" w:eastAsia="Calibri" w:hAnsi="Times New Roman" w:cs="Times New Roman"/>
          <w:szCs w:val="20"/>
          <w:lang w:val="fr-BE"/>
        </w:rPr>
        <w:t>(LIAB-G-5)</w:t>
      </w:r>
      <w:bookmarkEnd w:id="248"/>
    </w:p>
    <w:bookmarkEnd w:id="247"/>
    <w:p w14:paraId="7FE1D13D"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General remarks</w:t>
      </w:r>
    </w:p>
    <w:p w14:paraId="7FE1D13E" w14:textId="2F22A34C"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sidRPr="002F61BB">
        <w:rPr>
          <w:rFonts w:ascii="Times New Roman" w:eastAsia="Cambria" w:hAnsi="Times New Roman" w:cs="Times New Roman"/>
          <w:sz w:val="20"/>
          <w:szCs w:val="20"/>
          <w:lang w:val="en-GB"/>
        </w:rPr>
        <w:t xml:space="preserve">For the purposes of this table, liabilities arising from derivatives shall be reported by netting set, i.e. each netting set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 </w:t>
      </w:r>
    </w:p>
    <w:p w14:paraId="7FE1D140" w14:textId="6B5870BD" w:rsidR="00CC0A94" w:rsidRPr="002F61BB" w:rsidRDefault="006C1571" w:rsidP="002F61BB">
      <w:pPr>
        <w:pStyle w:val="InstructionsText2"/>
        <w:numPr>
          <w:ilvl w:val="2"/>
          <w:numId w:val="209"/>
        </w:numPr>
        <w:spacing w:before="0"/>
        <w:ind w:left="1276"/>
        <w:rPr>
          <w:rFonts w:ascii="Times New Roman" w:hAnsi="Times New Roman" w:cs="Times New Roman"/>
          <w:sz w:val="20"/>
          <w:szCs w:val="20"/>
          <w:lang w:val="en-GB"/>
        </w:rPr>
      </w:pPr>
      <w:r w:rsidRPr="002F61BB">
        <w:rPr>
          <w:rFonts w:ascii="Times New Roman" w:eastAsia="Cambria" w:hAnsi="Times New Roman" w:cs="Times New Roman"/>
          <w:sz w:val="20"/>
          <w:szCs w:val="20"/>
          <w:lang w:val="en-GB"/>
        </w:rPr>
        <w:t xml:space="preserve">Only </w:t>
      </w:r>
      <w:r>
        <w:rPr>
          <w:rFonts w:ascii="Times New Roman" w:eastAsia="Cambria" w:hAnsi="Times New Roman" w:cs="Times New Roman"/>
          <w:sz w:val="20"/>
          <w:szCs w:val="20"/>
          <w:lang w:val="en-GB"/>
        </w:rPr>
        <w:t xml:space="preserve">report </w:t>
      </w:r>
      <w:r w:rsidRPr="002F61BB">
        <w:rPr>
          <w:rFonts w:ascii="Times New Roman" w:eastAsia="Cambria" w:hAnsi="Times New Roman" w:cs="Times New Roman"/>
          <w:sz w:val="20"/>
          <w:szCs w:val="20"/>
          <w:lang w:val="en-GB"/>
        </w:rPr>
        <w:t>the derivative netting sets/single contracts resulting in a net mark-to-market (column c0120) liability.</w:t>
      </w:r>
    </w:p>
    <w:p w14:paraId="7FE1D142"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Instructions concerning specific positions</w:t>
      </w:r>
    </w:p>
    <w:tbl>
      <w:tblPr>
        <w:tblW w:w="9015" w:type="dxa"/>
        <w:tblInd w:w="135" w:type="dxa"/>
        <w:tblLayout w:type="fixed"/>
        <w:tblLook w:val="04A0" w:firstRow="1" w:lastRow="0" w:firstColumn="1" w:lastColumn="0" w:noHBand="0" w:noVBand="1"/>
      </w:tblPr>
      <w:tblGrid>
        <w:gridCol w:w="1183"/>
        <w:gridCol w:w="7832"/>
      </w:tblGrid>
      <w:tr w:rsidR="00CC0A94" w14:paraId="7FE1D145"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Instructions </w:t>
            </w:r>
          </w:p>
        </w:tc>
      </w:tr>
      <w:tr w:rsidR="00CC0A94"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 </w:t>
            </w:r>
          </w:p>
          <w:p w14:paraId="7FE1D148" w14:textId="7090CAA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D14C" w14:textId="43946C6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netting set, a reconciliation with which of the counterparty classes the liability structure in </w:t>
            </w:r>
            <w:r w:rsidR="008827A2">
              <w:rPr>
                <w:rFonts w:ascii="Times New Roman" w:eastAsia="Times New Roman" w:hAnsi="Times New Roman" w:cs="Times New Roman"/>
                <w:sz w:val="20"/>
                <w:szCs w:val="20"/>
              </w:rPr>
              <w:t xml:space="preserve">Z </w:t>
            </w:r>
            <w:proofErr w:type="gramStart"/>
            <w:r w:rsidRPr="002F61BB">
              <w:rPr>
                <w:rFonts w:ascii="Times New Roman" w:eastAsia="Times New Roman" w:hAnsi="Times New Roman" w:cs="Times New Roman"/>
                <w:sz w:val="20"/>
                <w:szCs w:val="20"/>
              </w:rPr>
              <w:t>0</w:t>
            </w:r>
            <w:r w:rsidR="008827A2">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it</w:t>
            </w:r>
            <w:proofErr w:type="gramEnd"/>
            <w:r w:rsidRPr="002F61BB">
              <w:rPr>
                <w:rFonts w:ascii="Times New Roman" w:eastAsia="Times New Roman" w:hAnsi="Times New Roman" w:cs="Times New Roman"/>
                <w:sz w:val="20"/>
                <w:szCs w:val="20"/>
              </w:rPr>
              <w:t xml:space="preserve"> has been contracted to </w:t>
            </w:r>
            <w:proofErr w:type="gramStart"/>
            <w:r w:rsidRPr="002F61BB">
              <w:rPr>
                <w:rFonts w:ascii="Times New Roman" w:eastAsia="Times New Roman" w:hAnsi="Times New Roman" w:cs="Times New Roman"/>
                <w:sz w:val="20"/>
                <w:szCs w:val="20"/>
              </w:rPr>
              <w:t>has</w:t>
            </w:r>
            <w:proofErr w:type="gramEnd"/>
            <w:r w:rsidRPr="002F61BB">
              <w:rPr>
                <w:rFonts w:ascii="Times New Roman" w:eastAsia="Times New Roman" w:hAnsi="Times New Roman" w:cs="Times New Roman"/>
                <w:sz w:val="20"/>
                <w:szCs w:val="20"/>
              </w:rPr>
              <w:t xml:space="preserve"> to be provided from predefined list of values.</w:t>
            </w:r>
          </w:p>
        </w:tc>
      </w:tr>
      <w:tr w:rsidR="00CC0A94"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Insolvency Ra</w:t>
            </w:r>
            <w:r w:rsidR="008827A2">
              <w:rPr>
                <w:rFonts w:ascii="Times New Roman" w:eastAsia="Times New Roman" w:hAnsi="Times New Roman" w:cs="Times New Roman"/>
                <w:b/>
                <w:bCs/>
                <w:sz w:val="20"/>
                <w:szCs w:val="20"/>
              </w:rPr>
              <w:t>n</w:t>
            </w:r>
            <w:r w:rsidRPr="002F61BB">
              <w:rPr>
                <w:rFonts w:ascii="Times New Roman" w:eastAsia="Times New Roman" w:hAnsi="Times New Roman" w:cs="Times New Roman"/>
                <w:b/>
                <w:bCs/>
                <w:sz w:val="20"/>
                <w:szCs w:val="20"/>
              </w:rPr>
              <w:t xml:space="preserve">king  </w:t>
            </w:r>
          </w:p>
          <w:p w14:paraId="7FE1D150" w14:textId="00926D4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Master Agreement ID  </w:t>
            </w:r>
          </w:p>
          <w:p w14:paraId="7FE1D154"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Internal identifier of the master agreement or single contract.</w:t>
            </w:r>
          </w:p>
        </w:tc>
      </w:tr>
      <w:tr w:rsidR="00CC0A94"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Master Agreement </w:t>
            </w:r>
          </w:p>
          <w:p w14:paraId="7FE1D158" w14:textId="338F32C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Specify</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the master agreement, either ‘ISDA 2002 M</w:t>
            </w:r>
            <w:r w:rsidR="008A017A">
              <w:rPr>
                <w:rFonts w:ascii="Times New Roman" w:eastAsia="Times New Roman" w:hAnsi="Times New Roman" w:cs="Times New Roman"/>
                <w:sz w:val="20"/>
                <w:szCs w:val="20"/>
              </w:rPr>
              <w:t xml:space="preserve">aster </w:t>
            </w:r>
            <w:r w:rsidRPr="002F61BB">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ISDA 1992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ISDA 1987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ISDA 1986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ISDA 1985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Other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Single Contract’ from a predefined list.</w:t>
            </w:r>
          </w:p>
        </w:tc>
      </w:tr>
      <w:tr w:rsidR="00CC0A94"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ISDA Protocol Adherent Entity  </w:t>
            </w:r>
          </w:p>
          <w:p w14:paraId="7FE1D15C" w14:textId="34C9BF40"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whether the entity itself has signed the ISDA Universal Stay Protocol, either ‘ISDA Universal Protocol</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ISDA JMP Module</w:t>
            </w:r>
            <w:proofErr w:type="gramStart"/>
            <w:r w:rsidRPr="002F61BB">
              <w:rPr>
                <w:rFonts w:ascii="Times New Roman" w:eastAsia="Times New Roman" w:hAnsi="Times New Roman" w:cs="Times New Roman"/>
                <w:sz w:val="20"/>
                <w:szCs w:val="20"/>
              </w:rPr>
              <w:t>’</w:t>
            </w:r>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BRRD II Omnibus Jurisdictional Module’</w:t>
            </w:r>
            <w:r w:rsidRPr="002F61BB">
              <w:rPr>
                <w:rFonts w:ascii="Times New Roman" w:eastAsia="Times New Roman" w:hAnsi="Times New Roman" w:cs="Times New Roman"/>
                <w:sz w:val="20"/>
                <w:szCs w:val="20"/>
              </w:rPr>
              <w:t xml:space="preserve"> or ‘No’ from a predefined list. </w:t>
            </w:r>
          </w:p>
        </w:tc>
      </w:tr>
      <w:tr w:rsidR="00CC0A94"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Resolution Stay Recognition  </w:t>
            </w:r>
          </w:p>
          <w:p w14:paraId="7FE1D160" w14:textId="59E963F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whether the counterparty has adhered to, either ‘ISDA Universal Protocol</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ISDA JMP Module</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Other Agreement for resolution stay recognition’ or ‘No resolution stay </w:t>
            </w:r>
            <w:r w:rsidRPr="002F61BB">
              <w:rPr>
                <w:rFonts w:ascii="Times New Roman" w:eastAsia="Times New Roman" w:hAnsi="Times New Roman" w:cs="Times New Roman"/>
                <w:sz w:val="20"/>
                <w:szCs w:val="20"/>
              </w:rPr>
              <w:lastRenderedPageBreak/>
              <w:t>recognition’ from a predefined list.</w:t>
            </w:r>
          </w:p>
        </w:tc>
      </w:tr>
      <w:tr w:rsidR="00CC0A94"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Name of counterparty </w:t>
            </w:r>
          </w:p>
          <w:p w14:paraId="7FE1D164" w14:textId="222EF1A6"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bookmarkStart w:id="249" w:name="_Hlk189839311"/>
            <w:r w:rsidRPr="002F61BB">
              <w:rPr>
                <w:rFonts w:ascii="Times New Roman" w:eastAsia="Times New Roman" w:hAnsi="Times New Roman" w:cs="Times New Roman"/>
                <w:sz w:val="20"/>
                <w:szCs w:val="20"/>
              </w:rPr>
              <w:t xml:space="preserve">The </w:t>
            </w:r>
            <w:proofErr w:type="gramStart"/>
            <w:r w:rsidRPr="002F61BB">
              <w:rPr>
                <w:rFonts w:ascii="Times New Roman" w:eastAsia="Times New Roman" w:hAnsi="Times New Roman" w:cs="Times New Roman"/>
                <w:sz w:val="20"/>
                <w:szCs w:val="20"/>
              </w:rPr>
              <w:t>entity name of</w:t>
            </w:r>
            <w:proofErr w:type="gramEnd"/>
            <w:r w:rsidRPr="002F61BB">
              <w:rPr>
                <w:rFonts w:ascii="Times New Roman" w:eastAsia="Times New Roman" w:hAnsi="Times New Roman" w:cs="Times New Roman"/>
                <w:sz w:val="20"/>
                <w:szCs w:val="20"/>
              </w:rPr>
              <w:t xml:space="preserve"> the counterparty.</w:t>
            </w:r>
            <w:bookmarkEnd w:id="249"/>
            <w:r>
              <w:rPr>
                <w:rFonts w:ascii="Times New Roman" w:eastAsia="Times New Roman" w:hAnsi="Times New Roman" w:cs="Times New Roman"/>
                <w:sz w:val="20"/>
                <w:szCs w:val="20"/>
              </w:rPr>
              <w:t xml:space="preserve"> In the case of CCP-cleared derivatives, report the relevant CCP as counterparty.</w:t>
            </w:r>
          </w:p>
        </w:tc>
      </w:tr>
      <w:tr w:rsidR="00CC0A94"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8A017A"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Counterparty identifier </w:t>
            </w:r>
          </w:p>
          <w:p w14:paraId="7FE1D168" w14:textId="7D4036D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eport</w:t>
            </w:r>
            <w:proofErr w:type="gramEnd"/>
            <w:r w:rsidRPr="002F61BB">
              <w:rPr>
                <w:rFonts w:ascii="Times New Roman" w:eastAsia="Times New Roman" w:hAnsi="Times New Roman" w:cs="Times New Roman"/>
                <w:sz w:val="20"/>
                <w:szCs w:val="20"/>
              </w:rPr>
              <w:t xml:space="preserve"> the </w:t>
            </w:r>
            <w:r>
              <w:rPr>
                <w:rFonts w:ascii="Times New Roman" w:eastAsia="Times New Roman" w:hAnsi="Times New Roman" w:cs="Times New Roman"/>
                <w:sz w:val="20"/>
                <w:szCs w:val="20"/>
              </w:rPr>
              <w:t>counterparty</w:t>
            </w:r>
            <w:r w:rsidRPr="002F61BB">
              <w:rPr>
                <w:rFonts w:ascii="Times New Roman" w:eastAsia="Times New Roman" w:hAnsi="Times New Roman" w:cs="Times New Roman"/>
                <w:sz w:val="20"/>
                <w:szCs w:val="20"/>
              </w:rPr>
              <w:t xml:space="preserve">’s LEI code. In the absence of a LEI, in the case of banks’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ECB Monetary Financial Institutions identifier (MFI ID) used in RIAD. In absence of both these identifiers,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an internal </w:t>
            </w:r>
            <w:proofErr w:type="gramStart"/>
            <w:r w:rsidRPr="002F61BB">
              <w:rPr>
                <w:rFonts w:ascii="Times New Roman" w:eastAsia="Times New Roman" w:hAnsi="Times New Roman" w:cs="Times New Roman"/>
                <w:sz w:val="20"/>
                <w:szCs w:val="20"/>
              </w:rPr>
              <w:t>identifier .</w:t>
            </w:r>
            <w:proofErr w:type="gramEnd"/>
            <w:r>
              <w:rPr>
                <w:rFonts w:ascii="Times New Roman" w:eastAsia="Times New Roman" w:hAnsi="Times New Roman" w:cs="Times New Roman"/>
                <w:sz w:val="20"/>
                <w:szCs w:val="20"/>
              </w:rPr>
              <w:t xml:space="preserve"> </w:t>
            </w:r>
          </w:p>
        </w:tc>
      </w:tr>
      <w:tr w:rsidR="00CC0A94"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16C"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Country of Counterparty  </w:t>
            </w:r>
          </w:p>
          <w:p w14:paraId="7FE1D170"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identification of the country where the counterparty is incorporated.</w:t>
            </w:r>
          </w:p>
        </w:tc>
      </w:tr>
      <w:tr w:rsidR="008A017A"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8A017A" w:rsidRDefault="008A017A">
            <w:pPr>
              <w:rPr>
                <w:rFonts w:ascii="Times New Roman" w:eastAsia="Times New Roman" w:hAnsi="Times New Roman" w:cs="Times New Roman"/>
                <w:sz w:val="20"/>
                <w:szCs w:val="20"/>
              </w:rPr>
            </w:pPr>
            <w:r>
              <w:rPr>
                <w:rFonts w:ascii="Times New Roman" w:eastAsia="Times New Roman" w:hAnsi="Times New Roman" w:cs="Times New Roman"/>
                <w:sz w:val="20"/>
                <w:szCs w:val="20"/>
              </w:rP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8A017A" w:rsidRDefault="008A017A">
            <w:pPr>
              <w:pStyle w:val="TableParagraph"/>
              <w:spacing w:before="108"/>
              <w:ind w:left="85"/>
              <w:jc w:val="both"/>
              <w:rPr>
                <w:rFonts w:ascii="Times New Roman" w:eastAsia="Times New Roman" w:hAnsi="Times New Roman" w:cs="Times New Roman"/>
                <w:b/>
                <w:bCs/>
                <w:sz w:val="20"/>
                <w:szCs w:val="20"/>
              </w:rPr>
            </w:pPr>
            <w:r w:rsidRPr="008A017A">
              <w:rPr>
                <w:rFonts w:ascii="Times New Roman" w:eastAsia="Times New Roman" w:hAnsi="Times New Roman" w:cs="Times New Roman"/>
                <w:b/>
                <w:bCs/>
                <w:sz w:val="20"/>
                <w:szCs w:val="20"/>
              </w:rPr>
              <w:t>Intragroup Transaction</w:t>
            </w:r>
          </w:p>
          <w:p w14:paraId="1EA32667" w14:textId="1995F401" w:rsidR="008A017A" w:rsidRPr="002F61BB" w:rsidRDefault="008A017A">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reporting entity needs to indicate whether the transaction reported is done with a counterparty</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belonging to the accounting scope of consolidation of the ultimate parent entity. The acceptable values are</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“True” or “False”</w:t>
            </w:r>
          </w:p>
        </w:tc>
      </w:tr>
      <w:tr w:rsidR="00CC0A94"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CC0A94" w:rsidRPr="002F61BB" w:rsidRDefault="006C1571" w:rsidP="002F61BB">
            <w:pPr>
              <w:pStyle w:val="TableParagraph"/>
              <w:spacing w:before="108"/>
              <w:ind w:left="85"/>
              <w:jc w:val="both"/>
              <w:rPr>
                <w:rFonts w:ascii="Times New Roman" w:hAnsi="Times New Roman" w:cs="Times New Roman"/>
              </w:rPr>
            </w:pPr>
            <w:r w:rsidRPr="002F61BB">
              <w:rPr>
                <w:rFonts w:ascii="Times New Roman" w:eastAsia="Times New Roman" w:hAnsi="Times New Roman" w:cs="Times New Roman"/>
                <w:sz w:val="20"/>
                <w:szCs w:val="20"/>
              </w:rP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Governing law of master agreement/single contract</w:t>
            </w:r>
          </w:p>
          <w:p w14:paraId="7FE1D178" w14:textId="69ED353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code of the country whose law governs the master agreement/single contract</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(use the ISO 3166-2 code when the law of an administrative subdivision is relevant, e.</w:t>
            </w:r>
            <w:proofErr w:type="gramStart"/>
            <w:r w:rsidRPr="002F61BB">
              <w:rPr>
                <w:rFonts w:ascii="Times New Roman" w:eastAsia="Times New Roman" w:hAnsi="Times New Roman" w:cs="Times New Roman"/>
                <w:sz w:val="20"/>
                <w:szCs w:val="20"/>
              </w:rPr>
              <w:t>g. ‘</w:t>
            </w:r>
            <w:proofErr w:type="gramEnd"/>
            <w:r w:rsidRPr="002F61BB">
              <w:rPr>
                <w:rFonts w:ascii="Times New Roman" w:eastAsia="Times New Roman" w:hAnsi="Times New Roman" w:cs="Times New Roman"/>
                <w:sz w:val="20"/>
                <w:szCs w:val="20"/>
              </w:rPr>
              <w:t xml:space="preserve">US-NY’). If the contract is governed by the law of more than one country, the country the law of which has the highest relevance for the recognition of write down and conversion powers shall be reported.  </w:t>
            </w:r>
          </w:p>
        </w:tc>
      </w:tr>
      <w:tr w:rsidR="00CC0A94"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Number of Transactions Covered  </w:t>
            </w:r>
          </w:p>
          <w:p w14:paraId="7FE1D17C"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the number of individual contracts that are included in the netting set of the Master Agreements.</w:t>
            </w:r>
          </w:p>
        </w:tc>
      </w:tr>
      <w:tr w:rsidR="00CC0A94"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Net mark </w:t>
            </w:r>
            <w:proofErr w:type="gramStart"/>
            <w:r w:rsidRPr="002F61BB">
              <w:rPr>
                <w:rFonts w:ascii="Times New Roman" w:eastAsia="Times New Roman" w:hAnsi="Times New Roman" w:cs="Times New Roman"/>
                <w:b/>
                <w:bCs/>
                <w:sz w:val="20"/>
                <w:szCs w:val="20"/>
              </w:rPr>
              <w:t>to</w:t>
            </w:r>
            <w:proofErr w:type="gramEnd"/>
            <w:r w:rsidRPr="002F61BB">
              <w:rPr>
                <w:rFonts w:ascii="Times New Roman" w:eastAsia="Times New Roman" w:hAnsi="Times New Roman" w:cs="Times New Roman"/>
                <w:b/>
                <w:bCs/>
                <w:sz w:val="20"/>
                <w:szCs w:val="20"/>
              </w:rPr>
              <w:t xml:space="preserve"> market value </w:t>
            </w:r>
          </w:p>
          <w:p w14:paraId="7FE1D180" w14:textId="229346B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Net market value of derivative liabilities per contractual netting set assuming closing of derivatives at the reference date.</w:t>
            </w:r>
            <w:r>
              <w:rPr>
                <w:rFonts w:ascii="Times New Roman" w:eastAsia="Times New Roman" w:hAnsi="Times New Roman" w:cs="Times New Roman"/>
                <w:sz w:val="20"/>
                <w:szCs w:val="20"/>
              </w:rPr>
              <w:t xml:space="preserve"> </w:t>
            </w:r>
          </w:p>
        </w:tc>
      </w:tr>
      <w:tr w:rsidR="00CC0A94"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Value of net collateral posted </w:t>
            </w:r>
          </w:p>
          <w:p w14:paraId="7FE1D184" w14:textId="014CEFC4"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net market value of collateral positions under a netting set (i.e. collateral posted decreased by any collateral received). This include</w:t>
            </w:r>
            <w:r>
              <w:rPr>
                <w:rFonts w:ascii="Times New Roman" w:eastAsia="Times New Roman" w:hAnsi="Times New Roman" w:cs="Times New Roman"/>
                <w:sz w:val="20"/>
                <w:szCs w:val="20"/>
              </w:rPr>
              <w:t>s</w:t>
            </w:r>
            <w:r w:rsidRPr="002F61BB">
              <w:rPr>
                <w:rFonts w:ascii="Times New Roman" w:eastAsia="Times New Roman" w:hAnsi="Times New Roman" w:cs="Times New Roman"/>
                <w:sz w:val="20"/>
                <w:szCs w:val="20"/>
              </w:rPr>
              <w:t xml:space="preserve"> any margin accounts under the netting arrangements. </w:t>
            </w: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eport as a positive value for net collateral posted to counterparties.</w:t>
            </w:r>
          </w:p>
        </w:tc>
      </w:tr>
      <w:tr w:rsidR="00CC0A94"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Estimated Close Out Amount </w:t>
            </w:r>
          </w:p>
          <w:p w14:paraId="7FE1D188" w14:textId="63DBB8B6"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estimated close-out amount covering the </w:t>
            </w:r>
            <w:proofErr w:type="gramStart"/>
            <w:r w:rsidRPr="002F61BB">
              <w:rPr>
                <w:rFonts w:ascii="Times New Roman" w:eastAsia="Times New Roman" w:hAnsi="Times New Roman" w:cs="Times New Roman"/>
                <w:sz w:val="20"/>
                <w:szCs w:val="20"/>
              </w:rPr>
              <w:t>amount</w:t>
            </w:r>
            <w:proofErr w:type="gramEnd"/>
            <w:r w:rsidRPr="002F61BB">
              <w:rPr>
                <w:rFonts w:ascii="Times New Roman" w:eastAsia="Times New Roman" w:hAnsi="Times New Roman" w:cs="Times New Roman"/>
                <w:sz w:val="20"/>
                <w:szCs w:val="20"/>
              </w:rPr>
              <w:t xml:space="preserve"> of losses or costs incurred by derivative counterparties, or gains </w:t>
            </w:r>
            <w:proofErr w:type="spellStart"/>
            <w:r w:rsidRPr="002F61BB">
              <w:rPr>
                <w:rFonts w:ascii="Times New Roman" w:eastAsia="Times New Roman" w:hAnsi="Times New Roman" w:cs="Times New Roman"/>
                <w:sz w:val="20"/>
                <w:szCs w:val="20"/>
              </w:rPr>
              <w:t>realised</w:t>
            </w:r>
            <w:proofErr w:type="spellEnd"/>
            <w:r w:rsidRPr="002F61BB">
              <w:rPr>
                <w:rFonts w:ascii="Times New Roman" w:eastAsia="Times New Roman" w:hAnsi="Times New Roman" w:cs="Times New Roman"/>
                <w:sz w:val="20"/>
                <w:szCs w:val="20"/>
              </w:rPr>
              <w:t xml:space="preserve"> by them, in replacing or obtaining the economic equivalent on material terms of the contracts and the option rights of the parties in respect of the terminated contracts. </w:t>
            </w:r>
            <w:r>
              <w:rPr>
                <w:rFonts w:ascii="Times New Roman" w:eastAsia="Times New Roman" w:hAnsi="Times New Roman" w:cs="Times New Roman"/>
                <w:sz w:val="20"/>
                <w:szCs w:val="20"/>
              </w:rPr>
              <w:t xml:space="preserve">In some </w:t>
            </w:r>
            <w:proofErr w:type="gramStart"/>
            <w:r>
              <w:rPr>
                <w:rFonts w:ascii="Times New Roman" w:eastAsia="Times New Roman" w:hAnsi="Times New Roman" w:cs="Times New Roman"/>
                <w:sz w:val="20"/>
                <w:szCs w:val="20"/>
              </w:rPr>
              <w:t>cases;</w:t>
            </w:r>
            <w:proofErr w:type="gramEnd"/>
            <w:r>
              <w:rPr>
                <w:rFonts w:ascii="Times New Roman" w:eastAsia="Times New Roman" w:hAnsi="Times New Roman" w:cs="Times New Roman"/>
                <w:sz w:val="20"/>
                <w:szCs w:val="20"/>
              </w:rPr>
              <w:t xml:space="preserve"> t</w:t>
            </w:r>
            <w:r w:rsidRPr="002F61BB">
              <w:rPr>
                <w:rFonts w:ascii="Times New Roman" w:eastAsia="Times New Roman" w:hAnsi="Times New Roman" w:cs="Times New Roman"/>
                <w:sz w:val="20"/>
                <w:szCs w:val="20"/>
              </w:rPr>
              <w:t xml:space="preserve">he estimations required to determine this value in line with the Delegated Regulation (EU) 2016/1401 </w:t>
            </w:r>
            <w:r>
              <w:rPr>
                <w:rFonts w:ascii="Times New Roman" w:eastAsia="Times New Roman" w:hAnsi="Times New Roman" w:cs="Times New Roman"/>
                <w:sz w:val="20"/>
                <w:szCs w:val="20"/>
              </w:rPr>
              <w:t>are difficult to report</w:t>
            </w:r>
            <w:r w:rsidRPr="002F61BB">
              <w:rPr>
                <w:rFonts w:ascii="Times New Roman" w:eastAsia="Times New Roman" w:hAnsi="Times New Roman" w:cs="Times New Roman"/>
                <w:sz w:val="20"/>
                <w:szCs w:val="20"/>
              </w:rPr>
              <w:t xml:space="preserve"> on an individual basis. Therefore, proxy values, based on available data such as the prudential requirements for market risk, </w:t>
            </w:r>
            <w:r>
              <w:rPr>
                <w:rFonts w:ascii="Times New Roman" w:eastAsia="Times New Roman" w:hAnsi="Times New Roman" w:cs="Times New Roman"/>
                <w:sz w:val="20"/>
                <w:szCs w:val="20"/>
              </w:rPr>
              <w:t>are to</w:t>
            </w:r>
            <w:r w:rsidRPr="002F61BB">
              <w:rPr>
                <w:rFonts w:ascii="Times New Roman" w:eastAsia="Times New Roman" w:hAnsi="Times New Roman" w:cs="Times New Roman"/>
                <w:sz w:val="20"/>
                <w:szCs w:val="20"/>
              </w:rPr>
              <w:t xml:space="preserve"> be used instead. A positive value for the estimated close-out amount results in an increase of the estimated early termination amount, while a negative sign would decrease the estimated early termination amount.</w:t>
            </w:r>
          </w:p>
        </w:tc>
      </w:tr>
      <w:tr w:rsidR="00CC0A94"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0150</w:t>
            </w:r>
          </w:p>
        </w:tc>
        <w:tc>
          <w:tcPr>
            <w:tcW w:w="7832" w:type="dxa"/>
            <w:tcBorders>
              <w:top w:val="single" w:sz="8" w:space="0" w:color="1A171C"/>
              <w:left w:val="single" w:sz="8" w:space="0" w:color="1A171C"/>
              <w:right w:val="nil"/>
            </w:tcBorders>
            <w:vAlign w:val="bottom"/>
          </w:tcPr>
          <w:p w14:paraId="7FE1D18B"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Estimated Early Termination Amount </w:t>
            </w:r>
          </w:p>
          <w:p w14:paraId="7FE1D18C"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With reference to the Delegated Regulation (EU) 2016/1401 on the valuation of derivatives pursuant to article 49 (4) of the BRRD, this amount is determined as follows:</w:t>
            </w:r>
          </w:p>
        </w:tc>
      </w:tr>
      <w:tr w:rsidR="00CC0A94" w14:paraId="7FE1D190" w14:textId="77777777">
        <w:tc>
          <w:tcPr>
            <w:tcW w:w="1183" w:type="dxa"/>
            <w:vMerge/>
            <w:tcBorders>
              <w:right w:val="single" w:sz="8" w:space="0" w:color="1A171C"/>
            </w:tcBorders>
            <w:vAlign w:val="center"/>
          </w:tcPr>
          <w:p w14:paraId="7FE1D18E" w14:textId="77777777" w:rsidR="00CC0A94" w:rsidRPr="002F61BB" w:rsidRDefault="00CC0A94">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"The valuer shall determine the value of liabilities arising from derivative contracts under a netting set as an early termination amount calculated as the sum of: </w:t>
            </w:r>
          </w:p>
        </w:tc>
      </w:tr>
      <w:tr w:rsidR="00CC0A94" w14:paraId="7FE1D193" w14:textId="77777777">
        <w:tc>
          <w:tcPr>
            <w:tcW w:w="1183" w:type="dxa"/>
            <w:vMerge/>
            <w:tcBorders>
              <w:right w:val="single" w:sz="8" w:space="0" w:color="1A171C"/>
            </w:tcBorders>
            <w:vAlign w:val="center"/>
          </w:tcPr>
          <w:p w14:paraId="7FE1D191" w14:textId="77777777" w:rsidR="00CC0A94" w:rsidRPr="002F61BB" w:rsidRDefault="00CC0A94">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         Unpaid amounts, collateral or other amounts due from the entity under resolution to the counterparty, less unpaid amounts, collateral and other amounts due from the counterparty to the entity under resolution as at the close-out date; and</w:t>
            </w:r>
          </w:p>
        </w:tc>
      </w:tr>
      <w:tr w:rsidR="00CC0A94" w14:paraId="7FE1D196" w14:textId="77777777">
        <w:tc>
          <w:tcPr>
            <w:tcW w:w="1183" w:type="dxa"/>
            <w:vMerge/>
            <w:tcBorders>
              <w:right w:val="single" w:sz="8" w:space="0" w:color="1A171C"/>
            </w:tcBorders>
            <w:vAlign w:val="center"/>
          </w:tcPr>
          <w:p w14:paraId="7FE1D194" w14:textId="77777777" w:rsidR="00CC0A94" w:rsidRPr="002F61BB" w:rsidRDefault="00CC0A94">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         A close-out amount covering the </w:t>
            </w:r>
            <w:proofErr w:type="gramStart"/>
            <w:r w:rsidRPr="002F61BB">
              <w:rPr>
                <w:rFonts w:ascii="Times New Roman" w:eastAsia="Times New Roman" w:hAnsi="Times New Roman" w:cs="Times New Roman"/>
                <w:sz w:val="20"/>
                <w:szCs w:val="20"/>
              </w:rPr>
              <w:t>amount</w:t>
            </w:r>
            <w:proofErr w:type="gramEnd"/>
            <w:r w:rsidRPr="002F61BB">
              <w:rPr>
                <w:rFonts w:ascii="Times New Roman" w:eastAsia="Times New Roman" w:hAnsi="Times New Roman" w:cs="Times New Roman"/>
                <w:sz w:val="20"/>
                <w:szCs w:val="20"/>
              </w:rPr>
              <w:t xml:space="preserve"> of losses or costs incurred by derivative counterparties, or gains </w:t>
            </w:r>
            <w:proofErr w:type="spellStart"/>
            <w:r w:rsidRPr="002F61BB">
              <w:rPr>
                <w:rFonts w:ascii="Times New Roman" w:eastAsia="Times New Roman" w:hAnsi="Times New Roman" w:cs="Times New Roman"/>
                <w:sz w:val="20"/>
                <w:szCs w:val="20"/>
              </w:rPr>
              <w:t>realised</w:t>
            </w:r>
            <w:proofErr w:type="spellEnd"/>
            <w:r w:rsidRPr="002F61BB">
              <w:rPr>
                <w:rFonts w:ascii="Times New Roman" w:eastAsia="Times New Roman" w:hAnsi="Times New Roman" w:cs="Times New Roman"/>
                <w:sz w:val="20"/>
                <w:szCs w:val="20"/>
              </w:rPr>
              <w:t xml:space="preserve"> by them, in replacing or obtaining the economic equivalent on material terms of the contracts and the option rights of the parties in respect of the terminated contracts."</w:t>
            </w:r>
          </w:p>
        </w:tc>
      </w:tr>
      <w:tr w:rsidR="00CC0A94" w14:paraId="7FE1D199" w14:textId="77777777">
        <w:tc>
          <w:tcPr>
            <w:tcW w:w="1183" w:type="dxa"/>
            <w:vMerge/>
            <w:tcBorders>
              <w:right w:val="single" w:sz="8" w:space="0" w:color="1A171C"/>
            </w:tcBorders>
            <w:vAlign w:val="center"/>
          </w:tcPr>
          <w:p w14:paraId="7FE1D197" w14:textId="77777777" w:rsidR="00CC0A94" w:rsidRPr="002F61BB" w:rsidRDefault="00CC0A94">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As such, the Estimated Early Termination Amount must equal the Net Mark-to-Market Value (c0120) - Value of Net Collateral Posted (c0130) + Estimated Close-Out Amount (c0140).</w:t>
            </w:r>
          </w:p>
        </w:tc>
      </w:tr>
    </w:tbl>
    <w:p w14:paraId="7FE1D19A" w14:textId="77777777" w:rsidR="00CC0A94" w:rsidRDefault="00CC0A94">
      <w:pPr>
        <w:pStyle w:val="Instructionsberschrift2"/>
        <w:ind w:left="357"/>
        <w:rPr>
          <w:rFonts w:ascii="Times New Roman" w:eastAsia="Calibri" w:hAnsi="Times New Roman" w:cs="Times New Roman"/>
          <w:szCs w:val="20"/>
        </w:rPr>
      </w:pPr>
      <w:bookmarkStart w:id="250" w:name="_Toc81454217"/>
    </w:p>
    <w:p w14:paraId="7FE1D19B" w14:textId="08247010"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51" w:name="_Toc192249431"/>
      <w:r>
        <w:rPr>
          <w:rFonts w:ascii="Times New Roman" w:eastAsiaTheme="minorEastAsia" w:hAnsi="Times New Roman" w:cs="Times New Roman"/>
        </w:rPr>
        <w:t>Z 1</w:t>
      </w:r>
      <w:r w:rsidR="00D34E5E">
        <w:rPr>
          <w:rFonts w:ascii="Times New Roman" w:eastAsiaTheme="minorEastAsia" w:hAnsi="Times New Roman" w:cs="Times New Roman"/>
        </w:rPr>
        <w:t>6</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w:t>
      </w:r>
      <w:r w:rsidR="008827A2">
        <w:rPr>
          <w:rFonts w:ascii="Times New Roman" w:eastAsiaTheme="minorEastAsia" w:hAnsi="Times New Roman" w:cs="Times New Roman"/>
        </w:rPr>
        <w:t>–</w:t>
      </w:r>
      <w:r w:rsidRPr="002F61BB">
        <w:rPr>
          <w:rFonts w:ascii="Times New Roman" w:eastAsiaTheme="minorEastAsia" w:hAnsi="Times New Roman" w:cs="Times New Roman"/>
        </w:rPr>
        <w:t xml:space="preserve"> </w:t>
      </w:r>
      <w:r w:rsidR="008827A2">
        <w:rPr>
          <w:rFonts w:ascii="Times New Roman" w:eastAsiaTheme="minorEastAsia" w:hAnsi="Times New Roman" w:cs="Times New Roman"/>
        </w:rPr>
        <w:t>Secured finance</w:t>
      </w:r>
      <w:r w:rsidRPr="002F61BB">
        <w:rPr>
          <w:rFonts w:ascii="Times New Roman" w:eastAsiaTheme="minorEastAsia" w:hAnsi="Times New Roman" w:cs="Times New Roman"/>
        </w:rPr>
        <w:t xml:space="preserve"> transactions, excluding intragroup</w:t>
      </w:r>
      <w:r>
        <w:rPr>
          <w:rFonts w:ascii="Times New Roman" w:eastAsiaTheme="minorEastAsia" w:hAnsi="Times New Roman" w:cs="Times New Roman"/>
        </w:rPr>
        <w:t xml:space="preserve"> </w:t>
      </w:r>
      <w:r>
        <w:rPr>
          <w:rFonts w:ascii="Times New Roman" w:eastAsia="Calibri" w:hAnsi="Times New Roman" w:cs="Times New Roman"/>
          <w:szCs w:val="20"/>
        </w:rPr>
        <w:t>(LIAB-G-6)</w:t>
      </w:r>
      <w:bookmarkEnd w:id="251"/>
    </w:p>
    <w:p w14:paraId="7FE1D19C" w14:textId="07C13721" w:rsidR="00CC0A94" w:rsidRPr="002F61BB" w:rsidRDefault="006C1571" w:rsidP="002F61BB">
      <w:pPr>
        <w:pStyle w:val="Instructionsberschrift2"/>
        <w:rPr>
          <w:rFonts w:ascii="Times New Roman" w:eastAsiaTheme="minorEastAsia" w:hAnsi="Times New Roman" w:cs="Times New Roman"/>
          <w:u w:val="none"/>
        </w:rPr>
      </w:pPr>
      <w:r w:rsidRPr="002F61BB">
        <w:rPr>
          <w:rFonts w:ascii="Times New Roman" w:hAnsi="Times New Roman" w:cs="Times New Roman"/>
          <w:u w:val="none"/>
        </w:rPr>
        <w:t xml:space="preserve"> </w:t>
      </w:r>
      <w:bookmarkEnd w:id="250"/>
    </w:p>
    <w:p w14:paraId="7FE1D19D"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General remarks</w:t>
      </w:r>
    </w:p>
    <w:p w14:paraId="7FE1D19E" w14:textId="3901B7DB" w:rsidR="00CC0A94" w:rsidRPr="002F61BB" w:rsidRDefault="008827A2" w:rsidP="002F61BB">
      <w:pPr>
        <w:pStyle w:val="InstructionsText2"/>
        <w:numPr>
          <w:ilvl w:val="2"/>
          <w:numId w:val="209"/>
        </w:numPr>
        <w:spacing w:before="0"/>
        <w:ind w:left="1276"/>
        <w:rPr>
          <w:rFonts w:ascii="Times New Roman" w:eastAsiaTheme="majorEastAsia" w:hAnsi="Times New Roman" w:cs="Times New Roman"/>
          <w:lang w:val="en-GB"/>
        </w:rPr>
      </w:pPr>
      <w:r>
        <w:rPr>
          <w:rFonts w:ascii="Times New Roman" w:eastAsia="Cambria" w:hAnsi="Times New Roman" w:cs="Times New Roman"/>
          <w:sz w:val="20"/>
          <w:szCs w:val="20"/>
          <w:lang w:val="en-GB"/>
        </w:rPr>
        <w:t>Secured finance</w:t>
      </w:r>
      <w:r w:rsidR="006C1571" w:rsidRPr="002F61BB">
        <w:rPr>
          <w:rFonts w:ascii="Times New Roman" w:eastAsia="Cambria" w:hAnsi="Times New Roman" w:cs="Times New Roman"/>
          <w:sz w:val="20"/>
          <w:szCs w:val="20"/>
          <w:lang w:val="en-GB"/>
        </w:rPr>
        <w:t xml:space="preserve"> include</w:t>
      </w:r>
      <w:r>
        <w:rPr>
          <w:rFonts w:ascii="Times New Roman" w:eastAsia="Cambria" w:hAnsi="Times New Roman" w:cs="Times New Roman"/>
          <w:sz w:val="20"/>
          <w:szCs w:val="20"/>
          <w:lang w:val="en-GB"/>
        </w:rPr>
        <w:t>s</w:t>
      </w:r>
      <w:r w:rsidR="006C1571" w:rsidRPr="002F61BB">
        <w:rPr>
          <w:rFonts w:ascii="Times New Roman" w:eastAsia="Cambria" w:hAnsi="Times New Roman" w:cs="Times New Roman"/>
          <w:sz w:val="20"/>
          <w:szCs w:val="20"/>
          <w:lang w:val="en-GB"/>
        </w:rPr>
        <w:t xml:space="preserve"> all financing arrangements that are subject to the provision of collateral, pledges or liens, excluding, for example, securities which </w:t>
      </w:r>
      <w:proofErr w:type="gramStart"/>
      <w:r w:rsidR="006C1571" w:rsidRPr="002F61BB">
        <w:rPr>
          <w:rFonts w:ascii="Times New Roman" w:eastAsia="Cambria" w:hAnsi="Times New Roman" w:cs="Times New Roman"/>
          <w:sz w:val="20"/>
          <w:szCs w:val="20"/>
          <w:lang w:val="en-GB"/>
        </w:rPr>
        <w:t>have to</w:t>
      </w:r>
      <w:proofErr w:type="gramEnd"/>
      <w:r w:rsidR="006C1571" w:rsidRPr="002F61BB">
        <w:rPr>
          <w:rFonts w:ascii="Times New Roman" w:eastAsia="Cambria" w:hAnsi="Times New Roman" w:cs="Times New Roman"/>
          <w:sz w:val="20"/>
          <w:szCs w:val="20"/>
          <w:lang w:val="en-GB"/>
        </w:rPr>
        <w:t xml:space="preserve"> be reported in Z1</w:t>
      </w:r>
      <w:r w:rsidR="00E22C47">
        <w:rPr>
          <w:rFonts w:ascii="Times New Roman" w:eastAsia="Cambria" w:hAnsi="Times New Roman" w:cs="Times New Roman"/>
          <w:sz w:val="20"/>
          <w:szCs w:val="20"/>
          <w:lang w:val="en-GB"/>
        </w:rPr>
        <w:t>2</w:t>
      </w:r>
      <w:r w:rsidR="006C1571"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006C1571" w:rsidRPr="002F61BB">
        <w:rPr>
          <w:rFonts w:ascii="Times New Roman" w:eastAsia="Cambria" w:hAnsi="Times New Roman" w:cs="Times New Roman"/>
          <w:sz w:val="20"/>
          <w:szCs w:val="20"/>
          <w:lang w:val="en-GB"/>
        </w:rPr>
        <w:t xml:space="preserve">. </w:t>
      </w:r>
    </w:p>
    <w:p w14:paraId="7FE1D19F" w14:textId="77777777" w:rsidR="00CC0A94" w:rsidRPr="002F61BB" w:rsidRDefault="006C1571" w:rsidP="002F61BB">
      <w:pPr>
        <w:pStyle w:val="InstructionsText2"/>
        <w:numPr>
          <w:ilvl w:val="2"/>
          <w:numId w:val="209"/>
        </w:numPr>
        <w:spacing w:before="0"/>
        <w:ind w:left="1276"/>
        <w:rPr>
          <w:rFonts w:ascii="Times New Roman" w:hAnsi="Times New Roman" w:cs="Times New Roman"/>
          <w:lang w:val="en-GB"/>
        </w:rPr>
      </w:pPr>
      <w:r w:rsidRPr="002F61BB">
        <w:rPr>
          <w:rFonts w:ascii="Times New Roman" w:eastAsia="Cambria" w:hAnsi="Times New Roman" w:cs="Times New Roman"/>
          <w:sz w:val="20"/>
          <w:szCs w:val="20"/>
          <w:lang w:val="en-GB"/>
        </w:rPr>
        <w:t>Typical examples of such arrangements are central bank financing or repurchase agreements.</w:t>
      </w:r>
    </w:p>
    <w:p w14:paraId="7FE1D1A0" w14:textId="77777777"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The secured liability is to be reported, not the collateral itself.</w:t>
      </w:r>
    </w:p>
    <w:p w14:paraId="7FE1D1A1" w14:textId="437B0574"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 xml:space="preserve">For the purposes of this table, secured finance arrangements </w:t>
      </w:r>
      <w:proofErr w:type="gramStart"/>
      <w:r w:rsidRPr="002F61BB">
        <w:rPr>
          <w:rFonts w:ascii="Times New Roman" w:eastAsia="Cambria" w:hAnsi="Times New Roman" w:cs="Times New Roman"/>
          <w:sz w:val="20"/>
          <w:szCs w:val="20"/>
          <w:lang w:val="en-GB"/>
        </w:rPr>
        <w:t>have to</w:t>
      </w:r>
      <w:proofErr w:type="gramEnd"/>
      <w:r w:rsidRPr="002F61BB">
        <w:rPr>
          <w:rFonts w:ascii="Times New Roman" w:eastAsia="Cambria" w:hAnsi="Times New Roman" w:cs="Times New Roman"/>
          <w:sz w:val="20"/>
          <w:szCs w:val="20"/>
          <w:lang w:val="en-GB"/>
        </w:rPr>
        <w:t xml:space="preserve"> be reported by netting set, i.e. each netting set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 However, the secured portion and the unsecured portion of the same netting set must be reported in different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items in case they pertain to different insolvency rankings. </w:t>
      </w:r>
    </w:p>
    <w:p w14:paraId="7FE1D1A2" w14:textId="77777777"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No reporting thresholds are applicable in this respect.</w:t>
      </w:r>
    </w:p>
    <w:p w14:paraId="7FE1D1A3"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Instructions concerning specific positions</w:t>
      </w:r>
    </w:p>
    <w:tbl>
      <w:tblPr>
        <w:tblW w:w="9015" w:type="dxa"/>
        <w:tblInd w:w="135" w:type="dxa"/>
        <w:tblLayout w:type="fixed"/>
        <w:tblLook w:val="04A0" w:firstRow="1" w:lastRow="0" w:firstColumn="1" w:lastColumn="0" w:noHBand="0" w:noVBand="1"/>
      </w:tblPr>
      <w:tblGrid>
        <w:gridCol w:w="1183"/>
        <w:gridCol w:w="7832"/>
      </w:tblGrid>
      <w:tr w:rsidR="00CC0A94" w14:paraId="7FE1D1A6"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Instructions </w:t>
            </w:r>
          </w:p>
        </w:tc>
      </w:tr>
      <w:tr w:rsidR="00CC0A94"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 </w:t>
            </w:r>
          </w:p>
          <w:p w14:paraId="7FE1D1A9" w14:textId="7C09A16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Column </w:t>
            </w:r>
          </w:p>
          <w:p w14:paraId="7FE1D1AD" w14:textId="57B67374"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netting set, a reconciliation with the counterparty class in </w:t>
            </w:r>
            <w:r>
              <w:rPr>
                <w:rFonts w:ascii="Times New Roman" w:eastAsia="Times New Roman" w:hAnsi="Times New Roman" w:cs="Times New Roman"/>
                <w:sz w:val="20"/>
                <w:szCs w:val="20"/>
              </w:rPr>
              <w:t>Z</w:t>
            </w:r>
            <w:r w:rsidRPr="002F61B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 xml:space="preserve">.00 to which the liability is owed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from predefined list of values.</w:t>
            </w:r>
          </w:p>
        </w:tc>
      </w:tr>
      <w:tr w:rsidR="00CC0A94"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Insolvency Ranking  </w:t>
            </w:r>
          </w:p>
          <w:p w14:paraId="7FE1D1B1" w14:textId="0D780E4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Master Agreement ID </w:t>
            </w:r>
          </w:p>
          <w:p w14:paraId="7FE1D1B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Internal identifier of the master agreement or single contract.</w:t>
            </w:r>
          </w:p>
        </w:tc>
      </w:tr>
      <w:tr w:rsidR="00CC0A94"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Type of MA (e.g. GMRA) </w:t>
            </w:r>
          </w:p>
          <w:p w14:paraId="7FE1D1B9" w14:textId="7472E062"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Specify the master agreement, either ‘ICMA 2011 </w:t>
            </w:r>
            <w:r w:rsidR="008A017A" w:rsidRPr="008A017A">
              <w:rPr>
                <w:rFonts w:ascii="Times New Roman" w:eastAsia="Times New Roman" w:hAnsi="Times New Roman" w:cs="Times New Roman"/>
                <w:sz w:val="20"/>
                <w:szCs w:val="20"/>
              </w:rPr>
              <w:t>Global master repurchase agreements</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ICMA 2000 </w:t>
            </w:r>
            <w:r w:rsidR="008A017A" w:rsidRPr="008A017A">
              <w:rPr>
                <w:rFonts w:ascii="Times New Roman" w:eastAsia="Times New Roman" w:hAnsi="Times New Roman" w:cs="Times New Roman"/>
                <w:sz w:val="20"/>
                <w:szCs w:val="20"/>
              </w:rPr>
              <w:t>Global master repurchase agreements</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ICMA 1995 </w:t>
            </w:r>
            <w:r w:rsidR="008A017A" w:rsidRPr="008A017A">
              <w:rPr>
                <w:rFonts w:ascii="Times New Roman" w:eastAsia="Times New Roman" w:hAnsi="Times New Roman" w:cs="Times New Roman"/>
                <w:sz w:val="20"/>
                <w:szCs w:val="20"/>
              </w:rPr>
              <w:t xml:space="preserve">Global master repurchase </w:t>
            </w:r>
            <w:r w:rsidR="008A017A" w:rsidRPr="008A017A">
              <w:rPr>
                <w:rFonts w:ascii="Times New Roman" w:eastAsia="Times New Roman" w:hAnsi="Times New Roman" w:cs="Times New Roman"/>
                <w:sz w:val="20"/>
                <w:szCs w:val="20"/>
              </w:rPr>
              <w:lastRenderedPageBreak/>
              <w:t>agreements</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ICMA 1992 </w:t>
            </w:r>
            <w:r w:rsidR="008A017A" w:rsidRPr="008A017A">
              <w:rPr>
                <w:rFonts w:ascii="Times New Roman" w:eastAsia="Times New Roman" w:hAnsi="Times New Roman" w:cs="Times New Roman"/>
                <w:sz w:val="20"/>
                <w:szCs w:val="20"/>
              </w:rPr>
              <w:t>Global master repurchase agreements</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Other </w:t>
            </w:r>
            <w:r w:rsidR="008A017A" w:rsidRPr="008A017A">
              <w:rPr>
                <w:rFonts w:ascii="Times New Roman" w:eastAsia="Times New Roman" w:hAnsi="Times New Roman" w:cs="Times New Roman"/>
                <w:sz w:val="20"/>
                <w:szCs w:val="20"/>
              </w:rPr>
              <w:t>Global master repurchase agreements</w:t>
            </w:r>
            <w:r w:rsidRPr="002F61BB">
              <w:rPr>
                <w:rFonts w:ascii="Times New Roman" w:eastAsia="Times New Roman" w:hAnsi="Times New Roman" w:cs="Times New Roman"/>
                <w:sz w:val="20"/>
                <w:szCs w:val="20"/>
              </w:rPr>
              <w:t>’ or ‘Single Contract’ from a predefined list.</w:t>
            </w:r>
          </w:p>
        </w:tc>
      </w:tr>
      <w:tr w:rsidR="00CC0A94"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CC0A94" w:rsidRPr="002F61BB" w:rsidRDefault="00CF774B" w:rsidP="002F61BB">
            <w:pPr>
              <w:pStyle w:val="TableParagraph"/>
              <w:spacing w:before="108"/>
              <w:ind w:left="85"/>
              <w:jc w:val="both"/>
              <w:rPr>
                <w:rFonts w:ascii="Times New Roman" w:eastAsia="Times New Roman" w:hAnsi="Times New Roman" w:cs="Times New Roman"/>
                <w:b/>
                <w:bCs/>
                <w:sz w:val="20"/>
                <w:szCs w:val="20"/>
              </w:rPr>
            </w:pPr>
            <w:bookmarkStart w:id="252" w:name="_Hlk189839338"/>
            <w:r>
              <w:rPr>
                <w:rFonts w:ascii="Times New Roman" w:eastAsia="Times New Roman" w:hAnsi="Times New Roman" w:cs="Times New Roman"/>
                <w:b/>
                <w:bCs/>
                <w:sz w:val="20"/>
                <w:szCs w:val="20"/>
              </w:rPr>
              <w:t>N</w:t>
            </w:r>
            <w:r w:rsidR="006C1571" w:rsidRPr="002F61BB">
              <w:rPr>
                <w:rFonts w:ascii="Times New Roman" w:eastAsia="Times New Roman" w:hAnsi="Times New Roman" w:cs="Times New Roman"/>
                <w:b/>
                <w:bCs/>
                <w:sz w:val="20"/>
                <w:szCs w:val="20"/>
              </w:rPr>
              <w:t xml:space="preserve">ame of the counterparty </w:t>
            </w:r>
          </w:p>
          <w:bookmarkEnd w:id="252"/>
          <w:p w14:paraId="7FE1D1BD" w14:textId="0E71EEA1" w:rsidR="00CC0A94" w:rsidRPr="002F61BB" w:rsidRDefault="00CF774B" w:rsidP="002F61BB">
            <w:pPr>
              <w:pStyle w:val="TableParagraph"/>
              <w:spacing w:before="108"/>
              <w:ind w:left="85"/>
              <w:jc w:val="both"/>
              <w:rPr>
                <w:rFonts w:ascii="Times New Roman" w:eastAsia="Times New Roman" w:hAnsi="Times New Roman" w:cs="Times New Roman"/>
                <w:sz w:val="20"/>
                <w:szCs w:val="20"/>
              </w:rPr>
            </w:pPr>
            <w:r w:rsidRPr="00CF774B">
              <w:rPr>
                <w:rFonts w:ascii="Times New Roman" w:eastAsia="Times New Roman" w:hAnsi="Times New Roman" w:cs="Times New Roman"/>
                <w:sz w:val="20"/>
                <w:szCs w:val="20"/>
              </w:rPr>
              <w:t>The entity name of the counterparty.</w:t>
            </w:r>
          </w:p>
        </w:tc>
      </w:tr>
      <w:tr w:rsidR="00CC0A94"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Counterparty (LEI/MFI/Local Identifier)  </w:t>
            </w:r>
          </w:p>
          <w:p w14:paraId="7FE1D1C1" w14:textId="5ADC0AB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creditor’s LEI code. In the absence of a LEI, in the case of banks’ report the ECB Monetary Financial Institutions identifier (MFI ID) used in RIAD. In absence of both these identifiers, report an internal identifier.</w:t>
            </w:r>
          </w:p>
        </w:tc>
      </w:tr>
      <w:tr w:rsidR="00CC0A94"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1C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CC0A94" w:rsidRPr="002F61BB" w:rsidRDefault="006C1571">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Country of Counterparty  </w:t>
            </w:r>
          </w:p>
          <w:p w14:paraId="7FE1D1C9"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name of the country where the counterparty is incorporated.</w:t>
            </w:r>
          </w:p>
        </w:tc>
      </w:tr>
      <w:tr w:rsidR="00CC0A94"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Governing Law of MA/single deal  </w:t>
            </w:r>
          </w:p>
          <w:p w14:paraId="7FE1D1CD"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name of the country whose law governs the MA/single contract. If the contract is governed by the law of more than one country, the country the law of which has the highest relevance for the recognition of write down and conversion powers shall be reported.  </w:t>
            </w:r>
          </w:p>
        </w:tc>
      </w:tr>
      <w:tr w:rsidR="00CC0A94"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Number of Transactions Covered  </w:t>
            </w:r>
          </w:p>
          <w:p w14:paraId="7FE1D1D1"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the number of individual contracts that are included in the netting set of the MA.</w:t>
            </w:r>
          </w:p>
        </w:tc>
      </w:tr>
      <w:tr w:rsidR="00CC0A94"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Net Amount of Funding Received  </w:t>
            </w:r>
          </w:p>
          <w:p w14:paraId="7FE1D1D5" w14:textId="40508D2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Provide the net amount of funding received under secured financing agreements, </w:t>
            </w:r>
            <w:proofErr w:type="gramStart"/>
            <w:r w:rsidRPr="002F61BB">
              <w:rPr>
                <w:rFonts w:ascii="Times New Roman" w:eastAsia="Times New Roman" w:hAnsi="Times New Roman" w:cs="Times New Roman"/>
                <w:sz w:val="20"/>
                <w:szCs w:val="20"/>
              </w:rPr>
              <w:t>taking into account</w:t>
            </w:r>
            <w:proofErr w:type="gramEnd"/>
            <w:r w:rsidRPr="002F61BB">
              <w:rPr>
                <w:rFonts w:ascii="Times New Roman" w:eastAsia="Times New Roman" w:hAnsi="Times New Roman" w:cs="Times New Roman"/>
                <w:sz w:val="20"/>
                <w:szCs w:val="20"/>
              </w:rPr>
              <w:t xml:space="preserve"> all transactions subject to the netting arrangement. Note that this amount does not include accrued interests, while the related amount in </w:t>
            </w:r>
            <w:r>
              <w:rPr>
                <w:rFonts w:ascii="Times New Roman" w:eastAsia="Times New Roman" w:hAnsi="Times New Roman" w:cs="Times New Roman"/>
                <w:sz w:val="20"/>
                <w:szCs w:val="20"/>
              </w:rPr>
              <w:t>Z</w:t>
            </w:r>
            <w:r w:rsidRPr="002F61B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r</w:t>
            </w:r>
            <w:r>
              <w:rPr>
                <w:rFonts w:ascii="Times New Roman" w:eastAsia="Times New Roman" w:hAnsi="Times New Roman" w:cs="Times New Roman"/>
                <w:sz w:val="20"/>
                <w:szCs w:val="20"/>
              </w:rPr>
              <w:t>ow 0</w:t>
            </w:r>
            <w:r w:rsidRPr="002F61BB">
              <w:rPr>
                <w:rFonts w:ascii="Times New Roman" w:eastAsia="Times New Roman" w:hAnsi="Times New Roman" w:cs="Times New Roman"/>
                <w:sz w:val="20"/>
                <w:szCs w:val="20"/>
              </w:rPr>
              <w:t>120 does.</w:t>
            </w:r>
          </w:p>
        </w:tc>
      </w:tr>
      <w:tr w:rsidR="00CC0A94"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Net Amount of Collateral Posted  </w:t>
            </w:r>
          </w:p>
          <w:p w14:paraId="7FE1D1D9" w14:textId="6D452434"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Per netting set, provide the net value of collateral posted to cover the secured financing transactions, </w:t>
            </w:r>
            <w:proofErr w:type="gramStart"/>
            <w:r w:rsidRPr="002F61BB">
              <w:rPr>
                <w:rFonts w:ascii="Times New Roman" w:eastAsia="Times New Roman" w:hAnsi="Times New Roman" w:cs="Times New Roman"/>
                <w:sz w:val="20"/>
                <w:szCs w:val="20"/>
              </w:rPr>
              <w:t>taking into account</w:t>
            </w:r>
            <w:proofErr w:type="gramEnd"/>
            <w:r w:rsidRPr="002F61BB">
              <w:rPr>
                <w:rFonts w:ascii="Times New Roman" w:eastAsia="Times New Roman" w:hAnsi="Times New Roman" w:cs="Times New Roman"/>
                <w:sz w:val="20"/>
                <w:szCs w:val="20"/>
              </w:rPr>
              <w:t xml:space="preserve"> all collateral positions considered in the netting arrangement. This includes any amount of collateral or margin that is exchanged.</w:t>
            </w:r>
          </w:p>
        </w:tc>
      </w:tr>
    </w:tbl>
    <w:p w14:paraId="7FE1D1DB" w14:textId="77777777" w:rsidR="00CC0A94" w:rsidRDefault="00CC0A94">
      <w:pPr>
        <w:pStyle w:val="Instructionsberschrift2"/>
        <w:ind w:left="357"/>
        <w:rPr>
          <w:rFonts w:ascii="Times New Roman" w:eastAsia="Calibri" w:hAnsi="Times New Roman" w:cs="Times New Roman"/>
          <w:szCs w:val="20"/>
        </w:rPr>
      </w:pPr>
      <w:bookmarkStart w:id="253" w:name="_Toc81454218"/>
    </w:p>
    <w:p w14:paraId="7FE1D1DC" w14:textId="4F83132F"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54" w:name="_Toc192249432"/>
      <w:r>
        <w:rPr>
          <w:rFonts w:ascii="Times New Roman" w:eastAsiaTheme="minorEastAsia" w:hAnsi="Times New Roman" w:cs="Times New Roman"/>
        </w:rPr>
        <w:t xml:space="preserve">Z </w:t>
      </w:r>
      <w:proofErr w:type="gramStart"/>
      <w:r>
        <w:rPr>
          <w:rFonts w:ascii="Times New Roman" w:eastAsiaTheme="minorEastAsia" w:hAnsi="Times New Roman" w:cs="Times New Roman"/>
        </w:rPr>
        <w:t>1</w:t>
      </w:r>
      <w:r w:rsidR="00D34E5E">
        <w:rPr>
          <w:rFonts w:ascii="Times New Roman" w:eastAsiaTheme="minorEastAsia" w:hAnsi="Times New Roman" w:cs="Times New Roman"/>
        </w:rPr>
        <w:t>7</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w:t>
      </w:r>
      <w:proofErr w:type="gramEnd"/>
      <w:r w:rsidRPr="002F61BB">
        <w:rPr>
          <w:rFonts w:ascii="Times New Roman" w:eastAsiaTheme="minorEastAsia" w:hAnsi="Times New Roman" w:cs="Times New Roman"/>
        </w:rPr>
        <w:t xml:space="preserve"> </w:t>
      </w:r>
      <w:r>
        <w:rPr>
          <w:rFonts w:ascii="Times New Roman" w:hAnsi="Times New Roman" w:cs="Times New Roman"/>
          <w:color w:val="000000" w:themeColor="text1"/>
        </w:rPr>
        <w:t xml:space="preserve">Other Non-Financial Liabilities (not included in other tabs, excluding intragroup) </w:t>
      </w:r>
      <w:r>
        <w:rPr>
          <w:rFonts w:ascii="Times New Roman" w:eastAsia="Calibri" w:hAnsi="Times New Roman" w:cs="Times New Roman"/>
          <w:szCs w:val="20"/>
        </w:rPr>
        <w:t>(LIAB-G-7)</w:t>
      </w:r>
      <w:bookmarkEnd w:id="254"/>
    </w:p>
    <w:bookmarkEnd w:id="253"/>
    <w:p w14:paraId="7FE1D1DD" w14:textId="28BEEC11" w:rsidR="00CC0A94" w:rsidRPr="002F61BB" w:rsidRDefault="00CC0A94" w:rsidP="002F61BB">
      <w:pPr>
        <w:pStyle w:val="Instructionsberschrift2"/>
        <w:ind w:left="357"/>
        <w:rPr>
          <w:rFonts w:ascii="Times New Roman" w:eastAsiaTheme="minorEastAsia" w:hAnsi="Times New Roman" w:cs="Times New Roman"/>
          <w:u w:val="none"/>
        </w:rPr>
      </w:pPr>
    </w:p>
    <w:p w14:paraId="7FE1D1DE"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General remarks</w:t>
      </w:r>
    </w:p>
    <w:p w14:paraId="7FE1D1DF" w14:textId="6152DD19"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sidRPr="002F61BB">
        <w:rPr>
          <w:rFonts w:ascii="Times New Roman" w:eastAsia="Cambria" w:hAnsi="Times New Roman" w:cs="Times New Roman"/>
          <w:sz w:val="20"/>
          <w:szCs w:val="20"/>
          <w:lang w:val="en-GB"/>
        </w:rPr>
        <w:t>This table covers non</w:t>
      </w:r>
      <w:r>
        <w:rPr>
          <w:rFonts w:ascii="Times New Roman" w:eastAsia="Cambria" w:hAnsi="Times New Roman" w:cs="Times New Roman"/>
          <w:sz w:val="20"/>
          <w:szCs w:val="20"/>
          <w:lang w:val="en-GB"/>
        </w:rPr>
        <w:t>-</w:t>
      </w:r>
      <w:r w:rsidRPr="002F61BB">
        <w:rPr>
          <w:rFonts w:ascii="Times New Roman" w:eastAsia="Cambria" w:hAnsi="Times New Roman" w:cs="Times New Roman"/>
          <w:sz w:val="20"/>
          <w:szCs w:val="20"/>
          <w:lang w:val="en-GB"/>
        </w:rPr>
        <w:t>financial liabilities such as provisions, tax liabilities and deferred income.</w:t>
      </w:r>
    </w:p>
    <w:p w14:paraId="7FE1D1E0" w14:textId="6480C40E"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Pr>
          <w:rFonts w:ascii="Times New Roman" w:eastAsia="Cambria" w:hAnsi="Times New Roman" w:cs="Times New Roman"/>
          <w:sz w:val="20"/>
          <w:szCs w:val="20"/>
          <w:lang w:val="en-GB"/>
        </w:rPr>
        <w:t>Group t</w:t>
      </w:r>
      <w:r w:rsidRPr="002F61BB">
        <w:rPr>
          <w:rFonts w:ascii="Times New Roman" w:eastAsia="Cambria" w:hAnsi="Times New Roman" w:cs="Times New Roman"/>
          <w:sz w:val="20"/>
          <w:szCs w:val="20"/>
          <w:lang w:val="en-GB"/>
        </w:rPr>
        <w:t>hese liabilities by type</w:t>
      </w:r>
      <w:r>
        <w:rPr>
          <w:rFonts w:ascii="Times New Roman" w:eastAsia="Cambria" w:hAnsi="Times New Roman" w:cs="Times New Roman"/>
          <w:sz w:val="20"/>
          <w:szCs w:val="20"/>
          <w:lang w:val="en-GB"/>
        </w:rPr>
        <w:t xml:space="preserve"> of non-financial liability</w:t>
      </w:r>
      <w:r w:rsidRPr="002F61BB">
        <w:rPr>
          <w:rFonts w:ascii="Times New Roman" w:eastAsia="Cambria" w:hAnsi="Times New Roman" w:cs="Times New Roman"/>
          <w:sz w:val="20"/>
          <w:szCs w:val="20"/>
          <w:lang w:val="en-GB"/>
        </w:rPr>
        <w:t xml:space="preserve"> and insolvency ranking.</w:t>
      </w:r>
    </w:p>
    <w:p w14:paraId="7FE1D1E2"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Instructions concerning specific positions</w:t>
      </w:r>
    </w:p>
    <w:tbl>
      <w:tblPr>
        <w:tblW w:w="9015" w:type="dxa"/>
        <w:tblInd w:w="135" w:type="dxa"/>
        <w:tblLayout w:type="fixed"/>
        <w:tblLook w:val="04A0" w:firstRow="1" w:lastRow="0" w:firstColumn="1" w:lastColumn="0" w:noHBand="0" w:noVBand="1"/>
      </w:tblPr>
      <w:tblGrid>
        <w:gridCol w:w="1183"/>
        <w:gridCol w:w="7832"/>
      </w:tblGrid>
      <w:tr w:rsidR="00CC0A94" w14:paraId="7FE1D1E5"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Instructions </w:t>
            </w:r>
          </w:p>
        </w:tc>
      </w:tr>
      <w:tr w:rsidR="00CC0A94"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N° </w:t>
            </w:r>
          </w:p>
          <w:p w14:paraId="7FE1D1E8" w14:textId="5AB7F74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w:t>
            </w:r>
            <w:r w:rsidR="000B45B0">
              <w:rPr>
                <w:rFonts w:ascii="Times New Roman" w:eastAsia="Times New Roman" w:hAnsi="Times New Roman" w:cs="Times New Roman"/>
                <w:b/>
                <w:bCs/>
                <w:sz w:val="20"/>
                <w:szCs w:val="20"/>
              </w:rPr>
              <w:t>Row</w:t>
            </w:r>
            <w:r w:rsidRPr="002F61BB">
              <w:rPr>
                <w:rFonts w:ascii="Times New Roman" w:eastAsia="Times New Roman" w:hAnsi="Times New Roman" w:cs="Times New Roman"/>
                <w:b/>
                <w:bCs/>
                <w:sz w:val="20"/>
                <w:szCs w:val="20"/>
              </w:rPr>
              <w:t xml:space="preserve"> </w:t>
            </w:r>
          </w:p>
          <w:p w14:paraId="7FE1D1EC" w14:textId="31DF728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lastRenderedPageBreak/>
              <w:t xml:space="preserve">For each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a reconciliation with the categories of liabilities of the liability structure in </w:t>
            </w:r>
            <w:r>
              <w:rPr>
                <w:rFonts w:ascii="Times New Roman" w:eastAsia="Times New Roman" w:hAnsi="Times New Roman" w:cs="Times New Roman"/>
                <w:sz w:val="20"/>
                <w:szCs w:val="20"/>
              </w:rPr>
              <w:t>Z</w:t>
            </w:r>
            <w:r w:rsidRPr="002F61B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 xml:space="preserve">.00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at the level of maturity from a predefined list of values.</w:t>
            </w:r>
          </w:p>
        </w:tc>
      </w:tr>
      <w:tr w:rsidR="00CC0A94"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Column </w:t>
            </w:r>
          </w:p>
          <w:p w14:paraId="7FE1D1F0" w14:textId="2D865C8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a reconciliation with the counterparty class in </w:t>
            </w:r>
            <w:r w:rsidR="00C16DB1">
              <w:rPr>
                <w:rFonts w:ascii="Times New Roman" w:eastAsia="Times New Roman" w:hAnsi="Times New Roman" w:cs="Times New Roman"/>
                <w:sz w:val="20"/>
                <w:szCs w:val="20"/>
              </w:rPr>
              <w:t>Z 02</w:t>
            </w:r>
            <w:r w:rsidRPr="002F61BB">
              <w:rPr>
                <w:rFonts w:ascii="Times New Roman" w:eastAsia="Times New Roman" w:hAnsi="Times New Roman" w:cs="Times New Roman"/>
                <w:sz w:val="20"/>
                <w:szCs w:val="20"/>
              </w:rPr>
              <w:t xml:space="preserve">.00 to which the liability is owed </w:t>
            </w:r>
            <w:proofErr w:type="gramStart"/>
            <w:r w:rsidRPr="002F61BB">
              <w:rPr>
                <w:rFonts w:ascii="Times New Roman" w:eastAsia="Times New Roman" w:hAnsi="Times New Roman" w:cs="Times New Roman"/>
                <w:sz w:val="20"/>
                <w:szCs w:val="20"/>
              </w:rPr>
              <w:t>has to</w:t>
            </w:r>
            <w:proofErr w:type="gramEnd"/>
            <w:r w:rsidRPr="002F61BB">
              <w:rPr>
                <w:rFonts w:ascii="Times New Roman" w:eastAsia="Times New Roman" w:hAnsi="Times New Roman" w:cs="Times New Roman"/>
                <w:sz w:val="20"/>
                <w:szCs w:val="20"/>
              </w:rPr>
              <w:t xml:space="preserve"> be provided from predefined list of values.</w:t>
            </w:r>
          </w:p>
        </w:tc>
      </w:tr>
      <w:tr w:rsidR="00CC0A94"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Insolvency Ranking  </w:t>
            </w:r>
          </w:p>
          <w:p w14:paraId="7FE1D1F4" w14:textId="16989963"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Contract identifier </w:t>
            </w:r>
          </w:p>
          <w:p w14:paraId="7FE1D1F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Internal identifier of the contract, as equivalent to the ISIN for securities.</w:t>
            </w:r>
          </w:p>
        </w:tc>
      </w:tr>
      <w:tr w:rsidR="00CC0A94"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w:t>
            </w:r>
            <w:r w:rsidR="005A126D">
              <w:rPr>
                <w:rFonts w:ascii="Times New Roman" w:eastAsia="Times New Roman" w:hAnsi="Times New Roman" w:cs="Times New Roman"/>
                <w:b/>
                <w:bCs/>
                <w:sz w:val="20"/>
                <w:szCs w:val="20"/>
              </w:rPr>
              <w:t>Counterparty identifier</w:t>
            </w:r>
            <w:r w:rsidRPr="002F61BB">
              <w:rPr>
                <w:rFonts w:ascii="Times New Roman" w:eastAsia="Times New Roman" w:hAnsi="Times New Roman" w:cs="Times New Roman"/>
                <w:b/>
                <w:bCs/>
                <w:sz w:val="20"/>
                <w:szCs w:val="20"/>
              </w:rPr>
              <w:t xml:space="preserve"> </w:t>
            </w:r>
          </w:p>
          <w:p w14:paraId="7FE1D1FC" w14:textId="3D6CB4C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creditor’s LEI code. In the absence of a LEI, in the case of banks’ report the ECB Monetary Financial Institutions identifier (MFI ID) used in RIAD. In absence of both these identifiers, report an internal identifier.</w:t>
            </w:r>
          </w:p>
        </w:tc>
      </w:tr>
      <w:tr w:rsidR="00CC0A94"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200"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205" w14:textId="77777777" w:rsidTr="002F61BB">
        <w:tc>
          <w:tcPr>
            <w:tcW w:w="1183" w:type="dxa"/>
            <w:tcBorders>
              <w:top w:val="single" w:sz="8" w:space="0" w:color="1A171C"/>
              <w:left w:val="nil"/>
              <w:bottom w:val="single" w:sz="8" w:space="0" w:color="1A171C"/>
              <w:right w:val="single" w:sz="8" w:space="0" w:color="1A171C"/>
            </w:tcBorders>
            <w:vAlign w:val="center"/>
          </w:tcPr>
          <w:p w14:paraId="7FE1D202" w14:textId="0E607091"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w:t>
            </w:r>
            <w:r>
              <w:rPr>
                <w:rFonts w:ascii="Times New Roman" w:eastAsia="Times New Roman" w:hAnsi="Times New Roman" w:cs="Times New Roman"/>
                <w:sz w:val="20"/>
                <w:szCs w:val="20"/>
              </w:rPr>
              <w:t>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Governing Law  </w:t>
            </w:r>
          </w:p>
          <w:p w14:paraId="7FE1D204" w14:textId="24CB339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name of the country whose law governs </w:t>
            </w:r>
            <w:proofErr w:type="gramStart"/>
            <w:r w:rsidRPr="002F61BB">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liability</w:t>
            </w:r>
            <w:proofErr w:type="gramEnd"/>
            <w:r w:rsidRPr="002F61BB">
              <w:rPr>
                <w:rFonts w:ascii="Times New Roman" w:eastAsia="Times New Roman" w:hAnsi="Times New Roman" w:cs="Times New Roman"/>
                <w:sz w:val="20"/>
                <w:szCs w:val="20"/>
              </w:rPr>
              <w:t xml:space="preserve">. If the contract is governed by the law of more than one country, the country the law of which has the highest relevance for the recognition of write down and conversion powers shall be reported.  </w:t>
            </w:r>
          </w:p>
        </w:tc>
      </w:tr>
      <w:tr w:rsidR="00CC0A94"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w:t>
            </w:r>
            <w:r>
              <w:rPr>
                <w:rFonts w:ascii="Times New Roman" w:eastAsia="Times New Roman" w:hAnsi="Times New Roman" w:cs="Times New Roman"/>
                <w:sz w:val="20"/>
                <w:szCs w:val="20"/>
              </w:rPr>
              <w:t>0</w:t>
            </w:r>
          </w:p>
        </w:tc>
        <w:tc>
          <w:tcPr>
            <w:tcW w:w="7832" w:type="dxa"/>
            <w:tcBorders>
              <w:top w:val="single" w:sz="8" w:space="0" w:color="1A171C"/>
              <w:left w:val="single" w:sz="4" w:space="0" w:color="auto"/>
              <w:right w:val="nil"/>
            </w:tcBorders>
            <w:vAlign w:val="bottom"/>
          </w:tcPr>
          <w:p w14:paraId="7FE1D20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Type of </w:t>
            </w:r>
            <w:proofErr w:type="spellStart"/>
            <w:proofErr w:type="gramStart"/>
            <w:r w:rsidRPr="002F61BB">
              <w:rPr>
                <w:rFonts w:ascii="Times New Roman" w:eastAsia="Times New Roman" w:hAnsi="Times New Roman" w:cs="Times New Roman"/>
                <w:b/>
                <w:bCs/>
                <w:sz w:val="20"/>
                <w:szCs w:val="20"/>
              </w:rPr>
              <w:t>Non Financial</w:t>
            </w:r>
            <w:proofErr w:type="spellEnd"/>
            <w:proofErr w:type="gramEnd"/>
            <w:r w:rsidRPr="002F61BB">
              <w:rPr>
                <w:rFonts w:ascii="Times New Roman" w:eastAsia="Times New Roman" w:hAnsi="Times New Roman" w:cs="Times New Roman"/>
                <w:b/>
                <w:bCs/>
                <w:sz w:val="20"/>
                <w:szCs w:val="20"/>
              </w:rPr>
              <w:t xml:space="preserve"> Liabilities </w:t>
            </w:r>
          </w:p>
          <w:p w14:paraId="7FE1D208" w14:textId="234E81AF"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w:t>
            </w:r>
          </w:p>
          <w:p w14:paraId="7FE1D209" w14:textId="1B19E45B"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Funds for general banking risks</w:t>
            </w:r>
          </w:p>
          <w:p w14:paraId="7FE1D20A" w14:textId="5F4C425A"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Pension and other post-employment defined benefit obligations</w:t>
            </w:r>
          </w:p>
          <w:p w14:paraId="7FE1D20B" w14:textId="3AEADF9D"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Employee benefits. Other than pension and other post-employment defined benefit obligations</w:t>
            </w:r>
          </w:p>
          <w:p w14:paraId="7FE1D20C" w14:textId="66AEA5AF"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Restructuring</w:t>
            </w:r>
          </w:p>
          <w:p w14:paraId="7FE1D20D" w14:textId="72D6FCB9"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Pending legal issues and tax litigation</w:t>
            </w:r>
          </w:p>
          <w:p w14:paraId="7FE1D20E" w14:textId="6A9A65DF"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Off-balance sheet exposures subject to credit risk</w:t>
            </w:r>
          </w:p>
          <w:p w14:paraId="7FE1D20F" w14:textId="69731D97"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Other than Employee benefits, Restructuring, Pending legal issues and tax litigation, Off-balance sheet exposures subject to credit risk</w:t>
            </w:r>
          </w:p>
          <w:p w14:paraId="7FE1D210" w14:textId="00431AB4"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Tax liabilities</w:t>
            </w:r>
          </w:p>
          <w:p w14:paraId="7FE1D211" w14:textId="29640DA2"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Deferred income</w:t>
            </w:r>
          </w:p>
          <w:p w14:paraId="7FE1D212" w14:textId="7E6BDA10" w:rsidR="00CC0A94" w:rsidRPr="002F61BB"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Liabilities other than financial liabilities, provisions, tax liabilities, deferred income</w:t>
            </w:r>
          </w:p>
        </w:tc>
      </w:tr>
      <w:tr w:rsidR="00CC0A94" w14:paraId="7FE1D217" w14:textId="77777777" w:rsidTr="002F61BB">
        <w:tc>
          <w:tcPr>
            <w:tcW w:w="1183" w:type="dxa"/>
            <w:tcBorders>
              <w:top w:val="single" w:sz="4" w:space="0" w:color="auto"/>
              <w:left w:val="nil"/>
              <w:bottom w:val="single" w:sz="8" w:space="0" w:color="1A171C"/>
              <w:right w:val="single" w:sz="8" w:space="0" w:color="1A171C"/>
            </w:tcBorders>
            <w:vAlign w:val="center"/>
          </w:tcPr>
          <w:p w14:paraId="7FE1D21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Outstanding Amount  </w:t>
            </w:r>
          </w:p>
          <w:p w14:paraId="7FE1D216" w14:textId="41D11E8B"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outstanding amount of the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w:t>
            </w:r>
          </w:p>
        </w:tc>
      </w:tr>
      <w:tr w:rsidR="00CC0A94"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Currency  </w:t>
            </w:r>
          </w:p>
          <w:p w14:paraId="7FE1D21A" w14:textId="0E8D9FF4"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currency </w:t>
            </w:r>
            <w:r>
              <w:rPr>
                <w:rFonts w:ascii="Times New Roman" w:eastAsia="Times New Roman" w:hAnsi="Times New Roman" w:cs="Times New Roman"/>
                <w:sz w:val="20"/>
                <w:szCs w:val="20"/>
              </w:rPr>
              <w:t>of the liability</w:t>
            </w:r>
            <w:r w:rsidRPr="002F61BB">
              <w:rPr>
                <w:rFonts w:ascii="Times New Roman" w:eastAsia="Times New Roman" w:hAnsi="Times New Roman" w:cs="Times New Roman"/>
                <w:sz w:val="20"/>
                <w:szCs w:val="20"/>
              </w:rPr>
              <w:t xml:space="preserve"> is issued in line with its 3-letter ISO 4217 code.</w:t>
            </w:r>
          </w:p>
        </w:tc>
      </w:tr>
      <w:tr w:rsidR="00CC0A94"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Date of Recognition </w:t>
            </w:r>
          </w:p>
          <w:p w14:paraId="7FE1D21E" w14:textId="6A3E04D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lastRenderedPageBreak/>
              <w:t xml:space="preserve">Date at which the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was </w:t>
            </w:r>
            <w:proofErr w:type="spellStart"/>
            <w:r w:rsidRPr="002F61BB">
              <w:rPr>
                <w:rFonts w:ascii="Times New Roman" w:eastAsia="Times New Roman" w:hAnsi="Times New Roman" w:cs="Times New Roman"/>
                <w:sz w:val="20"/>
                <w:szCs w:val="20"/>
              </w:rPr>
              <w:t>recognised</w:t>
            </w:r>
            <w:proofErr w:type="spellEnd"/>
            <w:r w:rsidRPr="002F61BB">
              <w:rPr>
                <w:rFonts w:ascii="Times New Roman" w:eastAsia="Times New Roman" w:hAnsi="Times New Roman" w:cs="Times New Roman"/>
                <w:sz w:val="20"/>
                <w:szCs w:val="20"/>
              </w:rPr>
              <w:t xml:space="preserve"> in the financial accounts, as per the applicable accounting standards.</w:t>
            </w:r>
          </w:p>
        </w:tc>
      </w:tr>
      <w:tr w:rsidR="00CC0A94"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lastRenderedPageBreak/>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Date of Maturity </w:t>
            </w:r>
          </w:p>
          <w:p w14:paraId="7FE1D222" w14:textId="41BB691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of the legal, final maturity of the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For perpetual </w:t>
            </w:r>
            <w:r>
              <w:rPr>
                <w:rFonts w:ascii="Times New Roman" w:eastAsia="Times New Roman" w:hAnsi="Times New Roman" w:cs="Times New Roman"/>
                <w:sz w:val="20"/>
                <w:szCs w:val="20"/>
              </w:rPr>
              <w:t>liabilities</w:t>
            </w:r>
            <w:r w:rsidRPr="002F61B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2F61BB">
              <w:rPr>
                <w:rFonts w:ascii="Times New Roman" w:eastAsia="Times New Roman" w:hAnsi="Times New Roman" w:cs="Times New Roman"/>
                <w:sz w:val="20"/>
                <w:szCs w:val="20"/>
              </w:rPr>
              <w:t xml:space="preserve"> ‘2099-01-31’.</w:t>
            </w:r>
          </w:p>
        </w:tc>
      </w:tr>
      <w:tr w:rsidR="00CC0A94"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832" w:type="dxa"/>
            <w:tcBorders>
              <w:top w:val="single" w:sz="8" w:space="0" w:color="1A171C"/>
              <w:left w:val="single" w:sz="8" w:space="0" w:color="1A171C"/>
              <w:right w:val="nil"/>
            </w:tcBorders>
            <w:vAlign w:val="bottom"/>
          </w:tcPr>
          <w:p w14:paraId="7FE1D225"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Qualifying as Own Funds </w:t>
            </w:r>
          </w:p>
          <w:p w14:paraId="7FE1D226" w14:textId="3E6ABC96"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F61BB">
              <w:rPr>
                <w:rFonts w:ascii="Times New Roman" w:eastAsia="Times New Roman" w:hAnsi="Times New Roman" w:cs="Times New Roman"/>
                <w:sz w:val="20"/>
                <w:szCs w:val="20"/>
              </w:rPr>
              <w:t xml:space="preserve">ndicate if and at which level the instrument is included in </w:t>
            </w:r>
            <w:proofErr w:type="gramStart"/>
            <w:r w:rsidRPr="002F61BB">
              <w:rPr>
                <w:rFonts w:ascii="Times New Roman" w:eastAsia="Times New Roman" w:hAnsi="Times New Roman" w:cs="Times New Roman"/>
                <w:sz w:val="20"/>
                <w:szCs w:val="20"/>
              </w:rPr>
              <w:t>the</w:t>
            </w:r>
            <w:proofErr w:type="gramEnd"/>
            <w:r w:rsidRPr="002F61BB">
              <w:rPr>
                <w:rFonts w:ascii="Times New Roman" w:eastAsia="Times New Roman" w:hAnsi="Times New Roman" w:cs="Times New Roman"/>
                <w:sz w:val="20"/>
                <w:szCs w:val="20"/>
              </w:rPr>
              <w:t xml:space="preserve"> own funds, alongside information on the phase-out regime and grandfathering arrangements. Value can be ‘No</w:t>
            </w:r>
            <w:proofErr w:type="gramStart"/>
            <w:r w:rsidRPr="002F61BB">
              <w:rPr>
                <w:rFonts w:ascii="Times New Roman" w:eastAsia="Times New Roman" w:hAnsi="Times New Roman" w:cs="Times New Roman"/>
                <w:sz w:val="20"/>
                <w:szCs w:val="20"/>
              </w:rPr>
              <w:t>’, ‘</w:t>
            </w:r>
            <w:proofErr w:type="gramEnd"/>
            <w:r w:rsidR="00FB6BAE">
              <w:rPr>
                <w:rFonts w:ascii="Times New Roman" w:eastAsia="Times New Roman" w:hAnsi="Times New Roman" w:cs="Times New Roman"/>
                <w:sz w:val="20"/>
                <w:szCs w:val="20"/>
              </w:rPr>
              <w:t>Partially AT1, T</w:t>
            </w:r>
            <w:proofErr w:type="gramStart"/>
            <w:r w:rsidR="00FB6BAE">
              <w:rPr>
                <w:rFonts w:ascii="Times New Roman" w:eastAsia="Times New Roman" w:hAnsi="Times New Roman" w:cs="Times New Roman"/>
                <w:sz w:val="20"/>
                <w:szCs w:val="20"/>
              </w:rPr>
              <w:t xml:space="preserve">1 </w:t>
            </w:r>
            <w:r w:rsidRPr="002F61BB">
              <w:rPr>
                <w:rFonts w:ascii="Times New Roman" w:eastAsia="Times New Roman" w:hAnsi="Times New Roman" w:cs="Times New Roman"/>
                <w:sz w:val="20"/>
                <w:szCs w:val="20"/>
              </w:rPr>
              <w:t xml:space="preserve"> and</w:t>
            </w:r>
            <w:proofErr w:type="gramEnd"/>
            <w:r w:rsidRPr="002F61BB">
              <w:rPr>
                <w:rFonts w:ascii="Times New Roman" w:eastAsia="Times New Roman" w:hAnsi="Times New Roman" w:cs="Times New Roman"/>
                <w:sz w:val="20"/>
                <w:szCs w:val="20"/>
              </w:rPr>
              <w:t xml:space="preserve">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T2 in phase-out</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Grandfathered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Fully Compliant T2</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Grandfathered AT1</w:t>
            </w:r>
            <w:proofErr w:type="gramStart"/>
            <w:r w:rsidRPr="002F61BB">
              <w:rPr>
                <w:rFonts w:ascii="Times New Roman" w:eastAsia="Times New Roman" w:hAnsi="Times New Roman" w:cs="Times New Roman"/>
                <w:sz w:val="20"/>
                <w:szCs w:val="20"/>
              </w:rPr>
              <w:t>’, ‘</w:t>
            </w:r>
            <w:proofErr w:type="gramEnd"/>
            <w:r w:rsidRPr="002F61BB">
              <w:rPr>
                <w:rFonts w:ascii="Times New Roman" w:eastAsia="Times New Roman" w:hAnsi="Times New Roman" w:cs="Times New Roman"/>
                <w:sz w:val="20"/>
                <w:szCs w:val="20"/>
              </w:rPr>
              <w:t xml:space="preserve">Fully Compliant AT1’ or ‘CET1’ from a predefined list. </w:t>
            </w:r>
          </w:p>
          <w:p w14:paraId="7FE1D227" w14:textId="4662C12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In the list of </w:t>
            </w:r>
            <w:proofErr w:type="gramStart"/>
            <w:r w:rsidRPr="002F61BB">
              <w:rPr>
                <w:rFonts w:ascii="Times New Roman" w:eastAsia="Times New Roman" w:hAnsi="Times New Roman" w:cs="Times New Roman"/>
                <w:sz w:val="20"/>
                <w:szCs w:val="20"/>
              </w:rPr>
              <w:t>options</w:t>
            </w:r>
            <w:proofErr w:type="gramEnd"/>
            <w:r w:rsidRPr="002F61BB">
              <w:rPr>
                <w:rFonts w:ascii="Times New Roman" w:eastAsia="Times New Roman" w:hAnsi="Times New Roman" w:cs="Times New Roman"/>
                <w:sz w:val="20"/>
                <w:szCs w:val="20"/>
              </w:rPr>
              <w:t xml:space="preserve"> the term 'phase-out' refers to the period of 5 years before maturity of any given T2 instrument, during which there is only a proportionate recognition based on the time remaining until maturity. 'Grandfathered' </w:t>
            </w:r>
            <w:r>
              <w:rPr>
                <w:rFonts w:ascii="Times New Roman" w:eastAsia="Times New Roman" w:hAnsi="Times New Roman" w:cs="Times New Roman"/>
                <w:sz w:val="20"/>
                <w:szCs w:val="20"/>
              </w:rPr>
              <w:t>refers to</w:t>
            </w:r>
            <w:r w:rsidRPr="002F61BB">
              <w:rPr>
                <w:rFonts w:ascii="Times New Roman" w:eastAsia="Times New Roman" w:hAnsi="Times New Roman" w:cs="Times New Roman"/>
                <w:sz w:val="20"/>
                <w:szCs w:val="20"/>
              </w:rPr>
              <w:t xml:space="preserve"> any transitional measure applicable to a T2 instrument, not including the 'phase-out'. During this 'grandfathering', recognition can be full or partial.</w:t>
            </w:r>
          </w:p>
        </w:tc>
      </w:tr>
      <w:tr w:rsidR="00CC0A94" w14:paraId="7FE1D22C" w14:textId="77777777">
        <w:tc>
          <w:tcPr>
            <w:tcW w:w="1183" w:type="dxa"/>
            <w:tcBorders>
              <w:top w:val="nil"/>
              <w:left w:val="nil"/>
              <w:bottom w:val="single" w:sz="8" w:space="0" w:color="1A171C"/>
              <w:right w:val="single" w:sz="8" w:space="0" w:color="1A171C"/>
            </w:tcBorders>
            <w:vAlign w:val="center"/>
          </w:tcPr>
          <w:p w14:paraId="7FE1D22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Amount Qualifying as Own Funds </w:t>
            </w:r>
          </w:p>
          <w:p w14:paraId="7FE1D22B" w14:textId="01A9A81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amount of the instrument qualifying as own funds.</w:t>
            </w:r>
          </w:p>
        </w:tc>
      </w:tr>
    </w:tbl>
    <w:p w14:paraId="7FE1D22D" w14:textId="01F1CEAB" w:rsidR="0046145A" w:rsidRDefault="0046145A">
      <w:pPr>
        <w:pStyle w:val="body"/>
        <w:rPr>
          <w:rFonts w:ascii="Times New Roman" w:hAnsi="Times New Roman" w:cs="Times New Roman"/>
          <w:sz w:val="20"/>
          <w:szCs w:val="20"/>
          <w:lang w:val="en-GB"/>
        </w:rPr>
      </w:pPr>
    </w:p>
    <w:p w14:paraId="349218F7" w14:textId="77777777" w:rsidR="0046145A" w:rsidRDefault="0046145A">
      <w:pPr>
        <w:spacing w:after="200" w:line="276" w:lineRule="auto"/>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42DED9B4" w14:textId="77777777" w:rsidR="00591328" w:rsidRDefault="00591328" w:rsidP="00591328">
      <w:pPr>
        <w:pStyle w:val="Instructionsberschrift2"/>
        <w:ind w:left="357"/>
        <w:rPr>
          <w:rFonts w:ascii="Times New Roman" w:eastAsia="Calibri" w:hAnsi="Times New Roman" w:cs="Times New Roman"/>
          <w:szCs w:val="20"/>
        </w:rPr>
      </w:pPr>
    </w:p>
    <w:p w14:paraId="4BD624F8" w14:textId="77777777" w:rsidR="00591328" w:rsidRDefault="00591328" w:rsidP="00591328">
      <w:pPr>
        <w:spacing w:after="200" w:line="276" w:lineRule="auto"/>
        <w:rPr>
          <w:rFonts w:ascii="Times New Roman" w:hAnsi="Times New Roman" w:cs="Times New Roman"/>
          <w:sz w:val="20"/>
          <w:szCs w:val="20"/>
          <w:lang w:val="en-GB"/>
        </w:rPr>
      </w:pPr>
    </w:p>
    <w:p w14:paraId="715529B0" w14:textId="64A141F4" w:rsidR="00591328" w:rsidRPr="002947DC" w:rsidRDefault="00591328" w:rsidP="00591328">
      <w:pPr>
        <w:pStyle w:val="Instructionsberschrift2"/>
        <w:numPr>
          <w:ilvl w:val="1"/>
          <w:numId w:val="49"/>
        </w:numPr>
        <w:spacing w:before="0"/>
        <w:ind w:left="357" w:hanging="357"/>
        <w:rPr>
          <w:rFonts w:ascii="Times New Roman" w:hAnsi="Times New Roman" w:cs="Times New Roman"/>
        </w:rPr>
      </w:pPr>
      <w:bookmarkStart w:id="255" w:name="_Toc192248856"/>
      <w:bookmarkStart w:id="256" w:name="_Toc192249433"/>
      <w:r>
        <w:rPr>
          <w:rFonts w:ascii="Times New Roman" w:eastAsiaTheme="minorEastAsia" w:hAnsi="Times New Roman" w:cs="Times New Roman"/>
        </w:rPr>
        <w:t>Annex I- List of FMIs to be used for Z 09.01 – c00</w:t>
      </w:r>
      <w:r w:rsidR="00577491">
        <w:rPr>
          <w:rFonts w:ascii="Times New Roman" w:eastAsiaTheme="minorEastAsia" w:hAnsi="Times New Roman" w:cs="Times New Roman"/>
        </w:rPr>
        <w:t>5</w:t>
      </w:r>
      <w:r>
        <w:rPr>
          <w:rFonts w:ascii="Times New Roman" w:eastAsiaTheme="minorEastAsia" w:hAnsi="Times New Roman" w:cs="Times New Roman"/>
        </w:rPr>
        <w:t>0</w:t>
      </w:r>
      <w:bookmarkEnd w:id="255"/>
      <w:bookmarkEnd w:id="256"/>
    </w:p>
    <w:p w14:paraId="31681B73" w14:textId="51FEAE08" w:rsidR="00CC0A94" w:rsidRDefault="00CC0A94">
      <w:pPr>
        <w:pStyle w:val="body"/>
        <w:rPr>
          <w:rFonts w:ascii="Times New Roman" w:hAnsi="Times New Roman" w:cs="Times New Roman"/>
          <w:sz w:val="20"/>
          <w:szCs w:val="20"/>
          <w:lang w:val="en-GB"/>
        </w:rPr>
      </w:pPr>
    </w:p>
    <w:tbl>
      <w:tblPr>
        <w:tblW w:w="9072" w:type="dxa"/>
        <w:tblLook w:val="04A0" w:firstRow="1" w:lastRow="0" w:firstColumn="1" w:lastColumn="0" w:noHBand="0" w:noVBand="1"/>
      </w:tblPr>
      <w:tblGrid>
        <w:gridCol w:w="9072"/>
      </w:tblGrid>
      <w:tr w:rsidR="0046145A" w:rsidRPr="00F22F68" w14:paraId="567BC9DC" w14:textId="77777777" w:rsidTr="00C11141">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46145A" w:rsidRPr="00327B7D" w:rsidRDefault="0046145A" w:rsidP="00C11141">
            <w:pPr>
              <w:rPr>
                <w:rFonts w:eastAsia="Times New Roman" w:cs="Calibri"/>
                <w:b/>
                <w:color w:val="000000"/>
                <w:sz w:val="18"/>
                <w:szCs w:val="18"/>
                <w:lang w:eastAsia="en-GB"/>
              </w:rPr>
            </w:pPr>
            <w:r w:rsidRPr="00327B7D">
              <w:rPr>
                <w:rFonts w:eastAsia="Times New Roman" w:cs="Calibri"/>
                <w:b/>
                <w:color w:val="000000"/>
                <w:sz w:val="18"/>
                <w:szCs w:val="18"/>
                <w:lang w:eastAsia="en-GB"/>
              </w:rPr>
              <w:t>Entry in the drop-down list of FMIs</w:t>
            </w:r>
          </w:p>
        </w:tc>
      </w:tr>
      <w:tr w:rsidR="0046145A" w:rsidRPr="00F22F68" w14:paraId="09736821" w14:textId="77777777" w:rsidTr="00C11141">
        <w:trPr>
          <w:trHeight w:val="300"/>
        </w:trPr>
        <w:tc>
          <w:tcPr>
            <w:tcW w:w="9072" w:type="dxa"/>
            <w:tcBorders>
              <w:top w:val="nil"/>
              <w:left w:val="nil"/>
              <w:bottom w:val="nil"/>
              <w:right w:val="nil"/>
            </w:tcBorders>
            <w:noWrap/>
            <w:vAlign w:val="bottom"/>
            <w:hideMark/>
          </w:tcPr>
          <w:p w14:paraId="65FBD6FC" w14:textId="77777777" w:rsidR="0046145A" w:rsidRPr="00F22F68" w:rsidRDefault="0046145A" w:rsidP="00C11141">
            <w:pPr>
              <w:rPr>
                <w:rFonts w:eastAsia="Times New Roman" w:cs="Calibri"/>
                <w:color w:val="000000"/>
                <w:sz w:val="18"/>
                <w:szCs w:val="18"/>
                <w:lang w:eastAsia="en-GB"/>
              </w:rPr>
            </w:pPr>
            <w:bookmarkStart w:id="257" w:name="RANGE!A3:A168"/>
            <w:r w:rsidRPr="00F22F68">
              <w:rPr>
                <w:rFonts w:eastAsia="Times New Roman" w:cs="Calibri"/>
                <w:color w:val="000000"/>
                <w:sz w:val="18"/>
                <w:szCs w:val="18"/>
                <w:lang w:eastAsia="en-GB"/>
              </w:rPr>
              <w:t>Athens Clearing Office (ACO)</w:t>
            </w:r>
            <w:bookmarkEnd w:id="257"/>
          </w:p>
        </w:tc>
      </w:tr>
      <w:tr w:rsidR="0046145A" w:rsidRPr="00F22F68" w14:paraId="447EB604" w14:textId="77777777" w:rsidTr="00C11141">
        <w:trPr>
          <w:trHeight w:val="300"/>
        </w:trPr>
        <w:tc>
          <w:tcPr>
            <w:tcW w:w="9072" w:type="dxa"/>
            <w:tcBorders>
              <w:top w:val="nil"/>
              <w:left w:val="nil"/>
              <w:bottom w:val="nil"/>
              <w:right w:val="nil"/>
            </w:tcBorders>
            <w:noWrap/>
            <w:vAlign w:val="bottom"/>
            <w:hideMark/>
          </w:tcPr>
          <w:p w14:paraId="2B6E60A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ATHEX (Athens Stock Exchange)</w:t>
            </w:r>
          </w:p>
        </w:tc>
      </w:tr>
      <w:tr w:rsidR="0046145A" w:rsidRPr="00F22F68" w14:paraId="0DF5C441" w14:textId="77777777" w:rsidTr="00C11141">
        <w:trPr>
          <w:trHeight w:val="300"/>
        </w:trPr>
        <w:tc>
          <w:tcPr>
            <w:tcW w:w="9072" w:type="dxa"/>
            <w:tcBorders>
              <w:top w:val="nil"/>
              <w:left w:val="nil"/>
              <w:bottom w:val="nil"/>
              <w:right w:val="nil"/>
            </w:tcBorders>
            <w:noWrap/>
            <w:vAlign w:val="bottom"/>
            <w:hideMark/>
          </w:tcPr>
          <w:p w14:paraId="4C199F0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ATHEX CSD</w:t>
            </w:r>
          </w:p>
        </w:tc>
      </w:tr>
      <w:tr w:rsidR="0046145A" w:rsidRPr="00F22F68" w14:paraId="6C8DFF2B" w14:textId="77777777" w:rsidTr="00C11141">
        <w:trPr>
          <w:trHeight w:val="300"/>
        </w:trPr>
        <w:tc>
          <w:tcPr>
            <w:tcW w:w="9072" w:type="dxa"/>
            <w:tcBorders>
              <w:top w:val="nil"/>
              <w:left w:val="nil"/>
              <w:bottom w:val="nil"/>
              <w:right w:val="nil"/>
            </w:tcBorders>
            <w:noWrap/>
            <w:vAlign w:val="bottom"/>
            <w:hideMark/>
          </w:tcPr>
          <w:p w14:paraId="2876B1C1"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ATHEXClear</w:t>
            </w:r>
            <w:proofErr w:type="spellEnd"/>
            <w:r w:rsidRPr="00F22F68">
              <w:rPr>
                <w:rFonts w:eastAsia="Times New Roman" w:cs="Calibri"/>
                <w:color w:val="000000"/>
                <w:sz w:val="18"/>
                <w:szCs w:val="18"/>
                <w:lang w:eastAsia="en-GB"/>
              </w:rPr>
              <w:t xml:space="preserve"> SA</w:t>
            </w:r>
          </w:p>
        </w:tc>
      </w:tr>
      <w:tr w:rsidR="0046145A" w:rsidRPr="00F22F68" w14:paraId="24CE5F78" w14:textId="77777777" w:rsidTr="00C11141">
        <w:trPr>
          <w:trHeight w:val="300"/>
        </w:trPr>
        <w:tc>
          <w:tcPr>
            <w:tcW w:w="9072" w:type="dxa"/>
            <w:tcBorders>
              <w:top w:val="nil"/>
              <w:left w:val="nil"/>
              <w:bottom w:val="nil"/>
              <w:right w:val="nil"/>
            </w:tcBorders>
            <w:noWrap/>
            <w:vAlign w:val="bottom"/>
            <w:hideMark/>
          </w:tcPr>
          <w:p w14:paraId="1E830E7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The Clearing House ACH</w:t>
            </w:r>
          </w:p>
        </w:tc>
      </w:tr>
      <w:tr w:rsidR="0046145A" w:rsidRPr="00F22F68" w14:paraId="2920AE45" w14:textId="77777777" w:rsidTr="00C11141">
        <w:trPr>
          <w:trHeight w:val="300"/>
        </w:trPr>
        <w:tc>
          <w:tcPr>
            <w:tcW w:w="9072" w:type="dxa"/>
            <w:tcBorders>
              <w:top w:val="nil"/>
              <w:left w:val="nil"/>
              <w:bottom w:val="nil"/>
              <w:right w:val="nil"/>
            </w:tcBorders>
            <w:noWrap/>
            <w:vAlign w:val="bottom"/>
            <w:hideMark/>
          </w:tcPr>
          <w:p w14:paraId="1C31449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Automated Clearing Settlement System (ACSS)</w:t>
            </w:r>
          </w:p>
        </w:tc>
      </w:tr>
      <w:tr w:rsidR="0046145A" w:rsidRPr="00F22F68" w14:paraId="1DB8A80A" w14:textId="77777777" w:rsidTr="00C11141">
        <w:trPr>
          <w:trHeight w:val="300"/>
        </w:trPr>
        <w:tc>
          <w:tcPr>
            <w:tcW w:w="9072" w:type="dxa"/>
            <w:tcBorders>
              <w:top w:val="nil"/>
              <w:left w:val="nil"/>
              <w:bottom w:val="nil"/>
              <w:right w:val="nil"/>
            </w:tcBorders>
            <w:noWrap/>
            <w:vAlign w:val="bottom"/>
            <w:hideMark/>
          </w:tcPr>
          <w:p w14:paraId="65CA520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BACS (Bankers' Automated Clearing Services)</w:t>
            </w:r>
          </w:p>
        </w:tc>
      </w:tr>
      <w:tr w:rsidR="0046145A" w:rsidRPr="00F22F68" w14:paraId="0C931590" w14:textId="77777777" w:rsidTr="00C11141">
        <w:trPr>
          <w:trHeight w:val="300"/>
        </w:trPr>
        <w:tc>
          <w:tcPr>
            <w:tcW w:w="9072" w:type="dxa"/>
            <w:tcBorders>
              <w:top w:val="nil"/>
              <w:left w:val="nil"/>
              <w:bottom w:val="nil"/>
              <w:right w:val="nil"/>
            </w:tcBorders>
            <w:noWrap/>
            <w:vAlign w:val="bottom"/>
            <w:hideMark/>
          </w:tcPr>
          <w:p w14:paraId="50133989"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Bankgirot</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Bankgirocentralen</w:t>
            </w:r>
            <w:proofErr w:type="spellEnd"/>
            <w:r w:rsidRPr="00F22F68">
              <w:rPr>
                <w:rFonts w:eastAsia="Times New Roman" w:cs="Calibri"/>
                <w:color w:val="000000"/>
                <w:sz w:val="18"/>
                <w:szCs w:val="18"/>
                <w:lang w:eastAsia="en-GB"/>
              </w:rPr>
              <w:t xml:space="preserve"> BGC AB)</w:t>
            </w:r>
          </w:p>
        </w:tc>
      </w:tr>
      <w:tr w:rsidR="0046145A" w:rsidRPr="00F22F68" w14:paraId="2F8CAEE4" w14:textId="77777777" w:rsidTr="00C11141">
        <w:trPr>
          <w:trHeight w:val="300"/>
        </w:trPr>
        <w:tc>
          <w:tcPr>
            <w:tcW w:w="9072" w:type="dxa"/>
            <w:tcBorders>
              <w:top w:val="nil"/>
              <w:left w:val="nil"/>
              <w:bottom w:val="nil"/>
              <w:right w:val="nil"/>
            </w:tcBorders>
            <w:noWrap/>
            <w:vAlign w:val="bottom"/>
            <w:hideMark/>
          </w:tcPr>
          <w:p w14:paraId="01AEF22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BI-COMP</w:t>
            </w:r>
          </w:p>
        </w:tc>
      </w:tr>
      <w:tr w:rsidR="0046145A" w:rsidRPr="00F22F68" w14:paraId="7736D7E4" w14:textId="77777777" w:rsidTr="00C11141">
        <w:trPr>
          <w:trHeight w:val="300"/>
        </w:trPr>
        <w:tc>
          <w:tcPr>
            <w:tcW w:w="9072" w:type="dxa"/>
            <w:tcBorders>
              <w:top w:val="nil"/>
              <w:left w:val="nil"/>
              <w:bottom w:val="nil"/>
              <w:right w:val="nil"/>
            </w:tcBorders>
            <w:noWrap/>
            <w:vAlign w:val="bottom"/>
            <w:hideMark/>
          </w:tcPr>
          <w:p w14:paraId="431E29D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BISERA (Bank Integrated System for Electronic Payments)</w:t>
            </w:r>
          </w:p>
        </w:tc>
      </w:tr>
      <w:tr w:rsidR="0046145A" w:rsidRPr="00F22F68" w14:paraId="7AE977D3" w14:textId="77777777" w:rsidTr="00C11141">
        <w:trPr>
          <w:trHeight w:val="300"/>
        </w:trPr>
        <w:tc>
          <w:tcPr>
            <w:tcW w:w="9072" w:type="dxa"/>
            <w:tcBorders>
              <w:top w:val="nil"/>
              <w:left w:val="nil"/>
              <w:bottom w:val="nil"/>
              <w:right w:val="nil"/>
            </w:tcBorders>
            <w:noWrap/>
            <w:vAlign w:val="bottom"/>
            <w:hideMark/>
          </w:tcPr>
          <w:p w14:paraId="0E05430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Bloomberg Trade Repository Limited</w:t>
            </w:r>
          </w:p>
        </w:tc>
      </w:tr>
      <w:tr w:rsidR="0046145A" w:rsidRPr="00F22F68" w14:paraId="3DEFBBB0" w14:textId="77777777" w:rsidTr="00C11141">
        <w:trPr>
          <w:trHeight w:val="300"/>
        </w:trPr>
        <w:tc>
          <w:tcPr>
            <w:tcW w:w="9072" w:type="dxa"/>
            <w:tcBorders>
              <w:top w:val="nil"/>
              <w:left w:val="nil"/>
              <w:bottom w:val="nil"/>
              <w:right w:val="nil"/>
            </w:tcBorders>
            <w:noWrap/>
            <w:vAlign w:val="bottom"/>
            <w:hideMark/>
          </w:tcPr>
          <w:p w14:paraId="69A6C56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BME</w:t>
            </w:r>
          </w:p>
        </w:tc>
      </w:tr>
      <w:tr w:rsidR="0046145A" w:rsidRPr="00F22F68" w14:paraId="6C4EE14D" w14:textId="77777777" w:rsidTr="00C11141">
        <w:trPr>
          <w:trHeight w:val="300"/>
        </w:trPr>
        <w:tc>
          <w:tcPr>
            <w:tcW w:w="9072" w:type="dxa"/>
            <w:tcBorders>
              <w:top w:val="nil"/>
              <w:left w:val="nil"/>
              <w:bottom w:val="nil"/>
              <w:right w:val="nil"/>
            </w:tcBorders>
            <w:noWrap/>
            <w:vAlign w:val="bottom"/>
            <w:hideMark/>
          </w:tcPr>
          <w:p w14:paraId="31001C6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BME Clearing</w:t>
            </w:r>
          </w:p>
        </w:tc>
      </w:tr>
      <w:tr w:rsidR="0046145A" w:rsidRPr="00F22F68" w14:paraId="3ADECE08" w14:textId="77777777" w:rsidTr="00C11141">
        <w:trPr>
          <w:trHeight w:val="300"/>
        </w:trPr>
        <w:tc>
          <w:tcPr>
            <w:tcW w:w="9072" w:type="dxa"/>
            <w:tcBorders>
              <w:top w:val="nil"/>
              <w:left w:val="nil"/>
              <w:bottom w:val="nil"/>
              <w:right w:val="nil"/>
            </w:tcBorders>
            <w:noWrap/>
            <w:vAlign w:val="bottom"/>
            <w:hideMark/>
          </w:tcPr>
          <w:p w14:paraId="29263C2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BOGS (Bank of Greece Securities Settlement System)</w:t>
            </w:r>
          </w:p>
        </w:tc>
      </w:tr>
      <w:tr w:rsidR="0046145A" w:rsidRPr="00F22F68" w14:paraId="6CCCB9AC" w14:textId="77777777" w:rsidTr="00C11141">
        <w:trPr>
          <w:trHeight w:val="300"/>
        </w:trPr>
        <w:tc>
          <w:tcPr>
            <w:tcW w:w="9072" w:type="dxa"/>
            <w:tcBorders>
              <w:top w:val="nil"/>
              <w:left w:val="nil"/>
              <w:bottom w:val="nil"/>
              <w:right w:val="nil"/>
            </w:tcBorders>
            <w:noWrap/>
            <w:vAlign w:val="bottom"/>
            <w:hideMark/>
          </w:tcPr>
          <w:p w14:paraId="1092DA4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BOJ-NET</w:t>
            </w:r>
          </w:p>
        </w:tc>
      </w:tr>
      <w:tr w:rsidR="0046145A" w:rsidRPr="00F22F68" w14:paraId="4CEE7A6B" w14:textId="77777777" w:rsidTr="00C11141">
        <w:trPr>
          <w:trHeight w:val="300"/>
        </w:trPr>
        <w:tc>
          <w:tcPr>
            <w:tcW w:w="9072" w:type="dxa"/>
            <w:tcBorders>
              <w:top w:val="nil"/>
              <w:left w:val="nil"/>
              <w:bottom w:val="nil"/>
              <w:right w:val="nil"/>
            </w:tcBorders>
            <w:noWrap/>
            <w:vAlign w:val="bottom"/>
            <w:hideMark/>
          </w:tcPr>
          <w:p w14:paraId="04FBDA33"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BondSpot</w:t>
            </w:r>
            <w:proofErr w:type="spellEnd"/>
            <w:r w:rsidRPr="00F22F68">
              <w:rPr>
                <w:rFonts w:eastAsia="Times New Roman" w:cs="Calibri"/>
                <w:color w:val="000000"/>
                <w:sz w:val="18"/>
                <w:szCs w:val="18"/>
                <w:lang w:eastAsia="en-GB"/>
              </w:rPr>
              <w:t xml:space="preserve"> S.A.</w:t>
            </w:r>
          </w:p>
        </w:tc>
      </w:tr>
      <w:tr w:rsidR="0046145A" w:rsidRPr="00F22F68" w14:paraId="3B8A9B67" w14:textId="77777777" w:rsidTr="00C11141">
        <w:trPr>
          <w:trHeight w:val="300"/>
        </w:trPr>
        <w:tc>
          <w:tcPr>
            <w:tcW w:w="9072" w:type="dxa"/>
            <w:tcBorders>
              <w:top w:val="nil"/>
              <w:left w:val="nil"/>
              <w:bottom w:val="nil"/>
              <w:right w:val="nil"/>
            </w:tcBorders>
            <w:noWrap/>
            <w:vAlign w:val="bottom"/>
            <w:hideMark/>
          </w:tcPr>
          <w:p w14:paraId="73DB34E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BORICA</w:t>
            </w:r>
          </w:p>
        </w:tc>
      </w:tr>
      <w:tr w:rsidR="0046145A" w:rsidRPr="00F22F68" w14:paraId="5E8D43A2" w14:textId="77777777" w:rsidTr="00C11141">
        <w:trPr>
          <w:trHeight w:val="300"/>
        </w:trPr>
        <w:tc>
          <w:tcPr>
            <w:tcW w:w="9072" w:type="dxa"/>
            <w:tcBorders>
              <w:top w:val="nil"/>
              <w:left w:val="nil"/>
              <w:bottom w:val="nil"/>
              <w:right w:val="nil"/>
            </w:tcBorders>
            <w:noWrap/>
            <w:vAlign w:val="bottom"/>
            <w:hideMark/>
          </w:tcPr>
          <w:p w14:paraId="4F788B8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 xml:space="preserve">Borsa </w:t>
            </w:r>
            <w:proofErr w:type="spellStart"/>
            <w:r w:rsidRPr="00F22F68">
              <w:rPr>
                <w:rFonts w:eastAsia="Times New Roman" w:cs="Calibri"/>
                <w:color w:val="000000"/>
                <w:sz w:val="18"/>
                <w:szCs w:val="18"/>
                <w:lang w:eastAsia="en-GB"/>
              </w:rPr>
              <w:t>Italiana</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SpA</w:t>
            </w:r>
            <w:proofErr w:type="spellEnd"/>
          </w:p>
        </w:tc>
      </w:tr>
      <w:tr w:rsidR="0046145A" w:rsidRPr="00F22F68" w14:paraId="0034826C" w14:textId="77777777" w:rsidTr="00C11141">
        <w:trPr>
          <w:trHeight w:val="300"/>
        </w:trPr>
        <w:tc>
          <w:tcPr>
            <w:tcW w:w="9072" w:type="dxa"/>
            <w:tcBorders>
              <w:top w:val="nil"/>
              <w:left w:val="nil"/>
              <w:bottom w:val="nil"/>
              <w:right w:val="nil"/>
            </w:tcBorders>
            <w:noWrap/>
            <w:vAlign w:val="bottom"/>
            <w:hideMark/>
          </w:tcPr>
          <w:p w14:paraId="6C68814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Bratislava Stock Exchange</w:t>
            </w:r>
          </w:p>
        </w:tc>
      </w:tr>
      <w:tr w:rsidR="0046145A" w:rsidRPr="00F22F68" w14:paraId="2ACAB3C1" w14:textId="77777777" w:rsidTr="00C11141">
        <w:trPr>
          <w:trHeight w:val="300"/>
        </w:trPr>
        <w:tc>
          <w:tcPr>
            <w:tcW w:w="9072" w:type="dxa"/>
            <w:tcBorders>
              <w:top w:val="nil"/>
              <w:left w:val="nil"/>
              <w:bottom w:val="nil"/>
              <w:right w:val="nil"/>
            </w:tcBorders>
            <w:noWrap/>
            <w:vAlign w:val="bottom"/>
            <w:hideMark/>
          </w:tcPr>
          <w:p w14:paraId="797C25F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Budapest Stock Exchange</w:t>
            </w:r>
          </w:p>
        </w:tc>
      </w:tr>
      <w:tr w:rsidR="0046145A" w:rsidRPr="00F22F68" w14:paraId="7928BB77" w14:textId="77777777" w:rsidTr="00C11141">
        <w:trPr>
          <w:trHeight w:val="300"/>
        </w:trPr>
        <w:tc>
          <w:tcPr>
            <w:tcW w:w="9072" w:type="dxa"/>
            <w:tcBorders>
              <w:top w:val="nil"/>
              <w:left w:val="nil"/>
              <w:bottom w:val="nil"/>
              <w:right w:val="nil"/>
            </w:tcBorders>
            <w:noWrap/>
            <w:vAlign w:val="bottom"/>
            <w:hideMark/>
          </w:tcPr>
          <w:p w14:paraId="3D5ECE9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Bulgarian Stock Exchange</w:t>
            </w:r>
          </w:p>
        </w:tc>
      </w:tr>
      <w:tr w:rsidR="0046145A" w:rsidRPr="00F22F68" w14:paraId="3ED0C0E7" w14:textId="77777777" w:rsidTr="00C11141">
        <w:trPr>
          <w:trHeight w:val="300"/>
        </w:trPr>
        <w:tc>
          <w:tcPr>
            <w:tcW w:w="9072" w:type="dxa"/>
            <w:tcBorders>
              <w:top w:val="nil"/>
              <w:left w:val="nil"/>
              <w:bottom w:val="nil"/>
              <w:right w:val="nil"/>
            </w:tcBorders>
            <w:noWrap/>
            <w:vAlign w:val="bottom"/>
            <w:hideMark/>
          </w:tcPr>
          <w:p w14:paraId="2AACB60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 xml:space="preserve">Bursa de Valori </w:t>
            </w:r>
            <w:proofErr w:type="spellStart"/>
            <w:r w:rsidRPr="00F22F68">
              <w:rPr>
                <w:rFonts w:eastAsia="Times New Roman" w:cs="Calibri"/>
                <w:color w:val="000000"/>
                <w:sz w:val="18"/>
                <w:szCs w:val="18"/>
                <w:lang w:eastAsia="en-GB"/>
              </w:rPr>
              <w:t>Bucaresti</w:t>
            </w:r>
            <w:proofErr w:type="spellEnd"/>
          </w:p>
        </w:tc>
      </w:tr>
      <w:tr w:rsidR="0046145A" w:rsidRPr="00F22F68" w14:paraId="358B0CBB" w14:textId="77777777" w:rsidTr="00C11141">
        <w:trPr>
          <w:trHeight w:val="300"/>
        </w:trPr>
        <w:tc>
          <w:tcPr>
            <w:tcW w:w="9072" w:type="dxa"/>
            <w:tcBorders>
              <w:top w:val="nil"/>
              <w:left w:val="nil"/>
              <w:bottom w:val="nil"/>
              <w:right w:val="nil"/>
            </w:tcBorders>
            <w:noWrap/>
            <w:vAlign w:val="bottom"/>
            <w:hideMark/>
          </w:tcPr>
          <w:p w14:paraId="69852FE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 xml:space="preserve">Burza </w:t>
            </w:r>
            <w:proofErr w:type="spellStart"/>
            <w:r w:rsidRPr="00F22F68">
              <w:rPr>
                <w:rFonts w:eastAsia="Times New Roman" w:cs="Calibri"/>
                <w:color w:val="000000"/>
                <w:sz w:val="18"/>
                <w:szCs w:val="18"/>
                <w:lang w:eastAsia="en-GB"/>
              </w:rPr>
              <w:t>cenných</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papírů</w:t>
            </w:r>
            <w:proofErr w:type="spellEnd"/>
            <w:r w:rsidRPr="00F22F68">
              <w:rPr>
                <w:rFonts w:eastAsia="Times New Roman" w:cs="Calibri"/>
                <w:color w:val="000000"/>
                <w:sz w:val="18"/>
                <w:szCs w:val="18"/>
                <w:lang w:eastAsia="en-GB"/>
              </w:rPr>
              <w:t xml:space="preserve"> Praha, </w:t>
            </w:r>
            <w:proofErr w:type="spellStart"/>
            <w:r w:rsidRPr="00F22F68">
              <w:rPr>
                <w:rFonts w:eastAsia="Times New Roman" w:cs="Calibri"/>
                <w:color w:val="000000"/>
                <w:sz w:val="18"/>
                <w:szCs w:val="18"/>
                <w:lang w:eastAsia="en-GB"/>
              </w:rPr>
              <w:t>a.s.</w:t>
            </w:r>
            <w:proofErr w:type="spellEnd"/>
            <w:r w:rsidRPr="00F22F68">
              <w:rPr>
                <w:rFonts w:eastAsia="Times New Roman" w:cs="Calibri"/>
                <w:color w:val="000000"/>
                <w:sz w:val="18"/>
                <w:szCs w:val="18"/>
                <w:lang w:eastAsia="en-GB"/>
              </w:rPr>
              <w:t xml:space="preserve"> (Prague Stock Exchange)</w:t>
            </w:r>
          </w:p>
        </w:tc>
      </w:tr>
      <w:tr w:rsidR="0046145A" w:rsidRPr="00F22F68" w14:paraId="2BEFFD1A" w14:textId="77777777" w:rsidTr="00C11141">
        <w:trPr>
          <w:trHeight w:val="300"/>
        </w:trPr>
        <w:tc>
          <w:tcPr>
            <w:tcW w:w="9072" w:type="dxa"/>
            <w:tcBorders>
              <w:top w:val="nil"/>
              <w:left w:val="nil"/>
              <w:bottom w:val="nil"/>
              <w:right w:val="nil"/>
            </w:tcBorders>
            <w:noWrap/>
            <w:vAlign w:val="bottom"/>
            <w:hideMark/>
          </w:tcPr>
          <w:p w14:paraId="32741FA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Canadian depository for securities (CDS)</w:t>
            </w:r>
          </w:p>
        </w:tc>
      </w:tr>
      <w:tr w:rsidR="0046145A" w:rsidRPr="00F22F68" w14:paraId="588D9A6E" w14:textId="77777777" w:rsidTr="00C11141">
        <w:trPr>
          <w:trHeight w:val="300"/>
        </w:trPr>
        <w:tc>
          <w:tcPr>
            <w:tcW w:w="9072" w:type="dxa"/>
            <w:tcBorders>
              <w:top w:val="nil"/>
              <w:left w:val="nil"/>
              <w:bottom w:val="nil"/>
              <w:right w:val="nil"/>
            </w:tcBorders>
            <w:noWrap/>
            <w:vAlign w:val="bottom"/>
            <w:hideMark/>
          </w:tcPr>
          <w:p w14:paraId="30CD8C5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Canadian Derivatives Clearing Corporation</w:t>
            </w:r>
          </w:p>
        </w:tc>
      </w:tr>
      <w:tr w:rsidR="0046145A" w:rsidRPr="00F22F68" w14:paraId="47A4B165" w14:textId="77777777" w:rsidTr="00C11141">
        <w:trPr>
          <w:trHeight w:val="300"/>
        </w:trPr>
        <w:tc>
          <w:tcPr>
            <w:tcW w:w="9072" w:type="dxa"/>
            <w:tcBorders>
              <w:top w:val="nil"/>
              <w:left w:val="nil"/>
              <w:bottom w:val="nil"/>
              <w:right w:val="nil"/>
            </w:tcBorders>
            <w:noWrap/>
            <w:vAlign w:val="bottom"/>
          </w:tcPr>
          <w:p w14:paraId="4B6A49F9" w14:textId="77777777" w:rsidR="0046145A" w:rsidRPr="00F22F68" w:rsidRDefault="0046145A" w:rsidP="00C11141">
            <w:pPr>
              <w:rPr>
                <w:rFonts w:eastAsia="Times New Roman" w:cs="Calibri"/>
                <w:color w:val="000000"/>
                <w:sz w:val="18"/>
                <w:szCs w:val="18"/>
                <w:lang w:eastAsia="en-GB"/>
              </w:rPr>
            </w:pPr>
            <w:proofErr w:type="spellStart"/>
            <w:r w:rsidRPr="00EB7BE1">
              <w:rPr>
                <w:rFonts w:eastAsia="Times New Roman" w:cs="Calibri"/>
                <w:color w:val="000000"/>
                <w:sz w:val="18"/>
                <w:szCs w:val="18"/>
                <w:lang w:eastAsia="en-GB"/>
              </w:rPr>
              <w:t>Cboe</w:t>
            </w:r>
            <w:proofErr w:type="spellEnd"/>
            <w:r w:rsidRPr="00EB7BE1">
              <w:rPr>
                <w:rFonts w:eastAsia="Times New Roman" w:cs="Calibri"/>
                <w:color w:val="000000"/>
                <w:sz w:val="18"/>
                <w:szCs w:val="18"/>
                <w:lang w:eastAsia="en-GB"/>
              </w:rPr>
              <w:t xml:space="preserve"> Clear Europe</w:t>
            </w:r>
          </w:p>
        </w:tc>
      </w:tr>
      <w:tr w:rsidR="0046145A" w:rsidRPr="00F22F68" w14:paraId="00F4E07D" w14:textId="77777777" w:rsidTr="00C11141">
        <w:trPr>
          <w:trHeight w:val="300"/>
        </w:trPr>
        <w:tc>
          <w:tcPr>
            <w:tcW w:w="9072" w:type="dxa"/>
            <w:tcBorders>
              <w:top w:val="nil"/>
              <w:left w:val="nil"/>
              <w:bottom w:val="nil"/>
              <w:right w:val="nil"/>
            </w:tcBorders>
            <w:noWrap/>
            <w:vAlign w:val="bottom"/>
            <w:hideMark/>
          </w:tcPr>
          <w:p w14:paraId="143644A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CCP Austria</w:t>
            </w:r>
          </w:p>
        </w:tc>
      </w:tr>
      <w:tr w:rsidR="0046145A" w:rsidRPr="00F22F68" w14:paraId="49668E14" w14:textId="77777777" w:rsidTr="00C11141">
        <w:trPr>
          <w:trHeight w:val="300"/>
        </w:trPr>
        <w:tc>
          <w:tcPr>
            <w:tcW w:w="9072" w:type="dxa"/>
            <w:tcBorders>
              <w:top w:val="nil"/>
              <w:left w:val="nil"/>
              <w:bottom w:val="nil"/>
              <w:right w:val="nil"/>
            </w:tcBorders>
            <w:noWrap/>
            <w:vAlign w:val="bottom"/>
            <w:hideMark/>
          </w:tcPr>
          <w:p w14:paraId="4D54CDC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CEC/UCV</w:t>
            </w:r>
          </w:p>
        </w:tc>
      </w:tr>
      <w:tr w:rsidR="0046145A" w:rsidRPr="00F22F68" w14:paraId="13CEB735" w14:textId="77777777" w:rsidTr="00C11141">
        <w:trPr>
          <w:trHeight w:val="300"/>
        </w:trPr>
        <w:tc>
          <w:tcPr>
            <w:tcW w:w="9072" w:type="dxa"/>
            <w:tcBorders>
              <w:top w:val="nil"/>
              <w:left w:val="nil"/>
              <w:bottom w:val="nil"/>
              <w:right w:val="nil"/>
            </w:tcBorders>
            <w:noWrap/>
            <w:vAlign w:val="bottom"/>
            <w:hideMark/>
          </w:tcPr>
          <w:p w14:paraId="7E656B3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CEESEG AG (Wiener Borse)</w:t>
            </w:r>
          </w:p>
        </w:tc>
      </w:tr>
      <w:tr w:rsidR="0046145A" w:rsidRPr="00F22F68" w14:paraId="38BBF453" w14:textId="77777777" w:rsidTr="00C11141">
        <w:trPr>
          <w:trHeight w:val="300"/>
        </w:trPr>
        <w:tc>
          <w:tcPr>
            <w:tcW w:w="9072" w:type="dxa"/>
            <w:tcBorders>
              <w:top w:val="nil"/>
              <w:left w:val="nil"/>
              <w:bottom w:val="nil"/>
              <w:right w:val="nil"/>
            </w:tcBorders>
            <w:noWrap/>
            <w:vAlign w:val="bottom"/>
            <w:hideMark/>
          </w:tcPr>
          <w:p w14:paraId="7C5735E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Central Depository &amp; Clearing Company</w:t>
            </w:r>
          </w:p>
        </w:tc>
      </w:tr>
      <w:tr w:rsidR="0046145A" w:rsidRPr="00F22F68" w14:paraId="100E6E04" w14:textId="77777777" w:rsidTr="00C11141">
        <w:trPr>
          <w:trHeight w:val="300"/>
        </w:trPr>
        <w:tc>
          <w:tcPr>
            <w:tcW w:w="9072" w:type="dxa"/>
            <w:tcBorders>
              <w:top w:val="nil"/>
              <w:left w:val="nil"/>
              <w:bottom w:val="nil"/>
              <w:right w:val="nil"/>
            </w:tcBorders>
            <w:noWrap/>
            <w:vAlign w:val="bottom"/>
            <w:hideMark/>
          </w:tcPr>
          <w:p w14:paraId="1D98F57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Central Depository AD</w:t>
            </w:r>
          </w:p>
        </w:tc>
      </w:tr>
      <w:tr w:rsidR="0046145A" w:rsidRPr="00F22F68" w14:paraId="3E41A5D7" w14:textId="77777777" w:rsidTr="00C11141">
        <w:trPr>
          <w:trHeight w:val="300"/>
        </w:trPr>
        <w:tc>
          <w:tcPr>
            <w:tcW w:w="9072" w:type="dxa"/>
            <w:tcBorders>
              <w:top w:val="nil"/>
              <w:left w:val="nil"/>
              <w:bottom w:val="nil"/>
              <w:right w:val="nil"/>
            </w:tcBorders>
            <w:noWrap/>
            <w:vAlign w:val="bottom"/>
            <w:hideMark/>
          </w:tcPr>
          <w:p w14:paraId="149F4C5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Central Depository and Central Registry</w:t>
            </w:r>
          </w:p>
        </w:tc>
      </w:tr>
      <w:tr w:rsidR="0046145A" w:rsidRPr="00477074" w14:paraId="1B4CF3CD" w14:textId="77777777" w:rsidTr="00C11141">
        <w:trPr>
          <w:trHeight w:val="300"/>
        </w:trPr>
        <w:tc>
          <w:tcPr>
            <w:tcW w:w="9072" w:type="dxa"/>
            <w:tcBorders>
              <w:top w:val="nil"/>
              <w:left w:val="nil"/>
              <w:bottom w:val="nil"/>
              <w:right w:val="nil"/>
            </w:tcBorders>
            <w:noWrap/>
            <w:vAlign w:val="bottom"/>
            <w:hideMark/>
          </w:tcPr>
          <w:p w14:paraId="7783EDF6" w14:textId="77777777" w:rsidR="0046145A" w:rsidRPr="002E4F76" w:rsidRDefault="0046145A" w:rsidP="00C11141">
            <w:pPr>
              <w:rPr>
                <w:rFonts w:eastAsia="Times New Roman" w:cs="Calibri"/>
                <w:color w:val="000000"/>
                <w:sz w:val="18"/>
                <w:szCs w:val="18"/>
                <w:lang w:val="sv-SE" w:eastAsia="en-GB"/>
              </w:rPr>
            </w:pPr>
            <w:r w:rsidRPr="002E4F76">
              <w:rPr>
                <w:rFonts w:eastAsia="Times New Roman" w:cs="Calibri"/>
                <w:color w:val="000000"/>
                <w:sz w:val="18"/>
                <w:szCs w:val="18"/>
                <w:lang w:val="sv-SE" w:eastAsia="en-GB"/>
              </w:rPr>
              <w:t>Centralna klirinško depotna družba (KDD)</w:t>
            </w:r>
          </w:p>
        </w:tc>
      </w:tr>
      <w:tr w:rsidR="0046145A" w:rsidRPr="00F22F68" w14:paraId="7812614A" w14:textId="77777777" w:rsidTr="00C11141">
        <w:trPr>
          <w:trHeight w:val="300"/>
        </w:trPr>
        <w:tc>
          <w:tcPr>
            <w:tcW w:w="9072" w:type="dxa"/>
            <w:tcBorders>
              <w:top w:val="nil"/>
              <w:left w:val="nil"/>
              <w:bottom w:val="nil"/>
              <w:right w:val="nil"/>
            </w:tcBorders>
            <w:noWrap/>
            <w:vAlign w:val="bottom"/>
            <w:hideMark/>
          </w:tcPr>
          <w:p w14:paraId="7231B5A5"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Centrální</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depozitár</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cenných</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papíru</w:t>
            </w:r>
            <w:proofErr w:type="spellEnd"/>
            <w:r w:rsidRPr="00F22F68">
              <w:rPr>
                <w:rFonts w:eastAsia="Times New Roman" w:cs="Calibri"/>
                <w:color w:val="000000"/>
                <w:sz w:val="18"/>
                <w:szCs w:val="18"/>
                <w:lang w:eastAsia="en-GB"/>
              </w:rPr>
              <w:t xml:space="preserve"> SR </w:t>
            </w:r>
            <w:proofErr w:type="spellStart"/>
            <w:r w:rsidRPr="00F22F68">
              <w:rPr>
                <w:rFonts w:eastAsia="Times New Roman" w:cs="Calibri"/>
                <w:color w:val="000000"/>
                <w:sz w:val="18"/>
                <w:szCs w:val="18"/>
                <w:lang w:eastAsia="en-GB"/>
              </w:rPr>
              <w:t>a.s.</w:t>
            </w:r>
            <w:proofErr w:type="spellEnd"/>
            <w:r w:rsidRPr="00F22F68">
              <w:rPr>
                <w:rFonts w:eastAsia="Times New Roman" w:cs="Calibri"/>
                <w:color w:val="000000"/>
                <w:sz w:val="18"/>
                <w:szCs w:val="18"/>
                <w:lang w:eastAsia="en-GB"/>
              </w:rPr>
              <w:t xml:space="preserve"> (CDCP) / Central Depository of Securities Prague</w:t>
            </w:r>
          </w:p>
        </w:tc>
      </w:tr>
      <w:tr w:rsidR="0046145A" w:rsidRPr="00F22F68" w14:paraId="3DFD9976" w14:textId="77777777" w:rsidTr="00C11141">
        <w:trPr>
          <w:trHeight w:val="300"/>
        </w:trPr>
        <w:tc>
          <w:tcPr>
            <w:tcW w:w="9072" w:type="dxa"/>
            <w:tcBorders>
              <w:top w:val="nil"/>
              <w:left w:val="nil"/>
              <w:bottom w:val="nil"/>
              <w:right w:val="nil"/>
            </w:tcBorders>
            <w:noWrap/>
            <w:vAlign w:val="bottom"/>
            <w:hideMark/>
          </w:tcPr>
          <w:p w14:paraId="742B58E1"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Centrálny</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Depositár</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Cenných</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Papierov</w:t>
            </w:r>
            <w:proofErr w:type="spellEnd"/>
            <w:r w:rsidRPr="00F22F68">
              <w:rPr>
                <w:rFonts w:eastAsia="Times New Roman" w:cs="Calibri"/>
                <w:color w:val="000000"/>
                <w:sz w:val="18"/>
                <w:szCs w:val="18"/>
                <w:lang w:eastAsia="en-GB"/>
              </w:rPr>
              <w:t xml:space="preserve"> (CDCP) SR</w:t>
            </w:r>
          </w:p>
        </w:tc>
      </w:tr>
      <w:tr w:rsidR="0046145A" w:rsidRPr="00F22F68" w14:paraId="0C3666C6" w14:textId="77777777" w:rsidTr="00C11141">
        <w:trPr>
          <w:trHeight w:val="300"/>
        </w:trPr>
        <w:tc>
          <w:tcPr>
            <w:tcW w:w="9072" w:type="dxa"/>
            <w:tcBorders>
              <w:top w:val="nil"/>
              <w:left w:val="nil"/>
              <w:bottom w:val="nil"/>
              <w:right w:val="nil"/>
            </w:tcBorders>
            <w:noWrap/>
            <w:vAlign w:val="bottom"/>
            <w:hideMark/>
          </w:tcPr>
          <w:p w14:paraId="44F52918"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CENTROlink</w:t>
            </w:r>
            <w:proofErr w:type="spellEnd"/>
          </w:p>
        </w:tc>
      </w:tr>
      <w:tr w:rsidR="0046145A" w:rsidRPr="00F22F68" w14:paraId="1BAAD6F5" w14:textId="77777777" w:rsidTr="00C11141">
        <w:trPr>
          <w:trHeight w:val="300"/>
        </w:trPr>
        <w:tc>
          <w:tcPr>
            <w:tcW w:w="9072" w:type="dxa"/>
            <w:tcBorders>
              <w:top w:val="nil"/>
              <w:left w:val="nil"/>
              <w:bottom w:val="nil"/>
              <w:right w:val="nil"/>
            </w:tcBorders>
            <w:noWrap/>
            <w:vAlign w:val="bottom"/>
            <w:hideMark/>
          </w:tcPr>
          <w:p w14:paraId="1E11605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CERTIS (Czech Express Real Time Interbank Gross Settlement System)</w:t>
            </w:r>
          </w:p>
        </w:tc>
      </w:tr>
      <w:tr w:rsidR="0046145A" w:rsidRPr="00F22F68" w14:paraId="58D71B59" w14:textId="77777777" w:rsidTr="00C11141">
        <w:trPr>
          <w:trHeight w:val="300"/>
        </w:trPr>
        <w:tc>
          <w:tcPr>
            <w:tcW w:w="9072" w:type="dxa"/>
            <w:tcBorders>
              <w:top w:val="nil"/>
              <w:left w:val="nil"/>
              <w:bottom w:val="nil"/>
              <w:right w:val="nil"/>
            </w:tcBorders>
            <w:noWrap/>
            <w:vAlign w:val="bottom"/>
            <w:hideMark/>
          </w:tcPr>
          <w:p w14:paraId="0405428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 xml:space="preserve">CHAPS (Clearing House Automated Payment </w:t>
            </w:r>
            <w:proofErr w:type="gramStart"/>
            <w:r w:rsidRPr="00F22F68">
              <w:rPr>
                <w:rFonts w:eastAsia="Times New Roman" w:cs="Calibri"/>
                <w:color w:val="000000"/>
                <w:sz w:val="18"/>
                <w:szCs w:val="18"/>
                <w:lang w:eastAsia="en-GB"/>
              </w:rPr>
              <w:t>System )</w:t>
            </w:r>
            <w:proofErr w:type="gramEnd"/>
          </w:p>
        </w:tc>
      </w:tr>
      <w:tr w:rsidR="0046145A" w:rsidRPr="00F22F68" w14:paraId="0F052492" w14:textId="77777777" w:rsidTr="00C11141">
        <w:trPr>
          <w:trHeight w:val="300"/>
        </w:trPr>
        <w:tc>
          <w:tcPr>
            <w:tcW w:w="9072" w:type="dxa"/>
            <w:tcBorders>
              <w:top w:val="nil"/>
              <w:left w:val="nil"/>
              <w:bottom w:val="nil"/>
              <w:right w:val="nil"/>
            </w:tcBorders>
            <w:noWrap/>
            <w:vAlign w:val="bottom"/>
            <w:hideMark/>
          </w:tcPr>
          <w:p w14:paraId="4F41166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Cheque &amp; Credit Clearing System Ltd</w:t>
            </w:r>
          </w:p>
        </w:tc>
      </w:tr>
      <w:tr w:rsidR="0046145A" w:rsidRPr="00F22F68" w14:paraId="0979B652" w14:textId="77777777" w:rsidTr="00C11141">
        <w:trPr>
          <w:trHeight w:val="300"/>
        </w:trPr>
        <w:tc>
          <w:tcPr>
            <w:tcW w:w="9072" w:type="dxa"/>
            <w:tcBorders>
              <w:top w:val="nil"/>
              <w:left w:val="nil"/>
              <w:bottom w:val="nil"/>
              <w:right w:val="nil"/>
            </w:tcBorders>
            <w:noWrap/>
            <w:vAlign w:val="bottom"/>
            <w:hideMark/>
          </w:tcPr>
          <w:p w14:paraId="53589C8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lastRenderedPageBreak/>
              <w:t>CHIPS</w:t>
            </w:r>
          </w:p>
        </w:tc>
      </w:tr>
      <w:tr w:rsidR="0046145A" w:rsidRPr="00F22F68" w14:paraId="3FA985BC" w14:textId="77777777" w:rsidTr="00C11141">
        <w:trPr>
          <w:trHeight w:val="300"/>
        </w:trPr>
        <w:tc>
          <w:tcPr>
            <w:tcW w:w="9072" w:type="dxa"/>
            <w:tcBorders>
              <w:top w:val="nil"/>
              <w:left w:val="nil"/>
              <w:bottom w:val="nil"/>
              <w:right w:val="nil"/>
            </w:tcBorders>
            <w:noWrap/>
            <w:vAlign w:val="bottom"/>
            <w:hideMark/>
          </w:tcPr>
          <w:p w14:paraId="1D54220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Clearing Service Austria (CSA)</w:t>
            </w:r>
          </w:p>
        </w:tc>
      </w:tr>
      <w:tr w:rsidR="0046145A" w:rsidRPr="00F22F68" w14:paraId="6FFF162D" w14:textId="77777777" w:rsidTr="00C11141">
        <w:trPr>
          <w:trHeight w:val="300"/>
        </w:trPr>
        <w:tc>
          <w:tcPr>
            <w:tcW w:w="9072" w:type="dxa"/>
            <w:tcBorders>
              <w:top w:val="nil"/>
              <w:left w:val="nil"/>
              <w:bottom w:val="nil"/>
              <w:right w:val="nil"/>
            </w:tcBorders>
            <w:noWrap/>
            <w:vAlign w:val="bottom"/>
            <w:hideMark/>
          </w:tcPr>
          <w:p w14:paraId="657C636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Clearing Service International (CSI)</w:t>
            </w:r>
          </w:p>
        </w:tc>
      </w:tr>
      <w:tr w:rsidR="0046145A" w:rsidRPr="00F22F68" w14:paraId="086AA89E" w14:textId="77777777" w:rsidTr="00C11141">
        <w:trPr>
          <w:trHeight w:val="300"/>
        </w:trPr>
        <w:tc>
          <w:tcPr>
            <w:tcW w:w="9072" w:type="dxa"/>
            <w:tcBorders>
              <w:top w:val="nil"/>
              <w:left w:val="nil"/>
              <w:bottom w:val="nil"/>
              <w:right w:val="nil"/>
            </w:tcBorders>
            <w:noWrap/>
            <w:vAlign w:val="bottom"/>
            <w:hideMark/>
          </w:tcPr>
          <w:p w14:paraId="2802A46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Clearstream Banking AG</w:t>
            </w:r>
          </w:p>
        </w:tc>
      </w:tr>
      <w:tr w:rsidR="0046145A" w:rsidRPr="00F22F68" w14:paraId="0E099AF5" w14:textId="77777777" w:rsidTr="00C11141">
        <w:trPr>
          <w:trHeight w:val="300"/>
        </w:trPr>
        <w:tc>
          <w:tcPr>
            <w:tcW w:w="9072" w:type="dxa"/>
            <w:tcBorders>
              <w:top w:val="nil"/>
              <w:left w:val="nil"/>
              <w:bottom w:val="nil"/>
              <w:right w:val="nil"/>
            </w:tcBorders>
            <w:noWrap/>
            <w:vAlign w:val="bottom"/>
            <w:hideMark/>
          </w:tcPr>
          <w:p w14:paraId="7ED35FA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Clearstream Banking Luxembourg</w:t>
            </w:r>
          </w:p>
        </w:tc>
      </w:tr>
      <w:tr w:rsidR="0046145A" w:rsidRPr="00F22F68" w14:paraId="55359EE8" w14:textId="77777777" w:rsidTr="00C11141">
        <w:trPr>
          <w:trHeight w:val="300"/>
        </w:trPr>
        <w:tc>
          <w:tcPr>
            <w:tcW w:w="9072" w:type="dxa"/>
            <w:tcBorders>
              <w:top w:val="nil"/>
              <w:left w:val="nil"/>
              <w:bottom w:val="nil"/>
              <w:right w:val="nil"/>
            </w:tcBorders>
            <w:noWrap/>
            <w:vAlign w:val="bottom"/>
            <w:hideMark/>
          </w:tcPr>
          <w:p w14:paraId="218A644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CLS</w:t>
            </w:r>
          </w:p>
        </w:tc>
      </w:tr>
      <w:tr w:rsidR="0046145A" w:rsidRPr="00F22F68" w14:paraId="6A82B717" w14:textId="77777777" w:rsidTr="00C11141">
        <w:trPr>
          <w:trHeight w:val="300"/>
        </w:trPr>
        <w:tc>
          <w:tcPr>
            <w:tcW w:w="9072" w:type="dxa"/>
            <w:tcBorders>
              <w:top w:val="nil"/>
              <w:left w:val="nil"/>
              <w:bottom w:val="nil"/>
              <w:right w:val="nil"/>
            </w:tcBorders>
            <w:noWrap/>
            <w:vAlign w:val="bottom"/>
            <w:hideMark/>
          </w:tcPr>
          <w:p w14:paraId="051DFD1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CME Trade Repository Ltd (CME TR)</w:t>
            </w:r>
          </w:p>
        </w:tc>
      </w:tr>
      <w:tr w:rsidR="0046145A" w:rsidRPr="00F22F68" w14:paraId="06831526" w14:textId="77777777" w:rsidTr="00C11141">
        <w:trPr>
          <w:trHeight w:val="300"/>
        </w:trPr>
        <w:tc>
          <w:tcPr>
            <w:tcW w:w="9072" w:type="dxa"/>
            <w:tcBorders>
              <w:top w:val="nil"/>
              <w:left w:val="nil"/>
              <w:bottom w:val="nil"/>
              <w:right w:val="nil"/>
            </w:tcBorders>
            <w:noWrap/>
            <w:vAlign w:val="bottom"/>
            <w:hideMark/>
          </w:tcPr>
          <w:p w14:paraId="33B6CA7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Cyprus Clearing House</w:t>
            </w:r>
          </w:p>
        </w:tc>
      </w:tr>
      <w:tr w:rsidR="0046145A" w:rsidRPr="00F22F68" w14:paraId="3BB1F880" w14:textId="77777777" w:rsidTr="00C11141">
        <w:trPr>
          <w:trHeight w:val="300"/>
        </w:trPr>
        <w:tc>
          <w:tcPr>
            <w:tcW w:w="9072" w:type="dxa"/>
            <w:tcBorders>
              <w:top w:val="nil"/>
              <w:left w:val="nil"/>
              <w:bottom w:val="nil"/>
              <w:right w:val="nil"/>
            </w:tcBorders>
            <w:noWrap/>
            <w:vAlign w:val="bottom"/>
            <w:hideMark/>
          </w:tcPr>
          <w:p w14:paraId="6DCF105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Cyprus Stock Exchange</w:t>
            </w:r>
          </w:p>
        </w:tc>
      </w:tr>
      <w:tr w:rsidR="0046145A" w:rsidRPr="00F22F68" w14:paraId="7F6A962C" w14:textId="77777777" w:rsidTr="00C11141">
        <w:trPr>
          <w:trHeight w:val="300"/>
        </w:trPr>
        <w:tc>
          <w:tcPr>
            <w:tcW w:w="9072" w:type="dxa"/>
            <w:tcBorders>
              <w:top w:val="nil"/>
              <w:left w:val="nil"/>
              <w:bottom w:val="nil"/>
              <w:right w:val="nil"/>
            </w:tcBorders>
            <w:noWrap/>
            <w:vAlign w:val="bottom"/>
            <w:hideMark/>
          </w:tcPr>
          <w:p w14:paraId="359710C1"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Dataclearing</w:t>
            </w:r>
            <w:proofErr w:type="spellEnd"/>
          </w:p>
        </w:tc>
      </w:tr>
      <w:tr w:rsidR="0046145A" w:rsidRPr="00F22F68" w14:paraId="0118AB34" w14:textId="77777777" w:rsidTr="00C11141">
        <w:trPr>
          <w:trHeight w:val="300"/>
        </w:trPr>
        <w:tc>
          <w:tcPr>
            <w:tcW w:w="9072" w:type="dxa"/>
            <w:tcBorders>
              <w:top w:val="nil"/>
              <w:left w:val="nil"/>
              <w:bottom w:val="nil"/>
              <w:right w:val="nil"/>
            </w:tcBorders>
            <w:noWrap/>
            <w:vAlign w:val="bottom"/>
            <w:hideMark/>
          </w:tcPr>
          <w:p w14:paraId="371022ED"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Depozitarul</w:t>
            </w:r>
            <w:proofErr w:type="spellEnd"/>
            <w:r w:rsidRPr="00F22F68">
              <w:rPr>
                <w:rFonts w:eastAsia="Times New Roman" w:cs="Calibri"/>
                <w:color w:val="000000"/>
                <w:sz w:val="18"/>
                <w:szCs w:val="18"/>
                <w:lang w:eastAsia="en-GB"/>
              </w:rPr>
              <w:t xml:space="preserve"> Central S.A.</w:t>
            </w:r>
          </w:p>
        </w:tc>
      </w:tr>
      <w:tr w:rsidR="0046145A" w:rsidRPr="00F22F68" w14:paraId="2356D6E7" w14:textId="77777777" w:rsidTr="00C11141">
        <w:trPr>
          <w:trHeight w:val="300"/>
        </w:trPr>
        <w:tc>
          <w:tcPr>
            <w:tcW w:w="9072" w:type="dxa"/>
            <w:tcBorders>
              <w:top w:val="nil"/>
              <w:left w:val="nil"/>
              <w:bottom w:val="nil"/>
              <w:right w:val="nil"/>
            </w:tcBorders>
            <w:noWrap/>
            <w:vAlign w:val="bottom"/>
            <w:hideMark/>
          </w:tcPr>
          <w:p w14:paraId="2A6C99D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Deutsche Börse AG</w:t>
            </w:r>
          </w:p>
        </w:tc>
      </w:tr>
      <w:tr w:rsidR="0046145A" w:rsidRPr="00384E00" w14:paraId="086E410F" w14:textId="77777777" w:rsidTr="00C11141">
        <w:trPr>
          <w:trHeight w:val="300"/>
        </w:trPr>
        <w:tc>
          <w:tcPr>
            <w:tcW w:w="9072" w:type="dxa"/>
            <w:tcBorders>
              <w:top w:val="nil"/>
              <w:left w:val="nil"/>
              <w:bottom w:val="nil"/>
              <w:right w:val="nil"/>
            </w:tcBorders>
            <w:noWrap/>
            <w:vAlign w:val="bottom"/>
            <w:hideMark/>
          </w:tcPr>
          <w:p w14:paraId="557F1C51" w14:textId="77777777" w:rsidR="0046145A" w:rsidRPr="002E4F76" w:rsidRDefault="0046145A" w:rsidP="00C11141">
            <w:pPr>
              <w:rPr>
                <w:rFonts w:eastAsia="Times New Roman" w:cs="Calibri"/>
                <w:color w:val="000000"/>
                <w:sz w:val="18"/>
                <w:szCs w:val="18"/>
                <w:lang w:val="sv-SE" w:eastAsia="en-GB"/>
              </w:rPr>
            </w:pPr>
            <w:r w:rsidRPr="002E4F76">
              <w:rPr>
                <w:rFonts w:eastAsia="Times New Roman" w:cs="Calibri"/>
                <w:color w:val="000000"/>
                <w:sz w:val="18"/>
                <w:szCs w:val="18"/>
                <w:lang w:val="sv-SE" w:eastAsia="en-GB"/>
              </w:rPr>
              <w:t>DIAS (Interbanking Systems S.A.)</w:t>
            </w:r>
          </w:p>
        </w:tc>
      </w:tr>
      <w:tr w:rsidR="0046145A" w:rsidRPr="00F22F68" w14:paraId="2ADBEB7D" w14:textId="77777777" w:rsidTr="00C11141">
        <w:trPr>
          <w:trHeight w:val="300"/>
        </w:trPr>
        <w:tc>
          <w:tcPr>
            <w:tcW w:w="9072" w:type="dxa"/>
            <w:tcBorders>
              <w:top w:val="nil"/>
              <w:left w:val="nil"/>
              <w:bottom w:val="nil"/>
              <w:right w:val="nil"/>
            </w:tcBorders>
            <w:noWrap/>
            <w:vAlign w:val="bottom"/>
            <w:hideMark/>
          </w:tcPr>
          <w:p w14:paraId="08C28E5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DTC (Depository Trust Company)</w:t>
            </w:r>
          </w:p>
        </w:tc>
      </w:tr>
      <w:tr w:rsidR="0046145A" w:rsidRPr="00F22F68" w14:paraId="797F9EF8" w14:textId="77777777" w:rsidTr="00C11141">
        <w:trPr>
          <w:trHeight w:val="300"/>
        </w:trPr>
        <w:tc>
          <w:tcPr>
            <w:tcW w:w="9072" w:type="dxa"/>
            <w:tcBorders>
              <w:top w:val="nil"/>
              <w:left w:val="nil"/>
              <w:bottom w:val="nil"/>
              <w:right w:val="nil"/>
            </w:tcBorders>
            <w:noWrap/>
            <w:vAlign w:val="bottom"/>
            <w:hideMark/>
          </w:tcPr>
          <w:p w14:paraId="51E5D74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DTCC Derivatives Repository Plc</w:t>
            </w:r>
          </w:p>
        </w:tc>
      </w:tr>
      <w:tr w:rsidR="0046145A" w:rsidRPr="00F22F68" w14:paraId="6ADFC287" w14:textId="77777777" w:rsidTr="00C11141">
        <w:trPr>
          <w:trHeight w:val="300"/>
        </w:trPr>
        <w:tc>
          <w:tcPr>
            <w:tcW w:w="9072" w:type="dxa"/>
            <w:tcBorders>
              <w:top w:val="nil"/>
              <w:left w:val="nil"/>
              <w:bottom w:val="nil"/>
              <w:right w:val="nil"/>
            </w:tcBorders>
            <w:noWrap/>
            <w:vAlign w:val="bottom"/>
            <w:hideMark/>
          </w:tcPr>
          <w:p w14:paraId="30027F7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Electronic Clearing System (EKS)</w:t>
            </w:r>
          </w:p>
        </w:tc>
      </w:tr>
      <w:tr w:rsidR="0046145A" w:rsidRPr="00F22F68" w14:paraId="3C13C365" w14:textId="77777777" w:rsidTr="00C11141">
        <w:trPr>
          <w:trHeight w:val="300"/>
        </w:trPr>
        <w:tc>
          <w:tcPr>
            <w:tcW w:w="9072" w:type="dxa"/>
            <w:tcBorders>
              <w:top w:val="nil"/>
              <w:left w:val="nil"/>
              <w:bottom w:val="nil"/>
              <w:right w:val="nil"/>
            </w:tcBorders>
            <w:noWrap/>
            <w:vAlign w:val="bottom"/>
            <w:hideMark/>
          </w:tcPr>
          <w:p w14:paraId="2536A2E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ELIXIR</w:t>
            </w:r>
          </w:p>
        </w:tc>
      </w:tr>
      <w:tr w:rsidR="0046145A" w:rsidRPr="00F22F68" w14:paraId="59490FEF" w14:textId="77777777" w:rsidTr="00C11141">
        <w:trPr>
          <w:trHeight w:val="300"/>
        </w:trPr>
        <w:tc>
          <w:tcPr>
            <w:tcW w:w="9072" w:type="dxa"/>
            <w:tcBorders>
              <w:top w:val="nil"/>
              <w:left w:val="nil"/>
              <w:bottom w:val="nil"/>
              <w:right w:val="nil"/>
            </w:tcBorders>
            <w:noWrap/>
            <w:vAlign w:val="bottom"/>
            <w:hideMark/>
          </w:tcPr>
          <w:p w14:paraId="5D3BC6DE"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Equens</w:t>
            </w:r>
            <w:proofErr w:type="spellEnd"/>
          </w:p>
        </w:tc>
      </w:tr>
      <w:tr w:rsidR="0046145A" w:rsidRPr="00F22F68" w14:paraId="7151AAFC" w14:textId="77777777" w:rsidTr="00C11141">
        <w:trPr>
          <w:trHeight w:val="300"/>
        </w:trPr>
        <w:tc>
          <w:tcPr>
            <w:tcW w:w="9072" w:type="dxa"/>
            <w:tcBorders>
              <w:top w:val="nil"/>
              <w:left w:val="nil"/>
              <w:bottom w:val="nil"/>
              <w:right w:val="nil"/>
            </w:tcBorders>
            <w:noWrap/>
            <w:vAlign w:val="bottom"/>
            <w:hideMark/>
          </w:tcPr>
          <w:p w14:paraId="62F5232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EUREX Clearing AG</w:t>
            </w:r>
          </w:p>
        </w:tc>
      </w:tr>
      <w:tr w:rsidR="0046145A" w:rsidRPr="00F22F68" w14:paraId="20047EE0" w14:textId="77777777" w:rsidTr="00C11141">
        <w:trPr>
          <w:trHeight w:val="300"/>
        </w:trPr>
        <w:tc>
          <w:tcPr>
            <w:tcW w:w="9072" w:type="dxa"/>
            <w:tcBorders>
              <w:top w:val="nil"/>
              <w:left w:val="nil"/>
              <w:bottom w:val="nil"/>
              <w:right w:val="nil"/>
            </w:tcBorders>
            <w:noWrap/>
            <w:vAlign w:val="bottom"/>
            <w:hideMark/>
          </w:tcPr>
          <w:p w14:paraId="65198B5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 1</w:t>
            </w:r>
          </w:p>
        </w:tc>
      </w:tr>
      <w:tr w:rsidR="0046145A" w:rsidRPr="00F22F68" w14:paraId="51532B57" w14:textId="77777777" w:rsidTr="00C11141">
        <w:trPr>
          <w:trHeight w:val="300"/>
        </w:trPr>
        <w:tc>
          <w:tcPr>
            <w:tcW w:w="9072" w:type="dxa"/>
            <w:tcBorders>
              <w:top w:val="nil"/>
              <w:left w:val="nil"/>
              <w:bottom w:val="nil"/>
              <w:right w:val="nil"/>
            </w:tcBorders>
            <w:noWrap/>
            <w:vAlign w:val="bottom"/>
            <w:hideMark/>
          </w:tcPr>
          <w:p w14:paraId="6784162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Bank</w:t>
            </w:r>
          </w:p>
        </w:tc>
      </w:tr>
      <w:tr w:rsidR="0046145A" w:rsidRPr="00F22F68" w14:paraId="1FED107A" w14:textId="77777777" w:rsidTr="00C11141">
        <w:trPr>
          <w:trHeight w:val="300"/>
        </w:trPr>
        <w:tc>
          <w:tcPr>
            <w:tcW w:w="9072" w:type="dxa"/>
            <w:tcBorders>
              <w:top w:val="nil"/>
              <w:left w:val="nil"/>
              <w:bottom w:val="nil"/>
              <w:right w:val="nil"/>
            </w:tcBorders>
            <w:noWrap/>
            <w:vAlign w:val="bottom"/>
            <w:hideMark/>
          </w:tcPr>
          <w:p w14:paraId="7EB2798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Belgium (ESES)</w:t>
            </w:r>
          </w:p>
        </w:tc>
      </w:tr>
      <w:tr w:rsidR="0046145A" w:rsidRPr="00F22F68" w14:paraId="19126F92" w14:textId="77777777" w:rsidTr="00C11141">
        <w:trPr>
          <w:trHeight w:val="300"/>
        </w:trPr>
        <w:tc>
          <w:tcPr>
            <w:tcW w:w="9072" w:type="dxa"/>
            <w:tcBorders>
              <w:top w:val="nil"/>
              <w:left w:val="nil"/>
              <w:bottom w:val="nil"/>
              <w:right w:val="nil"/>
            </w:tcBorders>
            <w:noWrap/>
            <w:vAlign w:val="bottom"/>
            <w:hideMark/>
          </w:tcPr>
          <w:p w14:paraId="649DE97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Finland</w:t>
            </w:r>
          </w:p>
        </w:tc>
      </w:tr>
      <w:tr w:rsidR="0046145A" w:rsidRPr="00F22F68" w14:paraId="37A9A6E1" w14:textId="77777777" w:rsidTr="00C11141">
        <w:trPr>
          <w:trHeight w:val="300"/>
        </w:trPr>
        <w:tc>
          <w:tcPr>
            <w:tcW w:w="9072" w:type="dxa"/>
            <w:tcBorders>
              <w:top w:val="nil"/>
              <w:left w:val="nil"/>
              <w:bottom w:val="nil"/>
              <w:right w:val="nil"/>
            </w:tcBorders>
            <w:noWrap/>
            <w:vAlign w:val="bottom"/>
            <w:hideMark/>
          </w:tcPr>
          <w:p w14:paraId="734EF8B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France (ESES)</w:t>
            </w:r>
          </w:p>
        </w:tc>
      </w:tr>
      <w:tr w:rsidR="0046145A" w:rsidRPr="00F22F68" w14:paraId="33F2EFD1" w14:textId="77777777" w:rsidTr="00C11141">
        <w:trPr>
          <w:trHeight w:val="300"/>
        </w:trPr>
        <w:tc>
          <w:tcPr>
            <w:tcW w:w="9072" w:type="dxa"/>
            <w:tcBorders>
              <w:top w:val="nil"/>
              <w:left w:val="nil"/>
              <w:bottom w:val="nil"/>
              <w:right w:val="nil"/>
            </w:tcBorders>
            <w:noWrap/>
            <w:vAlign w:val="bottom"/>
            <w:hideMark/>
          </w:tcPr>
          <w:p w14:paraId="0273EA5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Netherlands (ESES)</w:t>
            </w:r>
          </w:p>
        </w:tc>
      </w:tr>
      <w:tr w:rsidR="0046145A" w:rsidRPr="00A32886" w14:paraId="7B056DB0" w14:textId="77777777" w:rsidTr="00C11141">
        <w:trPr>
          <w:trHeight w:val="300"/>
        </w:trPr>
        <w:tc>
          <w:tcPr>
            <w:tcW w:w="9072" w:type="dxa"/>
            <w:tcBorders>
              <w:top w:val="nil"/>
              <w:left w:val="nil"/>
              <w:bottom w:val="nil"/>
              <w:right w:val="nil"/>
            </w:tcBorders>
            <w:noWrap/>
            <w:vAlign w:val="bottom"/>
            <w:hideMark/>
          </w:tcPr>
          <w:p w14:paraId="09E6EC57" w14:textId="77777777" w:rsidR="0046145A" w:rsidRPr="00EB7BE1" w:rsidRDefault="0046145A" w:rsidP="00C11141">
            <w:pPr>
              <w:rPr>
                <w:rFonts w:eastAsia="Times New Roman" w:cs="Calibri"/>
                <w:color w:val="000000"/>
                <w:sz w:val="18"/>
                <w:szCs w:val="18"/>
                <w:lang w:val="de-DE" w:eastAsia="en-GB"/>
              </w:rPr>
            </w:pPr>
            <w:proofErr w:type="spellStart"/>
            <w:r w:rsidRPr="00EB7BE1">
              <w:rPr>
                <w:rFonts w:eastAsia="Times New Roman" w:cs="Calibri"/>
                <w:color w:val="000000"/>
                <w:sz w:val="18"/>
                <w:szCs w:val="18"/>
                <w:lang w:val="de-DE" w:eastAsia="en-GB"/>
              </w:rPr>
              <w:t>Euroclear</w:t>
            </w:r>
            <w:proofErr w:type="spellEnd"/>
            <w:r w:rsidRPr="00EB7BE1">
              <w:rPr>
                <w:rFonts w:eastAsia="Times New Roman" w:cs="Calibri"/>
                <w:color w:val="000000"/>
                <w:sz w:val="18"/>
                <w:szCs w:val="18"/>
                <w:lang w:val="de-DE" w:eastAsia="en-GB"/>
              </w:rPr>
              <w:t xml:space="preserve"> </w:t>
            </w:r>
            <w:proofErr w:type="spellStart"/>
            <w:r w:rsidRPr="00EB7BE1">
              <w:rPr>
                <w:rFonts w:eastAsia="Times New Roman" w:cs="Calibri"/>
                <w:color w:val="000000"/>
                <w:sz w:val="18"/>
                <w:szCs w:val="18"/>
                <w:lang w:val="de-DE" w:eastAsia="en-GB"/>
              </w:rPr>
              <w:t>Sweden</w:t>
            </w:r>
            <w:proofErr w:type="spellEnd"/>
            <w:r w:rsidRPr="00EB7BE1">
              <w:rPr>
                <w:rFonts w:eastAsia="Times New Roman" w:cs="Calibri"/>
                <w:color w:val="000000"/>
                <w:sz w:val="18"/>
                <w:szCs w:val="18"/>
                <w:lang w:val="de-DE" w:eastAsia="en-GB"/>
              </w:rPr>
              <w:t xml:space="preserve"> AB (VPC </w:t>
            </w:r>
            <w:proofErr w:type="spellStart"/>
            <w:r w:rsidRPr="00EB7BE1">
              <w:rPr>
                <w:rFonts w:eastAsia="Times New Roman" w:cs="Calibri"/>
                <w:color w:val="000000"/>
                <w:sz w:val="18"/>
                <w:szCs w:val="18"/>
                <w:lang w:val="de-DE" w:eastAsia="en-GB"/>
              </w:rPr>
              <w:t>systemet</w:t>
            </w:r>
            <w:proofErr w:type="spellEnd"/>
            <w:r w:rsidRPr="00EB7BE1">
              <w:rPr>
                <w:rFonts w:eastAsia="Times New Roman" w:cs="Calibri"/>
                <w:color w:val="000000"/>
                <w:sz w:val="18"/>
                <w:szCs w:val="18"/>
                <w:lang w:val="de-DE" w:eastAsia="en-GB"/>
              </w:rPr>
              <w:t>)</w:t>
            </w:r>
          </w:p>
        </w:tc>
      </w:tr>
      <w:tr w:rsidR="0046145A" w:rsidRPr="00F22F68" w14:paraId="3D614022" w14:textId="77777777" w:rsidTr="00C11141">
        <w:trPr>
          <w:trHeight w:val="300"/>
        </w:trPr>
        <w:tc>
          <w:tcPr>
            <w:tcW w:w="9072" w:type="dxa"/>
            <w:tcBorders>
              <w:top w:val="nil"/>
              <w:left w:val="nil"/>
              <w:bottom w:val="nil"/>
              <w:right w:val="nil"/>
            </w:tcBorders>
            <w:noWrap/>
            <w:vAlign w:val="bottom"/>
            <w:hideMark/>
          </w:tcPr>
          <w:p w14:paraId="1A4DFFF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UK &amp; Ireland Limited (EUI) (CREST)</w:t>
            </w:r>
          </w:p>
        </w:tc>
      </w:tr>
      <w:tr w:rsidR="0046145A" w:rsidRPr="00F22F68" w14:paraId="55B08F89" w14:textId="77777777" w:rsidTr="00C11141">
        <w:trPr>
          <w:trHeight w:val="300"/>
        </w:trPr>
        <w:tc>
          <w:tcPr>
            <w:tcW w:w="9072" w:type="dxa"/>
            <w:tcBorders>
              <w:top w:val="nil"/>
              <w:left w:val="nil"/>
              <w:bottom w:val="nil"/>
              <w:right w:val="nil"/>
            </w:tcBorders>
            <w:noWrap/>
            <w:vAlign w:val="bottom"/>
            <w:hideMark/>
          </w:tcPr>
          <w:p w14:paraId="56E621E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Euronext Amsterdam Cash Market</w:t>
            </w:r>
          </w:p>
        </w:tc>
      </w:tr>
      <w:tr w:rsidR="0046145A" w:rsidRPr="00F22F68" w14:paraId="08BE70B5" w14:textId="77777777" w:rsidTr="00C11141">
        <w:trPr>
          <w:trHeight w:val="300"/>
        </w:trPr>
        <w:tc>
          <w:tcPr>
            <w:tcW w:w="9072" w:type="dxa"/>
            <w:tcBorders>
              <w:top w:val="nil"/>
              <w:left w:val="nil"/>
              <w:bottom w:val="nil"/>
              <w:right w:val="nil"/>
            </w:tcBorders>
            <w:noWrap/>
            <w:vAlign w:val="bottom"/>
            <w:hideMark/>
          </w:tcPr>
          <w:p w14:paraId="717F6012" w14:textId="77777777" w:rsidR="0046145A"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Euronext Brussels SA</w:t>
            </w:r>
          </w:p>
          <w:p w14:paraId="3E95828F" w14:textId="77777777" w:rsidR="0046145A" w:rsidRPr="00F22F68" w:rsidRDefault="0046145A" w:rsidP="00C11141">
            <w:pPr>
              <w:rPr>
                <w:rFonts w:eastAsia="Times New Roman" w:cs="Calibri"/>
                <w:color w:val="000000"/>
                <w:sz w:val="18"/>
                <w:szCs w:val="18"/>
                <w:lang w:eastAsia="en-GB"/>
              </w:rPr>
            </w:pPr>
            <w:r w:rsidRPr="00CD44DF">
              <w:rPr>
                <w:rFonts w:eastAsia="Times New Roman" w:cs="Calibri"/>
                <w:bCs/>
                <w:color w:val="000000"/>
                <w:sz w:val="18"/>
                <w:szCs w:val="18"/>
                <w:lang w:eastAsia="en-GB"/>
              </w:rPr>
              <w:t>Euronext Clearing</w:t>
            </w:r>
            <w:r>
              <w:rPr>
                <w:rStyle w:val="FootnoteReference"/>
                <w:rFonts w:eastAsia="Times New Roman" w:cs="Calibri"/>
                <w:bCs/>
                <w:color w:val="000000"/>
                <w:sz w:val="18"/>
                <w:lang w:eastAsia="en-GB"/>
              </w:rPr>
              <w:footnoteReference w:id="37"/>
            </w:r>
          </w:p>
        </w:tc>
      </w:tr>
      <w:tr w:rsidR="0046145A" w:rsidRPr="00F22F68" w14:paraId="6A3A4767" w14:textId="77777777" w:rsidTr="00C11141">
        <w:trPr>
          <w:trHeight w:val="300"/>
        </w:trPr>
        <w:tc>
          <w:tcPr>
            <w:tcW w:w="9072" w:type="dxa"/>
            <w:tcBorders>
              <w:top w:val="nil"/>
              <w:left w:val="nil"/>
              <w:bottom w:val="nil"/>
              <w:right w:val="nil"/>
            </w:tcBorders>
            <w:noWrap/>
            <w:vAlign w:val="bottom"/>
            <w:hideMark/>
          </w:tcPr>
          <w:p w14:paraId="0CF6918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Euronext Lisbon SA</w:t>
            </w:r>
          </w:p>
        </w:tc>
      </w:tr>
      <w:tr w:rsidR="0046145A" w:rsidRPr="00F22F68" w14:paraId="1114BA7C" w14:textId="77777777" w:rsidTr="00C11141">
        <w:trPr>
          <w:trHeight w:val="300"/>
        </w:trPr>
        <w:tc>
          <w:tcPr>
            <w:tcW w:w="9072" w:type="dxa"/>
            <w:tcBorders>
              <w:top w:val="nil"/>
              <w:left w:val="nil"/>
              <w:bottom w:val="nil"/>
              <w:right w:val="nil"/>
            </w:tcBorders>
            <w:noWrap/>
            <w:vAlign w:val="bottom"/>
            <w:hideMark/>
          </w:tcPr>
          <w:p w14:paraId="58D2265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European CCP NV</w:t>
            </w:r>
          </w:p>
        </w:tc>
      </w:tr>
      <w:tr w:rsidR="0046145A" w:rsidRPr="00F22F68" w14:paraId="1758B1C2" w14:textId="77777777" w:rsidTr="00C11141">
        <w:trPr>
          <w:trHeight w:val="300"/>
        </w:trPr>
        <w:tc>
          <w:tcPr>
            <w:tcW w:w="9072" w:type="dxa"/>
            <w:tcBorders>
              <w:top w:val="nil"/>
              <w:left w:val="nil"/>
              <w:bottom w:val="nil"/>
              <w:right w:val="nil"/>
            </w:tcBorders>
            <w:noWrap/>
            <w:vAlign w:val="bottom"/>
            <w:hideMark/>
          </w:tcPr>
          <w:p w14:paraId="6342DE5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European Commodity Clearing (ECC)</w:t>
            </w:r>
          </w:p>
        </w:tc>
      </w:tr>
      <w:tr w:rsidR="0046145A" w:rsidRPr="00F22F68" w14:paraId="0DDA2A90" w14:textId="77777777" w:rsidTr="00C11141">
        <w:trPr>
          <w:trHeight w:val="300"/>
        </w:trPr>
        <w:tc>
          <w:tcPr>
            <w:tcW w:w="9072" w:type="dxa"/>
            <w:tcBorders>
              <w:top w:val="nil"/>
              <w:left w:val="nil"/>
              <w:bottom w:val="nil"/>
              <w:right w:val="nil"/>
            </w:tcBorders>
            <w:noWrap/>
            <w:vAlign w:val="bottom"/>
            <w:hideMark/>
          </w:tcPr>
          <w:p w14:paraId="40A8268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Express Elixir</w:t>
            </w:r>
          </w:p>
        </w:tc>
      </w:tr>
      <w:tr w:rsidR="0046145A" w:rsidRPr="00F22F68" w14:paraId="542DFF49" w14:textId="77777777" w:rsidTr="00C11141">
        <w:trPr>
          <w:trHeight w:val="300"/>
        </w:trPr>
        <w:tc>
          <w:tcPr>
            <w:tcW w:w="9072" w:type="dxa"/>
            <w:tcBorders>
              <w:top w:val="nil"/>
              <w:left w:val="nil"/>
              <w:bottom w:val="nil"/>
              <w:right w:val="nil"/>
            </w:tcBorders>
            <w:noWrap/>
            <w:vAlign w:val="bottom"/>
            <w:hideMark/>
          </w:tcPr>
          <w:p w14:paraId="059F87E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Faster Payments Service (FPS)</w:t>
            </w:r>
          </w:p>
        </w:tc>
      </w:tr>
      <w:tr w:rsidR="0046145A" w:rsidRPr="00F22F68" w14:paraId="4CFAE77A" w14:textId="77777777" w:rsidTr="00C11141">
        <w:trPr>
          <w:trHeight w:val="300"/>
        </w:trPr>
        <w:tc>
          <w:tcPr>
            <w:tcW w:w="9072" w:type="dxa"/>
            <w:tcBorders>
              <w:top w:val="nil"/>
              <w:left w:val="nil"/>
              <w:bottom w:val="nil"/>
              <w:right w:val="nil"/>
            </w:tcBorders>
            <w:noWrap/>
            <w:vAlign w:val="bottom"/>
            <w:hideMark/>
          </w:tcPr>
          <w:p w14:paraId="03A78736"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FedACH</w:t>
            </w:r>
            <w:proofErr w:type="spellEnd"/>
            <w:r w:rsidRPr="00F22F68">
              <w:rPr>
                <w:rFonts w:eastAsia="Times New Roman" w:cs="Calibri"/>
                <w:color w:val="000000"/>
                <w:sz w:val="18"/>
                <w:szCs w:val="18"/>
                <w:lang w:eastAsia="en-GB"/>
              </w:rPr>
              <w:t xml:space="preserve"> Services</w:t>
            </w:r>
          </w:p>
        </w:tc>
      </w:tr>
      <w:tr w:rsidR="0046145A" w:rsidRPr="00F22F68" w14:paraId="1A8E545B" w14:textId="77777777" w:rsidTr="00C11141">
        <w:trPr>
          <w:trHeight w:val="300"/>
        </w:trPr>
        <w:tc>
          <w:tcPr>
            <w:tcW w:w="9072" w:type="dxa"/>
            <w:tcBorders>
              <w:top w:val="nil"/>
              <w:left w:val="nil"/>
              <w:bottom w:val="nil"/>
              <w:right w:val="nil"/>
            </w:tcBorders>
            <w:noWrap/>
            <w:vAlign w:val="bottom"/>
            <w:hideMark/>
          </w:tcPr>
          <w:p w14:paraId="508F0A6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Fedwire Funds Service</w:t>
            </w:r>
          </w:p>
        </w:tc>
      </w:tr>
      <w:tr w:rsidR="0046145A" w:rsidRPr="00F22F68" w14:paraId="7603EDE5" w14:textId="77777777" w:rsidTr="00C11141">
        <w:trPr>
          <w:trHeight w:val="300"/>
        </w:trPr>
        <w:tc>
          <w:tcPr>
            <w:tcW w:w="9072" w:type="dxa"/>
            <w:tcBorders>
              <w:top w:val="nil"/>
              <w:left w:val="nil"/>
              <w:bottom w:val="nil"/>
              <w:right w:val="nil"/>
            </w:tcBorders>
            <w:noWrap/>
            <w:vAlign w:val="bottom"/>
            <w:hideMark/>
          </w:tcPr>
          <w:p w14:paraId="6146D91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Fedwire Securities Services</w:t>
            </w:r>
          </w:p>
        </w:tc>
      </w:tr>
      <w:tr w:rsidR="0046145A" w:rsidRPr="00F22F68" w14:paraId="638B9492" w14:textId="77777777" w:rsidTr="00C11141">
        <w:trPr>
          <w:trHeight w:val="300"/>
        </w:trPr>
        <w:tc>
          <w:tcPr>
            <w:tcW w:w="9072" w:type="dxa"/>
            <w:tcBorders>
              <w:top w:val="nil"/>
              <w:left w:val="nil"/>
              <w:bottom w:val="nil"/>
              <w:right w:val="nil"/>
            </w:tcBorders>
            <w:noWrap/>
            <w:vAlign w:val="bottom"/>
            <w:hideMark/>
          </w:tcPr>
          <w:p w14:paraId="0FCA6B8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Fixed Income Clearing Corp (FICC)</w:t>
            </w:r>
          </w:p>
        </w:tc>
      </w:tr>
      <w:tr w:rsidR="0046145A" w:rsidRPr="00A125B6" w14:paraId="4384BE65" w14:textId="77777777" w:rsidTr="00C11141">
        <w:trPr>
          <w:trHeight w:val="300"/>
        </w:trPr>
        <w:tc>
          <w:tcPr>
            <w:tcW w:w="9072" w:type="dxa"/>
            <w:tcBorders>
              <w:top w:val="nil"/>
              <w:left w:val="nil"/>
              <w:bottom w:val="nil"/>
              <w:right w:val="nil"/>
            </w:tcBorders>
            <w:noWrap/>
            <w:vAlign w:val="bottom"/>
            <w:hideMark/>
          </w:tcPr>
          <w:p w14:paraId="7CCF9B46" w14:textId="77777777" w:rsidR="0046145A" w:rsidRPr="00A125B6" w:rsidRDefault="0046145A" w:rsidP="00C11141">
            <w:pPr>
              <w:rPr>
                <w:rFonts w:eastAsia="Times New Roman" w:cs="Calibri"/>
                <w:color w:val="000000"/>
                <w:sz w:val="18"/>
                <w:szCs w:val="18"/>
                <w:lang w:eastAsia="en-GB"/>
              </w:rPr>
            </w:pPr>
            <w:proofErr w:type="spellStart"/>
            <w:r w:rsidRPr="00A125B6">
              <w:rPr>
                <w:rFonts w:eastAsia="Times New Roman" w:cs="Calibri"/>
                <w:color w:val="000000"/>
                <w:sz w:val="18"/>
                <w:szCs w:val="18"/>
                <w:lang w:eastAsia="en-GB"/>
              </w:rPr>
              <w:t>Gielda</w:t>
            </w:r>
            <w:proofErr w:type="spellEnd"/>
            <w:r w:rsidRPr="00A125B6">
              <w:rPr>
                <w:rFonts w:eastAsia="Times New Roman" w:cs="Calibri"/>
                <w:color w:val="000000"/>
                <w:sz w:val="18"/>
                <w:szCs w:val="18"/>
                <w:lang w:eastAsia="en-GB"/>
              </w:rPr>
              <w:t xml:space="preserve"> </w:t>
            </w:r>
            <w:proofErr w:type="spellStart"/>
            <w:r w:rsidRPr="00A125B6">
              <w:rPr>
                <w:rFonts w:eastAsia="Times New Roman" w:cs="Calibri"/>
                <w:color w:val="000000"/>
                <w:sz w:val="18"/>
                <w:szCs w:val="18"/>
                <w:lang w:eastAsia="en-GB"/>
              </w:rPr>
              <w:t>Papierow</w:t>
            </w:r>
            <w:proofErr w:type="spellEnd"/>
            <w:r w:rsidRPr="00A125B6">
              <w:rPr>
                <w:rFonts w:eastAsia="Times New Roman" w:cs="Calibri"/>
                <w:color w:val="000000"/>
                <w:sz w:val="18"/>
                <w:szCs w:val="18"/>
                <w:lang w:eastAsia="en-GB"/>
              </w:rPr>
              <w:t xml:space="preserve"> </w:t>
            </w:r>
            <w:proofErr w:type="spellStart"/>
            <w:r w:rsidRPr="00A125B6">
              <w:rPr>
                <w:rFonts w:eastAsia="Times New Roman" w:cs="Calibri"/>
                <w:color w:val="000000"/>
                <w:sz w:val="18"/>
                <w:szCs w:val="18"/>
                <w:lang w:eastAsia="en-GB"/>
              </w:rPr>
              <w:t>Wartosciowych</w:t>
            </w:r>
            <w:proofErr w:type="spellEnd"/>
            <w:r w:rsidRPr="00A125B6">
              <w:rPr>
                <w:rFonts w:eastAsia="Times New Roman" w:cs="Calibri"/>
                <w:color w:val="000000"/>
                <w:sz w:val="18"/>
                <w:szCs w:val="18"/>
                <w:lang w:eastAsia="en-GB"/>
              </w:rPr>
              <w:t xml:space="preserve"> w Warszawie (Warsaw Stock Exchange)</w:t>
            </w:r>
          </w:p>
        </w:tc>
      </w:tr>
      <w:tr w:rsidR="0046145A" w:rsidRPr="00F22F68" w14:paraId="62CB1AB6" w14:textId="77777777" w:rsidTr="00C11141">
        <w:trPr>
          <w:trHeight w:val="300"/>
        </w:trPr>
        <w:tc>
          <w:tcPr>
            <w:tcW w:w="9072" w:type="dxa"/>
            <w:tcBorders>
              <w:top w:val="nil"/>
              <w:left w:val="nil"/>
              <w:bottom w:val="nil"/>
              <w:right w:val="nil"/>
            </w:tcBorders>
            <w:noWrap/>
            <w:vAlign w:val="bottom"/>
            <w:hideMark/>
          </w:tcPr>
          <w:p w14:paraId="56890D2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Government Securities Depository (GSD)</w:t>
            </w:r>
          </w:p>
        </w:tc>
      </w:tr>
      <w:tr w:rsidR="0046145A" w:rsidRPr="00F22F68" w14:paraId="5B41050C" w14:textId="77777777" w:rsidTr="00C11141">
        <w:trPr>
          <w:trHeight w:val="300"/>
        </w:trPr>
        <w:tc>
          <w:tcPr>
            <w:tcW w:w="9072" w:type="dxa"/>
            <w:tcBorders>
              <w:top w:val="nil"/>
              <w:left w:val="nil"/>
              <w:bottom w:val="nil"/>
              <w:right w:val="nil"/>
            </w:tcBorders>
            <w:noWrap/>
            <w:vAlign w:val="bottom"/>
            <w:hideMark/>
          </w:tcPr>
          <w:p w14:paraId="24CCAE2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HSVP (RTGS)</w:t>
            </w:r>
          </w:p>
        </w:tc>
      </w:tr>
      <w:tr w:rsidR="0046145A" w:rsidRPr="00F22F68" w14:paraId="013849A1" w14:textId="77777777" w:rsidTr="00C11141">
        <w:trPr>
          <w:trHeight w:val="300"/>
        </w:trPr>
        <w:tc>
          <w:tcPr>
            <w:tcW w:w="9072" w:type="dxa"/>
            <w:tcBorders>
              <w:top w:val="nil"/>
              <w:left w:val="nil"/>
              <w:bottom w:val="nil"/>
              <w:right w:val="nil"/>
            </w:tcBorders>
            <w:noWrap/>
            <w:vAlign w:val="bottom"/>
            <w:hideMark/>
          </w:tcPr>
          <w:p w14:paraId="686B8E20"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Iberclear</w:t>
            </w:r>
            <w:proofErr w:type="spellEnd"/>
          </w:p>
        </w:tc>
      </w:tr>
      <w:tr w:rsidR="0046145A" w:rsidRPr="00F22F68" w14:paraId="69A745A4" w14:textId="77777777" w:rsidTr="00C11141">
        <w:trPr>
          <w:trHeight w:val="300"/>
        </w:trPr>
        <w:tc>
          <w:tcPr>
            <w:tcW w:w="9072" w:type="dxa"/>
            <w:tcBorders>
              <w:top w:val="nil"/>
              <w:left w:val="nil"/>
              <w:bottom w:val="nil"/>
              <w:right w:val="nil"/>
            </w:tcBorders>
            <w:noWrap/>
            <w:vAlign w:val="bottom"/>
            <w:hideMark/>
          </w:tcPr>
          <w:p w14:paraId="676D5D7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ICE Clear</w:t>
            </w:r>
          </w:p>
        </w:tc>
      </w:tr>
      <w:tr w:rsidR="0046145A" w:rsidRPr="00F22F68" w14:paraId="780088CD" w14:textId="77777777" w:rsidTr="00C11141">
        <w:trPr>
          <w:trHeight w:val="300"/>
        </w:trPr>
        <w:tc>
          <w:tcPr>
            <w:tcW w:w="9072" w:type="dxa"/>
            <w:tcBorders>
              <w:top w:val="nil"/>
              <w:left w:val="nil"/>
              <w:bottom w:val="nil"/>
              <w:right w:val="nil"/>
            </w:tcBorders>
            <w:noWrap/>
            <w:vAlign w:val="bottom"/>
            <w:hideMark/>
          </w:tcPr>
          <w:p w14:paraId="51279EB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lastRenderedPageBreak/>
              <w:t>ICE Clear Europe Limited</w:t>
            </w:r>
          </w:p>
        </w:tc>
      </w:tr>
      <w:tr w:rsidR="0046145A" w:rsidRPr="00F22F68" w14:paraId="0A625316" w14:textId="77777777" w:rsidTr="00C11141">
        <w:trPr>
          <w:trHeight w:val="300"/>
        </w:trPr>
        <w:tc>
          <w:tcPr>
            <w:tcW w:w="9072" w:type="dxa"/>
            <w:tcBorders>
              <w:top w:val="nil"/>
              <w:left w:val="nil"/>
              <w:bottom w:val="nil"/>
              <w:right w:val="nil"/>
            </w:tcBorders>
            <w:noWrap/>
            <w:vAlign w:val="bottom"/>
            <w:hideMark/>
          </w:tcPr>
          <w:p w14:paraId="478D14C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ICE Clear Netherlands</w:t>
            </w:r>
          </w:p>
        </w:tc>
      </w:tr>
      <w:tr w:rsidR="0046145A" w:rsidRPr="00F22F68" w14:paraId="7BA736BC" w14:textId="77777777" w:rsidTr="00C11141">
        <w:trPr>
          <w:trHeight w:val="300"/>
        </w:trPr>
        <w:tc>
          <w:tcPr>
            <w:tcW w:w="9072" w:type="dxa"/>
            <w:tcBorders>
              <w:top w:val="nil"/>
              <w:left w:val="nil"/>
              <w:bottom w:val="nil"/>
              <w:right w:val="nil"/>
            </w:tcBorders>
            <w:noWrap/>
            <w:vAlign w:val="bottom"/>
            <w:hideMark/>
          </w:tcPr>
          <w:p w14:paraId="791A291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ICE Trade Vault Europe Limited (ICE TVEL)</w:t>
            </w:r>
          </w:p>
        </w:tc>
      </w:tr>
      <w:tr w:rsidR="0046145A" w:rsidRPr="00F22F68" w14:paraId="6A1792FC" w14:textId="77777777" w:rsidTr="00C11141">
        <w:trPr>
          <w:trHeight w:val="300"/>
        </w:trPr>
        <w:tc>
          <w:tcPr>
            <w:tcW w:w="9072" w:type="dxa"/>
            <w:tcBorders>
              <w:top w:val="nil"/>
              <w:left w:val="nil"/>
              <w:bottom w:val="nil"/>
              <w:right w:val="nil"/>
            </w:tcBorders>
            <w:noWrap/>
            <w:vAlign w:val="bottom"/>
            <w:hideMark/>
          </w:tcPr>
          <w:p w14:paraId="58EBD35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ID2S/RSSS</w:t>
            </w:r>
          </w:p>
        </w:tc>
      </w:tr>
      <w:tr w:rsidR="0046145A" w:rsidRPr="00F22F68" w14:paraId="23EF91EB" w14:textId="77777777" w:rsidTr="00C11141">
        <w:trPr>
          <w:trHeight w:val="300"/>
        </w:trPr>
        <w:tc>
          <w:tcPr>
            <w:tcW w:w="9072" w:type="dxa"/>
            <w:tcBorders>
              <w:top w:val="nil"/>
              <w:left w:val="nil"/>
              <w:bottom w:val="nil"/>
              <w:right w:val="nil"/>
            </w:tcBorders>
            <w:noWrap/>
            <w:vAlign w:val="bottom"/>
            <w:hideMark/>
          </w:tcPr>
          <w:p w14:paraId="256EBA5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Interbank Clearing System (ICS)</w:t>
            </w:r>
          </w:p>
        </w:tc>
      </w:tr>
      <w:tr w:rsidR="0046145A" w:rsidRPr="00F22F68" w14:paraId="61201BD5" w14:textId="77777777" w:rsidTr="00C11141">
        <w:trPr>
          <w:trHeight w:val="300"/>
        </w:trPr>
        <w:tc>
          <w:tcPr>
            <w:tcW w:w="9072" w:type="dxa"/>
            <w:tcBorders>
              <w:top w:val="nil"/>
              <w:left w:val="nil"/>
              <w:bottom w:val="nil"/>
              <w:right w:val="nil"/>
            </w:tcBorders>
            <w:noWrap/>
            <w:vAlign w:val="bottom"/>
            <w:hideMark/>
          </w:tcPr>
          <w:p w14:paraId="38BDB6F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INTERBOLSA</w:t>
            </w:r>
          </w:p>
        </w:tc>
      </w:tr>
      <w:tr w:rsidR="0046145A" w:rsidRPr="00F22F68" w14:paraId="3D13BEFD" w14:textId="77777777" w:rsidTr="00C11141">
        <w:trPr>
          <w:trHeight w:val="300"/>
        </w:trPr>
        <w:tc>
          <w:tcPr>
            <w:tcW w:w="9072" w:type="dxa"/>
            <w:tcBorders>
              <w:top w:val="nil"/>
              <w:left w:val="nil"/>
              <w:bottom w:val="nil"/>
              <w:right w:val="nil"/>
            </w:tcBorders>
            <w:noWrap/>
            <w:vAlign w:val="bottom"/>
            <w:hideMark/>
          </w:tcPr>
          <w:p w14:paraId="27D8A3E1"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IntradagClearing</w:t>
            </w:r>
            <w:proofErr w:type="spellEnd"/>
          </w:p>
        </w:tc>
      </w:tr>
      <w:tr w:rsidR="0046145A" w:rsidRPr="00F22F68" w14:paraId="4CA95B12" w14:textId="77777777" w:rsidTr="00C11141">
        <w:trPr>
          <w:trHeight w:val="300"/>
        </w:trPr>
        <w:tc>
          <w:tcPr>
            <w:tcW w:w="9072" w:type="dxa"/>
            <w:tcBorders>
              <w:top w:val="nil"/>
              <w:left w:val="nil"/>
              <w:bottom w:val="nil"/>
              <w:right w:val="nil"/>
            </w:tcBorders>
            <w:noWrap/>
            <w:vAlign w:val="bottom"/>
            <w:hideMark/>
          </w:tcPr>
          <w:p w14:paraId="3992B7FE"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IRGiT</w:t>
            </w:r>
            <w:proofErr w:type="spellEnd"/>
            <w:r w:rsidRPr="00F22F68">
              <w:rPr>
                <w:rFonts w:eastAsia="Times New Roman" w:cs="Calibri"/>
                <w:color w:val="000000"/>
                <w:sz w:val="18"/>
                <w:szCs w:val="18"/>
                <w:lang w:eastAsia="en-GB"/>
              </w:rPr>
              <w:t xml:space="preserve"> Izba </w:t>
            </w:r>
            <w:proofErr w:type="spellStart"/>
            <w:r w:rsidRPr="00F22F68">
              <w:rPr>
                <w:rFonts w:eastAsia="Times New Roman" w:cs="Calibri"/>
                <w:color w:val="000000"/>
                <w:sz w:val="18"/>
                <w:szCs w:val="18"/>
                <w:lang w:eastAsia="en-GB"/>
              </w:rPr>
              <w:t>Rozliczeniowa</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Giełd</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Towarowych</w:t>
            </w:r>
            <w:proofErr w:type="spellEnd"/>
            <w:r w:rsidRPr="00F22F68">
              <w:rPr>
                <w:rFonts w:eastAsia="Times New Roman" w:cs="Calibri"/>
                <w:color w:val="000000"/>
                <w:sz w:val="18"/>
                <w:szCs w:val="18"/>
                <w:lang w:eastAsia="en-GB"/>
              </w:rPr>
              <w:t xml:space="preserve"> S.A (Commodity Clearing House</w:t>
            </w:r>
          </w:p>
        </w:tc>
      </w:tr>
      <w:tr w:rsidR="0046145A" w:rsidRPr="00F22F68" w14:paraId="5F42EC4B" w14:textId="77777777" w:rsidTr="00C11141">
        <w:trPr>
          <w:trHeight w:val="300"/>
        </w:trPr>
        <w:tc>
          <w:tcPr>
            <w:tcW w:w="9072" w:type="dxa"/>
            <w:tcBorders>
              <w:top w:val="nil"/>
              <w:left w:val="nil"/>
              <w:bottom w:val="nil"/>
              <w:right w:val="nil"/>
            </w:tcBorders>
            <w:noWrap/>
            <w:vAlign w:val="bottom"/>
            <w:hideMark/>
          </w:tcPr>
          <w:p w14:paraId="1817AC8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Irish Paper Clearing Company (IPCC)</w:t>
            </w:r>
          </w:p>
        </w:tc>
      </w:tr>
      <w:tr w:rsidR="0046145A" w:rsidRPr="00F22F68" w14:paraId="503DCAED" w14:textId="77777777" w:rsidTr="00C11141">
        <w:trPr>
          <w:trHeight w:val="300"/>
        </w:trPr>
        <w:tc>
          <w:tcPr>
            <w:tcW w:w="9072" w:type="dxa"/>
            <w:tcBorders>
              <w:top w:val="nil"/>
              <w:left w:val="nil"/>
              <w:bottom w:val="nil"/>
              <w:right w:val="nil"/>
            </w:tcBorders>
            <w:noWrap/>
            <w:vAlign w:val="bottom"/>
            <w:hideMark/>
          </w:tcPr>
          <w:p w14:paraId="256FE1F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Irish Stock Exchange Ltd</w:t>
            </w:r>
          </w:p>
        </w:tc>
      </w:tr>
      <w:tr w:rsidR="0046145A" w:rsidRPr="00F22F68" w14:paraId="01B9E362" w14:textId="77777777" w:rsidTr="00C11141">
        <w:trPr>
          <w:trHeight w:val="300"/>
        </w:trPr>
        <w:tc>
          <w:tcPr>
            <w:tcW w:w="9072" w:type="dxa"/>
            <w:tcBorders>
              <w:top w:val="nil"/>
              <w:left w:val="nil"/>
              <w:bottom w:val="nil"/>
              <w:right w:val="nil"/>
            </w:tcBorders>
            <w:noWrap/>
            <w:vAlign w:val="bottom"/>
            <w:hideMark/>
          </w:tcPr>
          <w:p w14:paraId="6D9ED76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Japan Securities Clearing Corporation</w:t>
            </w:r>
          </w:p>
        </w:tc>
      </w:tr>
      <w:tr w:rsidR="0046145A" w:rsidRPr="00F22F68" w14:paraId="7B5B6AA0" w14:textId="77777777" w:rsidTr="00C11141">
        <w:trPr>
          <w:trHeight w:val="300"/>
        </w:trPr>
        <w:tc>
          <w:tcPr>
            <w:tcW w:w="9072" w:type="dxa"/>
            <w:tcBorders>
              <w:top w:val="nil"/>
              <w:left w:val="nil"/>
              <w:bottom w:val="nil"/>
              <w:right w:val="nil"/>
            </w:tcBorders>
            <w:noWrap/>
            <w:vAlign w:val="bottom"/>
            <w:hideMark/>
          </w:tcPr>
          <w:p w14:paraId="5354E82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JASDEC</w:t>
            </w:r>
          </w:p>
        </w:tc>
      </w:tr>
      <w:tr w:rsidR="0046145A" w:rsidRPr="00F22F68" w14:paraId="5F2E7C68" w14:textId="77777777" w:rsidTr="00C11141">
        <w:trPr>
          <w:trHeight w:val="300"/>
        </w:trPr>
        <w:tc>
          <w:tcPr>
            <w:tcW w:w="9072" w:type="dxa"/>
            <w:tcBorders>
              <w:top w:val="nil"/>
              <w:left w:val="nil"/>
              <w:bottom w:val="nil"/>
              <w:right w:val="nil"/>
            </w:tcBorders>
            <w:noWrap/>
            <w:vAlign w:val="bottom"/>
            <w:hideMark/>
          </w:tcPr>
          <w:p w14:paraId="7D16650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JASDEC DVP</w:t>
            </w:r>
          </w:p>
        </w:tc>
      </w:tr>
      <w:tr w:rsidR="0046145A" w:rsidRPr="00F22F68" w14:paraId="4048BA0D" w14:textId="77777777" w:rsidTr="00C11141">
        <w:trPr>
          <w:trHeight w:val="300"/>
        </w:trPr>
        <w:tc>
          <w:tcPr>
            <w:tcW w:w="9072" w:type="dxa"/>
            <w:tcBorders>
              <w:top w:val="nil"/>
              <w:left w:val="nil"/>
              <w:bottom w:val="nil"/>
              <w:right w:val="nil"/>
            </w:tcBorders>
            <w:noWrap/>
            <w:vAlign w:val="bottom"/>
            <w:hideMark/>
          </w:tcPr>
          <w:p w14:paraId="15678AE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JCC</w:t>
            </w:r>
          </w:p>
        </w:tc>
      </w:tr>
      <w:tr w:rsidR="0046145A" w:rsidRPr="00F22F68" w14:paraId="12A3C713" w14:textId="77777777" w:rsidTr="00C11141">
        <w:trPr>
          <w:trHeight w:val="300"/>
        </w:trPr>
        <w:tc>
          <w:tcPr>
            <w:tcW w:w="9072" w:type="dxa"/>
            <w:tcBorders>
              <w:top w:val="nil"/>
              <w:left w:val="nil"/>
              <w:bottom w:val="nil"/>
              <w:right w:val="nil"/>
            </w:tcBorders>
            <w:noWrap/>
            <w:vAlign w:val="bottom"/>
            <w:hideMark/>
          </w:tcPr>
          <w:p w14:paraId="4116616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KDPW S.A.</w:t>
            </w:r>
          </w:p>
        </w:tc>
      </w:tr>
      <w:tr w:rsidR="0046145A" w:rsidRPr="00F22F68" w14:paraId="43817C1E" w14:textId="77777777" w:rsidTr="00C11141">
        <w:trPr>
          <w:trHeight w:val="300"/>
        </w:trPr>
        <w:tc>
          <w:tcPr>
            <w:tcW w:w="9072" w:type="dxa"/>
            <w:tcBorders>
              <w:top w:val="nil"/>
              <w:left w:val="nil"/>
              <w:bottom w:val="nil"/>
              <w:right w:val="nil"/>
            </w:tcBorders>
            <w:noWrap/>
            <w:vAlign w:val="bottom"/>
            <w:hideMark/>
          </w:tcPr>
          <w:p w14:paraId="3018D3C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KDPW_CCP S.A.</w:t>
            </w:r>
          </w:p>
        </w:tc>
      </w:tr>
      <w:tr w:rsidR="0046145A" w:rsidRPr="00F22F68" w14:paraId="21912EC4" w14:textId="77777777" w:rsidTr="00C11141">
        <w:trPr>
          <w:trHeight w:val="300"/>
        </w:trPr>
        <w:tc>
          <w:tcPr>
            <w:tcW w:w="9072" w:type="dxa"/>
            <w:tcBorders>
              <w:top w:val="nil"/>
              <w:left w:val="nil"/>
              <w:bottom w:val="nil"/>
              <w:right w:val="nil"/>
            </w:tcBorders>
            <w:noWrap/>
            <w:vAlign w:val="bottom"/>
            <w:hideMark/>
          </w:tcPr>
          <w:p w14:paraId="59836A4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KDPW-TR</w:t>
            </w:r>
          </w:p>
        </w:tc>
      </w:tr>
      <w:tr w:rsidR="0046145A" w:rsidRPr="00F22F68" w14:paraId="14480A4D" w14:textId="77777777" w:rsidTr="00C11141">
        <w:trPr>
          <w:trHeight w:val="300"/>
        </w:trPr>
        <w:tc>
          <w:tcPr>
            <w:tcW w:w="9072" w:type="dxa"/>
            <w:tcBorders>
              <w:top w:val="nil"/>
              <w:left w:val="nil"/>
              <w:bottom w:val="nil"/>
              <w:right w:val="nil"/>
            </w:tcBorders>
            <w:noWrap/>
            <w:vAlign w:val="bottom"/>
            <w:hideMark/>
          </w:tcPr>
          <w:p w14:paraId="59BBCA2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KELER CCP</w:t>
            </w:r>
          </w:p>
        </w:tc>
      </w:tr>
      <w:tr w:rsidR="0046145A" w:rsidRPr="00F22F68" w14:paraId="1D005B0E" w14:textId="77777777" w:rsidTr="00C11141">
        <w:trPr>
          <w:trHeight w:val="300"/>
        </w:trPr>
        <w:tc>
          <w:tcPr>
            <w:tcW w:w="9072" w:type="dxa"/>
            <w:tcBorders>
              <w:top w:val="nil"/>
              <w:left w:val="nil"/>
              <w:bottom w:val="nil"/>
              <w:right w:val="nil"/>
            </w:tcBorders>
            <w:noWrap/>
            <w:vAlign w:val="bottom"/>
            <w:hideMark/>
          </w:tcPr>
          <w:p w14:paraId="2ABFD94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KELER CSD</w:t>
            </w:r>
          </w:p>
        </w:tc>
      </w:tr>
      <w:tr w:rsidR="0046145A" w:rsidRPr="00F22F68" w14:paraId="13D5C039" w14:textId="77777777" w:rsidTr="00C11141">
        <w:trPr>
          <w:trHeight w:val="300"/>
        </w:trPr>
        <w:tc>
          <w:tcPr>
            <w:tcW w:w="9072" w:type="dxa"/>
            <w:tcBorders>
              <w:top w:val="nil"/>
              <w:left w:val="nil"/>
              <w:bottom w:val="nil"/>
              <w:right w:val="nil"/>
            </w:tcBorders>
            <w:noWrap/>
            <w:vAlign w:val="bottom"/>
            <w:hideMark/>
          </w:tcPr>
          <w:p w14:paraId="31B1FA2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KRONOS</w:t>
            </w:r>
          </w:p>
        </w:tc>
      </w:tr>
      <w:tr w:rsidR="0046145A" w:rsidRPr="00F22F68" w14:paraId="3B7ED824" w14:textId="77777777" w:rsidTr="00C11141">
        <w:trPr>
          <w:trHeight w:val="300"/>
        </w:trPr>
        <w:tc>
          <w:tcPr>
            <w:tcW w:w="9072" w:type="dxa"/>
            <w:tcBorders>
              <w:top w:val="nil"/>
              <w:left w:val="nil"/>
              <w:bottom w:val="nil"/>
              <w:right w:val="nil"/>
            </w:tcBorders>
            <w:noWrap/>
            <w:vAlign w:val="bottom"/>
            <w:hideMark/>
          </w:tcPr>
          <w:p w14:paraId="0A3C045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KUBAS</w:t>
            </w:r>
          </w:p>
        </w:tc>
      </w:tr>
      <w:tr w:rsidR="0046145A" w:rsidRPr="00F22F68" w14:paraId="2B1C9B26" w14:textId="77777777" w:rsidTr="00C11141">
        <w:trPr>
          <w:trHeight w:val="300"/>
        </w:trPr>
        <w:tc>
          <w:tcPr>
            <w:tcW w:w="9072" w:type="dxa"/>
            <w:tcBorders>
              <w:top w:val="nil"/>
              <w:left w:val="nil"/>
              <w:bottom w:val="nil"/>
              <w:right w:val="nil"/>
            </w:tcBorders>
            <w:noWrap/>
            <w:vAlign w:val="bottom"/>
            <w:hideMark/>
          </w:tcPr>
          <w:p w14:paraId="0C36BDD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Large Value Transfer System (LVTS)</w:t>
            </w:r>
          </w:p>
        </w:tc>
      </w:tr>
      <w:tr w:rsidR="0046145A" w:rsidRPr="00F22F68" w14:paraId="494438D8" w14:textId="77777777" w:rsidTr="00C11141">
        <w:trPr>
          <w:trHeight w:val="300"/>
        </w:trPr>
        <w:tc>
          <w:tcPr>
            <w:tcW w:w="9072" w:type="dxa"/>
            <w:tcBorders>
              <w:top w:val="nil"/>
              <w:left w:val="nil"/>
              <w:bottom w:val="nil"/>
              <w:right w:val="nil"/>
            </w:tcBorders>
            <w:noWrap/>
            <w:vAlign w:val="bottom"/>
            <w:hideMark/>
          </w:tcPr>
          <w:p w14:paraId="0378B85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LCH Ltd</w:t>
            </w:r>
          </w:p>
        </w:tc>
      </w:tr>
      <w:tr w:rsidR="0046145A" w:rsidRPr="00F22F68" w14:paraId="5DD1EBF4" w14:textId="77777777" w:rsidTr="00C11141">
        <w:trPr>
          <w:trHeight w:val="300"/>
        </w:trPr>
        <w:tc>
          <w:tcPr>
            <w:tcW w:w="9072" w:type="dxa"/>
            <w:tcBorders>
              <w:top w:val="nil"/>
              <w:left w:val="nil"/>
              <w:bottom w:val="nil"/>
              <w:right w:val="nil"/>
            </w:tcBorders>
            <w:noWrap/>
            <w:vAlign w:val="bottom"/>
            <w:hideMark/>
          </w:tcPr>
          <w:p w14:paraId="5945978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LCH SA</w:t>
            </w:r>
          </w:p>
        </w:tc>
      </w:tr>
      <w:tr w:rsidR="0046145A" w:rsidRPr="00F22F68" w14:paraId="4F01D89C" w14:textId="77777777" w:rsidTr="00C11141">
        <w:trPr>
          <w:trHeight w:val="300"/>
        </w:trPr>
        <w:tc>
          <w:tcPr>
            <w:tcW w:w="9072" w:type="dxa"/>
            <w:tcBorders>
              <w:top w:val="nil"/>
              <w:left w:val="nil"/>
              <w:bottom w:val="nil"/>
              <w:right w:val="nil"/>
            </w:tcBorders>
            <w:noWrap/>
            <w:vAlign w:val="bottom"/>
            <w:hideMark/>
          </w:tcPr>
          <w:p w14:paraId="5955E36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Ljubljana Stock Exchange</w:t>
            </w:r>
          </w:p>
        </w:tc>
      </w:tr>
      <w:tr w:rsidR="0046145A" w:rsidRPr="00F22F68" w14:paraId="63C7A928" w14:textId="77777777" w:rsidTr="00C11141">
        <w:trPr>
          <w:trHeight w:val="300"/>
        </w:trPr>
        <w:tc>
          <w:tcPr>
            <w:tcW w:w="9072" w:type="dxa"/>
            <w:tcBorders>
              <w:top w:val="nil"/>
              <w:left w:val="nil"/>
              <w:bottom w:val="nil"/>
              <w:right w:val="nil"/>
            </w:tcBorders>
            <w:noWrap/>
            <w:vAlign w:val="bottom"/>
            <w:hideMark/>
          </w:tcPr>
          <w:p w14:paraId="14DFAB9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LME Clear Limited</w:t>
            </w:r>
          </w:p>
        </w:tc>
      </w:tr>
      <w:tr w:rsidR="0046145A" w:rsidRPr="00F22F68" w14:paraId="188E3D82" w14:textId="77777777" w:rsidTr="00C11141">
        <w:trPr>
          <w:trHeight w:val="300"/>
        </w:trPr>
        <w:tc>
          <w:tcPr>
            <w:tcW w:w="9072" w:type="dxa"/>
            <w:tcBorders>
              <w:top w:val="nil"/>
              <w:left w:val="nil"/>
              <w:bottom w:val="nil"/>
              <w:right w:val="nil"/>
            </w:tcBorders>
            <w:noWrap/>
            <w:vAlign w:val="bottom"/>
            <w:hideMark/>
          </w:tcPr>
          <w:p w14:paraId="7DB15EC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London Stock Exchange Ltd (LSE)</w:t>
            </w:r>
          </w:p>
        </w:tc>
      </w:tr>
      <w:tr w:rsidR="0046145A" w:rsidRPr="00F22F68" w14:paraId="0AD660E5" w14:textId="77777777" w:rsidTr="00C11141">
        <w:trPr>
          <w:trHeight w:val="300"/>
        </w:trPr>
        <w:tc>
          <w:tcPr>
            <w:tcW w:w="9072" w:type="dxa"/>
            <w:tcBorders>
              <w:top w:val="nil"/>
              <w:left w:val="nil"/>
              <w:bottom w:val="nil"/>
              <w:right w:val="nil"/>
            </w:tcBorders>
            <w:noWrap/>
            <w:vAlign w:val="bottom"/>
            <w:hideMark/>
          </w:tcPr>
          <w:p w14:paraId="23DA5AB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LUX CSD</w:t>
            </w:r>
          </w:p>
        </w:tc>
      </w:tr>
      <w:tr w:rsidR="0046145A" w:rsidRPr="00F22F68" w14:paraId="5B3E1A3A" w14:textId="77777777" w:rsidTr="00C11141">
        <w:trPr>
          <w:trHeight w:val="300"/>
        </w:trPr>
        <w:tc>
          <w:tcPr>
            <w:tcW w:w="9072" w:type="dxa"/>
            <w:tcBorders>
              <w:top w:val="nil"/>
              <w:left w:val="nil"/>
              <w:bottom w:val="nil"/>
              <w:right w:val="nil"/>
            </w:tcBorders>
            <w:noWrap/>
            <w:vAlign w:val="bottom"/>
            <w:hideMark/>
          </w:tcPr>
          <w:p w14:paraId="5D4FD8D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Malta Clearing House</w:t>
            </w:r>
          </w:p>
        </w:tc>
      </w:tr>
      <w:tr w:rsidR="0046145A" w:rsidRPr="00F22F68" w14:paraId="0739CAE8" w14:textId="77777777" w:rsidTr="00C11141">
        <w:trPr>
          <w:trHeight w:val="300"/>
        </w:trPr>
        <w:tc>
          <w:tcPr>
            <w:tcW w:w="9072" w:type="dxa"/>
            <w:tcBorders>
              <w:top w:val="nil"/>
              <w:left w:val="nil"/>
              <w:bottom w:val="nil"/>
              <w:right w:val="nil"/>
            </w:tcBorders>
            <w:noWrap/>
            <w:vAlign w:val="bottom"/>
            <w:hideMark/>
          </w:tcPr>
          <w:p w14:paraId="7880FB6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Malta Stock Exchange</w:t>
            </w:r>
          </w:p>
        </w:tc>
      </w:tr>
      <w:tr w:rsidR="0046145A" w:rsidRPr="00F22F68" w14:paraId="1462AFD7" w14:textId="77777777" w:rsidTr="00C11141">
        <w:trPr>
          <w:trHeight w:val="300"/>
        </w:trPr>
        <w:tc>
          <w:tcPr>
            <w:tcW w:w="9072" w:type="dxa"/>
            <w:tcBorders>
              <w:top w:val="nil"/>
              <w:left w:val="nil"/>
              <w:bottom w:val="nil"/>
              <w:right w:val="nil"/>
            </w:tcBorders>
            <w:noWrap/>
            <w:vAlign w:val="bottom"/>
            <w:hideMark/>
          </w:tcPr>
          <w:p w14:paraId="4F29DF2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Malta Stock Exchange CSD</w:t>
            </w:r>
          </w:p>
        </w:tc>
      </w:tr>
      <w:tr w:rsidR="0046145A" w:rsidRPr="00434529" w14:paraId="147A9AFE" w14:textId="77777777" w:rsidTr="00C11141">
        <w:trPr>
          <w:trHeight w:val="300"/>
        </w:trPr>
        <w:tc>
          <w:tcPr>
            <w:tcW w:w="9072" w:type="dxa"/>
            <w:tcBorders>
              <w:top w:val="nil"/>
              <w:left w:val="nil"/>
              <w:bottom w:val="nil"/>
              <w:right w:val="nil"/>
            </w:tcBorders>
            <w:noWrap/>
            <w:vAlign w:val="bottom"/>
            <w:hideMark/>
          </w:tcPr>
          <w:p w14:paraId="29008853" w14:textId="77777777" w:rsidR="0046145A" w:rsidRPr="00A31D3C" w:rsidRDefault="0046145A" w:rsidP="00C11141">
            <w:pPr>
              <w:rPr>
                <w:rFonts w:eastAsia="Times New Roman" w:cs="Calibri"/>
                <w:color w:val="000000"/>
                <w:sz w:val="18"/>
                <w:szCs w:val="18"/>
                <w:lang w:val="es-ES" w:eastAsia="en-GB"/>
              </w:rPr>
            </w:pPr>
            <w:r w:rsidRPr="00A31D3C">
              <w:rPr>
                <w:rFonts w:eastAsia="Times New Roman" w:cs="Calibri"/>
                <w:color w:val="000000"/>
                <w:sz w:val="18"/>
                <w:szCs w:val="18"/>
                <w:lang w:val="es-ES" w:eastAsia="en-GB"/>
              </w:rPr>
              <w:t>MEFF Sociedad Rectora de Productos Derivados S. A.</w:t>
            </w:r>
          </w:p>
        </w:tc>
      </w:tr>
      <w:tr w:rsidR="0046145A" w:rsidRPr="00434529" w14:paraId="03A3D6E0" w14:textId="77777777" w:rsidTr="00C11141">
        <w:trPr>
          <w:trHeight w:val="300"/>
        </w:trPr>
        <w:tc>
          <w:tcPr>
            <w:tcW w:w="9072" w:type="dxa"/>
            <w:tcBorders>
              <w:top w:val="nil"/>
              <w:left w:val="nil"/>
              <w:bottom w:val="nil"/>
              <w:right w:val="nil"/>
            </w:tcBorders>
            <w:noWrap/>
            <w:vAlign w:val="bottom"/>
            <w:hideMark/>
          </w:tcPr>
          <w:p w14:paraId="3E98B6A6" w14:textId="77777777" w:rsidR="0046145A" w:rsidRPr="00A31D3C" w:rsidRDefault="0046145A" w:rsidP="00C11141">
            <w:pPr>
              <w:rPr>
                <w:rFonts w:eastAsia="Times New Roman" w:cs="Calibri"/>
                <w:color w:val="000000"/>
                <w:sz w:val="18"/>
                <w:szCs w:val="18"/>
                <w:lang w:val="es-ES" w:eastAsia="en-GB"/>
              </w:rPr>
            </w:pPr>
            <w:r w:rsidRPr="00A31D3C">
              <w:rPr>
                <w:rFonts w:eastAsia="Times New Roman" w:cs="Calibri"/>
                <w:color w:val="000000"/>
                <w:sz w:val="18"/>
                <w:szCs w:val="18"/>
                <w:lang w:val="es-ES" w:eastAsia="en-GB"/>
              </w:rPr>
              <w:t>Mercados de Deuda Pública en Anotaciones</w:t>
            </w:r>
          </w:p>
        </w:tc>
      </w:tr>
      <w:tr w:rsidR="0046145A" w:rsidRPr="00F22F68" w14:paraId="51FA8AC8" w14:textId="77777777" w:rsidTr="00C11141">
        <w:trPr>
          <w:trHeight w:val="300"/>
        </w:trPr>
        <w:tc>
          <w:tcPr>
            <w:tcW w:w="9072" w:type="dxa"/>
            <w:tcBorders>
              <w:top w:val="nil"/>
              <w:left w:val="nil"/>
              <w:bottom w:val="nil"/>
              <w:right w:val="nil"/>
            </w:tcBorders>
            <w:noWrap/>
            <w:vAlign w:val="bottom"/>
            <w:hideMark/>
          </w:tcPr>
          <w:p w14:paraId="3F76F75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 xml:space="preserve">Monte </w:t>
            </w:r>
            <w:proofErr w:type="spellStart"/>
            <w:r w:rsidRPr="00F22F68">
              <w:rPr>
                <w:rFonts w:eastAsia="Times New Roman" w:cs="Calibri"/>
                <w:color w:val="000000"/>
                <w:sz w:val="18"/>
                <w:szCs w:val="18"/>
                <w:lang w:eastAsia="en-GB"/>
              </w:rPr>
              <w:t>Titoli</w:t>
            </w:r>
            <w:proofErr w:type="spellEnd"/>
          </w:p>
        </w:tc>
      </w:tr>
      <w:tr w:rsidR="0046145A" w:rsidRPr="00F22F68" w14:paraId="23805AA2" w14:textId="77777777" w:rsidTr="00C11141">
        <w:trPr>
          <w:trHeight w:val="300"/>
        </w:trPr>
        <w:tc>
          <w:tcPr>
            <w:tcW w:w="9072" w:type="dxa"/>
            <w:tcBorders>
              <w:top w:val="nil"/>
              <w:left w:val="nil"/>
              <w:bottom w:val="nil"/>
              <w:right w:val="nil"/>
            </w:tcBorders>
            <w:noWrap/>
            <w:vAlign w:val="bottom"/>
            <w:hideMark/>
          </w:tcPr>
          <w:p w14:paraId="13AB08E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MTS</w:t>
            </w:r>
          </w:p>
        </w:tc>
      </w:tr>
      <w:tr w:rsidR="0046145A" w:rsidRPr="00A125B6" w14:paraId="4149713C" w14:textId="77777777" w:rsidTr="00C11141">
        <w:trPr>
          <w:trHeight w:val="300"/>
        </w:trPr>
        <w:tc>
          <w:tcPr>
            <w:tcW w:w="9072" w:type="dxa"/>
            <w:tcBorders>
              <w:top w:val="nil"/>
              <w:left w:val="nil"/>
              <w:bottom w:val="nil"/>
              <w:right w:val="nil"/>
            </w:tcBorders>
            <w:noWrap/>
            <w:vAlign w:val="bottom"/>
            <w:hideMark/>
          </w:tcPr>
          <w:p w14:paraId="0E21C9DA" w14:textId="77777777" w:rsidR="0046145A" w:rsidRPr="00A125B6" w:rsidRDefault="0046145A" w:rsidP="00C11141">
            <w:pPr>
              <w:rPr>
                <w:rFonts w:eastAsia="Times New Roman" w:cs="Calibri"/>
                <w:color w:val="000000"/>
                <w:sz w:val="18"/>
                <w:szCs w:val="18"/>
                <w:lang w:eastAsia="en-GB"/>
              </w:rPr>
            </w:pPr>
            <w:proofErr w:type="spellStart"/>
            <w:r w:rsidRPr="00A125B6">
              <w:rPr>
                <w:rFonts w:eastAsia="Times New Roman" w:cs="Calibri"/>
                <w:color w:val="000000"/>
                <w:sz w:val="18"/>
                <w:szCs w:val="18"/>
                <w:lang w:eastAsia="en-GB"/>
              </w:rPr>
              <w:t>Národný</w:t>
            </w:r>
            <w:proofErr w:type="spellEnd"/>
            <w:r w:rsidRPr="00A125B6">
              <w:rPr>
                <w:rFonts w:eastAsia="Times New Roman" w:cs="Calibri"/>
                <w:color w:val="000000"/>
                <w:sz w:val="18"/>
                <w:szCs w:val="18"/>
                <w:lang w:eastAsia="en-GB"/>
              </w:rPr>
              <w:t xml:space="preserve"> </w:t>
            </w:r>
            <w:proofErr w:type="spellStart"/>
            <w:r w:rsidRPr="00A125B6">
              <w:rPr>
                <w:rFonts w:eastAsia="Times New Roman" w:cs="Calibri"/>
                <w:color w:val="000000"/>
                <w:sz w:val="18"/>
                <w:szCs w:val="18"/>
                <w:lang w:eastAsia="en-GB"/>
              </w:rPr>
              <w:t>Centralny</w:t>
            </w:r>
            <w:proofErr w:type="spellEnd"/>
            <w:r w:rsidRPr="00A125B6">
              <w:rPr>
                <w:rFonts w:eastAsia="Times New Roman" w:cs="Calibri"/>
                <w:color w:val="000000"/>
                <w:sz w:val="18"/>
                <w:szCs w:val="18"/>
                <w:lang w:eastAsia="en-GB"/>
              </w:rPr>
              <w:t xml:space="preserve"> </w:t>
            </w:r>
            <w:proofErr w:type="spellStart"/>
            <w:r w:rsidRPr="00A125B6">
              <w:rPr>
                <w:rFonts w:eastAsia="Times New Roman" w:cs="Calibri"/>
                <w:color w:val="000000"/>
                <w:sz w:val="18"/>
                <w:szCs w:val="18"/>
                <w:lang w:eastAsia="en-GB"/>
              </w:rPr>
              <w:t>Depositar</w:t>
            </w:r>
            <w:proofErr w:type="spellEnd"/>
            <w:r w:rsidRPr="00A125B6">
              <w:rPr>
                <w:rFonts w:eastAsia="Times New Roman" w:cs="Calibri"/>
                <w:color w:val="000000"/>
                <w:sz w:val="18"/>
                <w:szCs w:val="18"/>
                <w:lang w:eastAsia="en-GB"/>
              </w:rPr>
              <w:t xml:space="preserve"> </w:t>
            </w:r>
            <w:proofErr w:type="spellStart"/>
            <w:r w:rsidRPr="00A125B6">
              <w:rPr>
                <w:rFonts w:eastAsia="Times New Roman" w:cs="Calibri"/>
                <w:color w:val="000000"/>
                <w:sz w:val="18"/>
                <w:szCs w:val="18"/>
                <w:lang w:eastAsia="en-GB"/>
              </w:rPr>
              <w:t>Cennych</w:t>
            </w:r>
            <w:proofErr w:type="spellEnd"/>
            <w:r w:rsidRPr="00A125B6">
              <w:rPr>
                <w:rFonts w:eastAsia="Times New Roman" w:cs="Calibri"/>
                <w:color w:val="000000"/>
                <w:sz w:val="18"/>
                <w:szCs w:val="18"/>
                <w:lang w:eastAsia="en-GB"/>
              </w:rPr>
              <w:t xml:space="preserve"> </w:t>
            </w:r>
            <w:proofErr w:type="spellStart"/>
            <w:r w:rsidRPr="00A125B6">
              <w:rPr>
                <w:rFonts w:eastAsia="Times New Roman" w:cs="Calibri"/>
                <w:color w:val="000000"/>
                <w:sz w:val="18"/>
                <w:szCs w:val="18"/>
                <w:lang w:eastAsia="en-GB"/>
              </w:rPr>
              <w:t>Papierov</w:t>
            </w:r>
            <w:proofErr w:type="spellEnd"/>
            <w:r w:rsidRPr="00A125B6">
              <w:rPr>
                <w:rFonts w:eastAsia="Times New Roman" w:cs="Calibri"/>
                <w:color w:val="000000"/>
                <w:sz w:val="18"/>
                <w:szCs w:val="18"/>
                <w:lang w:eastAsia="en-GB"/>
              </w:rPr>
              <w:t xml:space="preserve"> (</w:t>
            </w:r>
            <w:proofErr w:type="spellStart"/>
            <w:r w:rsidRPr="00A125B6">
              <w:rPr>
                <w:rFonts w:eastAsia="Times New Roman" w:cs="Calibri"/>
                <w:color w:val="000000"/>
                <w:sz w:val="18"/>
                <w:szCs w:val="18"/>
                <w:lang w:eastAsia="en-GB"/>
              </w:rPr>
              <w:t>nCDCP</w:t>
            </w:r>
            <w:proofErr w:type="spellEnd"/>
            <w:r w:rsidRPr="00A125B6">
              <w:rPr>
                <w:rFonts w:eastAsia="Times New Roman" w:cs="Calibri"/>
                <w:color w:val="000000"/>
                <w:sz w:val="18"/>
                <w:szCs w:val="18"/>
                <w:lang w:eastAsia="en-GB"/>
              </w:rPr>
              <w:t>) as</w:t>
            </w:r>
          </w:p>
        </w:tc>
      </w:tr>
      <w:tr w:rsidR="0046145A" w:rsidRPr="00F22F68" w14:paraId="7826A921" w14:textId="77777777" w:rsidTr="00C11141">
        <w:trPr>
          <w:trHeight w:val="300"/>
        </w:trPr>
        <w:tc>
          <w:tcPr>
            <w:tcW w:w="9072" w:type="dxa"/>
            <w:tcBorders>
              <w:top w:val="nil"/>
              <w:left w:val="nil"/>
              <w:bottom w:val="nil"/>
              <w:right w:val="nil"/>
            </w:tcBorders>
            <w:noWrap/>
            <w:vAlign w:val="bottom"/>
            <w:hideMark/>
          </w:tcPr>
          <w:p w14:paraId="3989D7C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Nasdaq CSD SE</w:t>
            </w:r>
          </w:p>
        </w:tc>
      </w:tr>
      <w:tr w:rsidR="0046145A" w:rsidRPr="00F22F68" w14:paraId="0F9127FC" w14:textId="77777777" w:rsidTr="00C11141">
        <w:trPr>
          <w:trHeight w:val="300"/>
        </w:trPr>
        <w:tc>
          <w:tcPr>
            <w:tcW w:w="9072" w:type="dxa"/>
            <w:tcBorders>
              <w:top w:val="nil"/>
              <w:left w:val="nil"/>
              <w:bottom w:val="nil"/>
              <w:right w:val="nil"/>
            </w:tcBorders>
            <w:noWrap/>
            <w:vAlign w:val="bottom"/>
            <w:hideMark/>
          </w:tcPr>
          <w:p w14:paraId="7E3342A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Nasdaq Helsinki</w:t>
            </w:r>
          </w:p>
        </w:tc>
      </w:tr>
      <w:tr w:rsidR="0046145A" w:rsidRPr="00F22F68" w14:paraId="794AA9C2" w14:textId="77777777" w:rsidTr="00C11141">
        <w:trPr>
          <w:trHeight w:val="300"/>
        </w:trPr>
        <w:tc>
          <w:tcPr>
            <w:tcW w:w="9072" w:type="dxa"/>
            <w:tcBorders>
              <w:top w:val="nil"/>
              <w:left w:val="nil"/>
              <w:bottom w:val="nil"/>
              <w:right w:val="nil"/>
            </w:tcBorders>
            <w:noWrap/>
            <w:vAlign w:val="bottom"/>
            <w:hideMark/>
          </w:tcPr>
          <w:p w14:paraId="4EB7B94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Nasdaq OMX Clearing</w:t>
            </w:r>
          </w:p>
        </w:tc>
      </w:tr>
      <w:tr w:rsidR="0046145A" w:rsidRPr="00F22F68" w14:paraId="27B334A7" w14:textId="77777777" w:rsidTr="00C11141">
        <w:trPr>
          <w:trHeight w:val="300"/>
        </w:trPr>
        <w:tc>
          <w:tcPr>
            <w:tcW w:w="9072" w:type="dxa"/>
            <w:tcBorders>
              <w:top w:val="nil"/>
              <w:left w:val="nil"/>
              <w:bottom w:val="nil"/>
              <w:right w:val="nil"/>
            </w:tcBorders>
            <w:noWrap/>
            <w:vAlign w:val="bottom"/>
            <w:hideMark/>
          </w:tcPr>
          <w:p w14:paraId="405F6BB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Nasdaq OMX Stockholm</w:t>
            </w:r>
          </w:p>
        </w:tc>
      </w:tr>
      <w:tr w:rsidR="0046145A" w:rsidRPr="00F22F68" w14:paraId="5888CB72" w14:textId="77777777" w:rsidTr="00C11141">
        <w:trPr>
          <w:trHeight w:val="300"/>
        </w:trPr>
        <w:tc>
          <w:tcPr>
            <w:tcW w:w="9072" w:type="dxa"/>
            <w:tcBorders>
              <w:top w:val="nil"/>
              <w:left w:val="nil"/>
              <w:bottom w:val="nil"/>
              <w:right w:val="nil"/>
            </w:tcBorders>
            <w:noWrap/>
            <w:vAlign w:val="bottom"/>
            <w:hideMark/>
          </w:tcPr>
          <w:p w14:paraId="20F7ABD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National Securities Clearing Corp. (NSCC)</w:t>
            </w:r>
          </w:p>
        </w:tc>
      </w:tr>
      <w:tr w:rsidR="0046145A" w:rsidRPr="00F22F68" w14:paraId="5E9C8F6D" w14:textId="77777777" w:rsidTr="00C11141">
        <w:trPr>
          <w:trHeight w:val="300"/>
        </w:trPr>
        <w:tc>
          <w:tcPr>
            <w:tcW w:w="9072" w:type="dxa"/>
            <w:tcBorders>
              <w:top w:val="nil"/>
              <w:left w:val="nil"/>
              <w:bottom w:val="nil"/>
              <w:right w:val="nil"/>
            </w:tcBorders>
            <w:noWrap/>
            <w:vAlign w:val="bottom"/>
            <w:hideMark/>
          </w:tcPr>
          <w:p w14:paraId="12F1BAE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NBB SSS</w:t>
            </w:r>
          </w:p>
        </w:tc>
      </w:tr>
      <w:tr w:rsidR="0046145A" w:rsidRPr="00F22F68" w14:paraId="5DFC5D23" w14:textId="77777777" w:rsidTr="00C11141">
        <w:trPr>
          <w:trHeight w:val="300"/>
        </w:trPr>
        <w:tc>
          <w:tcPr>
            <w:tcW w:w="9072" w:type="dxa"/>
            <w:tcBorders>
              <w:top w:val="nil"/>
              <w:left w:val="nil"/>
              <w:bottom w:val="nil"/>
              <w:right w:val="nil"/>
            </w:tcBorders>
            <w:noWrap/>
            <w:vAlign w:val="bottom"/>
            <w:hideMark/>
          </w:tcPr>
          <w:p w14:paraId="3737426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NBP bills and treasury bills Register</w:t>
            </w:r>
          </w:p>
        </w:tc>
      </w:tr>
      <w:tr w:rsidR="0046145A" w:rsidRPr="00F22F68" w14:paraId="1FC22E5F" w14:textId="77777777" w:rsidTr="00C11141">
        <w:trPr>
          <w:trHeight w:val="300"/>
        </w:trPr>
        <w:tc>
          <w:tcPr>
            <w:tcW w:w="9072" w:type="dxa"/>
            <w:tcBorders>
              <w:top w:val="nil"/>
              <w:left w:val="nil"/>
              <w:bottom w:val="nil"/>
              <w:right w:val="nil"/>
            </w:tcBorders>
            <w:noWrap/>
            <w:vAlign w:val="bottom"/>
            <w:hideMark/>
          </w:tcPr>
          <w:p w14:paraId="358DE62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NEX Abide Trade Repository AB</w:t>
            </w:r>
          </w:p>
        </w:tc>
      </w:tr>
      <w:tr w:rsidR="0046145A" w:rsidRPr="00F22F68" w14:paraId="1362AFBF" w14:textId="77777777" w:rsidTr="00C11141">
        <w:trPr>
          <w:trHeight w:val="300"/>
        </w:trPr>
        <w:tc>
          <w:tcPr>
            <w:tcW w:w="9072" w:type="dxa"/>
            <w:tcBorders>
              <w:top w:val="nil"/>
              <w:left w:val="nil"/>
              <w:bottom w:val="nil"/>
              <w:right w:val="nil"/>
            </w:tcBorders>
            <w:noWrap/>
            <w:vAlign w:val="bottom"/>
            <w:hideMark/>
          </w:tcPr>
          <w:p w14:paraId="7779B6B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NICS (Norwegian Inter Bank Clearing System)</w:t>
            </w:r>
          </w:p>
        </w:tc>
      </w:tr>
      <w:tr w:rsidR="0046145A" w:rsidRPr="00F22F68" w14:paraId="403EDEA1" w14:textId="77777777" w:rsidTr="00C11141">
        <w:trPr>
          <w:trHeight w:val="300"/>
        </w:trPr>
        <w:tc>
          <w:tcPr>
            <w:tcW w:w="9072" w:type="dxa"/>
            <w:tcBorders>
              <w:top w:val="nil"/>
              <w:left w:val="nil"/>
              <w:bottom w:val="nil"/>
              <w:right w:val="nil"/>
            </w:tcBorders>
            <w:noWrap/>
            <w:vAlign w:val="bottom"/>
            <w:hideMark/>
          </w:tcPr>
          <w:p w14:paraId="4BFCE73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lastRenderedPageBreak/>
              <w:t xml:space="preserve">NKS </w:t>
            </w:r>
            <w:proofErr w:type="gramStart"/>
            <w:r w:rsidRPr="00F22F68">
              <w:rPr>
                <w:rFonts w:eastAsia="Times New Roman" w:cs="Calibri"/>
                <w:color w:val="000000"/>
                <w:sz w:val="18"/>
                <w:szCs w:val="18"/>
                <w:lang w:eastAsia="en-GB"/>
              </w:rPr>
              <w:t>( National</w:t>
            </w:r>
            <w:proofErr w:type="gramEnd"/>
            <w:r w:rsidRPr="00F22F68">
              <w:rPr>
                <w:rFonts w:eastAsia="Times New Roman" w:cs="Calibri"/>
                <w:color w:val="000000"/>
                <w:sz w:val="18"/>
                <w:szCs w:val="18"/>
                <w:lang w:eastAsia="en-GB"/>
              </w:rPr>
              <w:t xml:space="preserve"> Clearing System)/</w:t>
            </w:r>
            <w:proofErr w:type="spellStart"/>
            <w:r w:rsidRPr="00F22F68">
              <w:rPr>
                <w:rFonts w:eastAsia="Times New Roman" w:cs="Calibri"/>
                <w:color w:val="000000"/>
                <w:sz w:val="18"/>
                <w:szCs w:val="18"/>
                <w:lang w:eastAsia="en-GB"/>
              </w:rPr>
              <w:t>EuroNKS</w:t>
            </w:r>
            <w:proofErr w:type="spellEnd"/>
          </w:p>
        </w:tc>
      </w:tr>
      <w:tr w:rsidR="0046145A" w:rsidRPr="00F22F68" w14:paraId="72370490" w14:textId="77777777" w:rsidTr="00C11141">
        <w:trPr>
          <w:trHeight w:val="300"/>
        </w:trPr>
        <w:tc>
          <w:tcPr>
            <w:tcW w:w="9072" w:type="dxa"/>
            <w:tcBorders>
              <w:top w:val="nil"/>
              <w:left w:val="nil"/>
              <w:bottom w:val="nil"/>
              <w:right w:val="nil"/>
            </w:tcBorders>
            <w:noWrap/>
            <w:vAlign w:val="bottom"/>
            <w:hideMark/>
          </w:tcPr>
          <w:p w14:paraId="46EFA26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NYSE Euronext Paris</w:t>
            </w:r>
          </w:p>
        </w:tc>
      </w:tr>
      <w:tr w:rsidR="0046145A" w:rsidRPr="00A125B6" w14:paraId="5FB1C2FE" w14:textId="77777777" w:rsidTr="00C11141">
        <w:trPr>
          <w:trHeight w:val="300"/>
        </w:trPr>
        <w:tc>
          <w:tcPr>
            <w:tcW w:w="9072" w:type="dxa"/>
            <w:tcBorders>
              <w:top w:val="nil"/>
              <w:left w:val="nil"/>
              <w:bottom w:val="nil"/>
              <w:right w:val="nil"/>
            </w:tcBorders>
            <w:noWrap/>
            <w:vAlign w:val="bottom"/>
            <w:hideMark/>
          </w:tcPr>
          <w:p w14:paraId="43B707C4" w14:textId="77777777" w:rsidR="0046145A" w:rsidRPr="00A125B6" w:rsidRDefault="0046145A" w:rsidP="00C11141">
            <w:pPr>
              <w:rPr>
                <w:rFonts w:eastAsia="Times New Roman" w:cs="Calibri"/>
                <w:color w:val="000000"/>
                <w:sz w:val="18"/>
                <w:szCs w:val="18"/>
                <w:lang w:eastAsia="en-GB"/>
              </w:rPr>
            </w:pPr>
            <w:proofErr w:type="spellStart"/>
            <w:r w:rsidRPr="00A125B6">
              <w:rPr>
                <w:rFonts w:eastAsia="Times New Roman" w:cs="Calibri"/>
                <w:color w:val="000000"/>
                <w:sz w:val="18"/>
                <w:szCs w:val="18"/>
                <w:lang w:eastAsia="en-GB"/>
              </w:rPr>
              <w:t>OeKB</w:t>
            </w:r>
            <w:proofErr w:type="spellEnd"/>
            <w:r w:rsidRPr="00A125B6">
              <w:rPr>
                <w:rFonts w:eastAsia="Times New Roman" w:cs="Calibri"/>
                <w:color w:val="000000"/>
                <w:sz w:val="18"/>
                <w:szCs w:val="18"/>
                <w:lang w:eastAsia="en-GB"/>
              </w:rPr>
              <w:t xml:space="preserve"> CSD GmbH (WSB System)</w:t>
            </w:r>
          </w:p>
        </w:tc>
      </w:tr>
      <w:tr w:rsidR="0046145A" w:rsidRPr="00F22F68" w14:paraId="297ECE0B" w14:textId="77777777" w:rsidTr="00C11141">
        <w:trPr>
          <w:trHeight w:val="300"/>
        </w:trPr>
        <w:tc>
          <w:tcPr>
            <w:tcW w:w="9072" w:type="dxa"/>
            <w:tcBorders>
              <w:top w:val="nil"/>
              <w:left w:val="nil"/>
              <w:bottom w:val="nil"/>
              <w:right w:val="nil"/>
            </w:tcBorders>
            <w:noWrap/>
            <w:vAlign w:val="bottom"/>
            <w:hideMark/>
          </w:tcPr>
          <w:p w14:paraId="41926D7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OMI Clear</w:t>
            </w:r>
          </w:p>
        </w:tc>
      </w:tr>
      <w:tr w:rsidR="0046145A" w:rsidRPr="00F22F68" w14:paraId="786A0182" w14:textId="77777777" w:rsidTr="00C11141">
        <w:trPr>
          <w:trHeight w:val="300"/>
        </w:trPr>
        <w:tc>
          <w:tcPr>
            <w:tcW w:w="9072" w:type="dxa"/>
            <w:tcBorders>
              <w:top w:val="nil"/>
              <w:left w:val="nil"/>
              <w:bottom w:val="nil"/>
              <w:right w:val="nil"/>
            </w:tcBorders>
            <w:noWrap/>
            <w:vAlign w:val="bottom"/>
            <w:hideMark/>
          </w:tcPr>
          <w:p w14:paraId="00B344F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POPS</w:t>
            </w:r>
          </w:p>
        </w:tc>
      </w:tr>
      <w:tr w:rsidR="0046145A" w:rsidRPr="00F22F68" w14:paraId="560CA6B2" w14:textId="77777777" w:rsidTr="00C11141">
        <w:trPr>
          <w:trHeight w:val="300"/>
        </w:trPr>
        <w:tc>
          <w:tcPr>
            <w:tcW w:w="9072" w:type="dxa"/>
            <w:tcBorders>
              <w:top w:val="nil"/>
              <w:left w:val="nil"/>
              <w:bottom w:val="nil"/>
              <w:right w:val="nil"/>
            </w:tcBorders>
            <w:noWrap/>
            <w:vAlign w:val="bottom"/>
            <w:hideMark/>
          </w:tcPr>
          <w:p w14:paraId="15C8DE8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REGIS</w:t>
            </w:r>
          </w:p>
        </w:tc>
      </w:tr>
      <w:tr w:rsidR="0046145A" w:rsidRPr="00F22F68" w14:paraId="185A7956" w14:textId="77777777" w:rsidTr="00C11141">
        <w:trPr>
          <w:trHeight w:val="300"/>
        </w:trPr>
        <w:tc>
          <w:tcPr>
            <w:tcW w:w="9072" w:type="dxa"/>
            <w:tcBorders>
              <w:top w:val="nil"/>
              <w:left w:val="nil"/>
              <w:bottom w:val="nil"/>
              <w:right w:val="nil"/>
            </w:tcBorders>
            <w:noWrap/>
            <w:vAlign w:val="bottom"/>
            <w:hideMark/>
          </w:tcPr>
          <w:p w14:paraId="3E63DE7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Regis-TR</w:t>
            </w:r>
          </w:p>
        </w:tc>
      </w:tr>
      <w:tr w:rsidR="0046145A" w:rsidRPr="00F22F68" w14:paraId="751DD516" w14:textId="77777777" w:rsidTr="00C11141">
        <w:trPr>
          <w:trHeight w:val="300"/>
        </w:trPr>
        <w:tc>
          <w:tcPr>
            <w:tcW w:w="9072" w:type="dxa"/>
            <w:tcBorders>
              <w:top w:val="nil"/>
              <w:left w:val="nil"/>
              <w:bottom w:val="nil"/>
              <w:right w:val="nil"/>
            </w:tcBorders>
            <w:noWrap/>
            <w:vAlign w:val="bottom"/>
            <w:hideMark/>
          </w:tcPr>
          <w:p w14:paraId="61EDA69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 xml:space="preserve">RINGS (Real-time </w:t>
            </w:r>
            <w:proofErr w:type="spellStart"/>
            <w:r w:rsidRPr="00F22F68">
              <w:rPr>
                <w:rFonts w:eastAsia="Times New Roman" w:cs="Calibri"/>
                <w:color w:val="000000"/>
                <w:sz w:val="18"/>
                <w:szCs w:val="18"/>
                <w:lang w:eastAsia="en-GB"/>
              </w:rPr>
              <w:t>INterbank</w:t>
            </w:r>
            <w:proofErr w:type="spellEnd"/>
            <w:r w:rsidRPr="00F22F68">
              <w:rPr>
                <w:rFonts w:eastAsia="Times New Roman" w:cs="Calibri"/>
                <w:color w:val="000000"/>
                <w:sz w:val="18"/>
                <w:szCs w:val="18"/>
                <w:lang w:eastAsia="en-GB"/>
              </w:rPr>
              <w:t xml:space="preserve"> Gross-settlement System)</w:t>
            </w:r>
          </w:p>
        </w:tc>
      </w:tr>
      <w:tr w:rsidR="0046145A" w:rsidRPr="00F22F68" w14:paraId="3DA52EFD" w14:textId="77777777" w:rsidTr="00C11141">
        <w:trPr>
          <w:trHeight w:val="300"/>
        </w:trPr>
        <w:tc>
          <w:tcPr>
            <w:tcW w:w="9072" w:type="dxa"/>
            <w:tcBorders>
              <w:top w:val="nil"/>
              <w:left w:val="nil"/>
              <w:bottom w:val="nil"/>
              <w:right w:val="nil"/>
            </w:tcBorders>
            <w:noWrap/>
            <w:vAlign w:val="bottom"/>
            <w:hideMark/>
          </w:tcPr>
          <w:p w14:paraId="1484971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RIX</w:t>
            </w:r>
          </w:p>
        </w:tc>
      </w:tr>
      <w:tr w:rsidR="0046145A" w:rsidRPr="00A125B6" w14:paraId="2F5941C3" w14:textId="77777777" w:rsidTr="00C11141">
        <w:trPr>
          <w:trHeight w:val="300"/>
        </w:trPr>
        <w:tc>
          <w:tcPr>
            <w:tcW w:w="9072" w:type="dxa"/>
            <w:tcBorders>
              <w:top w:val="nil"/>
              <w:left w:val="nil"/>
              <w:bottom w:val="nil"/>
              <w:right w:val="nil"/>
            </w:tcBorders>
            <w:noWrap/>
            <w:vAlign w:val="bottom"/>
            <w:hideMark/>
          </w:tcPr>
          <w:p w14:paraId="05086D64" w14:textId="77777777" w:rsidR="0046145A" w:rsidRPr="00A125B6" w:rsidRDefault="0046145A" w:rsidP="00C11141">
            <w:pPr>
              <w:rPr>
                <w:rFonts w:eastAsia="Times New Roman" w:cs="Calibri"/>
                <w:color w:val="000000"/>
                <w:sz w:val="18"/>
                <w:szCs w:val="18"/>
                <w:lang w:eastAsia="en-GB"/>
              </w:rPr>
            </w:pPr>
            <w:r w:rsidRPr="00A125B6">
              <w:rPr>
                <w:rFonts w:eastAsia="Times New Roman" w:cs="Calibri"/>
                <w:color w:val="000000"/>
                <w:sz w:val="18"/>
                <w:szCs w:val="18"/>
                <w:lang w:eastAsia="en-GB"/>
              </w:rPr>
              <w:t>RM-SYSTEM Czech Stock Exchange</w:t>
            </w:r>
          </w:p>
        </w:tc>
      </w:tr>
      <w:tr w:rsidR="0046145A" w:rsidRPr="00F22F68" w14:paraId="4785EAE5" w14:textId="77777777" w:rsidTr="00C11141">
        <w:trPr>
          <w:trHeight w:val="300"/>
        </w:trPr>
        <w:tc>
          <w:tcPr>
            <w:tcW w:w="9072" w:type="dxa"/>
            <w:tcBorders>
              <w:top w:val="nil"/>
              <w:left w:val="nil"/>
              <w:bottom w:val="nil"/>
              <w:right w:val="nil"/>
            </w:tcBorders>
            <w:noWrap/>
            <w:vAlign w:val="bottom"/>
            <w:hideMark/>
          </w:tcPr>
          <w:p w14:paraId="0E3CA4AB"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RoClear</w:t>
            </w:r>
            <w:proofErr w:type="spellEnd"/>
          </w:p>
        </w:tc>
      </w:tr>
      <w:tr w:rsidR="0046145A" w:rsidRPr="00F22F68" w14:paraId="16348C32" w14:textId="77777777" w:rsidTr="00C11141">
        <w:trPr>
          <w:trHeight w:val="300"/>
        </w:trPr>
        <w:tc>
          <w:tcPr>
            <w:tcW w:w="9072" w:type="dxa"/>
            <w:tcBorders>
              <w:top w:val="nil"/>
              <w:left w:val="nil"/>
              <w:bottom w:val="nil"/>
              <w:right w:val="nil"/>
            </w:tcBorders>
            <w:noWrap/>
            <w:vAlign w:val="bottom"/>
            <w:hideMark/>
          </w:tcPr>
          <w:p w14:paraId="7791248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RPS</w:t>
            </w:r>
          </w:p>
        </w:tc>
      </w:tr>
      <w:tr w:rsidR="0046145A" w:rsidRPr="00F22F68" w14:paraId="201CD5B7" w14:textId="77777777" w:rsidTr="00C11141">
        <w:trPr>
          <w:trHeight w:val="300"/>
        </w:trPr>
        <w:tc>
          <w:tcPr>
            <w:tcW w:w="9072" w:type="dxa"/>
            <w:tcBorders>
              <w:top w:val="nil"/>
              <w:left w:val="nil"/>
              <w:bottom w:val="nil"/>
              <w:right w:val="nil"/>
            </w:tcBorders>
            <w:noWrap/>
            <w:vAlign w:val="bottom"/>
            <w:hideMark/>
          </w:tcPr>
          <w:p w14:paraId="78F3129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RT1</w:t>
            </w:r>
          </w:p>
        </w:tc>
      </w:tr>
      <w:tr w:rsidR="0046145A" w:rsidRPr="00F22F68" w14:paraId="5D6D4D2F" w14:textId="77777777" w:rsidTr="00C11141">
        <w:trPr>
          <w:trHeight w:val="300"/>
        </w:trPr>
        <w:tc>
          <w:tcPr>
            <w:tcW w:w="9072" w:type="dxa"/>
            <w:tcBorders>
              <w:top w:val="nil"/>
              <w:left w:val="nil"/>
              <w:bottom w:val="nil"/>
              <w:right w:val="nil"/>
            </w:tcBorders>
            <w:noWrap/>
            <w:vAlign w:val="bottom"/>
            <w:hideMark/>
          </w:tcPr>
          <w:p w14:paraId="0D3FA36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SAFIR</w:t>
            </w:r>
          </w:p>
        </w:tc>
      </w:tr>
      <w:tr w:rsidR="0046145A" w:rsidRPr="00F22F68" w14:paraId="683945A8" w14:textId="77777777" w:rsidTr="00C11141">
        <w:trPr>
          <w:trHeight w:val="300"/>
        </w:trPr>
        <w:tc>
          <w:tcPr>
            <w:tcW w:w="9072" w:type="dxa"/>
            <w:tcBorders>
              <w:top w:val="nil"/>
              <w:left w:val="nil"/>
              <w:bottom w:val="nil"/>
              <w:right w:val="nil"/>
            </w:tcBorders>
            <w:noWrap/>
            <w:vAlign w:val="bottom"/>
            <w:hideMark/>
          </w:tcPr>
          <w:p w14:paraId="4536F3F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SENT</w:t>
            </w:r>
          </w:p>
        </w:tc>
      </w:tr>
      <w:tr w:rsidR="0046145A" w:rsidRPr="00F22F68" w14:paraId="37207CC9" w14:textId="77777777" w:rsidTr="00C11141">
        <w:trPr>
          <w:trHeight w:val="300"/>
        </w:trPr>
        <w:tc>
          <w:tcPr>
            <w:tcW w:w="9072" w:type="dxa"/>
            <w:tcBorders>
              <w:top w:val="nil"/>
              <w:left w:val="nil"/>
              <w:bottom w:val="nil"/>
              <w:right w:val="nil"/>
            </w:tcBorders>
            <w:noWrap/>
            <w:vAlign w:val="bottom"/>
            <w:hideMark/>
          </w:tcPr>
          <w:p w14:paraId="7832277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SICOI</w:t>
            </w:r>
          </w:p>
        </w:tc>
      </w:tr>
      <w:tr w:rsidR="0046145A" w:rsidRPr="00F22F68" w14:paraId="20A1D4E0" w14:textId="77777777" w:rsidTr="00C11141">
        <w:trPr>
          <w:trHeight w:val="300"/>
        </w:trPr>
        <w:tc>
          <w:tcPr>
            <w:tcW w:w="9072" w:type="dxa"/>
            <w:tcBorders>
              <w:top w:val="nil"/>
              <w:left w:val="nil"/>
              <w:bottom w:val="nil"/>
              <w:right w:val="nil"/>
            </w:tcBorders>
            <w:noWrap/>
            <w:vAlign w:val="bottom"/>
            <w:hideMark/>
          </w:tcPr>
          <w:p w14:paraId="745FF75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SIMP - PS</w:t>
            </w:r>
          </w:p>
        </w:tc>
      </w:tr>
      <w:tr w:rsidR="0046145A" w:rsidRPr="00F22F68" w14:paraId="1F8A8F25" w14:textId="77777777" w:rsidTr="00C11141">
        <w:trPr>
          <w:trHeight w:val="300"/>
        </w:trPr>
        <w:tc>
          <w:tcPr>
            <w:tcW w:w="9072" w:type="dxa"/>
            <w:tcBorders>
              <w:top w:val="nil"/>
              <w:left w:val="nil"/>
              <w:bottom w:val="nil"/>
              <w:right w:val="nil"/>
            </w:tcBorders>
            <w:noWrap/>
            <w:vAlign w:val="bottom"/>
            <w:hideMark/>
          </w:tcPr>
          <w:p w14:paraId="7B70556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 xml:space="preserve">SIP </w:t>
            </w:r>
            <w:proofErr w:type="spellStart"/>
            <w:r w:rsidRPr="00F22F68">
              <w:rPr>
                <w:rFonts w:eastAsia="Times New Roman" w:cs="Calibri"/>
                <w:color w:val="000000"/>
                <w:sz w:val="18"/>
                <w:szCs w:val="18"/>
                <w:lang w:eastAsia="en-GB"/>
              </w:rPr>
              <w:t>SPlatobný</w:t>
            </w:r>
            <w:proofErr w:type="spellEnd"/>
            <w:r w:rsidRPr="00F22F68">
              <w:rPr>
                <w:rFonts w:eastAsia="Times New Roman" w:cs="Calibri"/>
                <w:color w:val="000000"/>
                <w:sz w:val="18"/>
                <w:szCs w:val="18"/>
                <w:lang w:eastAsia="en-GB"/>
              </w:rPr>
              <w:t xml:space="preserve"> </w:t>
            </w:r>
            <w:proofErr w:type="spellStart"/>
            <w:r w:rsidRPr="00F22F68">
              <w:rPr>
                <w:rFonts w:eastAsia="Times New Roman" w:cs="Calibri"/>
                <w:color w:val="000000"/>
                <w:sz w:val="18"/>
                <w:szCs w:val="18"/>
                <w:lang w:eastAsia="en-GB"/>
              </w:rPr>
              <w:t>systém</w:t>
            </w:r>
            <w:proofErr w:type="spellEnd"/>
          </w:p>
        </w:tc>
      </w:tr>
      <w:tr w:rsidR="0046145A" w:rsidRPr="00F22F68" w14:paraId="661159A9" w14:textId="77777777" w:rsidTr="00C11141">
        <w:trPr>
          <w:trHeight w:val="300"/>
        </w:trPr>
        <w:tc>
          <w:tcPr>
            <w:tcW w:w="9072" w:type="dxa"/>
            <w:tcBorders>
              <w:top w:val="nil"/>
              <w:left w:val="nil"/>
              <w:bottom w:val="nil"/>
              <w:right w:val="nil"/>
            </w:tcBorders>
            <w:noWrap/>
            <w:vAlign w:val="bottom"/>
            <w:hideMark/>
          </w:tcPr>
          <w:p w14:paraId="21A22FD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SIX</w:t>
            </w:r>
          </w:p>
        </w:tc>
      </w:tr>
      <w:tr w:rsidR="0046145A" w:rsidRPr="00F22F68" w14:paraId="01B00784" w14:textId="77777777" w:rsidTr="00C11141">
        <w:trPr>
          <w:trHeight w:val="300"/>
        </w:trPr>
        <w:tc>
          <w:tcPr>
            <w:tcW w:w="9072" w:type="dxa"/>
            <w:tcBorders>
              <w:top w:val="nil"/>
              <w:left w:val="nil"/>
              <w:bottom w:val="nil"/>
              <w:right w:val="nil"/>
            </w:tcBorders>
            <w:noWrap/>
            <w:vAlign w:val="bottom"/>
            <w:hideMark/>
          </w:tcPr>
          <w:p w14:paraId="42A9A87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 xml:space="preserve">SIX </w:t>
            </w:r>
            <w:proofErr w:type="spellStart"/>
            <w:r w:rsidRPr="00F22F68">
              <w:rPr>
                <w:rFonts w:eastAsia="Times New Roman" w:cs="Calibri"/>
                <w:color w:val="000000"/>
                <w:sz w:val="18"/>
                <w:szCs w:val="18"/>
                <w:lang w:eastAsia="en-GB"/>
              </w:rPr>
              <w:t>InterbankClearing</w:t>
            </w:r>
            <w:proofErr w:type="spellEnd"/>
            <w:r w:rsidRPr="00F22F68">
              <w:rPr>
                <w:rFonts w:eastAsia="Times New Roman" w:cs="Calibri"/>
                <w:color w:val="000000"/>
                <w:sz w:val="18"/>
                <w:szCs w:val="18"/>
                <w:lang w:eastAsia="en-GB"/>
              </w:rPr>
              <w:t xml:space="preserve"> (SIC)/</w:t>
            </w:r>
            <w:proofErr w:type="spellStart"/>
            <w:r w:rsidRPr="00F22F68">
              <w:rPr>
                <w:rFonts w:eastAsia="Times New Roman" w:cs="Calibri"/>
                <w:color w:val="000000"/>
                <w:sz w:val="18"/>
                <w:szCs w:val="18"/>
                <w:lang w:eastAsia="en-GB"/>
              </w:rPr>
              <w:t>EuroSIC</w:t>
            </w:r>
            <w:proofErr w:type="spellEnd"/>
          </w:p>
        </w:tc>
      </w:tr>
      <w:tr w:rsidR="0046145A" w:rsidRPr="00F22F68" w14:paraId="4AB76E2F" w14:textId="77777777" w:rsidTr="00C11141">
        <w:trPr>
          <w:trHeight w:val="300"/>
        </w:trPr>
        <w:tc>
          <w:tcPr>
            <w:tcW w:w="9072" w:type="dxa"/>
            <w:tcBorders>
              <w:top w:val="nil"/>
              <w:left w:val="nil"/>
              <w:bottom w:val="nil"/>
              <w:right w:val="nil"/>
            </w:tcBorders>
            <w:noWrap/>
            <w:vAlign w:val="bottom"/>
            <w:hideMark/>
          </w:tcPr>
          <w:p w14:paraId="591D0E3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SIX Swiss Exchange</w:t>
            </w:r>
          </w:p>
        </w:tc>
      </w:tr>
      <w:tr w:rsidR="0046145A" w:rsidRPr="00F22F68" w14:paraId="0FE15923" w14:textId="77777777" w:rsidTr="00C11141">
        <w:trPr>
          <w:trHeight w:val="300"/>
        </w:trPr>
        <w:tc>
          <w:tcPr>
            <w:tcW w:w="9072" w:type="dxa"/>
            <w:tcBorders>
              <w:top w:val="nil"/>
              <w:left w:val="nil"/>
              <w:bottom w:val="nil"/>
              <w:right w:val="nil"/>
            </w:tcBorders>
            <w:noWrap/>
            <w:vAlign w:val="bottom"/>
            <w:hideMark/>
          </w:tcPr>
          <w:p w14:paraId="7A0AEAD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SIX x-clear</w:t>
            </w:r>
          </w:p>
        </w:tc>
      </w:tr>
      <w:tr w:rsidR="0046145A" w:rsidRPr="00F22F68" w14:paraId="58C9ED3B" w14:textId="77777777" w:rsidTr="00C11141">
        <w:trPr>
          <w:trHeight w:val="300"/>
        </w:trPr>
        <w:tc>
          <w:tcPr>
            <w:tcW w:w="9072" w:type="dxa"/>
            <w:tcBorders>
              <w:top w:val="nil"/>
              <w:left w:val="nil"/>
              <w:bottom w:val="nil"/>
              <w:right w:val="nil"/>
            </w:tcBorders>
            <w:noWrap/>
            <w:vAlign w:val="bottom"/>
            <w:hideMark/>
          </w:tcPr>
          <w:p w14:paraId="53254B6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SKD (Short Term Bond System)</w:t>
            </w:r>
          </w:p>
        </w:tc>
      </w:tr>
      <w:tr w:rsidR="0046145A" w:rsidRPr="00054E70" w14:paraId="479A72E9" w14:textId="77777777" w:rsidTr="00C11141">
        <w:trPr>
          <w:trHeight w:val="300"/>
        </w:trPr>
        <w:tc>
          <w:tcPr>
            <w:tcW w:w="9072" w:type="dxa"/>
            <w:tcBorders>
              <w:top w:val="nil"/>
              <w:left w:val="nil"/>
              <w:bottom w:val="nil"/>
              <w:right w:val="nil"/>
            </w:tcBorders>
            <w:noWrap/>
            <w:vAlign w:val="bottom"/>
            <w:hideMark/>
          </w:tcPr>
          <w:p w14:paraId="559EC939" w14:textId="77777777" w:rsidR="0046145A" w:rsidRPr="00A31D3C" w:rsidRDefault="0046145A" w:rsidP="00C11141">
            <w:pPr>
              <w:rPr>
                <w:rFonts w:eastAsia="Times New Roman" w:cs="Calibri"/>
                <w:color w:val="000000"/>
                <w:sz w:val="18"/>
                <w:szCs w:val="18"/>
                <w:lang w:val="es-ES" w:eastAsia="en-GB"/>
              </w:rPr>
            </w:pPr>
            <w:r w:rsidRPr="00A31D3C">
              <w:rPr>
                <w:rFonts w:eastAsia="Times New Roman" w:cs="Calibri"/>
                <w:color w:val="000000"/>
                <w:sz w:val="18"/>
                <w:szCs w:val="18"/>
                <w:lang w:val="es-ES" w:eastAsia="en-GB"/>
              </w:rPr>
              <w:t>SNCE (Sistema Nacional de Compensación Electrónica)</w:t>
            </w:r>
          </w:p>
        </w:tc>
      </w:tr>
      <w:tr w:rsidR="0046145A" w:rsidRPr="00434529" w14:paraId="61D37C20" w14:textId="77777777" w:rsidTr="00C11141">
        <w:trPr>
          <w:trHeight w:val="300"/>
        </w:trPr>
        <w:tc>
          <w:tcPr>
            <w:tcW w:w="9072" w:type="dxa"/>
            <w:tcBorders>
              <w:top w:val="nil"/>
              <w:left w:val="nil"/>
              <w:bottom w:val="nil"/>
              <w:right w:val="nil"/>
            </w:tcBorders>
            <w:noWrap/>
            <w:vAlign w:val="bottom"/>
            <w:hideMark/>
          </w:tcPr>
          <w:p w14:paraId="0B37415E" w14:textId="77777777" w:rsidR="0046145A" w:rsidRPr="003C5532" w:rsidRDefault="0046145A" w:rsidP="00C11141">
            <w:pPr>
              <w:rPr>
                <w:rFonts w:eastAsia="Times New Roman" w:cs="Calibri"/>
                <w:color w:val="000000"/>
                <w:sz w:val="18"/>
                <w:szCs w:val="18"/>
                <w:lang w:val="fr-BE" w:eastAsia="en-GB"/>
              </w:rPr>
            </w:pPr>
            <w:r w:rsidRPr="003C5532">
              <w:rPr>
                <w:rFonts w:eastAsia="Times New Roman" w:cs="Calibri"/>
                <w:color w:val="000000"/>
                <w:sz w:val="18"/>
                <w:szCs w:val="18"/>
                <w:lang w:val="fr-BE" w:eastAsia="en-GB"/>
              </w:rPr>
              <w:t>Société de la Bourse du Luxembourg SA</w:t>
            </w:r>
          </w:p>
        </w:tc>
      </w:tr>
      <w:tr w:rsidR="0046145A" w:rsidRPr="00F22F68" w14:paraId="09E4F71F" w14:textId="77777777" w:rsidTr="00C11141">
        <w:trPr>
          <w:trHeight w:val="300"/>
        </w:trPr>
        <w:tc>
          <w:tcPr>
            <w:tcW w:w="9072" w:type="dxa"/>
            <w:tcBorders>
              <w:top w:val="nil"/>
              <w:left w:val="nil"/>
              <w:bottom w:val="nil"/>
              <w:right w:val="nil"/>
            </w:tcBorders>
            <w:noWrap/>
            <w:vAlign w:val="bottom"/>
            <w:hideMark/>
          </w:tcPr>
          <w:p w14:paraId="094DD4A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SORBNET2</w:t>
            </w:r>
          </w:p>
        </w:tc>
      </w:tr>
      <w:tr w:rsidR="0046145A" w:rsidRPr="00F22F68" w14:paraId="1E86EA3A" w14:textId="77777777" w:rsidTr="00C11141">
        <w:trPr>
          <w:trHeight w:val="300"/>
        </w:trPr>
        <w:tc>
          <w:tcPr>
            <w:tcW w:w="9072" w:type="dxa"/>
            <w:tcBorders>
              <w:top w:val="nil"/>
              <w:left w:val="nil"/>
              <w:bottom w:val="nil"/>
              <w:right w:val="nil"/>
            </w:tcBorders>
            <w:noWrap/>
            <w:vAlign w:val="bottom"/>
            <w:hideMark/>
          </w:tcPr>
          <w:p w14:paraId="2FE926E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STEP 1</w:t>
            </w:r>
          </w:p>
        </w:tc>
      </w:tr>
      <w:tr w:rsidR="0046145A" w:rsidRPr="00F22F68" w14:paraId="4A3D7A33" w14:textId="77777777" w:rsidTr="00C11141">
        <w:trPr>
          <w:trHeight w:val="300"/>
        </w:trPr>
        <w:tc>
          <w:tcPr>
            <w:tcW w:w="9072" w:type="dxa"/>
            <w:tcBorders>
              <w:top w:val="nil"/>
              <w:left w:val="nil"/>
              <w:bottom w:val="nil"/>
              <w:right w:val="nil"/>
            </w:tcBorders>
            <w:noWrap/>
            <w:vAlign w:val="bottom"/>
            <w:hideMark/>
          </w:tcPr>
          <w:p w14:paraId="38D4794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STEP 2</w:t>
            </w:r>
          </w:p>
        </w:tc>
      </w:tr>
      <w:tr w:rsidR="0046145A" w:rsidRPr="00F22F68" w14:paraId="305AEF07" w14:textId="77777777" w:rsidTr="00C11141">
        <w:trPr>
          <w:trHeight w:val="300"/>
        </w:trPr>
        <w:tc>
          <w:tcPr>
            <w:tcW w:w="9072" w:type="dxa"/>
            <w:tcBorders>
              <w:top w:val="nil"/>
              <w:left w:val="nil"/>
              <w:bottom w:val="nil"/>
              <w:right w:val="nil"/>
            </w:tcBorders>
            <w:noWrap/>
            <w:vAlign w:val="bottom"/>
            <w:hideMark/>
          </w:tcPr>
          <w:p w14:paraId="3385D57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STET/CORE</w:t>
            </w:r>
          </w:p>
        </w:tc>
      </w:tr>
      <w:tr w:rsidR="0046145A" w:rsidRPr="00F22F68" w14:paraId="68530B39" w14:textId="77777777" w:rsidTr="00C11141">
        <w:trPr>
          <w:trHeight w:val="300"/>
        </w:trPr>
        <w:tc>
          <w:tcPr>
            <w:tcW w:w="9072" w:type="dxa"/>
            <w:tcBorders>
              <w:top w:val="nil"/>
              <w:left w:val="nil"/>
              <w:bottom w:val="nil"/>
              <w:right w:val="nil"/>
            </w:tcBorders>
            <w:noWrap/>
            <w:vAlign w:val="bottom"/>
            <w:hideMark/>
          </w:tcPr>
          <w:p w14:paraId="2B90AD3F"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Straksclearingen</w:t>
            </w:r>
            <w:proofErr w:type="spellEnd"/>
          </w:p>
        </w:tc>
      </w:tr>
      <w:tr w:rsidR="0046145A" w:rsidRPr="00F22F68" w14:paraId="0E50A9AB" w14:textId="77777777" w:rsidTr="00C11141">
        <w:trPr>
          <w:trHeight w:val="300"/>
        </w:trPr>
        <w:tc>
          <w:tcPr>
            <w:tcW w:w="9072" w:type="dxa"/>
            <w:tcBorders>
              <w:top w:val="nil"/>
              <w:left w:val="nil"/>
              <w:bottom w:val="nil"/>
              <w:right w:val="nil"/>
            </w:tcBorders>
            <w:noWrap/>
            <w:vAlign w:val="bottom"/>
            <w:hideMark/>
          </w:tcPr>
          <w:p w14:paraId="54E27288"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Sumclearingen</w:t>
            </w:r>
            <w:proofErr w:type="spellEnd"/>
          </w:p>
        </w:tc>
      </w:tr>
      <w:tr w:rsidR="0046145A" w:rsidRPr="00F22F68" w14:paraId="0C6135E4" w14:textId="77777777" w:rsidTr="00C11141">
        <w:trPr>
          <w:trHeight w:val="300"/>
        </w:trPr>
        <w:tc>
          <w:tcPr>
            <w:tcW w:w="9072" w:type="dxa"/>
            <w:tcBorders>
              <w:top w:val="nil"/>
              <w:left w:val="nil"/>
              <w:bottom w:val="nil"/>
              <w:right w:val="nil"/>
            </w:tcBorders>
            <w:noWrap/>
            <w:vAlign w:val="bottom"/>
            <w:hideMark/>
          </w:tcPr>
          <w:p w14:paraId="4789CBE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T2S (SSS - only for direct connectivity)</w:t>
            </w:r>
          </w:p>
        </w:tc>
      </w:tr>
      <w:tr w:rsidR="0046145A" w:rsidRPr="00F22F68" w14:paraId="791932E6" w14:textId="77777777" w:rsidTr="00C11141">
        <w:trPr>
          <w:trHeight w:val="300"/>
        </w:trPr>
        <w:tc>
          <w:tcPr>
            <w:tcW w:w="9072" w:type="dxa"/>
            <w:tcBorders>
              <w:top w:val="nil"/>
              <w:left w:val="nil"/>
              <w:bottom w:val="nil"/>
              <w:right w:val="nil"/>
            </w:tcBorders>
            <w:noWrap/>
            <w:vAlign w:val="bottom"/>
            <w:hideMark/>
          </w:tcPr>
          <w:p w14:paraId="085D29C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TARGET2</w:t>
            </w:r>
          </w:p>
        </w:tc>
      </w:tr>
      <w:tr w:rsidR="0046145A" w:rsidRPr="00F22F68" w14:paraId="0379A497" w14:textId="77777777" w:rsidTr="00C11141">
        <w:trPr>
          <w:trHeight w:val="300"/>
        </w:trPr>
        <w:tc>
          <w:tcPr>
            <w:tcW w:w="9072" w:type="dxa"/>
            <w:tcBorders>
              <w:top w:val="nil"/>
              <w:left w:val="nil"/>
              <w:bottom w:val="nil"/>
              <w:right w:val="nil"/>
            </w:tcBorders>
            <w:noWrap/>
            <w:vAlign w:val="bottom"/>
            <w:hideMark/>
          </w:tcPr>
          <w:p w14:paraId="56C29FC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TIPS</w:t>
            </w:r>
          </w:p>
        </w:tc>
      </w:tr>
      <w:tr w:rsidR="0046145A" w:rsidRPr="00F22F68" w14:paraId="19C63903" w14:textId="77777777" w:rsidTr="00C11141">
        <w:trPr>
          <w:trHeight w:val="300"/>
        </w:trPr>
        <w:tc>
          <w:tcPr>
            <w:tcW w:w="9072" w:type="dxa"/>
            <w:tcBorders>
              <w:top w:val="nil"/>
              <w:left w:val="nil"/>
              <w:bottom w:val="nil"/>
              <w:right w:val="nil"/>
            </w:tcBorders>
            <w:noWrap/>
            <w:vAlign w:val="bottom"/>
            <w:hideMark/>
          </w:tcPr>
          <w:p w14:paraId="6CABE6E8"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UnaVista</w:t>
            </w:r>
            <w:proofErr w:type="spellEnd"/>
            <w:r w:rsidRPr="00F22F68">
              <w:rPr>
                <w:rFonts w:eastAsia="Times New Roman" w:cs="Calibri"/>
                <w:color w:val="000000"/>
                <w:sz w:val="18"/>
                <w:szCs w:val="18"/>
                <w:lang w:eastAsia="en-GB"/>
              </w:rPr>
              <w:t xml:space="preserve"> Limited</w:t>
            </w:r>
          </w:p>
        </w:tc>
      </w:tr>
      <w:tr w:rsidR="0046145A" w:rsidRPr="00F22F68" w14:paraId="7E731946" w14:textId="77777777" w:rsidTr="00C11141">
        <w:trPr>
          <w:trHeight w:val="300"/>
        </w:trPr>
        <w:tc>
          <w:tcPr>
            <w:tcW w:w="9072" w:type="dxa"/>
            <w:tcBorders>
              <w:top w:val="nil"/>
              <w:left w:val="nil"/>
              <w:bottom w:val="nil"/>
              <w:right w:val="nil"/>
            </w:tcBorders>
            <w:noWrap/>
            <w:vAlign w:val="bottom"/>
            <w:hideMark/>
          </w:tcPr>
          <w:p w14:paraId="6485DCC3" w14:textId="77777777" w:rsidR="0046145A" w:rsidRPr="00F22F68" w:rsidRDefault="0046145A" w:rsidP="00C11141">
            <w:pPr>
              <w:rPr>
                <w:rFonts w:eastAsia="Times New Roman" w:cs="Calibri"/>
                <w:color w:val="000000"/>
                <w:sz w:val="18"/>
                <w:szCs w:val="18"/>
                <w:lang w:eastAsia="en-GB"/>
              </w:rPr>
            </w:pPr>
            <w:proofErr w:type="spellStart"/>
            <w:r w:rsidRPr="00F22F68">
              <w:rPr>
                <w:rFonts w:eastAsia="Times New Roman" w:cs="Calibri"/>
                <w:color w:val="000000"/>
                <w:sz w:val="18"/>
                <w:szCs w:val="18"/>
                <w:lang w:eastAsia="en-GB"/>
              </w:rPr>
              <w:t>Verdipapirsentralen</w:t>
            </w:r>
            <w:proofErr w:type="spellEnd"/>
            <w:r w:rsidRPr="00F22F68">
              <w:rPr>
                <w:rFonts w:eastAsia="Times New Roman" w:cs="Calibri"/>
                <w:color w:val="000000"/>
                <w:sz w:val="18"/>
                <w:szCs w:val="18"/>
                <w:lang w:eastAsia="en-GB"/>
              </w:rPr>
              <w:t xml:space="preserve"> (VPS)</w:t>
            </w:r>
          </w:p>
        </w:tc>
      </w:tr>
      <w:tr w:rsidR="0046145A" w:rsidRPr="00F22F68" w14:paraId="599BD0C0" w14:textId="77777777" w:rsidTr="00C11141">
        <w:trPr>
          <w:trHeight w:val="300"/>
        </w:trPr>
        <w:tc>
          <w:tcPr>
            <w:tcW w:w="9072" w:type="dxa"/>
            <w:tcBorders>
              <w:top w:val="nil"/>
              <w:left w:val="nil"/>
              <w:bottom w:val="nil"/>
              <w:right w:val="nil"/>
            </w:tcBorders>
            <w:noWrap/>
            <w:vAlign w:val="bottom"/>
            <w:hideMark/>
          </w:tcPr>
          <w:p w14:paraId="209D9CF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VIBER</w:t>
            </w:r>
          </w:p>
        </w:tc>
      </w:tr>
      <w:tr w:rsidR="0046145A" w:rsidRPr="00F22F68" w14:paraId="3CBF4EA3" w14:textId="77777777" w:rsidTr="00C11141">
        <w:trPr>
          <w:trHeight w:val="300"/>
        </w:trPr>
        <w:tc>
          <w:tcPr>
            <w:tcW w:w="9072" w:type="dxa"/>
            <w:tcBorders>
              <w:top w:val="nil"/>
              <w:left w:val="nil"/>
              <w:bottom w:val="nil"/>
              <w:right w:val="nil"/>
            </w:tcBorders>
            <w:noWrap/>
            <w:vAlign w:val="bottom"/>
            <w:hideMark/>
          </w:tcPr>
          <w:p w14:paraId="49A43CD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VP Lux</w:t>
            </w:r>
          </w:p>
        </w:tc>
      </w:tr>
      <w:tr w:rsidR="0046145A" w:rsidRPr="00F22F68" w14:paraId="20C89571" w14:textId="77777777" w:rsidTr="00C11141">
        <w:trPr>
          <w:trHeight w:val="300"/>
        </w:trPr>
        <w:tc>
          <w:tcPr>
            <w:tcW w:w="9072" w:type="dxa"/>
            <w:tcBorders>
              <w:top w:val="nil"/>
              <w:left w:val="nil"/>
              <w:bottom w:val="nil"/>
              <w:right w:val="nil"/>
            </w:tcBorders>
            <w:noWrap/>
            <w:vAlign w:val="bottom"/>
            <w:hideMark/>
          </w:tcPr>
          <w:p w14:paraId="12389C1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VP Securities A/S</w:t>
            </w:r>
          </w:p>
        </w:tc>
      </w:tr>
    </w:tbl>
    <w:p w14:paraId="1E4D7216" w14:textId="77777777" w:rsidR="0046145A" w:rsidRPr="002F61BB" w:rsidRDefault="0046145A">
      <w:pPr>
        <w:pStyle w:val="body"/>
        <w:rPr>
          <w:rFonts w:ascii="Times New Roman" w:hAnsi="Times New Roman" w:cs="Times New Roman"/>
          <w:sz w:val="20"/>
          <w:szCs w:val="20"/>
          <w:lang w:val="en-GB"/>
        </w:rPr>
      </w:pPr>
    </w:p>
    <w:sectPr w:rsidR="0046145A" w:rsidRPr="002F61BB" w:rsidSect="00434529">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5D3243" w:rsidRDefault="005D3243">
      <w:r>
        <w:separator/>
      </w:r>
    </w:p>
  </w:endnote>
  <w:endnote w:type="continuationSeparator" w:id="0">
    <w:p w14:paraId="6597FB1C" w14:textId="77777777" w:rsidR="005D3243" w:rsidRDefault="005D3243">
      <w:r>
        <w:continuationSeparator/>
      </w:r>
    </w:p>
  </w:endnote>
  <w:endnote w:type="continuationNotice" w:id="1">
    <w:p w14:paraId="3A49FE7B" w14:textId="77777777" w:rsidR="005D3243" w:rsidRDefault="005D3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CC0A94" w:rsidRDefault="006C1571">
        <w:pPr>
          <w:pStyle w:val="body"/>
          <w:jc w:val="right"/>
        </w:pPr>
        <w:r>
          <w:rPr>
            <w:noProof/>
          </w:rPr>
          <w:fldChar w:fldCharType="begin"/>
        </w:r>
        <w:r>
          <w:rPr>
            <w:noProof/>
          </w:rPr>
          <w:instrText xml:space="preserve"> PAGE   \* MERGEFORMAT </w:instrText>
        </w:r>
        <w:r>
          <w:rPr>
            <w:noProof/>
          </w:rPr>
          <w:fldChar w:fldCharType="separate"/>
        </w:r>
        <w:r>
          <w:rPr>
            <w:noProof/>
          </w:rPr>
          <w:t>89</w:t>
        </w:r>
        <w:r>
          <w:rPr>
            <w:noProof/>
          </w:rPr>
          <w:fldChar w:fldCharType="end"/>
        </w:r>
      </w:p>
    </w:sdtContent>
  </w:sdt>
  <w:p w14:paraId="7FE1D24F" w14:textId="77777777" w:rsidR="00CC0A94" w:rsidRDefault="00CC0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434529" w:rsidRPr="00F87AA6" w:rsidRDefault="009F3EBB">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xt Box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9F3EBB" w:rsidRPr="006827D4" w:rsidRDefault="002B3A04">
                          <w:pPr>
                            <w:rPr>
                              <w:b/>
                              <w:bCs/>
                              <w:sz w:val="18"/>
                              <w:szCs w:val="18"/>
                            </w:rPr>
                          </w:pPr>
                          <w:r w:rsidRPr="006827D4">
                            <w:rPr>
                              <w:b/>
                              <w:bCs/>
                              <w:sz w:val="18"/>
                              <w:szCs w:val="18"/>
                            </w:rPr>
                            <w:t xml:space="preserve">These instructions were originally drafted in English. Their translation in the other official languages of the EU is done via </w:t>
                          </w:r>
                          <w:proofErr w:type="spellStart"/>
                          <w:r w:rsidR="00F8598D" w:rsidRPr="00F8598D">
                            <w:rPr>
                              <w:b/>
                              <w:bCs/>
                              <w:sz w:val="18"/>
                              <w:szCs w:val="18"/>
                            </w:rPr>
                            <w:t>eTranslation</w:t>
                          </w:r>
                          <w:proofErr w:type="spellEnd"/>
                          <w:r w:rsidR="00F8598D">
                            <w:rPr>
                              <w:b/>
                              <w:bCs/>
                              <w:sz w:val="18"/>
                              <w:szCs w:val="18"/>
                            </w:rPr>
                            <w:t xml:space="preserve"> - t</w:t>
                          </w:r>
                          <w:r w:rsidR="00F8598D" w:rsidRPr="00F8598D">
                            <w:rPr>
                              <w:b/>
                              <w:bCs/>
                              <w:sz w:val="18"/>
                              <w:szCs w:val="18"/>
                            </w:rPr>
                            <w:t>he European Commission’s machine translation service</w:t>
                          </w:r>
                          <w:r w:rsidR="00F8598D">
                            <w:rPr>
                              <w:b/>
                              <w:bCs/>
                              <w:sz w:val="18"/>
                              <w:szCs w:val="18"/>
                            </w:rPr>
                            <w:t xml:space="preserve"> </w:t>
                          </w:r>
                          <w:r w:rsidRPr="006827D4">
                            <w:rPr>
                              <w:b/>
                              <w:bCs/>
                              <w:sz w:val="18"/>
                              <w:szCs w:val="18"/>
                            </w:rPr>
                            <w:t>on a best effort basis.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Text Box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9F3EBB" w:rsidRPr="006827D4" w:rsidRDefault="002B3A04">
                    <w:pPr>
                      <w:rPr>
                        <w:b/>
                        <w:bCs/>
                        <w:sz w:val="18"/>
                        <w:szCs w:val="18"/>
                      </w:rPr>
                    </w:pPr>
                    <w:r w:rsidRPr="006827D4">
                      <w:rPr>
                        <w:b/>
                        <w:bCs/>
                        <w:sz w:val="18"/>
                        <w:szCs w:val="18"/>
                      </w:rPr>
                      <w:t xml:space="preserve">These instructions were originally drafted in English. Their translation in the other official languages of the EU is done via </w:t>
                    </w:r>
                    <w:proofErr w:type="spellStart"/>
                    <w:r w:rsidR="00F8598D" w:rsidRPr="00F8598D">
                      <w:rPr>
                        <w:b/>
                        <w:bCs/>
                        <w:sz w:val="18"/>
                        <w:szCs w:val="18"/>
                      </w:rPr>
                      <w:t>eTranslation</w:t>
                    </w:r>
                    <w:proofErr w:type="spellEnd"/>
                    <w:r w:rsidR="00F8598D">
                      <w:rPr>
                        <w:b/>
                        <w:bCs/>
                        <w:sz w:val="18"/>
                        <w:szCs w:val="18"/>
                      </w:rPr>
                      <w:t xml:space="preserve"> - t</w:t>
                    </w:r>
                    <w:r w:rsidR="00F8598D" w:rsidRPr="00F8598D">
                      <w:rPr>
                        <w:b/>
                        <w:bCs/>
                        <w:sz w:val="18"/>
                        <w:szCs w:val="18"/>
                      </w:rPr>
                      <w:t>he European Commission’s machine translation service</w:t>
                    </w:r>
                    <w:r w:rsidR="00F8598D">
                      <w:rPr>
                        <w:b/>
                        <w:bCs/>
                        <w:sz w:val="18"/>
                        <w:szCs w:val="18"/>
                      </w:rPr>
                      <w:t xml:space="preserve"> </w:t>
                    </w:r>
                    <w:r w:rsidRPr="006827D4">
                      <w:rPr>
                        <w:b/>
                        <w:bCs/>
                        <w:sz w:val="18"/>
                        <w:szCs w:val="18"/>
                      </w:rPr>
                      <w:t>on a best effort basis</w:t>
                    </w:r>
                    <w:r w:rsidRPr="006827D4">
                      <w:rPr>
                        <w:b/>
                        <w:bCs/>
                        <w:sz w:val="18"/>
                        <w:szCs w:val="18"/>
                      </w:rPr>
                      <w:t>.</w:t>
                    </w:r>
                  </w:p>
                </w:txbxContent>
              </v:textbox>
              <w10:wrap anchorx="margin"/>
            </v:shape>
          </w:pict>
        </mc:Fallback>
      </mc:AlternateContent>
    </w:r>
    <w:r w:rsidR="00F87AA6" w:rsidRPr="00F87AA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5D3243" w:rsidRDefault="005D3243">
      <w:r>
        <w:separator/>
      </w:r>
    </w:p>
  </w:footnote>
  <w:footnote w:type="continuationSeparator" w:id="0">
    <w:p w14:paraId="1BFD6958" w14:textId="77777777" w:rsidR="005D3243" w:rsidRDefault="005D3243">
      <w:r>
        <w:continuationSeparator/>
      </w:r>
    </w:p>
  </w:footnote>
  <w:footnote w:type="continuationNotice" w:id="1">
    <w:p w14:paraId="34EA159C" w14:textId="77777777" w:rsidR="005D3243" w:rsidRDefault="005D3243"/>
  </w:footnote>
  <w:footnote w:id="2">
    <w:p w14:paraId="0A3F5404" w14:textId="77777777" w:rsidR="00942CB0" w:rsidRPr="00F30A1A" w:rsidRDefault="00942CB0" w:rsidP="00942CB0">
      <w:pPr>
        <w:pStyle w:val="FootnoteText"/>
        <w:rPr>
          <w:lang w:val="en-GB"/>
        </w:rPr>
      </w:pPr>
      <w:r>
        <w:rPr>
          <w:rStyle w:val="FootnoteReference"/>
        </w:rPr>
        <w:footnoteRef/>
      </w:r>
      <w:r>
        <w:t xml:space="preserve"> </w:t>
      </w:r>
      <w:r w:rsidRPr="002D03E0">
        <w:rPr>
          <w:lang w:val="en-GB"/>
        </w:rPr>
        <w:t>COMMISSION IMPLEMENTING REGULATION (EU) 2024/3117 of 29 November 2024</w:t>
      </w:r>
      <w:r>
        <w:rPr>
          <w:lang w:val="en-GB"/>
        </w:rPr>
        <w:t xml:space="preserve"> </w:t>
      </w:r>
      <w:r w:rsidRPr="002D03E0">
        <w:rPr>
          <w:lang w:val="en-GB"/>
        </w:rPr>
        <w:t>laying down implementing technical standards for the application of Regulation (EU) No 575/2013 of the European Parliament and of the Council with regard to supervisory reporting of institutions and repealing Commission Implementing Regulation (EU) 2021/451</w:t>
      </w:r>
      <w:r>
        <w:rPr>
          <w:lang w:val="en-GB"/>
        </w:rPr>
        <w:t xml:space="preserve"> (</w:t>
      </w:r>
      <w:r w:rsidRPr="002D03E0">
        <w:rPr>
          <w:i/>
          <w:iCs/>
          <w:lang w:val="en-GB"/>
        </w:rPr>
        <w:t>OJ L, 2024/3117, 27.12.2024, ELI: </w:t>
      </w:r>
      <w:hyperlink r:id="rId1" w:tgtFrame="_blank" w:tooltip="Gives access to this document through its ELI URI." w:history="1">
        <w:r w:rsidRPr="002D03E0">
          <w:rPr>
            <w:rStyle w:val="Hyperlink"/>
            <w:i/>
            <w:iCs/>
            <w:lang w:val="en-GB"/>
          </w:rPr>
          <w:t>http://data.europa.eu/eli/reg_impl/2024/3117/oj</w:t>
        </w:r>
      </w:hyperlink>
      <w:r>
        <w:rPr>
          <w:lang w:val="en-GB"/>
        </w:rPr>
        <w:t>).</w:t>
      </w:r>
    </w:p>
  </w:footnote>
  <w:footnote w:id="3">
    <w:p w14:paraId="7FE1D258" w14:textId="77777777" w:rsidR="00CC0A94" w:rsidRDefault="006C1571">
      <w:pPr>
        <w:pStyle w:val="FootnoteText"/>
      </w:pPr>
      <w:r>
        <w:rPr>
          <w:rStyle w:val="FootnoteReference"/>
          <w:rFonts w:ascii="Times New Roman" w:hAnsi="Times New Roman"/>
        </w:rPr>
        <w:footnoteRef/>
      </w:r>
      <w:r>
        <w:t xml:space="preserve"> Regulation (EC) No 1606/2002 of the European Parliament and of the Council of 19 July 2002 on the application of international accounting standards (OJ L 243, 11.9.2002, p.1).</w:t>
      </w:r>
    </w:p>
  </w:footnote>
  <w:footnote w:id="4">
    <w:p w14:paraId="7FE1D259" w14:textId="77777777" w:rsidR="00CC0A94" w:rsidRDefault="006C1571">
      <w:pPr>
        <w:pStyle w:val="FootnoteText"/>
      </w:pPr>
      <w:r>
        <w:rPr>
          <w:rStyle w:val="FootnoteReference"/>
          <w:rFonts w:ascii="Times New Roman" w:hAnsi="Times New Roman"/>
        </w:rPr>
        <w:footnoteRef/>
      </w:r>
      <w:r>
        <w:t xml:space="preserve"> Regulation (EC) No 1606/2002 of the European Parliament and of the Council of 19 July 2002 on the application of international accounting standards( OJ L 243, 11.9.2002, p.1).</w:t>
      </w:r>
    </w:p>
  </w:footnote>
  <w:footnote w:id="5">
    <w:p w14:paraId="7FE1D25A" w14:textId="77777777" w:rsidR="00CC0A94" w:rsidRDefault="006C1571">
      <w:pPr>
        <w:pStyle w:val="FootnoteText"/>
        <w:rPr>
          <w:lang w:val="en-GB"/>
        </w:rPr>
      </w:pPr>
      <w:r>
        <w:rPr>
          <w:rStyle w:val="FootnoteReference"/>
          <w:rFonts w:ascii="Times New Roman" w:hAnsi="Times New Roman"/>
        </w:rPr>
        <w:footnoteRef/>
      </w:r>
      <w:r>
        <w:t xml:space="preserve"> Council Directive 86/635/EEC of 8 December 1986 on the annual accounts and consolidated accounts of banks and other financial institutions (OJ L 372, 31.12.1986, p.1).</w:t>
      </w:r>
    </w:p>
  </w:footnote>
  <w:footnote w:id="6">
    <w:p w14:paraId="06EB0A65" w14:textId="77777777" w:rsidR="005E4C5E" w:rsidRDefault="005E4C5E" w:rsidP="005E4C5E">
      <w:pPr>
        <w:pStyle w:val="FootnoteText"/>
      </w:pPr>
      <w:r>
        <w:rPr>
          <w:rStyle w:val="FootnoteReference"/>
          <w:rFonts w:ascii="Times New Roman" w:hAnsi="Times New Roman"/>
        </w:rPr>
        <w:footnoteRef/>
      </w:r>
      <w:r>
        <w:t xml:space="preserve"> R</w:t>
      </w:r>
      <w:r>
        <w:rPr>
          <w:lang w:val="en-GB"/>
        </w:rPr>
        <w:t>egulation (EU) No 575/2013 of the European Parliament and of the Council of 26 June 2013 on prudential requirements for credit institutions and investment firms and amending Regulation (EU) No 648/2012 (OJ L 176, 27.6.2013, p. 1).</w:t>
      </w:r>
    </w:p>
  </w:footnote>
  <w:footnote w:id="7">
    <w:p w14:paraId="7FE1D25C" w14:textId="77777777" w:rsidR="00CC0A94" w:rsidRDefault="006C1571">
      <w:pPr>
        <w:pStyle w:val="FootnoteText"/>
      </w:pPr>
      <w:r>
        <w:rPr>
          <w:rStyle w:val="FootnoteReference"/>
        </w:rPr>
        <w:footnoteRef/>
      </w:r>
      <w:r>
        <w:t xml:space="preserve">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p.338).</w:t>
      </w:r>
    </w:p>
  </w:footnote>
  <w:footnote w:id="8">
    <w:p w14:paraId="7FE1D25D" w14:textId="77777777" w:rsidR="00CC0A94" w:rsidRDefault="006C1571">
      <w:pPr>
        <w:pStyle w:val="FootnoteText"/>
        <w:rPr>
          <w:lang w:val="en-GB"/>
        </w:rPr>
      </w:pPr>
      <w:r>
        <w:rPr>
          <w:rStyle w:val="FootnoteReference"/>
        </w:rPr>
        <w:footnoteRef/>
      </w:r>
      <w:r>
        <w:t xml:space="preserve"> Regulation (EU) 2019/2033 of the European Parliament and of the Council of 27 November 2019 on the prudential requirements of investment firms and amending Regulations (EU) No 1093/2010, (EU) No 575/2013, (EU) No 600/2014 and (EU) No 806/2014 (OJ L 314, 5.12.2019, p. 1).</w:t>
      </w:r>
    </w:p>
  </w:footnote>
  <w:footnote w:id="9">
    <w:p w14:paraId="7FE1D25E" w14:textId="77777777" w:rsidR="00CC0A94" w:rsidRDefault="006C1571">
      <w:pPr>
        <w:pStyle w:val="FootnoteText"/>
        <w:rPr>
          <w:lang w:val="en-GB"/>
        </w:rPr>
      </w:pPr>
      <w:r>
        <w:rPr>
          <w:rStyle w:val="FootnoteReference"/>
        </w:rPr>
        <w:footnoteRef/>
      </w:r>
      <w:r>
        <w:t xml:space="preserve"> Directive (EU) 2019/2034 of the European Parliament and of the Council of 27 November 2019 on the prudential supervision of investment firms and amending Directives 2002/87/EC, 2009/65/EC, 2011/61/EU, 2013/36/EU, 2014/59/EU and 2014/65/EU (OJ L 314, 5.12.2019, p. 64)</w:t>
      </w:r>
    </w:p>
  </w:footnote>
  <w:footnote w:id="10">
    <w:p w14:paraId="7FE1D25F" w14:textId="77777777" w:rsidR="00CC0A94" w:rsidRDefault="006C1571">
      <w:pPr>
        <w:pStyle w:val="FootnoteText"/>
      </w:pPr>
      <w:r>
        <w:rPr>
          <w:rStyle w:val="FootnoteReference"/>
          <w:rFonts w:ascii="Times New Roman" w:hAnsi="Times New Roman"/>
        </w:rPr>
        <w:footnoteRef/>
      </w:r>
      <w:r>
        <w:t xml:space="preserve"> Directive 2009/138/EC of the European Parliament and of the Council of 25 November 2009 on the taking-up and pursuit of the business of Insurance and Reinsurance (Solvency II) (Text with EEA relevance)( OJ L 335, 17.12.2009, p.1).</w:t>
      </w:r>
    </w:p>
  </w:footnote>
  <w:footnote w:id="11">
    <w:p w14:paraId="7FE1D260" w14:textId="2ADC4F18" w:rsidR="00CC0A94" w:rsidRDefault="006C1571">
      <w:pPr>
        <w:pStyle w:val="FootnoteText"/>
        <w:rPr>
          <w:lang w:val="en-GB"/>
        </w:rPr>
      </w:pPr>
      <w:r>
        <w:rPr>
          <w:rStyle w:val="FootnoteReference"/>
          <w:rFonts w:ascii="Times New Roman" w:hAnsi="Times New Roman"/>
        </w:rPr>
        <w:footnoteRef/>
      </w:r>
      <w:r>
        <w:t xml:space="preserve"> </w:t>
      </w:r>
      <w:r>
        <w:rPr>
          <w:lang w:val="en-GB"/>
        </w:rPr>
        <w:t>Regulation (EU) No 2021/379 of the European Central Bank concerning the balance sheet of the monetary financial institutions sector (OJ L 297 7.11.2013, p.1).</w:t>
      </w:r>
    </w:p>
  </w:footnote>
  <w:footnote w:id="12">
    <w:p w14:paraId="7FE1D261" w14:textId="77777777" w:rsidR="00CC0A94" w:rsidRDefault="006C1571">
      <w:pPr>
        <w:pStyle w:val="FootnoteText"/>
      </w:pPr>
      <w:r>
        <w:rPr>
          <w:rStyle w:val="FootnoteReference"/>
          <w:rFonts w:ascii="Times New Roman" w:hAnsi="Times New Roman"/>
        </w:rPr>
        <w:footnoteRef/>
      </w:r>
      <w:r>
        <w:t xml:space="preserve"> Commission Recommendation of 6 May 2003 concerning the definition of micro, small and medium-sized enterprises (notified under document number C(2003) 1422) (OJ L 124, 20.5.2003, p. 36).</w:t>
      </w:r>
    </w:p>
  </w:footnote>
  <w:footnote w:id="13">
    <w:p w14:paraId="74BC1C09" w14:textId="2C5E1052" w:rsidR="00B72EA2" w:rsidRPr="002F61BB" w:rsidRDefault="00B72EA2">
      <w:pPr>
        <w:pStyle w:val="FootnoteText"/>
        <w:rPr>
          <w:lang w:val="en-GB"/>
        </w:rPr>
      </w:pPr>
      <w:r>
        <w:rPr>
          <w:rStyle w:val="FootnoteReference"/>
        </w:rPr>
        <w:footnoteRef/>
      </w:r>
      <w:r>
        <w:t xml:space="preserve"> </w:t>
      </w:r>
      <w:r w:rsidR="00202CEF" w:rsidRPr="002F61BB">
        <w:t>Directive 2014/65/EU of the European Parliament and of the Council of 15 May 2014 on markets in financial instruments</w:t>
      </w:r>
      <w:r w:rsidR="008959FF">
        <w:t xml:space="preserve"> </w:t>
      </w:r>
      <w:r w:rsidR="008959FF" w:rsidRPr="008959FF">
        <w:rPr>
          <w:rFonts w:hint="eastAsia"/>
        </w:rPr>
        <w:t>(OJ L 173 12.6.2014, p. 349)</w:t>
      </w:r>
      <w:r w:rsidR="00202CEF" w:rsidRPr="002F61BB">
        <w:t>.</w:t>
      </w:r>
    </w:p>
  </w:footnote>
  <w:footnote w:id="14">
    <w:p w14:paraId="7FE1D263" w14:textId="77777777" w:rsidR="00CC0A94" w:rsidRDefault="006C1571">
      <w:pPr>
        <w:pStyle w:val="FootnoteText"/>
      </w:pPr>
      <w:r>
        <w:rPr>
          <w:rStyle w:val="FootnoteReference"/>
        </w:rPr>
        <w:footnoteRef/>
      </w:r>
      <w:r>
        <w:t xml:space="preserve">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w:t>
      </w:r>
    </w:p>
  </w:footnote>
  <w:footnote w:id="15">
    <w:p w14:paraId="7FE1D264" w14:textId="77777777" w:rsidR="00CC0A94" w:rsidRDefault="006C1571">
      <w:pPr>
        <w:pStyle w:val="FootnoteText"/>
      </w:pPr>
      <w:r>
        <w:rPr>
          <w:rStyle w:val="FootnoteReference"/>
        </w:rPr>
        <w:footnoteRef/>
      </w:r>
      <w:r>
        <w:t xml:space="preserve"> Directive 2014/49/EU of the European Parliament and of the Council of 16 April 2014 on deposit guarantee schemes (OJ L 173, 12.6.2014, p. 149).</w:t>
      </w:r>
    </w:p>
  </w:footnote>
  <w:footnote w:id="16">
    <w:p w14:paraId="7FE1D267" w14:textId="77777777" w:rsidR="00CC0A94" w:rsidRDefault="006C1571">
      <w:pPr>
        <w:pStyle w:val="FootnoteText"/>
        <w:rPr>
          <w:lang w:val="en-GB"/>
        </w:rPr>
      </w:pPr>
      <w:r>
        <w:rPr>
          <w:rStyle w:val="FootnoteReference"/>
        </w:rPr>
        <w:footnoteRef/>
      </w:r>
      <w:r>
        <w:t xml:space="preserve"> </w:t>
      </w:r>
      <w:r>
        <w:rPr>
          <w:lang w:val="en-GB"/>
        </w:rPr>
        <w:t>Commission Delegated Regulation (EU) 2016/1401 of 23 May 2016 supplementing Directive 2014/59/EU of the European Parliament and of the Council establishing a framework for the recovery and resolution of credit institutions and investment firms with regard to regulatory technical standards for methodologies and principles on the valuation of liabilities arising from derivatives (OJ L 228, 23.8.2016, p. 7).</w:t>
      </w:r>
    </w:p>
  </w:footnote>
  <w:footnote w:id="17">
    <w:p w14:paraId="7FE1D268" w14:textId="77777777" w:rsidR="00CC0A94" w:rsidRDefault="006C1571">
      <w:pPr>
        <w:pStyle w:val="FootnoteText"/>
      </w:pPr>
      <w:r>
        <w:rPr>
          <w:rStyle w:val="FootnoteReference"/>
        </w:rPr>
        <w:footnoteRef/>
      </w:r>
      <w:r>
        <w:t xml:space="preserve"> The level of the capital conservation buffer laid down in Article 129 of Directive 2013/36/EU;</w:t>
      </w:r>
    </w:p>
  </w:footnote>
  <w:footnote w:id="18">
    <w:p w14:paraId="7FE1D269" w14:textId="77777777" w:rsidR="00CC0A94" w:rsidRDefault="006C1571">
      <w:pPr>
        <w:pStyle w:val="FootnoteText"/>
        <w:rPr>
          <w:lang w:val="en-GB"/>
        </w:rPr>
      </w:pPr>
      <w:r>
        <w:rPr>
          <w:rStyle w:val="FootnoteReference"/>
        </w:rPr>
        <w:footnoteRef/>
      </w:r>
      <w:r>
        <w:t xml:space="preserve"> Commission Delegated Regulation (EU) 2016/778 of 2 February 2016 supplementing Directive 2014/59/EU of the European Parliament and of the Council with regard to the circumstances and conditions under which the payment of extraordinary ex post contributions may be partially or entirely deferred, and on the criteria for the determination of the activities, services and operations with regard to critical functions, and for the determination of the business lines and associated services with regard to core business lines (OJ L 131, 20.5.2016, p.41).</w:t>
      </w:r>
    </w:p>
  </w:footnote>
  <w:footnote w:id="19">
    <w:p w14:paraId="7FE1D26D" w14:textId="77777777" w:rsidR="00CC0A94" w:rsidRDefault="006C1571">
      <w:pPr>
        <w:pStyle w:val="FootnoteText"/>
        <w:rPr>
          <w:lang w:val="en-GB"/>
        </w:rPr>
      </w:pPr>
      <w:r>
        <w:rPr>
          <w:rStyle w:val="FootnoteReference"/>
        </w:rPr>
        <w:footnoteRef/>
      </w:r>
      <w:r>
        <w:t xml:space="preserve"> Directive (EU) 2015/2366 of the European Parliament and of the Council of 25 November 2015 on payment services in the internal market, amending Directives 2002/65/EC, 2009/110/EC and 2013/36/EU and Regulation (EU) No 1093/2010, and repealing Directive 2007/64/EC (OJ L 337, 23.12.2015, p. 35).</w:t>
      </w:r>
    </w:p>
  </w:footnote>
  <w:footnote w:id="20">
    <w:p w14:paraId="7FE1D26E" w14:textId="77777777" w:rsidR="00CC0A94" w:rsidRDefault="006C1571">
      <w:pPr>
        <w:pStyle w:val="FootnoteText"/>
        <w:rPr>
          <w:lang w:val="en-GB"/>
        </w:rPr>
      </w:pPr>
      <w:r>
        <w:rPr>
          <w:rStyle w:val="FootnoteReference"/>
        </w:rPr>
        <w:footnoteRef/>
      </w:r>
      <w:r>
        <w:t xml:space="preserve"> </w:t>
      </w:r>
      <w:r>
        <w:rPr>
          <w:lang w:val="en-GB"/>
        </w:rPr>
        <w:t>Regulation (EU) No 648/2012 of the European Parliament and of the Council of 4 July 2012 on OTC derivatives, central counterparties and trade repositories (OJ L 201, 27.7.2012, p.1).</w:t>
      </w:r>
    </w:p>
  </w:footnote>
  <w:footnote w:id="21">
    <w:p w14:paraId="4F37B111" w14:textId="77777777" w:rsidR="002B58C1" w:rsidRPr="004D319B" w:rsidRDefault="002B58C1" w:rsidP="002B58C1">
      <w:pPr>
        <w:pStyle w:val="FootnoteText"/>
        <w:rPr>
          <w:lang w:val="en-GB"/>
        </w:rPr>
      </w:pPr>
      <w:r>
        <w:rPr>
          <w:rStyle w:val="FootnoteReference"/>
        </w:rPr>
        <w:footnoteRef/>
      </w:r>
      <w:r>
        <w:t xml:space="preserve"> </w:t>
      </w:r>
      <w:r>
        <w:rPr>
          <w:lang w:val="en-GB"/>
        </w:rPr>
        <w:t xml:space="preserve">According to Article 1(2) of </w:t>
      </w:r>
      <w:r w:rsidRPr="004D319B">
        <w:rPr>
          <w:lang w:val="en-GB"/>
        </w:rPr>
        <w:t> </w:t>
      </w:r>
      <w:r w:rsidRPr="00313E23">
        <w:t>Guideline (EU) 2021/835 of the European Central Bank of 26 March 2021 repealing Guideline ECB/2014/15 on monetary and financial statistics (ECB/2021/16),</w:t>
      </w:r>
      <w:r w:rsidRPr="004D319B">
        <w:rPr>
          <w:lang w:val="en-GB"/>
        </w:rPr>
        <w:t>  </w:t>
      </w:r>
      <w:r>
        <w:rPr>
          <w:lang w:val="en-GB"/>
        </w:rPr>
        <w:t>r</w:t>
      </w:r>
      <w:r w:rsidRPr="004D319B">
        <w:rPr>
          <w:lang w:val="en-GB"/>
        </w:rPr>
        <w:t>eferences to the repealed Guideline shall be construed as references to Guideline (EU) 2021/830 (ECB/2021/11), Guideline (EU) 2021/831 (ECB/2021/12), Guideline (EU) 2021/833 (ECB/2021/14), Guideline (EU) 2021/832 (ECB/2021/13) and Guideline (EU) 2021/834 (ECB/2021/15) as appropriate and in accordance with the correlation tables in Annexes II to VI.</w:t>
      </w:r>
    </w:p>
    <w:p w14:paraId="2690BEDB" w14:textId="77777777" w:rsidR="002B58C1" w:rsidRPr="00313E23" w:rsidRDefault="002B58C1" w:rsidP="002B58C1">
      <w:pPr>
        <w:pStyle w:val="FootnoteText"/>
        <w:rPr>
          <w:lang w:val="en-GB"/>
        </w:rPr>
      </w:pPr>
    </w:p>
  </w:footnote>
  <w:footnote w:id="22">
    <w:p w14:paraId="7FE1D272" w14:textId="77777777" w:rsidR="00CC0A94" w:rsidRDefault="006C1571">
      <w:pPr>
        <w:pStyle w:val="FootnoteText"/>
        <w:rPr>
          <w:lang w:val="en-GB"/>
        </w:rPr>
      </w:pPr>
      <w:r w:rsidRPr="002F61BB">
        <w:rPr>
          <w:vertAlign w:val="superscript"/>
        </w:rPr>
        <w:footnoteRef/>
      </w:r>
      <w:r>
        <w:t xml:space="preserve"> As defined in para 13 of the EBA Resolvability Guidelines</w:t>
      </w:r>
    </w:p>
  </w:footnote>
  <w:footnote w:id="23">
    <w:p w14:paraId="7FE1D273" w14:textId="60D312AD" w:rsidR="00CC0A94" w:rsidRDefault="006C1571">
      <w:pPr>
        <w:pStyle w:val="FootnoteText"/>
      </w:pPr>
      <w:r>
        <w:rPr>
          <w:rStyle w:val="FootnoteReference"/>
          <w:rFonts w:ascii="Verdana" w:hAnsi="Verdana"/>
          <w:sz w:val="16"/>
          <w:szCs w:val="16"/>
        </w:rPr>
        <w:footnoteRef/>
      </w:r>
      <w:r>
        <w:t xml:space="preserve"> Commission Delegated Regulation (</w:t>
      </w:r>
      <w:r w:rsidR="00C937F1">
        <w:t>EU</w:t>
      </w:r>
      <w:r>
        <w:t>) 2016/778, Article 6 and recital (8).</w:t>
      </w:r>
    </w:p>
  </w:footnote>
  <w:footnote w:id="24">
    <w:p w14:paraId="7FE1D274" w14:textId="1C805137" w:rsidR="00CC0A94" w:rsidRDefault="006C1571">
      <w:pPr>
        <w:pStyle w:val="FootnoteText"/>
      </w:pPr>
      <w:r>
        <w:rPr>
          <w:rStyle w:val="FootnoteReference"/>
          <w:rFonts w:ascii="Verdana" w:hAnsi="Verdana"/>
          <w:sz w:val="16"/>
          <w:szCs w:val="16"/>
        </w:rPr>
        <w:footnoteRef/>
      </w:r>
      <w:r>
        <w:t xml:space="preserve"> Commission Delegated Regulation (</w:t>
      </w:r>
      <w:r w:rsidR="00C937F1">
        <w:t>EU</w:t>
      </w:r>
      <w:r>
        <w:t xml:space="preserve">) 2016/778, Article 7. </w:t>
      </w:r>
    </w:p>
  </w:footnote>
  <w:footnote w:id="25">
    <w:p w14:paraId="7FE1D275" w14:textId="77777777" w:rsidR="00CC0A94" w:rsidRDefault="006C1571">
      <w:pPr>
        <w:pStyle w:val="FootnoteText"/>
      </w:pPr>
      <w:r w:rsidRPr="002F61BB">
        <w:rPr>
          <w:vertAlign w:val="superscript"/>
        </w:rPr>
        <w:footnoteRef/>
      </w:r>
      <w:r w:rsidRPr="002F61BB">
        <w:rPr>
          <w:vertAlign w:val="superscript"/>
        </w:rPr>
        <w:t xml:space="preserve"> </w:t>
      </w:r>
      <w:r>
        <w:t xml:space="preserve">The continuity of essential services may be necessary to achieve resolution objectives other than the maintenance of critical functions (e.g. financial stability by ensuring viability of the post-resolution entity). </w:t>
      </w:r>
    </w:p>
    <w:p w14:paraId="7FE1D276" w14:textId="77777777" w:rsidR="00CC0A94" w:rsidRDefault="00CC0A94">
      <w:pPr>
        <w:pStyle w:val="FootnoteText"/>
      </w:pPr>
    </w:p>
  </w:footnote>
  <w:footnote w:id="26">
    <w:p w14:paraId="7FE1D27C" w14:textId="77777777" w:rsidR="00CC0A94" w:rsidRDefault="006C1571">
      <w:pPr>
        <w:pStyle w:val="FootnoteText"/>
        <w:rPr>
          <w:rFonts w:ascii="Segoe UI" w:hAnsi="Segoe UI" w:cs="Segoe UI"/>
          <w:lang w:val="en-GB"/>
        </w:rPr>
      </w:pPr>
      <w:r>
        <w:footnoteRef/>
      </w:r>
      <w:r>
        <w:t xml:space="preserve"> The provisions of BRRD Title IV Chapter VI provide for resolution-resilience notably in the context of the exercise of powers by the resolution authority, except for the implementation of the business reorganization plans (BRPs).</w:t>
      </w:r>
    </w:p>
  </w:footnote>
  <w:footnote w:id="27">
    <w:p w14:paraId="3F998E2E" w14:textId="7BDE8075" w:rsidR="00E0411D" w:rsidRPr="002F61BB" w:rsidRDefault="00AE774B" w:rsidP="00E0411D">
      <w:pPr>
        <w:pStyle w:val="FootnoteText"/>
        <w:rPr>
          <w:lang w:val="en-GB"/>
        </w:rPr>
      </w:pPr>
      <w:r>
        <w:rPr>
          <w:rStyle w:val="FootnoteReference"/>
        </w:rPr>
        <w:footnoteRef/>
      </w:r>
      <w:r>
        <w:t xml:space="preserve"> </w:t>
      </w:r>
      <w:r w:rsidR="00E0411D">
        <w:rPr>
          <w:lang w:val="en-GB"/>
        </w:rPr>
        <w:t>Regulation</w:t>
      </w:r>
      <w:r w:rsidR="00E0411D" w:rsidRPr="002F61BB">
        <w:rPr>
          <w:lang w:val="en-GB"/>
        </w:rPr>
        <w:t xml:space="preserve"> (EU) 2022/2554 </w:t>
      </w:r>
      <w:r w:rsidR="00E0411D">
        <w:rPr>
          <w:lang w:val="en-GB"/>
        </w:rPr>
        <w:t>of the European Parliament and of the Council</w:t>
      </w:r>
      <w:r w:rsidR="008D2A6E">
        <w:rPr>
          <w:lang w:val="en-GB"/>
        </w:rPr>
        <w:t xml:space="preserve"> </w:t>
      </w:r>
      <w:r w:rsidR="00E0411D" w:rsidRPr="002F61BB">
        <w:rPr>
          <w:lang w:val="en-GB"/>
        </w:rPr>
        <w:t>of 14 December 2022</w:t>
      </w:r>
      <w:r w:rsidR="008D2A6E">
        <w:rPr>
          <w:lang w:val="en-GB"/>
        </w:rPr>
        <w:t xml:space="preserve"> </w:t>
      </w:r>
      <w:r w:rsidR="00E0411D" w:rsidRPr="002F61BB">
        <w:rPr>
          <w:lang w:val="en-GB"/>
        </w:rPr>
        <w:t>on digital operational resilience for the financial sector and amending Regulations (EC) No 1060/2009, (EU) No 648/2012, (EU) No 600/2014, (EU) No 909/2014 and (EU) 2016/1011</w:t>
      </w:r>
      <w:r w:rsidR="008D2A6E">
        <w:rPr>
          <w:lang w:val="en-GB"/>
        </w:rPr>
        <w:t>.</w:t>
      </w:r>
    </w:p>
    <w:p w14:paraId="3A2C28B9" w14:textId="00F04738" w:rsidR="00AE774B" w:rsidRPr="002F61BB" w:rsidRDefault="00AE774B">
      <w:pPr>
        <w:pStyle w:val="FootnoteText"/>
        <w:rPr>
          <w:lang w:val="en-GB"/>
        </w:rPr>
      </w:pPr>
    </w:p>
  </w:footnote>
  <w:footnote w:id="28">
    <w:p w14:paraId="7FE1D27F" w14:textId="77777777" w:rsidR="00CC0A94" w:rsidRDefault="006C1571">
      <w:pPr>
        <w:pStyle w:val="FootnoteText"/>
        <w:rPr>
          <w:rFonts w:ascii="Segoe UI" w:hAnsi="Segoe UI" w:cs="Segoe UI"/>
          <w:lang w:val="en-GB"/>
        </w:rPr>
      </w:pPr>
      <w:r>
        <w:footnoteRef/>
      </w:r>
      <w:r>
        <w:t xml:space="preserve"> The provisions of BRRD Title IV Chapter VI provide for resolution-resilience notably in the context of the exercise of powers by the resolution authority, except for the implementation of the business reorganization plans (BRPs).</w:t>
      </w:r>
    </w:p>
  </w:footnote>
  <w:footnote w:id="29">
    <w:p w14:paraId="7FE1D280" w14:textId="77777777" w:rsidR="00CC0A94" w:rsidRDefault="006C1571">
      <w:pPr>
        <w:pStyle w:val="TableParagraph"/>
        <w:spacing w:before="108"/>
        <w:ind w:left="85"/>
        <w:jc w:val="both"/>
        <w:rPr>
          <w:lang w:val="en-GB"/>
        </w:rPr>
      </w:pPr>
      <w:r>
        <w:rPr>
          <w:rStyle w:val="FootnoteReference"/>
        </w:rPr>
        <w:footnoteRef/>
      </w:r>
      <w:r>
        <w:t xml:space="preserve"> </w:t>
      </w:r>
      <w:r>
        <w:rPr>
          <w:rFonts w:ascii="Times New Roman" w:eastAsiaTheme="minorEastAsia" w:hAnsi="Times New Roman" w:cs="Times New Roman"/>
          <w:sz w:val="18"/>
          <w:szCs w:val="18"/>
          <w:lang w:val="en-GB"/>
        </w:rPr>
        <w:t>Debt securities, equities and other securities, repo.</w:t>
      </w:r>
    </w:p>
  </w:footnote>
  <w:footnote w:id="30">
    <w:p w14:paraId="7FE1D281" w14:textId="77777777" w:rsidR="00CC0A94" w:rsidRDefault="006C1571">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lang w:val="en-GB"/>
        </w:rPr>
        <w:t>Multilateral systems or facilities in which multiple third-party buying and selling trading interests in financial instruments are able to interact in the system. For systems located in the EEA, this definition captures Regulated Markets, MTF and OTF.</w:t>
      </w:r>
    </w:p>
  </w:footnote>
  <w:footnote w:id="31">
    <w:p w14:paraId="7FE1D282" w14:textId="77777777" w:rsidR="00CC0A94" w:rsidRDefault="006C1571">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lang w:val="en-GB"/>
        </w:rPr>
        <w:t>Cfr. ECB Payments and markets glossary: Direct participant: “a participant in a […] system that can perform all activities allowed in the system without using an intermediary (including, in particular, the direct inputting of orders in the system and the performance of settlement operations).”; Indirect participant: “a participant in a […] system with a tiering arrangement that uses a direct participant as an intermediary in order to perform some of the activities allowed in the system (particularly settlement)”.</w:t>
      </w:r>
    </w:p>
    <w:p w14:paraId="7FE1D283" w14:textId="77777777" w:rsidR="00CC0A94" w:rsidRDefault="00CC0A94">
      <w:pPr>
        <w:pStyle w:val="FootnoteText"/>
        <w:rPr>
          <w:lang w:val="en-GB"/>
        </w:rPr>
      </w:pPr>
    </w:p>
  </w:footnote>
  <w:footnote w:id="32">
    <w:p w14:paraId="7FE1D284" w14:textId="77777777" w:rsidR="00CC0A94" w:rsidRDefault="006C1571">
      <w:pPr>
        <w:pStyle w:val="FootnoteText"/>
        <w:rPr>
          <w:lang w:val="en-GB"/>
        </w:rPr>
      </w:pPr>
      <w:r>
        <w:rPr>
          <w:rStyle w:val="FootnoteReference"/>
        </w:rPr>
        <w:footnoteRef/>
      </w:r>
      <w:r>
        <w:t xml:space="preserve"> </w:t>
      </w:r>
      <w:r>
        <w:rPr>
          <w:lang w:val="en-GB"/>
        </w:rPr>
        <w:t>For the definition of resolution-resilience for the purposes of this report, refer to Z.08.01 column 150.</w:t>
      </w:r>
    </w:p>
  </w:footnote>
  <w:footnote w:id="33">
    <w:p w14:paraId="7FE1D285" w14:textId="50A26E27" w:rsidR="00CC0A94" w:rsidRPr="002F61BB" w:rsidRDefault="006C1571">
      <w:pPr>
        <w:pStyle w:val="FootnoteText"/>
        <w:rPr>
          <w:lang w:val="en-GB"/>
        </w:rPr>
      </w:pPr>
      <w:r>
        <w:rPr>
          <w:rStyle w:val="FootnoteReference"/>
        </w:rPr>
        <w:footnoteRef/>
      </w:r>
      <w:r>
        <w:t xml:space="preserve"> For the purposes of relevant metrics for reporting, ‘Card Schemes’ are assimilated to ‘P</w:t>
      </w:r>
      <w:r w:rsidR="00B549AA">
        <w:t xml:space="preserve">ayment </w:t>
      </w:r>
      <w:r>
        <w:t>S</w:t>
      </w:r>
      <w:r w:rsidR="00B549AA">
        <w:t>ervices</w:t>
      </w:r>
      <w:r>
        <w:t>’; ‘NA’ are assimilated to ‘C</w:t>
      </w:r>
      <w:r w:rsidR="00B549AA">
        <w:t xml:space="preserve">entral </w:t>
      </w:r>
      <w:r>
        <w:t>S</w:t>
      </w:r>
      <w:r w:rsidR="00B549AA">
        <w:t xml:space="preserve">ecurities </w:t>
      </w:r>
      <w:r>
        <w:t>D</w:t>
      </w:r>
      <w:r w:rsidR="00B549AA">
        <w:t>epositaries</w:t>
      </w:r>
      <w:r>
        <w:t>’ if they deal with securities and ‘P</w:t>
      </w:r>
      <w:r w:rsidR="00B549AA">
        <w:t xml:space="preserve">ayment </w:t>
      </w:r>
      <w:r>
        <w:t>S</w:t>
      </w:r>
      <w:r w:rsidR="00B549AA">
        <w:t>ystems</w:t>
      </w:r>
      <w:r>
        <w:t>’ if they deal with cash services.</w:t>
      </w:r>
    </w:p>
  </w:footnote>
  <w:footnote w:id="34">
    <w:p w14:paraId="7FE1D286" w14:textId="77777777" w:rsidR="00CC0A94" w:rsidRDefault="006C1571">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For the purposes of this report, the meaning of account types should be construed in accordance with EMIR art. 39 (4) and (5). The meaning of position should be construed in accordance with EMIR art 2 (3), 39 (4) and 39 (5). Client accounts: only report where the Legal Entity provides indirect access to the FMI.</w:t>
      </w:r>
    </w:p>
  </w:footnote>
  <w:footnote w:id="35">
    <w:p w14:paraId="7FE1D287" w14:textId="21F2F8F9" w:rsidR="00CC0A94" w:rsidRDefault="006C1571">
      <w:pPr>
        <w:pStyle w:val="FootnoteText"/>
        <w:rPr>
          <w:lang w:val="en-GB"/>
        </w:rPr>
      </w:pPr>
      <w:r>
        <w:rPr>
          <w:rStyle w:val="FootnoteReference"/>
        </w:rPr>
        <w:footnoteRef/>
      </w:r>
      <w:r>
        <w:t xml:space="preserve"> Cfr. ECB's methodological notes on Securities trading, clearing and settlement statistics.</w:t>
      </w:r>
    </w:p>
  </w:footnote>
  <w:footnote w:id="36">
    <w:p w14:paraId="7FE1D289" w14:textId="77777777" w:rsidR="00CC0A94" w:rsidRPr="002F61BB" w:rsidRDefault="006C1571">
      <w:pPr>
        <w:pStyle w:val="FootnoteText"/>
        <w:rPr>
          <w:lang w:val="en-GB"/>
        </w:rPr>
      </w:pPr>
      <w:r>
        <w:rPr>
          <w:rStyle w:val="FootnoteReference"/>
        </w:rPr>
        <w:footnoteRef/>
      </w:r>
      <w:r>
        <w:t xml:space="preserve"> </w:t>
      </w:r>
      <w:r>
        <w:rPr>
          <w:lang w:val="en-GB"/>
        </w:rPr>
        <w:t>Certain</w:t>
      </w:r>
      <w:r w:rsidRPr="002F61BB">
        <w:rPr>
          <w:lang w:val="en-GB"/>
        </w:rPr>
        <w:t xml:space="preserve"> </w:t>
      </w:r>
      <w:r>
        <w:rPr>
          <w:lang w:val="en-GB"/>
        </w:rPr>
        <w:t>Equity instruments, such as cooperative participations, do not fall under the definition of securities, but should still be reported here.</w:t>
      </w:r>
    </w:p>
  </w:footnote>
  <w:footnote w:id="37">
    <w:p w14:paraId="4A19D249" w14:textId="77777777" w:rsidR="0046145A" w:rsidRPr="00A31D3C" w:rsidRDefault="0046145A" w:rsidP="0046145A">
      <w:pPr>
        <w:pStyle w:val="FootnoteText"/>
        <w:rPr>
          <w:rFonts w:ascii="Verdana" w:hAnsi="Verdana"/>
        </w:rPr>
      </w:pPr>
      <w:r w:rsidRPr="00A31D3C">
        <w:rPr>
          <w:rStyle w:val="FootnoteReference"/>
          <w:rFonts w:ascii="Verdana" w:hAnsi="Verdana"/>
          <w:sz w:val="16"/>
        </w:rPr>
        <w:footnoteRef/>
      </w:r>
      <w:r w:rsidRPr="00A31D3C">
        <w:rPr>
          <w:rFonts w:ascii="Verdana" w:hAnsi="Verdana"/>
          <w:sz w:val="16"/>
        </w:rPr>
        <w:t xml:space="preserve"> </w:t>
      </w:r>
      <w:r w:rsidRPr="00A31D3C">
        <w:rPr>
          <w:rFonts w:ascii="Verdana" w:hAnsi="Verdana"/>
          <w:bCs/>
          <w:sz w:val="16"/>
          <w:lang w:val="en-GB"/>
        </w:rPr>
        <w:t>Euronext Clearing is the new commercial name of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CC0A94" w:rsidRDefault="006C1571">
    <w:pPr>
      <w:pStyle w:val="Header"/>
    </w:pPr>
    <w:r>
      <w:rPr>
        <w:noProof/>
        <w:lang w:val="en-GB" w:eastAsia="en-GB"/>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CC0A94" w:rsidRDefault="006C1571">
                          <w:pPr>
                            <w:rPr>
                              <w:rFonts w:ascii="Calibri" w:eastAsia="Calibri" w:hAnsi="Calibri" w:cs="Calibri"/>
                              <w:color w:val="000000"/>
                              <w:sz w:val="24"/>
                            </w:rPr>
                          </w:pPr>
                          <w:r>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xt Box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CC0A94" w:rsidRDefault="006C1571">
                    <w:pPr>
                      <w:rPr>
                        <w:rFonts w:ascii="Calibri" w:eastAsia="Calibri" w:hAnsi="Calibri" w:cs="Calibri"/>
                        <w:color w:val="000000"/>
                        <w:sz w:val="24"/>
                      </w:rPr>
                    </w:pPr>
                    <w:r>
                      <w:rPr>
                        <w:rFonts w:ascii="Calibri" w:eastAsia="Calibri" w:hAnsi="Calibri" w:cs="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CC0A94" w:rsidRDefault="006C1571">
    <w:pPr>
      <w:pStyle w:val="Header"/>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xt Box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CC0A94" w:rsidRDefault="00CC0A9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xt Box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CC0A94" w:rsidRDefault="00CC0A94">
                    <w:pPr>
                      <w:rPr>
                        <w:rFonts w:ascii="Calibri" w:eastAsia="Calibri" w:hAnsi="Calibri" w:cs="Calibri"/>
                        <w:color w:val="000000"/>
                        <w:sz w:val="24"/>
                      </w:rPr>
                    </w:pPr>
                  </w:p>
                </w:txbxContent>
              </v:textbox>
              <w10:wrap type="square" anchorx="margin"/>
            </v:shape>
          </w:pict>
        </mc:Fallback>
      </mc:AlternateContent>
    </w:r>
    <w:r>
      <w:rPr>
        <w:rFonts w:ascii="Times New Roman" w:hAnsi="Times New Roman" w:cs="Times New Roman"/>
      </w:rPr>
      <w:t>EN</w:t>
    </w:r>
  </w:p>
  <w:p w14:paraId="7FE1D24D" w14:textId="77777777" w:rsidR="00CC0A94" w:rsidRDefault="006C1571">
    <w:pPr>
      <w:pStyle w:val="Header"/>
      <w:jc w:val="center"/>
      <w:rPr>
        <w:rFonts w:ascii="Times New Roman" w:hAnsi="Times New Roman" w:cs="Times New Roman"/>
      </w:rPr>
    </w:pPr>
    <w:r>
      <w:rPr>
        <w:rFonts w:ascii="Times New Roman" w:hAnsi="Times New Roman" w:cs="Times New Roman"/>
      </w:rPr>
      <w:t>ANNEX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CC0A94" w:rsidRDefault="006C1571">
    <w:pPr>
      <w:pStyle w:val="Header"/>
    </w:pPr>
    <w:r>
      <w:rPr>
        <w:noProof/>
        <w:lang w:val="en-GB" w:eastAsia="en-GB"/>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CC0A94" w:rsidRDefault="00CC0A9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Text Box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CC0A94" w:rsidRDefault="00CC0A94">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lang w:val="en-US"/>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lang w:val="en-US"/>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lang w:val="en-US"/>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spacing w:val="5"/>
      <w:kern w:val="28"/>
      <w:sz w:val="52"/>
      <w:szCs w:val="52"/>
      <w:lang w:val="en-US"/>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lang w:val="en-US"/>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lang w:val="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lang w:val="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lang w:val="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US"/>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lang w:val="en-US"/>
    </w:rPr>
  </w:style>
  <w:style w:type="paragraph" w:customStyle="1" w:styleId="body">
    <w:name w:val="body"/>
    <w:qFormat/>
    <w:pPr>
      <w:spacing w:before="240" w:after="120"/>
      <w:jc w:val="both"/>
    </w:pPr>
    <w:rPr>
      <w:rFonts w:eastAsiaTheme="minorEastAsia"/>
      <w:szCs w:val="24"/>
      <w:lang w:val="en-US"/>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lang w:val="en-US"/>
    </w:rPr>
  </w:style>
  <w:style w:type="paragraph" w:customStyle="1" w:styleId="Tableheader">
    <w:name w:val="Table header"/>
    <w:next w:val="Tabledata"/>
    <w:qFormat/>
    <w:pPr>
      <w:spacing w:after="80" w:line="240" w:lineRule="auto"/>
    </w:pPr>
    <w:rPr>
      <w:rFonts w:ascii="Calibri" w:eastAsia="Times New Roman" w:hAnsi="Calibri" w:cs="Times New Roman"/>
      <w:b/>
      <w:color w:val="000000"/>
      <w:lang w:val="en-US"/>
    </w:rPr>
  </w:style>
  <w:style w:type="paragraph" w:customStyle="1" w:styleId="Tabledata">
    <w:name w:val="Table data"/>
    <w:basedOn w:val="body"/>
    <w:qFormat/>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pPr>
      <w:numPr>
        <w:numId w:val="47"/>
      </w:numPr>
      <w:spacing w:after="0" w:line="240" w:lineRule="auto"/>
    </w:pPr>
    <w:rPr>
      <w:rFonts w:eastAsiaTheme="minorEastAsia"/>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lang w:val="en-US"/>
    </w:rPr>
  </w:style>
  <w:style w:type="table" w:styleId="TableGrid">
    <w:name w:val="Table Grid"/>
    <w:basedOn w:val="TableProfessional"/>
    <w:uiPriority w:val="59"/>
    <w:rPr>
      <w:sz w:val="20"/>
      <w:szCs w:val="20"/>
      <w:lang w:val="fr-FR"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lang w:val="en-US"/>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rPr>
  </w:style>
  <w:style w:type="paragraph" w:customStyle="1" w:styleId="Titlelevel3">
    <w:name w:val="Title level 3"/>
    <w:qFormat/>
    <w:pPr>
      <w:spacing w:before="240" w:after="240" w:line="240" w:lineRule="auto"/>
    </w:pPr>
    <w:rPr>
      <w:rFonts w:eastAsiaTheme="minorEastAsia"/>
      <w:b/>
      <w:color w:val="1F497D" w:themeColor="text2"/>
      <w:sz w:val="24"/>
      <w:szCs w:val="24"/>
      <w:lang w:val="en-US"/>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lang w:val="en-US"/>
    </w:rPr>
  </w:style>
  <w:style w:type="paragraph" w:customStyle="1" w:styleId="Figuretitle">
    <w:name w:val="Figure title"/>
    <w:basedOn w:val="body"/>
    <w:next w:val="Normal"/>
    <w:autoRedefine/>
    <w:qFormat/>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lang w:val="en-US"/>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noProof/>
      <w:color w:val="1F497D" w:themeColor="text2"/>
      <w:lang w:val="en-US"/>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noProof/>
      <w:lang w:val="en-US"/>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lang w:val="en-US"/>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spacing w:val="5"/>
      <w:kern w:val="28"/>
      <w:sz w:val="52"/>
      <w:szCs w:val="52"/>
      <w:lang w:val="en-US"/>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spacing w:val="5"/>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lang w:val="en-GB" w:eastAsia="en-GB"/>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lang w:val="en-GB"/>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lang w:val="en-GB"/>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lang w:val="en-GB"/>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lang w:val="en-GB"/>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lang w:val="en-GB"/>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lang w:val="en-GB"/>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lang w:val="en-GB"/>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lang w:val="en-GB"/>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lang w:val="en-GB"/>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lang w:val="en-GB"/>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lang w:val="en-GB"/>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lang w:val="en-GB"/>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lang w:val="en-GB"/>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lang w:val="en-GB"/>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lang w:val="en-GB"/>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lang w:val="en-US"/>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lang w:val="en-GB" w:eastAsia="en-GB"/>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lang w:val="en-US"/>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lang w:val="en-GB" w:eastAsia="en-GB"/>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lang w:val="en-GB" w:eastAsia="en-GB"/>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lang w:val="en-GB" w:eastAsia="en-GB"/>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lang w:val="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val="en-US"/>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lang w:val="en-GB"/>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lang w:val="en-GB"/>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lang w:val="en-GB"/>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lang w:val="en-GB"/>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lang w:val="en-GB"/>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lang w:val="en-GB"/>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lang w:val="en-GB"/>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lang w:val="en-GB"/>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lang w:val="en-GB"/>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lang w:val="en-US"/>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spacing w:val="0"/>
      <w:kern w:val="0"/>
      <w:sz w:val="20"/>
      <w:szCs w:val="24"/>
      <w:u w:val="single"/>
      <w:lang w:val="en-GB"/>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lang w:eastAsia="de-DE"/>
    </w:rPr>
  </w:style>
  <w:style w:type="character" w:customStyle="1" w:styleId="InstructionsTextChar">
    <w:name w:val="Instructions Text Char"/>
    <w:link w:val="InstructionsText"/>
    <w:locked/>
    <w:rPr>
      <w:rFonts w:asciiTheme="majorHAnsi" w:eastAsia="Times New Roman" w:hAnsiTheme="majorHAnsi" w:cs="Arial"/>
      <w:lang w:val="en-US" w:eastAsia="de-DE"/>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lang w:val="en-GB" w:eastAsia="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lang w:val="en-GB" w:eastAsia="en-GB"/>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rPr>
      <w:rFonts w:eastAsiaTheme="minorEastAsia"/>
      <w:szCs w:val="24"/>
      <w:lang w:val="en-US"/>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lang w:val="pt-PT" w:eastAsia="pt-PT"/>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lang w:val="pt-PT" w:eastAsia="pt-PT"/>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lang w:val="pt-PT" w:eastAsia="pt-PT"/>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lang w:val="en-GB" w:eastAsia="en-GB"/>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lang w:val="en-GB"/>
    </w:rPr>
  </w:style>
  <w:style w:type="character" w:customStyle="1" w:styleId="EndnoteTextChar1">
    <w:name w:val="Endnote Text Char1"/>
    <w:basedOn w:val="DefaultParagraphFont"/>
    <w:uiPriority w:val="99"/>
    <w:semiHidden/>
    <w:rPr>
      <w:rFonts w:eastAsiaTheme="minorEastAsia"/>
      <w:sz w:val="20"/>
      <w:szCs w:val="20"/>
      <w:lang w:val="en-US"/>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2.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53495-2AAF-4864-9657-EF708C1A4EA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104</Pages>
  <Words>37006</Words>
  <Characters>210940</Characters>
  <Application>Microsoft Office Word</Application>
  <DocSecurity>0</DocSecurity>
  <Lines>1757</Lines>
  <Paragraphs>494</Paragraphs>
  <ScaleCrop>false</ScaleCrop>
  <Company/>
  <LinksUpToDate>false</LinksUpToDate>
  <CharactersWithSpaces>247452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2</cp:revision>
  <dcterms:created xsi:type="dcterms:W3CDTF">2025-09-08T13:11:00Z</dcterms:created>
  <dcterms:modified xsi:type="dcterms:W3CDTF">2025-09-08T13:36:00Z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